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5911817"/>
        <w:docPartObj>
          <w:docPartGallery w:val="Cover Pages"/>
          <w:docPartUnique/>
        </w:docPartObj>
      </w:sdtPr>
      <w:sdtEndPr>
        <w:rPr>
          <w:b/>
          <w:bCs/>
        </w:rPr>
      </w:sdtEndPr>
      <w:sdtContent>
        <w:p w14:paraId="0FBBC990" w14:textId="7191D66A" w:rsidR="00B42E46" w:rsidRDefault="00B42E46"/>
        <w:p w14:paraId="2F3380D9" w14:textId="14D81A92" w:rsidR="00B42E46" w:rsidRDefault="005A071E" w:rsidP="00475A0C">
          <w:pPr>
            <w:spacing w:after="160"/>
            <w:jc w:val="center"/>
            <w:rPr>
              <w:b/>
              <w:bCs/>
            </w:rPr>
          </w:pPr>
          <w:r>
            <w:rPr>
              <w:noProof/>
              <w:lang w:eastAsia="en-GB"/>
            </w:rPr>
            <w:drawing>
              <wp:inline distT="0" distB="0" distL="0" distR="0" wp14:anchorId="418008D6" wp14:editId="4B952B51">
                <wp:extent cx="2819400" cy="1132114"/>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2096" cy="1141227"/>
                        </a:xfrm>
                        <a:prstGeom prst="rect">
                          <a:avLst/>
                        </a:prstGeom>
                        <a:noFill/>
                        <a:ln>
                          <a:noFill/>
                        </a:ln>
                        <a:extLst/>
                      </pic:spPr>
                    </pic:pic>
                  </a:graphicData>
                </a:graphic>
              </wp:inline>
            </w:drawing>
          </w:r>
        </w:p>
        <w:p w14:paraId="5C7B67E8" w14:textId="3E9EADB0" w:rsidR="00B42E46" w:rsidRDefault="00B42E46" w:rsidP="00B42E46">
          <w:pPr>
            <w:spacing w:after="160"/>
            <w:jc w:val="center"/>
            <w:rPr>
              <w:b/>
              <w:bCs/>
            </w:rPr>
          </w:pPr>
        </w:p>
        <w:p w14:paraId="687A1971" w14:textId="77777777" w:rsidR="00FB4082" w:rsidRDefault="00FB4082" w:rsidP="00B42E46">
          <w:pPr>
            <w:spacing w:after="160"/>
            <w:jc w:val="center"/>
            <w:rPr>
              <w:b/>
              <w:bCs/>
            </w:rPr>
          </w:pPr>
        </w:p>
        <w:p w14:paraId="2EB114A5" w14:textId="77777777" w:rsidR="00F46927" w:rsidRDefault="00F46927" w:rsidP="00B42E46">
          <w:pPr>
            <w:spacing w:after="160"/>
            <w:jc w:val="center"/>
            <w:rPr>
              <w:b/>
              <w:bCs/>
            </w:rPr>
          </w:pPr>
        </w:p>
        <w:p w14:paraId="335C9D89" w14:textId="77777777" w:rsidR="00B42E46" w:rsidRDefault="00B42E46" w:rsidP="00B42E46">
          <w:pPr>
            <w:spacing w:after="160"/>
            <w:jc w:val="center"/>
            <w:rPr>
              <w:b/>
              <w:bCs/>
            </w:rPr>
          </w:pPr>
        </w:p>
        <w:p w14:paraId="5A155E1B" w14:textId="77777777" w:rsidR="00B42E46" w:rsidRPr="00B42E46" w:rsidRDefault="00B42E46" w:rsidP="00B42E46">
          <w:pPr>
            <w:spacing w:after="160"/>
            <w:jc w:val="center"/>
            <w:rPr>
              <w:b/>
              <w:bCs/>
              <w:sz w:val="32"/>
              <w:szCs w:val="32"/>
            </w:rPr>
          </w:pPr>
          <w:r w:rsidRPr="00B42E46">
            <w:rPr>
              <w:b/>
              <w:bCs/>
              <w:sz w:val="32"/>
              <w:szCs w:val="32"/>
            </w:rPr>
            <w:t xml:space="preserve">The role and effectiveness of interventions to increase </w:t>
          </w:r>
        </w:p>
        <w:p w14:paraId="7FD367A7" w14:textId="77777777" w:rsidR="00B42E46" w:rsidRDefault="00B42E46" w:rsidP="00B42E46">
          <w:pPr>
            <w:spacing w:after="160"/>
            <w:jc w:val="center"/>
            <w:rPr>
              <w:b/>
              <w:bCs/>
            </w:rPr>
          </w:pPr>
          <w:r w:rsidRPr="00B42E46">
            <w:rPr>
              <w:b/>
              <w:bCs/>
              <w:sz w:val="32"/>
              <w:szCs w:val="32"/>
            </w:rPr>
            <w:t>work engagement in organisations</w:t>
          </w:r>
          <w:r>
            <w:rPr>
              <w:b/>
              <w:bCs/>
            </w:rPr>
            <w:t xml:space="preserve"> </w:t>
          </w:r>
        </w:p>
        <w:p w14:paraId="37BB6818" w14:textId="16459936" w:rsidR="00B42E46" w:rsidRDefault="00B42E46" w:rsidP="00B42E46">
          <w:pPr>
            <w:spacing w:after="160"/>
            <w:jc w:val="center"/>
            <w:rPr>
              <w:b/>
              <w:bCs/>
            </w:rPr>
          </w:pPr>
        </w:p>
        <w:p w14:paraId="07135F33" w14:textId="56D5340A" w:rsidR="00B42E46" w:rsidRDefault="00B42E46" w:rsidP="00B42E46">
          <w:pPr>
            <w:spacing w:after="160"/>
            <w:jc w:val="center"/>
            <w:rPr>
              <w:b/>
              <w:bCs/>
            </w:rPr>
          </w:pPr>
        </w:p>
        <w:p w14:paraId="5D0D4C70" w14:textId="77777777" w:rsidR="00B42E46" w:rsidRDefault="00B42E46" w:rsidP="00B42E46">
          <w:pPr>
            <w:spacing w:after="160"/>
            <w:jc w:val="center"/>
            <w:rPr>
              <w:b/>
              <w:bCs/>
            </w:rPr>
          </w:pPr>
          <w:r w:rsidRPr="00B42E46">
            <w:rPr>
              <w:b/>
              <w:bCs/>
              <w:sz w:val="28"/>
              <w:szCs w:val="28"/>
            </w:rPr>
            <w:t>Caroline Knight</w:t>
          </w:r>
        </w:p>
        <w:p w14:paraId="7BE96885" w14:textId="2BED7ACE" w:rsidR="00B42E46" w:rsidRDefault="00B42E46" w:rsidP="00B42E46">
          <w:pPr>
            <w:spacing w:after="160"/>
            <w:jc w:val="center"/>
            <w:rPr>
              <w:b/>
              <w:bCs/>
            </w:rPr>
          </w:pPr>
        </w:p>
        <w:p w14:paraId="508D0461" w14:textId="77777777" w:rsidR="00B42E46" w:rsidRDefault="00B42E46" w:rsidP="00B42E46">
          <w:pPr>
            <w:spacing w:after="160"/>
            <w:jc w:val="center"/>
            <w:rPr>
              <w:b/>
              <w:bCs/>
            </w:rPr>
          </w:pPr>
        </w:p>
        <w:p w14:paraId="58FF07C9" w14:textId="77777777" w:rsidR="00B42E46" w:rsidRDefault="00B42E46" w:rsidP="00B42E46">
          <w:pPr>
            <w:spacing w:after="160"/>
            <w:jc w:val="center"/>
            <w:rPr>
              <w:bCs/>
              <w:sz w:val="24"/>
              <w:szCs w:val="24"/>
            </w:rPr>
          </w:pPr>
          <w:r w:rsidRPr="00B42E46">
            <w:rPr>
              <w:bCs/>
              <w:sz w:val="24"/>
              <w:szCs w:val="24"/>
            </w:rPr>
            <w:t xml:space="preserve">A thesis submitted in partial fulfilment of the requirements </w:t>
          </w:r>
        </w:p>
        <w:p w14:paraId="0B8EFB68" w14:textId="77777777" w:rsidR="00B42E46" w:rsidRDefault="00B42E46" w:rsidP="00B42E46">
          <w:pPr>
            <w:spacing w:after="160"/>
            <w:jc w:val="center"/>
            <w:rPr>
              <w:bCs/>
              <w:sz w:val="24"/>
              <w:szCs w:val="24"/>
            </w:rPr>
          </w:pPr>
          <w:r w:rsidRPr="00B42E46">
            <w:rPr>
              <w:bCs/>
              <w:sz w:val="24"/>
              <w:szCs w:val="24"/>
            </w:rPr>
            <w:t>for the degree of Doctor of Philosophy</w:t>
          </w:r>
        </w:p>
        <w:p w14:paraId="1298585F" w14:textId="46AFA6E2" w:rsidR="00B42E46" w:rsidRDefault="00B42E46" w:rsidP="00B42E46">
          <w:pPr>
            <w:spacing w:after="160"/>
            <w:jc w:val="center"/>
            <w:rPr>
              <w:bCs/>
              <w:sz w:val="24"/>
              <w:szCs w:val="24"/>
            </w:rPr>
          </w:pPr>
        </w:p>
        <w:p w14:paraId="5BA2087D" w14:textId="77777777" w:rsidR="00B42E46" w:rsidRDefault="00B42E46" w:rsidP="00B42E46">
          <w:pPr>
            <w:spacing w:after="160"/>
            <w:jc w:val="center"/>
            <w:rPr>
              <w:bCs/>
              <w:sz w:val="24"/>
              <w:szCs w:val="24"/>
            </w:rPr>
          </w:pPr>
        </w:p>
        <w:p w14:paraId="7CE19F72" w14:textId="77777777" w:rsidR="00B42E46" w:rsidRDefault="00B42E46" w:rsidP="00B42E46">
          <w:pPr>
            <w:spacing w:after="160"/>
            <w:jc w:val="center"/>
            <w:rPr>
              <w:bCs/>
              <w:sz w:val="24"/>
              <w:szCs w:val="24"/>
            </w:rPr>
          </w:pPr>
          <w:r>
            <w:rPr>
              <w:bCs/>
              <w:sz w:val="24"/>
              <w:szCs w:val="24"/>
            </w:rPr>
            <w:t>The University of Sheffield</w:t>
          </w:r>
        </w:p>
        <w:p w14:paraId="01532711" w14:textId="697EF843" w:rsidR="00B42E46" w:rsidRDefault="00B42E46" w:rsidP="00B42E46">
          <w:pPr>
            <w:spacing w:after="160"/>
            <w:jc w:val="center"/>
            <w:rPr>
              <w:bCs/>
              <w:sz w:val="24"/>
              <w:szCs w:val="24"/>
            </w:rPr>
          </w:pPr>
          <w:r>
            <w:rPr>
              <w:bCs/>
              <w:sz w:val="24"/>
              <w:szCs w:val="24"/>
            </w:rPr>
            <w:t>Institute of Work Psychology</w:t>
          </w:r>
        </w:p>
        <w:p w14:paraId="39F886C6" w14:textId="77777777" w:rsidR="00B42E46" w:rsidRDefault="00B42E46" w:rsidP="00B42E46">
          <w:pPr>
            <w:spacing w:after="160"/>
            <w:jc w:val="center"/>
            <w:rPr>
              <w:bCs/>
              <w:sz w:val="24"/>
              <w:szCs w:val="24"/>
            </w:rPr>
          </w:pPr>
          <w:r>
            <w:rPr>
              <w:bCs/>
              <w:sz w:val="24"/>
              <w:szCs w:val="24"/>
            </w:rPr>
            <w:t>School of Management</w:t>
          </w:r>
        </w:p>
        <w:p w14:paraId="50CF4113" w14:textId="77777777" w:rsidR="00B42E46" w:rsidRDefault="00B42E46" w:rsidP="00B42E46">
          <w:pPr>
            <w:spacing w:after="160"/>
            <w:jc w:val="center"/>
            <w:rPr>
              <w:bCs/>
              <w:sz w:val="24"/>
              <w:szCs w:val="24"/>
            </w:rPr>
          </w:pPr>
        </w:p>
        <w:p w14:paraId="0088B585" w14:textId="77777777" w:rsidR="00B42E46" w:rsidRDefault="00B42E46" w:rsidP="00B42E46">
          <w:pPr>
            <w:spacing w:after="160"/>
            <w:jc w:val="center"/>
            <w:rPr>
              <w:bCs/>
              <w:sz w:val="24"/>
              <w:szCs w:val="24"/>
            </w:rPr>
          </w:pPr>
        </w:p>
        <w:p w14:paraId="29E19E09" w14:textId="77777777" w:rsidR="00B42E46" w:rsidRDefault="00B42E46" w:rsidP="00B42E46">
          <w:pPr>
            <w:spacing w:after="160"/>
            <w:jc w:val="center"/>
            <w:rPr>
              <w:bCs/>
              <w:sz w:val="24"/>
              <w:szCs w:val="24"/>
            </w:rPr>
          </w:pPr>
        </w:p>
        <w:p w14:paraId="0A36CD78" w14:textId="6FA5413B" w:rsidR="00B26CD4" w:rsidRDefault="00931BB6" w:rsidP="00B42E46">
          <w:pPr>
            <w:spacing w:after="160"/>
            <w:jc w:val="center"/>
            <w:rPr>
              <w:bCs/>
              <w:sz w:val="24"/>
              <w:szCs w:val="24"/>
            </w:rPr>
          </w:pPr>
          <w:r>
            <w:rPr>
              <w:bCs/>
              <w:sz w:val="24"/>
              <w:szCs w:val="24"/>
            </w:rPr>
            <w:t>October</w:t>
          </w:r>
          <w:r w:rsidR="00B42E46">
            <w:rPr>
              <w:bCs/>
              <w:sz w:val="24"/>
              <w:szCs w:val="24"/>
            </w:rPr>
            <w:t xml:space="preserve"> 2016</w:t>
          </w:r>
          <w:bookmarkStart w:id="0" w:name="_GoBack"/>
          <w:bookmarkEnd w:id="0"/>
        </w:p>
        <w:p w14:paraId="6E83E3BF" w14:textId="53BEEBC7" w:rsidR="00B26CD4" w:rsidRDefault="00B26CD4">
          <w:pPr>
            <w:spacing w:after="160"/>
            <w:rPr>
              <w:bCs/>
              <w:sz w:val="24"/>
              <w:szCs w:val="24"/>
            </w:rPr>
          </w:pPr>
        </w:p>
        <w:p w14:paraId="482AC53B" w14:textId="77777777" w:rsidR="00F44BBE" w:rsidRDefault="00F44BBE" w:rsidP="00B26CD4">
          <w:pPr>
            <w:jc w:val="center"/>
            <w:rPr>
              <w:rFonts w:asciiTheme="majorHAnsi" w:hAnsiTheme="majorHAnsi"/>
              <w:b/>
              <w:sz w:val="32"/>
              <w:szCs w:val="32"/>
            </w:rPr>
            <w:sectPr w:rsidR="00F44BBE" w:rsidSect="00B42E46">
              <w:footerReference w:type="default" r:id="rId9"/>
              <w:pgSz w:w="11906" w:h="16838"/>
              <w:pgMar w:top="1440" w:right="1440" w:bottom="1440" w:left="1440" w:header="709" w:footer="709" w:gutter="0"/>
              <w:pgNumType w:fmt="lowerRoman" w:start="0"/>
              <w:cols w:space="708"/>
              <w:titlePg/>
              <w:docGrid w:linePitch="360"/>
            </w:sectPr>
          </w:pPr>
        </w:p>
        <w:p w14:paraId="09933856" w14:textId="77777777" w:rsidR="00621A20" w:rsidRDefault="00621A20">
          <w:pPr>
            <w:spacing w:after="160"/>
            <w:rPr>
              <w:rFonts w:asciiTheme="majorHAnsi" w:hAnsiTheme="majorHAnsi"/>
              <w:b/>
              <w:sz w:val="32"/>
              <w:szCs w:val="32"/>
            </w:rPr>
          </w:pPr>
          <w:r>
            <w:rPr>
              <w:rFonts w:asciiTheme="majorHAnsi" w:hAnsiTheme="majorHAnsi"/>
              <w:b/>
              <w:sz w:val="32"/>
              <w:szCs w:val="32"/>
            </w:rPr>
            <w:lastRenderedPageBreak/>
            <w:br w:type="page"/>
          </w:r>
        </w:p>
        <w:p w14:paraId="3A96F19C" w14:textId="59A77DD5" w:rsidR="00010517" w:rsidRDefault="00010517" w:rsidP="00027F3E">
          <w:pPr>
            <w:spacing w:line="360" w:lineRule="auto"/>
            <w:contextualSpacing/>
            <w:jc w:val="center"/>
            <w:rPr>
              <w:rFonts w:asciiTheme="majorHAnsi" w:hAnsiTheme="majorHAnsi"/>
              <w:b/>
              <w:sz w:val="32"/>
              <w:szCs w:val="32"/>
            </w:rPr>
          </w:pPr>
          <w:r w:rsidRPr="00B26CD4">
            <w:rPr>
              <w:rFonts w:asciiTheme="majorHAnsi" w:hAnsiTheme="majorHAnsi"/>
              <w:b/>
              <w:sz w:val="32"/>
              <w:szCs w:val="32"/>
            </w:rPr>
            <w:lastRenderedPageBreak/>
            <w:t>A</w:t>
          </w:r>
          <w:r>
            <w:rPr>
              <w:rFonts w:asciiTheme="majorHAnsi" w:hAnsiTheme="majorHAnsi"/>
              <w:b/>
              <w:sz w:val="32"/>
              <w:szCs w:val="32"/>
            </w:rPr>
            <w:t>cknowledgements</w:t>
          </w:r>
        </w:p>
        <w:p w14:paraId="59C1E61E" w14:textId="7EA602D5" w:rsidR="00010517" w:rsidRDefault="00010517" w:rsidP="00027F3E">
          <w:pPr>
            <w:spacing w:line="360" w:lineRule="auto"/>
            <w:contextualSpacing/>
            <w:jc w:val="center"/>
            <w:rPr>
              <w:rFonts w:asciiTheme="majorHAnsi" w:hAnsiTheme="majorHAnsi"/>
              <w:b/>
              <w:sz w:val="32"/>
              <w:szCs w:val="32"/>
            </w:rPr>
          </w:pPr>
        </w:p>
        <w:p w14:paraId="41C7A1D6" w14:textId="098753F3" w:rsidR="00010517" w:rsidRDefault="00010517" w:rsidP="00027F3E">
          <w:pPr>
            <w:spacing w:line="360" w:lineRule="auto"/>
            <w:contextualSpacing/>
          </w:pPr>
          <w:r>
            <w:t xml:space="preserve">My utmost and sincerest thanks go to Dr. Malcolm Patterson and Prof. Jeremy Dawson for their </w:t>
          </w:r>
          <w:r w:rsidR="00C86FAB">
            <w:t>insightful, patient</w:t>
          </w:r>
          <w:r>
            <w:t xml:space="preserve"> advice and counsel, endless time, and words of wisdom and motivation. Without them, I would not have bee</w:t>
          </w:r>
          <w:r w:rsidR="00EB5E5C">
            <w:t>n able to complete this thesis.</w:t>
          </w:r>
        </w:p>
        <w:p w14:paraId="42705826" w14:textId="4271B5E4" w:rsidR="003555A5" w:rsidRDefault="003555A5" w:rsidP="00027F3E">
          <w:pPr>
            <w:spacing w:line="360" w:lineRule="auto"/>
            <w:contextualSpacing/>
          </w:pPr>
        </w:p>
        <w:p w14:paraId="56565564" w14:textId="791072E2" w:rsidR="003555A5" w:rsidRDefault="003555A5" w:rsidP="00027F3E">
          <w:pPr>
            <w:spacing w:line="360" w:lineRule="auto"/>
            <w:contextualSpacing/>
          </w:pPr>
          <w:r>
            <w:t>My thanks also go to the Economic, Social, and Research Council (ESRC), who funded this research, and gave me the opportunity to indulge my passion for research. I am also very grateful to my research partners</w:t>
          </w:r>
          <w:r w:rsidR="007D07AC">
            <w:t xml:space="preserve"> and research participants for enabling me to conduct my field research, and am equally grateful to all the colleagues, members of staff, and PhD students who have offered endless direction, knowledge, and skills</w:t>
          </w:r>
          <w:r w:rsidR="00475A0C">
            <w:t>,</w:t>
          </w:r>
          <w:r w:rsidR="007D07AC">
            <w:t xml:space="preserve"> and have generally been extremely supportive of my endeavours.</w:t>
          </w:r>
        </w:p>
        <w:p w14:paraId="3154CBA6" w14:textId="1D869D33" w:rsidR="007D07AC" w:rsidRDefault="007D07AC" w:rsidP="00027F3E">
          <w:pPr>
            <w:spacing w:line="360" w:lineRule="auto"/>
            <w:contextualSpacing/>
          </w:pPr>
        </w:p>
        <w:p w14:paraId="50496CEB" w14:textId="05C887DA" w:rsidR="007D07AC" w:rsidRPr="00010517" w:rsidRDefault="007D07AC" w:rsidP="00027F3E">
          <w:pPr>
            <w:spacing w:line="360" w:lineRule="auto"/>
            <w:contextualSpacing/>
          </w:pPr>
          <w:r>
            <w:t xml:space="preserve">Finally, I would like to thank my family and friends, and in particular, my parents, for all their words of encouragement and positivity. </w:t>
          </w:r>
          <w:r w:rsidR="00475A0C">
            <w:t>Many thanks to you all.</w:t>
          </w:r>
        </w:p>
        <w:p w14:paraId="3A2691E8" w14:textId="7857B2A2" w:rsidR="00BD7C7D" w:rsidRDefault="00BD7C7D">
          <w:pPr>
            <w:spacing w:after="160"/>
            <w:rPr>
              <w:rFonts w:asciiTheme="majorHAnsi" w:hAnsiTheme="majorHAnsi"/>
              <w:b/>
              <w:sz w:val="32"/>
              <w:szCs w:val="32"/>
            </w:rPr>
          </w:pPr>
          <w:r>
            <w:rPr>
              <w:rFonts w:asciiTheme="majorHAnsi" w:hAnsiTheme="majorHAnsi"/>
              <w:b/>
              <w:sz w:val="32"/>
              <w:szCs w:val="32"/>
            </w:rPr>
            <w:br w:type="page"/>
          </w:r>
        </w:p>
        <w:p w14:paraId="5E1FFC17" w14:textId="77777777" w:rsidR="00621A20" w:rsidRDefault="00621A20">
          <w:pPr>
            <w:spacing w:after="160"/>
            <w:rPr>
              <w:rFonts w:asciiTheme="majorHAnsi" w:hAnsiTheme="majorHAnsi"/>
              <w:b/>
              <w:sz w:val="32"/>
              <w:szCs w:val="32"/>
            </w:rPr>
          </w:pPr>
          <w:r>
            <w:rPr>
              <w:rFonts w:asciiTheme="majorHAnsi" w:hAnsiTheme="majorHAnsi"/>
              <w:b/>
              <w:sz w:val="32"/>
              <w:szCs w:val="32"/>
            </w:rPr>
            <w:lastRenderedPageBreak/>
            <w:br w:type="page"/>
          </w:r>
        </w:p>
        <w:p w14:paraId="16DC1334" w14:textId="37735210" w:rsidR="00B26CD4" w:rsidRPr="00B26CD4" w:rsidRDefault="00B26CD4" w:rsidP="00B26CD4">
          <w:pPr>
            <w:jc w:val="center"/>
            <w:rPr>
              <w:rFonts w:asciiTheme="majorHAnsi" w:hAnsiTheme="majorHAnsi"/>
              <w:b/>
              <w:sz w:val="32"/>
              <w:szCs w:val="32"/>
            </w:rPr>
          </w:pPr>
          <w:r w:rsidRPr="00B26CD4">
            <w:rPr>
              <w:rFonts w:asciiTheme="majorHAnsi" w:hAnsiTheme="majorHAnsi"/>
              <w:b/>
              <w:sz w:val="32"/>
              <w:szCs w:val="32"/>
            </w:rPr>
            <w:lastRenderedPageBreak/>
            <w:t>Abstract</w:t>
          </w:r>
        </w:p>
        <w:p w14:paraId="13D974A8" w14:textId="77777777" w:rsidR="00B26CD4" w:rsidRDefault="00B26CD4" w:rsidP="00B26CD4">
          <w:pPr>
            <w:spacing w:line="360" w:lineRule="auto"/>
            <w:contextualSpacing/>
          </w:pPr>
        </w:p>
        <w:p w14:paraId="185CFE71" w14:textId="77777777" w:rsidR="00B26CD4" w:rsidRPr="00532116" w:rsidRDefault="00B26CD4" w:rsidP="00B26CD4">
          <w:pPr>
            <w:spacing w:line="360" w:lineRule="auto"/>
            <w:contextualSpacing/>
            <w:jc w:val="center"/>
            <w:rPr>
              <w:rFonts w:ascii="Calibri" w:hAnsi="Calibri" w:cs="Calibri"/>
              <w:i/>
            </w:rPr>
          </w:pPr>
          <w:r w:rsidRPr="00532116">
            <w:rPr>
              <w:rFonts w:ascii="Calibri" w:hAnsi="Calibri" w:cs="Calibri"/>
              <w:i/>
            </w:rPr>
            <w:t>‘[</w:t>
          </w:r>
          <w:r>
            <w:rPr>
              <w:rFonts w:ascii="Calibri" w:hAnsi="Calibri" w:cs="Calibri"/>
              <w:i/>
            </w:rPr>
            <w:t>w</w:t>
          </w:r>
          <w:r w:rsidRPr="00532116">
            <w:rPr>
              <w:rFonts w:ascii="Calibri" w:hAnsi="Calibri" w:cs="Calibri"/>
              <w:i/>
            </w:rPr>
            <w:t>ork engagement is]</w:t>
          </w:r>
          <w:r>
            <w:rPr>
              <w:rFonts w:ascii="Calibri" w:hAnsi="Calibri" w:cs="Calibri"/>
            </w:rPr>
            <w:t xml:space="preserve"> </w:t>
          </w:r>
          <w:r>
            <w:rPr>
              <w:rFonts w:ascii="Calibri" w:hAnsi="Calibri" w:cs="Calibri"/>
              <w:i/>
            </w:rPr>
            <w:t xml:space="preserve">a </w:t>
          </w:r>
          <w:r w:rsidRPr="00532116">
            <w:rPr>
              <w:rFonts w:ascii="Calibri" w:hAnsi="Calibri" w:cs="Calibri"/>
              <w:i/>
            </w:rPr>
            <w:t xml:space="preserve">positive, fulfilling, work-related state of mind </w:t>
          </w:r>
        </w:p>
        <w:p w14:paraId="4299EB60" w14:textId="77777777" w:rsidR="00B26CD4" w:rsidRPr="00532116" w:rsidRDefault="00B26CD4" w:rsidP="00B26CD4">
          <w:pPr>
            <w:spacing w:line="360" w:lineRule="auto"/>
            <w:contextualSpacing/>
            <w:jc w:val="center"/>
            <w:rPr>
              <w:rFonts w:ascii="Calibri" w:hAnsi="Calibri" w:cs="Calibri"/>
              <w:i/>
            </w:rPr>
          </w:pPr>
          <w:r w:rsidRPr="00532116">
            <w:rPr>
              <w:rFonts w:ascii="Calibri" w:hAnsi="Calibri" w:cs="Calibri"/>
              <w:i/>
            </w:rPr>
            <w:t xml:space="preserve">that is characterised by vigor, dedication, and absorption’ </w:t>
          </w:r>
        </w:p>
        <w:p w14:paraId="25E78FCD" w14:textId="77777777" w:rsidR="00B26CD4" w:rsidRDefault="00B26CD4" w:rsidP="00B26CD4">
          <w:pPr>
            <w:spacing w:line="360" w:lineRule="auto"/>
            <w:contextualSpacing/>
            <w:jc w:val="center"/>
          </w:pPr>
          <w:r>
            <w:rPr>
              <w:rFonts w:ascii="Calibri" w:hAnsi="Calibri" w:cs="Calibri"/>
            </w:rPr>
            <w:t>(</w:t>
          </w:r>
          <w:r w:rsidRPr="000C5CDE">
            <w:rPr>
              <w:bCs/>
            </w:rPr>
            <w:t>Schaufeli</w:t>
          </w:r>
          <w:r>
            <w:rPr>
              <w:bCs/>
            </w:rPr>
            <w:t xml:space="preserve"> et al.</w:t>
          </w:r>
          <w:r>
            <w:rPr>
              <w:rFonts w:ascii="Calibri" w:hAnsi="Calibri" w:cs="Calibri"/>
            </w:rPr>
            <w:t>, 2002, p.74)</w:t>
          </w:r>
        </w:p>
        <w:p w14:paraId="3F8481B7" w14:textId="77777777" w:rsidR="00B26CD4" w:rsidRPr="00F575F5" w:rsidRDefault="00B26CD4" w:rsidP="00B26CD4">
          <w:pPr>
            <w:spacing w:line="360" w:lineRule="auto"/>
            <w:contextualSpacing/>
          </w:pPr>
        </w:p>
        <w:p w14:paraId="597125F1" w14:textId="3ACF2EE7" w:rsidR="00B26CD4" w:rsidRDefault="00B26CD4" w:rsidP="00B26CD4">
          <w:pPr>
            <w:spacing w:line="360" w:lineRule="auto"/>
            <w:contextualSpacing/>
            <w:rPr>
              <w:rFonts w:cs="Times New Roman"/>
            </w:rPr>
          </w:pPr>
          <w:r>
            <w:t xml:space="preserve">This thesis comprises two studies which together examine the role and effectiveness of work engagement interventions. The research is located within the relationships and theory espoused </w:t>
          </w:r>
          <w:r w:rsidR="00A43B59">
            <w:t>by the Job Demands-Resources (J</w:t>
          </w:r>
          <w:r>
            <w:t>D</w:t>
          </w:r>
          <w:r w:rsidR="00A43B59">
            <w:t>-</w:t>
          </w:r>
          <w:r>
            <w:t xml:space="preserve">R) model. </w:t>
          </w:r>
          <w:r>
            <w:rPr>
              <w:rFonts w:ascii="Calibri" w:hAnsi="Calibri" w:cs="Calibri"/>
            </w:rPr>
            <w:t>L</w:t>
          </w:r>
          <w:r w:rsidRPr="00F575F5">
            <w:rPr>
              <w:rFonts w:cs="Times New Roman"/>
            </w:rPr>
            <w:t>ow work engagement may contribute towards</w:t>
          </w:r>
          <w:r w:rsidRPr="00F575F5">
            <w:rPr>
              <w:rFonts w:cs="Times New Roman"/>
              <w:b/>
            </w:rPr>
            <w:t xml:space="preserve"> </w:t>
          </w:r>
          <w:r w:rsidRPr="00F575F5">
            <w:rPr>
              <w:rFonts w:cs="Times New Roman"/>
            </w:rPr>
            <w:t xml:space="preserve">decreased </w:t>
          </w:r>
          <w:r w:rsidR="001D6140">
            <w:rPr>
              <w:rFonts w:cs="Times New Roman"/>
            </w:rPr>
            <w:t>well-being</w:t>
          </w:r>
          <w:r w:rsidRPr="00F575F5">
            <w:rPr>
              <w:rFonts w:cs="Times New Roman"/>
            </w:rPr>
            <w:t xml:space="preserve"> and work performance</w:t>
          </w:r>
          <w:r>
            <w:rPr>
              <w:rFonts w:cs="Times New Roman"/>
            </w:rPr>
            <w:t>. E</w:t>
          </w:r>
          <w:r w:rsidRPr="00F575F5">
            <w:rPr>
              <w:rFonts w:cs="Times New Roman"/>
            </w:rPr>
            <w:t xml:space="preserve">valuating, boosting and sustaining work engagement is </w:t>
          </w:r>
          <w:r>
            <w:rPr>
              <w:rFonts w:cs="Times New Roman"/>
            </w:rPr>
            <w:t xml:space="preserve">therefore of interest to many organisations, such as the NHS, which is currently experiencing the effects of an economic </w:t>
          </w:r>
          <w:r w:rsidR="00A43B59">
            <w:rPr>
              <w:rFonts w:cs="Times New Roman"/>
            </w:rPr>
            <w:t xml:space="preserve">downturn and a crisis of care. </w:t>
          </w:r>
          <w:r w:rsidRPr="00DB60D8">
            <w:rPr>
              <w:rFonts w:cs="Times New Roman"/>
            </w:rPr>
            <w:t>However, the evidence on which to base interventions has not yet been synthesised.</w:t>
          </w:r>
          <w:r>
            <w:rPr>
              <w:rFonts w:cs="Times New Roman"/>
            </w:rPr>
            <w:t xml:space="preserve"> </w:t>
          </w:r>
        </w:p>
        <w:p w14:paraId="64C96DEF" w14:textId="77777777" w:rsidR="00B26CD4" w:rsidRDefault="00B26CD4" w:rsidP="00B26CD4">
          <w:pPr>
            <w:spacing w:line="360" w:lineRule="auto"/>
            <w:contextualSpacing/>
            <w:rPr>
              <w:rFonts w:cs="Times New Roman"/>
            </w:rPr>
          </w:pPr>
        </w:p>
        <w:p w14:paraId="1E8B4C6F" w14:textId="77777777" w:rsidR="00B26CD4" w:rsidRDefault="00B26CD4" w:rsidP="00B26CD4">
          <w:pPr>
            <w:spacing w:line="360" w:lineRule="auto"/>
            <w:contextualSpacing/>
          </w:pPr>
          <w:r w:rsidRPr="00DB60D8">
            <w:t xml:space="preserve">Study 1 comprises a narrative systematic review </w:t>
          </w:r>
          <w:r>
            <w:t>(</w:t>
          </w:r>
          <w:r w:rsidRPr="006D5CAD">
            <w:rPr>
              <w:i/>
            </w:rPr>
            <w:t>K</w:t>
          </w:r>
          <w:r>
            <w:t>=33) with</w:t>
          </w:r>
          <w:r w:rsidRPr="00DB60D8">
            <w:t xml:space="preserve"> meta-analysis</w:t>
          </w:r>
          <w:r>
            <w:t xml:space="preserve"> (</w:t>
          </w:r>
          <w:r w:rsidRPr="006D5CAD">
            <w:rPr>
              <w:i/>
            </w:rPr>
            <w:t>k</w:t>
          </w:r>
          <w:r>
            <w:t>=20)</w:t>
          </w:r>
          <w:r w:rsidRPr="00DB60D8">
            <w:t xml:space="preserve"> to assess the evidence for the effectiveness of work engagement interventions</w:t>
          </w:r>
          <w:r>
            <w:t xml:space="preserve">. Results were mixed and characterised by high heterogeneity and numerous reports of difficulties implementing interventions. Meta-analysis revealed that work engagement interventions may be effective, </w:t>
          </w:r>
          <w:r w:rsidRPr="00DB60D8">
            <w:rPr>
              <w:i/>
            </w:rPr>
            <w:t>k</w:t>
          </w:r>
          <w:r w:rsidRPr="00DB60D8">
            <w:t>=14,</w:t>
          </w:r>
          <w:r w:rsidRPr="00DB60D8">
            <w:rPr>
              <w:i/>
            </w:rPr>
            <w:t xml:space="preserve"> </w:t>
          </w:r>
          <w:r w:rsidRPr="00DB60D8">
            <w:t xml:space="preserve">Hedges’ </w:t>
          </w:r>
          <w:r w:rsidRPr="00DB60D8">
            <w:rPr>
              <w:i/>
            </w:rPr>
            <w:t>g</w:t>
          </w:r>
          <w:r>
            <w:t>=0.29, 95%-CI=0.12-0.46, with a medium t</w:t>
          </w:r>
          <w:r w:rsidRPr="00DB60D8">
            <w:t xml:space="preserve">o large effect for group interventions. </w:t>
          </w:r>
        </w:p>
        <w:p w14:paraId="60FFF34C" w14:textId="77777777" w:rsidR="00B26CD4" w:rsidRDefault="00B26CD4" w:rsidP="00B26CD4">
          <w:pPr>
            <w:spacing w:line="360" w:lineRule="auto"/>
            <w:contextualSpacing/>
            <w:rPr>
              <w:rFonts w:cs="Times New Roman"/>
            </w:rPr>
          </w:pPr>
        </w:p>
        <w:p w14:paraId="5625948F" w14:textId="00EEA5F8" w:rsidR="00B26CD4" w:rsidRDefault="00B26CD4" w:rsidP="00B26CD4">
          <w:pPr>
            <w:spacing w:line="360" w:lineRule="auto"/>
            <w:contextualSpacing/>
          </w:pPr>
          <w:r>
            <w:rPr>
              <w:rFonts w:cs="Times New Roman"/>
            </w:rPr>
            <w:t xml:space="preserve">Study 2 evaluates the effect of a participatory group intervention with nursing staff on acute elderly care NHS wards. Results from a questionnaire administered to six intervention and six matched control wards pre- (N=179) and post- (N=83) intervention </w:t>
          </w:r>
          <w:r>
            <w:rPr>
              <w:rFonts w:ascii="Calibri" w:eastAsia="Calibri" w:hAnsi="Calibri" w:cs="Calibri"/>
            </w:rPr>
            <w:t xml:space="preserve">revealed no effect on work engagement, however, work-related needs mediated between job resources and work engagement, supporting </w:t>
          </w:r>
          <w:r w:rsidR="00A43B59">
            <w:rPr>
              <w:rFonts w:ascii="Calibri" w:eastAsia="Calibri" w:hAnsi="Calibri" w:cs="Calibri"/>
            </w:rPr>
            <w:t>JD-R</w:t>
          </w:r>
          <w:r>
            <w:rPr>
              <w:rFonts w:ascii="Calibri" w:eastAsia="Calibri" w:hAnsi="Calibri" w:cs="Calibri"/>
            </w:rPr>
            <w:t xml:space="preserve"> theory. </w:t>
          </w:r>
          <w:r>
            <w:t>Success of intervention implementation was limited, rendering the results inconclusive.</w:t>
          </w:r>
        </w:p>
        <w:p w14:paraId="7AC105A4" w14:textId="77777777" w:rsidR="00B26CD4" w:rsidRDefault="00B26CD4" w:rsidP="00B26CD4">
          <w:pPr>
            <w:spacing w:line="360" w:lineRule="auto"/>
            <w:contextualSpacing/>
          </w:pPr>
        </w:p>
        <w:p w14:paraId="3869BA1A" w14:textId="4F30BFE0" w:rsidR="00EE08E3" w:rsidRDefault="00B26CD4" w:rsidP="003450B1">
          <w:pPr>
            <w:spacing w:line="360" w:lineRule="auto"/>
            <w:contextualSpacing/>
            <w:sectPr w:rsidR="00EE08E3" w:rsidSect="00B42E46">
              <w:footerReference w:type="first" r:id="rId10"/>
              <w:pgSz w:w="11906" w:h="16838"/>
              <w:pgMar w:top="1440" w:right="1440" w:bottom="1440" w:left="1440" w:header="709" w:footer="709" w:gutter="0"/>
              <w:pgNumType w:fmt="lowerRoman" w:start="0"/>
              <w:cols w:space="708"/>
              <w:titlePg/>
              <w:docGrid w:linePitch="360"/>
            </w:sectPr>
          </w:pPr>
          <w:r>
            <w:rPr>
              <w:rFonts w:ascii="Calibri" w:eastAsia="Calibri" w:hAnsi="Calibri" w:cs="Calibri"/>
            </w:rPr>
            <w:t>Taken tog</w:t>
          </w:r>
          <w:r>
            <w:t>ether, the results highlight the need for evaluations of intervention effectiveness alongside statistical evaluations as a matter of course, design</w:t>
          </w:r>
          <w:r w:rsidR="000C5663">
            <w:t>ing</w:t>
          </w:r>
          <w:r>
            <w:t xml:space="preserve"> interventions with the research context and setting in mind</w:t>
          </w:r>
          <w:r w:rsidR="000C5663">
            <w:t>,</w:t>
          </w:r>
          <w:r>
            <w:t xml:space="preserve"> and gain</w:t>
          </w:r>
          <w:r w:rsidR="000C5663">
            <w:t>ing</w:t>
          </w:r>
          <w:r>
            <w:t xml:space="preserve"> strong senior manager and participant support. It is hoped that the results of these studies will excite researchers and practitioners to engage in discussion on the direction of future work eng</w:t>
          </w:r>
          <w:r w:rsidR="003450B1">
            <w:t xml:space="preserve">agement intervention research. </w:t>
          </w:r>
        </w:p>
        <w:p w14:paraId="1B4AE115" w14:textId="77777777" w:rsidR="00621A20" w:rsidRDefault="00621A20">
          <w:pPr>
            <w:spacing w:after="160"/>
            <w:rPr>
              <w:b/>
              <w:bCs/>
            </w:rPr>
          </w:pPr>
          <w:r>
            <w:rPr>
              <w:b/>
              <w:bCs/>
            </w:rPr>
            <w:lastRenderedPageBreak/>
            <w:br w:type="page"/>
          </w:r>
        </w:p>
        <w:p w14:paraId="55F8153D" w14:textId="47B2393E" w:rsidR="003450B1" w:rsidRDefault="00245D68" w:rsidP="003450B1">
          <w:pPr>
            <w:spacing w:line="360" w:lineRule="auto"/>
            <w:contextualSpacing/>
            <w:rPr>
              <w:b/>
              <w:bCs/>
            </w:rPr>
          </w:pPr>
        </w:p>
      </w:sdtContent>
    </w:sdt>
    <w:bookmarkStart w:id="1" w:name="_Toc468285908" w:displacedByCustomXml="next"/>
    <w:sdt>
      <w:sdtPr>
        <w:rPr>
          <w:rFonts w:asciiTheme="minorHAnsi" w:hAnsiTheme="minorHAnsi" w:cstheme="minorBidi"/>
          <w:b w:val="0"/>
          <w:bCs w:val="0"/>
          <w:sz w:val="22"/>
          <w:szCs w:val="22"/>
        </w:rPr>
        <w:id w:val="1570844354"/>
        <w:docPartObj>
          <w:docPartGallery w:val="Table of Contents"/>
          <w:docPartUnique/>
        </w:docPartObj>
      </w:sdtPr>
      <w:sdtEndPr>
        <w:rPr>
          <w:noProof/>
        </w:rPr>
      </w:sdtEndPr>
      <w:sdtContent>
        <w:p w14:paraId="552397E3" w14:textId="77777777" w:rsidR="00BC2D9F" w:rsidRDefault="00BC2D9F" w:rsidP="00BC2D9F">
          <w:pPr>
            <w:pStyle w:val="Heading1nonumbers"/>
          </w:pPr>
          <w:r>
            <w:t>Contents page</w:t>
          </w:r>
          <w:bookmarkEnd w:id="1"/>
        </w:p>
        <w:p w14:paraId="5186B6E8" w14:textId="77777777" w:rsidR="00BC2D9F" w:rsidRPr="00B7614E" w:rsidRDefault="00BC2D9F" w:rsidP="00BC2D9F">
          <w:pPr>
            <w:spacing w:before="120" w:after="120" w:line="360" w:lineRule="auto"/>
          </w:pPr>
        </w:p>
        <w:p w14:paraId="0F675EE9" w14:textId="47E12D12" w:rsidR="00BB0757" w:rsidRDefault="00BC2D9F">
          <w:pPr>
            <w:pStyle w:val="TOC1"/>
            <w:tabs>
              <w:tab w:val="right" w:leader="dot" w:pos="9016"/>
            </w:tabs>
            <w:rPr>
              <w:noProof/>
              <w:lang w:eastAsia="en-GB"/>
            </w:rPr>
          </w:pPr>
          <w:r w:rsidRPr="00B7614E">
            <w:fldChar w:fldCharType="begin"/>
          </w:r>
          <w:r w:rsidRPr="00B7614E">
            <w:instrText xml:space="preserve"> TOC \o "1-3" \h \z \u </w:instrText>
          </w:r>
          <w:r w:rsidRPr="00B7614E">
            <w:fldChar w:fldCharType="separate"/>
          </w:r>
          <w:hyperlink w:anchor="_Toc468285908" w:history="1">
            <w:r w:rsidR="00BB0757" w:rsidRPr="008B228F">
              <w:rPr>
                <w:rStyle w:val="Hyperlink"/>
                <w:noProof/>
              </w:rPr>
              <w:t>Contents page</w:t>
            </w:r>
            <w:r w:rsidR="00BB0757">
              <w:rPr>
                <w:noProof/>
                <w:webHidden/>
              </w:rPr>
              <w:tab/>
            </w:r>
            <w:r w:rsidR="00BB0757">
              <w:rPr>
                <w:noProof/>
                <w:webHidden/>
              </w:rPr>
              <w:fldChar w:fldCharType="begin"/>
            </w:r>
            <w:r w:rsidR="00BB0757">
              <w:rPr>
                <w:noProof/>
                <w:webHidden/>
              </w:rPr>
              <w:instrText xml:space="preserve"> PAGEREF _Toc468285908 \h </w:instrText>
            </w:r>
            <w:r w:rsidR="00BB0757">
              <w:rPr>
                <w:noProof/>
                <w:webHidden/>
              </w:rPr>
            </w:r>
            <w:r w:rsidR="00BB0757">
              <w:rPr>
                <w:noProof/>
                <w:webHidden/>
              </w:rPr>
              <w:fldChar w:fldCharType="separate"/>
            </w:r>
            <w:r w:rsidR="00BB0757">
              <w:rPr>
                <w:noProof/>
                <w:webHidden/>
              </w:rPr>
              <w:t>v</w:t>
            </w:r>
            <w:r w:rsidR="00BB0757">
              <w:rPr>
                <w:noProof/>
                <w:webHidden/>
              </w:rPr>
              <w:fldChar w:fldCharType="end"/>
            </w:r>
          </w:hyperlink>
        </w:p>
        <w:p w14:paraId="0BB0D9A1" w14:textId="254F6774" w:rsidR="00BB0757" w:rsidRDefault="00245D68">
          <w:pPr>
            <w:pStyle w:val="TOC1"/>
            <w:tabs>
              <w:tab w:val="right" w:leader="dot" w:pos="9016"/>
            </w:tabs>
            <w:rPr>
              <w:noProof/>
              <w:lang w:eastAsia="en-GB"/>
            </w:rPr>
          </w:pPr>
          <w:hyperlink w:anchor="_Toc468285909" w:history="1">
            <w:r w:rsidR="00BB0757" w:rsidRPr="008B228F">
              <w:rPr>
                <w:rStyle w:val="Hyperlink"/>
                <w:noProof/>
              </w:rPr>
              <w:t>List of tables</w:t>
            </w:r>
            <w:r w:rsidR="00BB0757">
              <w:rPr>
                <w:noProof/>
                <w:webHidden/>
              </w:rPr>
              <w:tab/>
            </w:r>
            <w:r w:rsidR="00BB0757">
              <w:rPr>
                <w:noProof/>
                <w:webHidden/>
              </w:rPr>
              <w:fldChar w:fldCharType="begin"/>
            </w:r>
            <w:r w:rsidR="00BB0757">
              <w:rPr>
                <w:noProof/>
                <w:webHidden/>
              </w:rPr>
              <w:instrText xml:space="preserve"> PAGEREF _Toc468285909 \h </w:instrText>
            </w:r>
            <w:r w:rsidR="00BB0757">
              <w:rPr>
                <w:noProof/>
                <w:webHidden/>
              </w:rPr>
            </w:r>
            <w:r w:rsidR="00BB0757">
              <w:rPr>
                <w:noProof/>
                <w:webHidden/>
              </w:rPr>
              <w:fldChar w:fldCharType="separate"/>
            </w:r>
            <w:r w:rsidR="00BB0757">
              <w:rPr>
                <w:noProof/>
                <w:webHidden/>
              </w:rPr>
              <w:t>xiii</w:t>
            </w:r>
            <w:r w:rsidR="00BB0757">
              <w:rPr>
                <w:noProof/>
                <w:webHidden/>
              </w:rPr>
              <w:fldChar w:fldCharType="end"/>
            </w:r>
          </w:hyperlink>
        </w:p>
        <w:p w14:paraId="1A99A5D2" w14:textId="4A1EF6D3" w:rsidR="00BB0757" w:rsidRDefault="00245D68">
          <w:pPr>
            <w:pStyle w:val="TOC1"/>
            <w:tabs>
              <w:tab w:val="right" w:leader="dot" w:pos="9016"/>
            </w:tabs>
            <w:rPr>
              <w:noProof/>
              <w:lang w:eastAsia="en-GB"/>
            </w:rPr>
          </w:pPr>
          <w:hyperlink w:anchor="_Toc468285910" w:history="1">
            <w:r w:rsidR="00BB0757" w:rsidRPr="008B228F">
              <w:rPr>
                <w:rStyle w:val="Hyperlink"/>
                <w:noProof/>
              </w:rPr>
              <w:t>List of figures</w:t>
            </w:r>
            <w:r w:rsidR="00BB0757">
              <w:rPr>
                <w:noProof/>
                <w:webHidden/>
              </w:rPr>
              <w:tab/>
            </w:r>
            <w:r w:rsidR="00BB0757">
              <w:rPr>
                <w:noProof/>
                <w:webHidden/>
              </w:rPr>
              <w:fldChar w:fldCharType="begin"/>
            </w:r>
            <w:r w:rsidR="00BB0757">
              <w:rPr>
                <w:noProof/>
                <w:webHidden/>
              </w:rPr>
              <w:instrText xml:space="preserve"> PAGEREF _Toc468285910 \h </w:instrText>
            </w:r>
            <w:r w:rsidR="00BB0757">
              <w:rPr>
                <w:noProof/>
                <w:webHidden/>
              </w:rPr>
            </w:r>
            <w:r w:rsidR="00BB0757">
              <w:rPr>
                <w:noProof/>
                <w:webHidden/>
              </w:rPr>
              <w:fldChar w:fldCharType="separate"/>
            </w:r>
            <w:r w:rsidR="00BB0757">
              <w:rPr>
                <w:noProof/>
                <w:webHidden/>
              </w:rPr>
              <w:t>xvii</w:t>
            </w:r>
            <w:r w:rsidR="00BB0757">
              <w:rPr>
                <w:noProof/>
                <w:webHidden/>
              </w:rPr>
              <w:fldChar w:fldCharType="end"/>
            </w:r>
          </w:hyperlink>
        </w:p>
        <w:p w14:paraId="137B22D6" w14:textId="518B08A2" w:rsidR="00BB0757" w:rsidRDefault="00245D68">
          <w:pPr>
            <w:pStyle w:val="TOC1"/>
            <w:tabs>
              <w:tab w:val="left" w:pos="440"/>
              <w:tab w:val="right" w:leader="dot" w:pos="9016"/>
            </w:tabs>
            <w:rPr>
              <w:noProof/>
              <w:lang w:eastAsia="en-GB"/>
            </w:rPr>
          </w:pPr>
          <w:hyperlink w:anchor="_Toc468285911" w:history="1">
            <w:r w:rsidR="00BB0757" w:rsidRPr="008B228F">
              <w:rPr>
                <w:rStyle w:val="Hyperlink"/>
                <w:noProof/>
              </w:rPr>
              <w:t>1</w:t>
            </w:r>
            <w:r w:rsidR="00BB0757">
              <w:rPr>
                <w:noProof/>
                <w:lang w:eastAsia="en-GB"/>
              </w:rPr>
              <w:tab/>
            </w:r>
            <w:r w:rsidR="00BB0757" w:rsidRPr="008B228F">
              <w:rPr>
                <w:rStyle w:val="Hyperlink"/>
                <w:noProof/>
              </w:rPr>
              <w:t>Introduction</w:t>
            </w:r>
            <w:r w:rsidR="00BB0757">
              <w:rPr>
                <w:noProof/>
                <w:webHidden/>
              </w:rPr>
              <w:tab/>
            </w:r>
            <w:r w:rsidR="00BB0757">
              <w:rPr>
                <w:noProof/>
                <w:webHidden/>
              </w:rPr>
              <w:fldChar w:fldCharType="begin"/>
            </w:r>
            <w:r w:rsidR="00BB0757">
              <w:rPr>
                <w:noProof/>
                <w:webHidden/>
              </w:rPr>
              <w:instrText xml:space="preserve"> PAGEREF _Toc468285911 \h </w:instrText>
            </w:r>
            <w:r w:rsidR="00BB0757">
              <w:rPr>
                <w:noProof/>
                <w:webHidden/>
              </w:rPr>
            </w:r>
            <w:r w:rsidR="00BB0757">
              <w:rPr>
                <w:noProof/>
                <w:webHidden/>
              </w:rPr>
              <w:fldChar w:fldCharType="separate"/>
            </w:r>
            <w:r w:rsidR="00BB0757">
              <w:rPr>
                <w:noProof/>
                <w:webHidden/>
              </w:rPr>
              <w:t>1</w:t>
            </w:r>
            <w:r w:rsidR="00BB0757">
              <w:rPr>
                <w:noProof/>
                <w:webHidden/>
              </w:rPr>
              <w:fldChar w:fldCharType="end"/>
            </w:r>
          </w:hyperlink>
        </w:p>
        <w:p w14:paraId="75F43266" w14:textId="50B279B5" w:rsidR="00BB0757" w:rsidRDefault="00245D68">
          <w:pPr>
            <w:pStyle w:val="TOC2"/>
            <w:tabs>
              <w:tab w:val="left" w:pos="880"/>
              <w:tab w:val="right" w:leader="dot" w:pos="9016"/>
            </w:tabs>
            <w:rPr>
              <w:noProof/>
              <w:lang w:eastAsia="en-GB"/>
            </w:rPr>
          </w:pPr>
          <w:hyperlink w:anchor="_Toc468285912" w:history="1">
            <w:r w:rsidR="00BB0757" w:rsidRPr="008B228F">
              <w:rPr>
                <w:rStyle w:val="Hyperlink"/>
                <w:noProof/>
              </w:rPr>
              <w:t>1.1</w:t>
            </w:r>
            <w:r w:rsidR="00BB0757">
              <w:rPr>
                <w:noProof/>
                <w:lang w:eastAsia="en-GB"/>
              </w:rPr>
              <w:tab/>
            </w:r>
            <w:r w:rsidR="00BB0757" w:rsidRPr="008B228F">
              <w:rPr>
                <w:rStyle w:val="Hyperlink"/>
                <w:noProof/>
              </w:rPr>
              <w:t>Work engagement</w:t>
            </w:r>
            <w:r w:rsidR="00BB0757">
              <w:rPr>
                <w:noProof/>
                <w:webHidden/>
              </w:rPr>
              <w:tab/>
            </w:r>
            <w:r w:rsidR="00BB0757">
              <w:rPr>
                <w:noProof/>
                <w:webHidden/>
              </w:rPr>
              <w:fldChar w:fldCharType="begin"/>
            </w:r>
            <w:r w:rsidR="00BB0757">
              <w:rPr>
                <w:noProof/>
                <w:webHidden/>
              </w:rPr>
              <w:instrText xml:space="preserve"> PAGEREF _Toc468285912 \h </w:instrText>
            </w:r>
            <w:r w:rsidR="00BB0757">
              <w:rPr>
                <w:noProof/>
                <w:webHidden/>
              </w:rPr>
            </w:r>
            <w:r w:rsidR="00BB0757">
              <w:rPr>
                <w:noProof/>
                <w:webHidden/>
              </w:rPr>
              <w:fldChar w:fldCharType="separate"/>
            </w:r>
            <w:r w:rsidR="00BB0757">
              <w:rPr>
                <w:noProof/>
                <w:webHidden/>
              </w:rPr>
              <w:t>1</w:t>
            </w:r>
            <w:r w:rsidR="00BB0757">
              <w:rPr>
                <w:noProof/>
                <w:webHidden/>
              </w:rPr>
              <w:fldChar w:fldCharType="end"/>
            </w:r>
          </w:hyperlink>
        </w:p>
        <w:p w14:paraId="343E57E9" w14:textId="05F9D05C" w:rsidR="00BB0757" w:rsidRDefault="00245D68">
          <w:pPr>
            <w:pStyle w:val="TOC2"/>
            <w:tabs>
              <w:tab w:val="left" w:pos="880"/>
              <w:tab w:val="right" w:leader="dot" w:pos="9016"/>
            </w:tabs>
            <w:rPr>
              <w:noProof/>
              <w:lang w:eastAsia="en-GB"/>
            </w:rPr>
          </w:pPr>
          <w:hyperlink w:anchor="_Toc468285913" w:history="1">
            <w:r w:rsidR="00BB0757" w:rsidRPr="008B228F">
              <w:rPr>
                <w:rStyle w:val="Hyperlink"/>
                <w:noProof/>
              </w:rPr>
              <w:t>1.2</w:t>
            </w:r>
            <w:r w:rsidR="00BB0757">
              <w:rPr>
                <w:noProof/>
                <w:lang w:eastAsia="en-GB"/>
              </w:rPr>
              <w:tab/>
            </w:r>
            <w:r w:rsidR="00BB0757" w:rsidRPr="008B228F">
              <w:rPr>
                <w:rStyle w:val="Hyperlink"/>
                <w:noProof/>
              </w:rPr>
              <w:t>Work engagement interventions</w:t>
            </w:r>
            <w:r w:rsidR="00BB0757">
              <w:rPr>
                <w:noProof/>
                <w:webHidden/>
              </w:rPr>
              <w:tab/>
            </w:r>
            <w:r w:rsidR="00BB0757">
              <w:rPr>
                <w:noProof/>
                <w:webHidden/>
              </w:rPr>
              <w:fldChar w:fldCharType="begin"/>
            </w:r>
            <w:r w:rsidR="00BB0757">
              <w:rPr>
                <w:noProof/>
                <w:webHidden/>
              </w:rPr>
              <w:instrText xml:space="preserve"> PAGEREF _Toc468285913 \h </w:instrText>
            </w:r>
            <w:r w:rsidR="00BB0757">
              <w:rPr>
                <w:noProof/>
                <w:webHidden/>
              </w:rPr>
            </w:r>
            <w:r w:rsidR="00BB0757">
              <w:rPr>
                <w:noProof/>
                <w:webHidden/>
              </w:rPr>
              <w:fldChar w:fldCharType="separate"/>
            </w:r>
            <w:r w:rsidR="00BB0757">
              <w:rPr>
                <w:noProof/>
                <w:webHidden/>
              </w:rPr>
              <w:t>2</w:t>
            </w:r>
            <w:r w:rsidR="00BB0757">
              <w:rPr>
                <w:noProof/>
                <w:webHidden/>
              </w:rPr>
              <w:fldChar w:fldCharType="end"/>
            </w:r>
          </w:hyperlink>
        </w:p>
        <w:p w14:paraId="56BF4C00" w14:textId="55EB0BF6" w:rsidR="00BB0757" w:rsidRDefault="00245D68">
          <w:pPr>
            <w:pStyle w:val="TOC2"/>
            <w:tabs>
              <w:tab w:val="left" w:pos="880"/>
              <w:tab w:val="right" w:leader="dot" w:pos="9016"/>
            </w:tabs>
            <w:rPr>
              <w:noProof/>
              <w:lang w:eastAsia="en-GB"/>
            </w:rPr>
          </w:pPr>
          <w:hyperlink w:anchor="_Toc468285914" w:history="1">
            <w:r w:rsidR="00BB0757" w:rsidRPr="008B228F">
              <w:rPr>
                <w:rStyle w:val="Hyperlink"/>
                <w:noProof/>
              </w:rPr>
              <w:t>1.3</w:t>
            </w:r>
            <w:r w:rsidR="00BB0757">
              <w:rPr>
                <w:noProof/>
                <w:lang w:eastAsia="en-GB"/>
              </w:rPr>
              <w:tab/>
            </w:r>
            <w:r w:rsidR="00BB0757" w:rsidRPr="008B228F">
              <w:rPr>
                <w:rStyle w:val="Hyperlink"/>
                <w:noProof/>
              </w:rPr>
              <w:t>A participatory group intervention to increase work engagement</w:t>
            </w:r>
            <w:r w:rsidR="00BB0757">
              <w:rPr>
                <w:noProof/>
                <w:webHidden/>
              </w:rPr>
              <w:tab/>
            </w:r>
            <w:r w:rsidR="00BB0757">
              <w:rPr>
                <w:noProof/>
                <w:webHidden/>
              </w:rPr>
              <w:fldChar w:fldCharType="begin"/>
            </w:r>
            <w:r w:rsidR="00BB0757">
              <w:rPr>
                <w:noProof/>
                <w:webHidden/>
              </w:rPr>
              <w:instrText xml:space="preserve"> PAGEREF _Toc468285914 \h </w:instrText>
            </w:r>
            <w:r w:rsidR="00BB0757">
              <w:rPr>
                <w:noProof/>
                <w:webHidden/>
              </w:rPr>
            </w:r>
            <w:r w:rsidR="00BB0757">
              <w:rPr>
                <w:noProof/>
                <w:webHidden/>
              </w:rPr>
              <w:fldChar w:fldCharType="separate"/>
            </w:r>
            <w:r w:rsidR="00BB0757">
              <w:rPr>
                <w:noProof/>
                <w:webHidden/>
              </w:rPr>
              <w:t>3</w:t>
            </w:r>
            <w:r w:rsidR="00BB0757">
              <w:rPr>
                <w:noProof/>
                <w:webHidden/>
              </w:rPr>
              <w:fldChar w:fldCharType="end"/>
            </w:r>
          </w:hyperlink>
        </w:p>
        <w:p w14:paraId="03D38B59" w14:textId="62CBECE4" w:rsidR="00BB0757" w:rsidRDefault="00245D68">
          <w:pPr>
            <w:pStyle w:val="TOC2"/>
            <w:tabs>
              <w:tab w:val="left" w:pos="880"/>
              <w:tab w:val="right" w:leader="dot" w:pos="9016"/>
            </w:tabs>
            <w:rPr>
              <w:noProof/>
              <w:lang w:eastAsia="en-GB"/>
            </w:rPr>
          </w:pPr>
          <w:hyperlink w:anchor="_Toc468285915" w:history="1">
            <w:r w:rsidR="00BB0757" w:rsidRPr="008B228F">
              <w:rPr>
                <w:rStyle w:val="Hyperlink"/>
                <w:noProof/>
              </w:rPr>
              <w:t>1.4</w:t>
            </w:r>
            <w:r w:rsidR="00BB0757">
              <w:rPr>
                <w:noProof/>
                <w:lang w:eastAsia="en-GB"/>
              </w:rPr>
              <w:tab/>
            </w:r>
            <w:r w:rsidR="00BB0757" w:rsidRPr="008B228F">
              <w:rPr>
                <w:rStyle w:val="Hyperlink"/>
                <w:noProof/>
              </w:rPr>
              <w:t>Research aims</w:t>
            </w:r>
            <w:r w:rsidR="00BB0757">
              <w:rPr>
                <w:noProof/>
                <w:webHidden/>
              </w:rPr>
              <w:tab/>
            </w:r>
            <w:r w:rsidR="00BB0757">
              <w:rPr>
                <w:noProof/>
                <w:webHidden/>
              </w:rPr>
              <w:fldChar w:fldCharType="begin"/>
            </w:r>
            <w:r w:rsidR="00BB0757">
              <w:rPr>
                <w:noProof/>
                <w:webHidden/>
              </w:rPr>
              <w:instrText xml:space="preserve"> PAGEREF _Toc468285915 \h </w:instrText>
            </w:r>
            <w:r w:rsidR="00BB0757">
              <w:rPr>
                <w:noProof/>
                <w:webHidden/>
              </w:rPr>
            </w:r>
            <w:r w:rsidR="00BB0757">
              <w:rPr>
                <w:noProof/>
                <w:webHidden/>
              </w:rPr>
              <w:fldChar w:fldCharType="separate"/>
            </w:r>
            <w:r w:rsidR="00BB0757">
              <w:rPr>
                <w:noProof/>
                <w:webHidden/>
              </w:rPr>
              <w:t>4</w:t>
            </w:r>
            <w:r w:rsidR="00BB0757">
              <w:rPr>
                <w:noProof/>
                <w:webHidden/>
              </w:rPr>
              <w:fldChar w:fldCharType="end"/>
            </w:r>
          </w:hyperlink>
        </w:p>
        <w:p w14:paraId="659585A9" w14:textId="269DEDE8" w:rsidR="00BB0757" w:rsidRDefault="00245D68">
          <w:pPr>
            <w:pStyle w:val="TOC2"/>
            <w:tabs>
              <w:tab w:val="left" w:pos="880"/>
              <w:tab w:val="right" w:leader="dot" w:pos="9016"/>
            </w:tabs>
            <w:rPr>
              <w:noProof/>
              <w:lang w:eastAsia="en-GB"/>
            </w:rPr>
          </w:pPr>
          <w:hyperlink w:anchor="_Toc468285916" w:history="1">
            <w:r w:rsidR="00BB0757" w:rsidRPr="008B228F">
              <w:rPr>
                <w:rStyle w:val="Hyperlink"/>
                <w:noProof/>
              </w:rPr>
              <w:t>1.5</w:t>
            </w:r>
            <w:r w:rsidR="00BB0757">
              <w:rPr>
                <w:noProof/>
                <w:lang w:eastAsia="en-GB"/>
              </w:rPr>
              <w:tab/>
            </w:r>
            <w:r w:rsidR="00BB0757" w:rsidRPr="008B228F">
              <w:rPr>
                <w:rStyle w:val="Hyperlink"/>
                <w:noProof/>
              </w:rPr>
              <w:t>Thesis structure</w:t>
            </w:r>
            <w:r w:rsidR="00BB0757">
              <w:rPr>
                <w:noProof/>
                <w:webHidden/>
              </w:rPr>
              <w:tab/>
            </w:r>
            <w:r w:rsidR="00BB0757">
              <w:rPr>
                <w:noProof/>
                <w:webHidden/>
              </w:rPr>
              <w:fldChar w:fldCharType="begin"/>
            </w:r>
            <w:r w:rsidR="00BB0757">
              <w:rPr>
                <w:noProof/>
                <w:webHidden/>
              </w:rPr>
              <w:instrText xml:space="preserve"> PAGEREF _Toc468285916 \h </w:instrText>
            </w:r>
            <w:r w:rsidR="00BB0757">
              <w:rPr>
                <w:noProof/>
                <w:webHidden/>
              </w:rPr>
            </w:r>
            <w:r w:rsidR="00BB0757">
              <w:rPr>
                <w:noProof/>
                <w:webHidden/>
              </w:rPr>
              <w:fldChar w:fldCharType="separate"/>
            </w:r>
            <w:r w:rsidR="00BB0757">
              <w:rPr>
                <w:noProof/>
                <w:webHidden/>
              </w:rPr>
              <w:t>5</w:t>
            </w:r>
            <w:r w:rsidR="00BB0757">
              <w:rPr>
                <w:noProof/>
                <w:webHidden/>
              </w:rPr>
              <w:fldChar w:fldCharType="end"/>
            </w:r>
          </w:hyperlink>
        </w:p>
        <w:p w14:paraId="3435844E" w14:textId="6DDBF97F" w:rsidR="00BB0757" w:rsidRDefault="00245D68">
          <w:pPr>
            <w:pStyle w:val="TOC1"/>
            <w:tabs>
              <w:tab w:val="left" w:pos="440"/>
              <w:tab w:val="right" w:leader="dot" w:pos="9016"/>
            </w:tabs>
            <w:rPr>
              <w:noProof/>
              <w:lang w:eastAsia="en-GB"/>
            </w:rPr>
          </w:pPr>
          <w:hyperlink w:anchor="_Toc468285917" w:history="1">
            <w:r w:rsidR="00BB0757" w:rsidRPr="008B228F">
              <w:rPr>
                <w:rStyle w:val="Hyperlink"/>
                <w:noProof/>
              </w:rPr>
              <w:t>2</w:t>
            </w:r>
            <w:r w:rsidR="00BB0757">
              <w:rPr>
                <w:noProof/>
                <w:lang w:eastAsia="en-GB"/>
              </w:rPr>
              <w:tab/>
            </w:r>
            <w:r w:rsidR="00BB0757" w:rsidRPr="008B228F">
              <w:rPr>
                <w:rStyle w:val="Hyperlink"/>
                <w:noProof/>
              </w:rPr>
              <w:t>Work engagement</w:t>
            </w:r>
            <w:r w:rsidR="00BB0757">
              <w:rPr>
                <w:noProof/>
                <w:webHidden/>
              </w:rPr>
              <w:tab/>
            </w:r>
            <w:r w:rsidR="00BB0757">
              <w:rPr>
                <w:noProof/>
                <w:webHidden/>
              </w:rPr>
              <w:fldChar w:fldCharType="begin"/>
            </w:r>
            <w:r w:rsidR="00BB0757">
              <w:rPr>
                <w:noProof/>
                <w:webHidden/>
              </w:rPr>
              <w:instrText xml:space="preserve"> PAGEREF _Toc468285917 \h </w:instrText>
            </w:r>
            <w:r w:rsidR="00BB0757">
              <w:rPr>
                <w:noProof/>
                <w:webHidden/>
              </w:rPr>
            </w:r>
            <w:r w:rsidR="00BB0757">
              <w:rPr>
                <w:noProof/>
                <w:webHidden/>
              </w:rPr>
              <w:fldChar w:fldCharType="separate"/>
            </w:r>
            <w:r w:rsidR="00BB0757">
              <w:rPr>
                <w:noProof/>
                <w:webHidden/>
              </w:rPr>
              <w:t>9</w:t>
            </w:r>
            <w:r w:rsidR="00BB0757">
              <w:rPr>
                <w:noProof/>
                <w:webHidden/>
              </w:rPr>
              <w:fldChar w:fldCharType="end"/>
            </w:r>
          </w:hyperlink>
        </w:p>
        <w:p w14:paraId="04216AFF" w14:textId="001E9963" w:rsidR="00BB0757" w:rsidRDefault="00245D68">
          <w:pPr>
            <w:pStyle w:val="TOC2"/>
            <w:tabs>
              <w:tab w:val="left" w:pos="880"/>
              <w:tab w:val="right" w:leader="dot" w:pos="9016"/>
            </w:tabs>
            <w:rPr>
              <w:noProof/>
              <w:lang w:eastAsia="en-GB"/>
            </w:rPr>
          </w:pPr>
          <w:hyperlink w:anchor="_Toc468285918" w:history="1">
            <w:r w:rsidR="00BB0757" w:rsidRPr="008B228F">
              <w:rPr>
                <w:rStyle w:val="Hyperlink"/>
                <w:noProof/>
              </w:rPr>
              <w:t>2.1</w:t>
            </w:r>
            <w:r w:rsidR="00BB0757">
              <w:rPr>
                <w:noProof/>
                <w:lang w:eastAsia="en-GB"/>
              </w:rPr>
              <w:tab/>
            </w:r>
            <w:r w:rsidR="00BB0757" w:rsidRPr="008B228F">
              <w:rPr>
                <w:rStyle w:val="Hyperlink"/>
                <w:noProof/>
              </w:rPr>
              <w:t>Introduction</w:t>
            </w:r>
            <w:r w:rsidR="00BB0757">
              <w:rPr>
                <w:noProof/>
                <w:webHidden/>
              </w:rPr>
              <w:tab/>
            </w:r>
            <w:r w:rsidR="00BB0757">
              <w:rPr>
                <w:noProof/>
                <w:webHidden/>
              </w:rPr>
              <w:fldChar w:fldCharType="begin"/>
            </w:r>
            <w:r w:rsidR="00BB0757">
              <w:rPr>
                <w:noProof/>
                <w:webHidden/>
              </w:rPr>
              <w:instrText xml:space="preserve"> PAGEREF _Toc468285918 \h </w:instrText>
            </w:r>
            <w:r w:rsidR="00BB0757">
              <w:rPr>
                <w:noProof/>
                <w:webHidden/>
              </w:rPr>
            </w:r>
            <w:r w:rsidR="00BB0757">
              <w:rPr>
                <w:noProof/>
                <w:webHidden/>
              </w:rPr>
              <w:fldChar w:fldCharType="separate"/>
            </w:r>
            <w:r w:rsidR="00BB0757">
              <w:rPr>
                <w:noProof/>
                <w:webHidden/>
              </w:rPr>
              <w:t>9</w:t>
            </w:r>
            <w:r w:rsidR="00BB0757">
              <w:rPr>
                <w:noProof/>
                <w:webHidden/>
              </w:rPr>
              <w:fldChar w:fldCharType="end"/>
            </w:r>
          </w:hyperlink>
        </w:p>
        <w:p w14:paraId="11127721" w14:textId="16C8A0C7" w:rsidR="00BB0757" w:rsidRDefault="00245D68">
          <w:pPr>
            <w:pStyle w:val="TOC2"/>
            <w:tabs>
              <w:tab w:val="left" w:pos="880"/>
              <w:tab w:val="right" w:leader="dot" w:pos="9016"/>
            </w:tabs>
            <w:rPr>
              <w:noProof/>
              <w:lang w:eastAsia="en-GB"/>
            </w:rPr>
          </w:pPr>
          <w:hyperlink w:anchor="_Toc468285919" w:history="1">
            <w:r w:rsidR="00BB0757" w:rsidRPr="008B228F">
              <w:rPr>
                <w:rStyle w:val="Hyperlink"/>
                <w:noProof/>
              </w:rPr>
              <w:t>2.2</w:t>
            </w:r>
            <w:r w:rsidR="00BB0757">
              <w:rPr>
                <w:noProof/>
                <w:lang w:eastAsia="en-GB"/>
              </w:rPr>
              <w:tab/>
            </w:r>
            <w:r w:rsidR="00BB0757" w:rsidRPr="008B228F">
              <w:rPr>
                <w:rStyle w:val="Hyperlink"/>
                <w:noProof/>
              </w:rPr>
              <w:t>Work engagement theory</w:t>
            </w:r>
            <w:r w:rsidR="00BB0757">
              <w:rPr>
                <w:noProof/>
                <w:webHidden/>
              </w:rPr>
              <w:tab/>
            </w:r>
            <w:r w:rsidR="00BB0757">
              <w:rPr>
                <w:noProof/>
                <w:webHidden/>
              </w:rPr>
              <w:fldChar w:fldCharType="begin"/>
            </w:r>
            <w:r w:rsidR="00BB0757">
              <w:rPr>
                <w:noProof/>
                <w:webHidden/>
              </w:rPr>
              <w:instrText xml:space="preserve"> PAGEREF _Toc468285919 \h </w:instrText>
            </w:r>
            <w:r w:rsidR="00BB0757">
              <w:rPr>
                <w:noProof/>
                <w:webHidden/>
              </w:rPr>
            </w:r>
            <w:r w:rsidR="00BB0757">
              <w:rPr>
                <w:noProof/>
                <w:webHidden/>
              </w:rPr>
              <w:fldChar w:fldCharType="separate"/>
            </w:r>
            <w:r w:rsidR="00BB0757">
              <w:rPr>
                <w:noProof/>
                <w:webHidden/>
              </w:rPr>
              <w:t>10</w:t>
            </w:r>
            <w:r w:rsidR="00BB0757">
              <w:rPr>
                <w:noProof/>
                <w:webHidden/>
              </w:rPr>
              <w:fldChar w:fldCharType="end"/>
            </w:r>
          </w:hyperlink>
        </w:p>
        <w:p w14:paraId="0C70F333" w14:textId="188B5A6F" w:rsidR="00BB0757" w:rsidRDefault="00245D68">
          <w:pPr>
            <w:pStyle w:val="TOC3"/>
            <w:tabs>
              <w:tab w:val="left" w:pos="1320"/>
              <w:tab w:val="right" w:leader="dot" w:pos="9016"/>
            </w:tabs>
            <w:rPr>
              <w:noProof/>
              <w:lang w:eastAsia="en-GB"/>
            </w:rPr>
          </w:pPr>
          <w:hyperlink w:anchor="_Toc468285920" w:history="1">
            <w:r w:rsidR="00BB0757" w:rsidRPr="008B228F">
              <w:rPr>
                <w:rStyle w:val="Hyperlink"/>
                <w:noProof/>
              </w:rPr>
              <w:t>2.2.1</w:t>
            </w:r>
            <w:r w:rsidR="00BB0757">
              <w:rPr>
                <w:noProof/>
                <w:lang w:eastAsia="en-GB"/>
              </w:rPr>
              <w:tab/>
            </w:r>
            <w:r w:rsidR="00BB0757" w:rsidRPr="008B228F">
              <w:rPr>
                <w:rStyle w:val="Hyperlink"/>
                <w:noProof/>
              </w:rPr>
              <w:t>What is work engagement?</w:t>
            </w:r>
            <w:r w:rsidR="00BB0757">
              <w:rPr>
                <w:noProof/>
                <w:webHidden/>
              </w:rPr>
              <w:tab/>
            </w:r>
            <w:r w:rsidR="00BB0757">
              <w:rPr>
                <w:noProof/>
                <w:webHidden/>
              </w:rPr>
              <w:fldChar w:fldCharType="begin"/>
            </w:r>
            <w:r w:rsidR="00BB0757">
              <w:rPr>
                <w:noProof/>
                <w:webHidden/>
              </w:rPr>
              <w:instrText xml:space="preserve"> PAGEREF _Toc468285920 \h </w:instrText>
            </w:r>
            <w:r w:rsidR="00BB0757">
              <w:rPr>
                <w:noProof/>
                <w:webHidden/>
              </w:rPr>
            </w:r>
            <w:r w:rsidR="00BB0757">
              <w:rPr>
                <w:noProof/>
                <w:webHidden/>
              </w:rPr>
              <w:fldChar w:fldCharType="separate"/>
            </w:r>
            <w:r w:rsidR="00BB0757">
              <w:rPr>
                <w:noProof/>
                <w:webHidden/>
              </w:rPr>
              <w:t>10</w:t>
            </w:r>
            <w:r w:rsidR="00BB0757">
              <w:rPr>
                <w:noProof/>
                <w:webHidden/>
              </w:rPr>
              <w:fldChar w:fldCharType="end"/>
            </w:r>
          </w:hyperlink>
        </w:p>
        <w:p w14:paraId="642EA692" w14:textId="1D197A50" w:rsidR="00BB0757" w:rsidRDefault="00245D68">
          <w:pPr>
            <w:pStyle w:val="TOC3"/>
            <w:tabs>
              <w:tab w:val="left" w:pos="1320"/>
              <w:tab w:val="right" w:leader="dot" w:pos="9016"/>
            </w:tabs>
            <w:rPr>
              <w:noProof/>
              <w:lang w:eastAsia="en-GB"/>
            </w:rPr>
          </w:pPr>
          <w:hyperlink w:anchor="_Toc468285921" w:history="1">
            <w:r w:rsidR="00BB0757" w:rsidRPr="008B228F">
              <w:rPr>
                <w:rStyle w:val="Hyperlink"/>
                <w:noProof/>
              </w:rPr>
              <w:t>2.2.2</w:t>
            </w:r>
            <w:r w:rsidR="00BB0757">
              <w:rPr>
                <w:noProof/>
                <w:lang w:eastAsia="en-GB"/>
              </w:rPr>
              <w:tab/>
            </w:r>
            <w:r w:rsidR="00BB0757" w:rsidRPr="008B228F">
              <w:rPr>
                <w:rStyle w:val="Hyperlink"/>
                <w:noProof/>
              </w:rPr>
              <w:t>Origins of work engagement theory</w:t>
            </w:r>
            <w:r w:rsidR="00BB0757">
              <w:rPr>
                <w:noProof/>
                <w:webHidden/>
              </w:rPr>
              <w:tab/>
            </w:r>
            <w:r w:rsidR="00BB0757">
              <w:rPr>
                <w:noProof/>
                <w:webHidden/>
              </w:rPr>
              <w:fldChar w:fldCharType="begin"/>
            </w:r>
            <w:r w:rsidR="00BB0757">
              <w:rPr>
                <w:noProof/>
                <w:webHidden/>
              </w:rPr>
              <w:instrText xml:space="preserve"> PAGEREF _Toc468285921 \h </w:instrText>
            </w:r>
            <w:r w:rsidR="00BB0757">
              <w:rPr>
                <w:noProof/>
                <w:webHidden/>
              </w:rPr>
            </w:r>
            <w:r w:rsidR="00BB0757">
              <w:rPr>
                <w:noProof/>
                <w:webHidden/>
              </w:rPr>
              <w:fldChar w:fldCharType="separate"/>
            </w:r>
            <w:r w:rsidR="00BB0757">
              <w:rPr>
                <w:noProof/>
                <w:webHidden/>
              </w:rPr>
              <w:t>13</w:t>
            </w:r>
            <w:r w:rsidR="00BB0757">
              <w:rPr>
                <w:noProof/>
                <w:webHidden/>
              </w:rPr>
              <w:fldChar w:fldCharType="end"/>
            </w:r>
          </w:hyperlink>
        </w:p>
        <w:p w14:paraId="6CB90DF9" w14:textId="3F73F4AB" w:rsidR="00BB0757" w:rsidRDefault="00245D68">
          <w:pPr>
            <w:pStyle w:val="TOC3"/>
            <w:tabs>
              <w:tab w:val="left" w:pos="1320"/>
              <w:tab w:val="right" w:leader="dot" w:pos="9016"/>
            </w:tabs>
            <w:rPr>
              <w:noProof/>
              <w:lang w:eastAsia="en-GB"/>
            </w:rPr>
          </w:pPr>
          <w:hyperlink w:anchor="_Toc468285922" w:history="1">
            <w:r w:rsidR="00BB0757" w:rsidRPr="008B228F">
              <w:rPr>
                <w:rStyle w:val="Hyperlink"/>
                <w:noProof/>
              </w:rPr>
              <w:t>2.2.3</w:t>
            </w:r>
            <w:r w:rsidR="00BB0757">
              <w:rPr>
                <w:noProof/>
                <w:lang w:eastAsia="en-GB"/>
              </w:rPr>
              <w:tab/>
            </w:r>
            <w:r w:rsidR="00BB0757" w:rsidRPr="008B228F">
              <w:rPr>
                <w:rStyle w:val="Hyperlink"/>
                <w:noProof/>
              </w:rPr>
              <w:t>Self-Determination Theory (SDT)</w:t>
            </w:r>
            <w:r w:rsidR="00BB0757">
              <w:rPr>
                <w:noProof/>
                <w:webHidden/>
              </w:rPr>
              <w:tab/>
            </w:r>
            <w:r w:rsidR="00BB0757">
              <w:rPr>
                <w:noProof/>
                <w:webHidden/>
              </w:rPr>
              <w:fldChar w:fldCharType="begin"/>
            </w:r>
            <w:r w:rsidR="00BB0757">
              <w:rPr>
                <w:noProof/>
                <w:webHidden/>
              </w:rPr>
              <w:instrText xml:space="preserve"> PAGEREF _Toc468285922 \h </w:instrText>
            </w:r>
            <w:r w:rsidR="00BB0757">
              <w:rPr>
                <w:noProof/>
                <w:webHidden/>
              </w:rPr>
            </w:r>
            <w:r w:rsidR="00BB0757">
              <w:rPr>
                <w:noProof/>
                <w:webHidden/>
              </w:rPr>
              <w:fldChar w:fldCharType="separate"/>
            </w:r>
            <w:r w:rsidR="00BB0757">
              <w:rPr>
                <w:noProof/>
                <w:webHidden/>
              </w:rPr>
              <w:t>14</w:t>
            </w:r>
            <w:r w:rsidR="00BB0757">
              <w:rPr>
                <w:noProof/>
                <w:webHidden/>
              </w:rPr>
              <w:fldChar w:fldCharType="end"/>
            </w:r>
          </w:hyperlink>
        </w:p>
        <w:p w14:paraId="1259E89E" w14:textId="1D6078BF" w:rsidR="00BB0757" w:rsidRDefault="00245D68">
          <w:pPr>
            <w:pStyle w:val="TOC3"/>
            <w:tabs>
              <w:tab w:val="left" w:pos="1320"/>
              <w:tab w:val="right" w:leader="dot" w:pos="9016"/>
            </w:tabs>
            <w:rPr>
              <w:noProof/>
              <w:lang w:eastAsia="en-GB"/>
            </w:rPr>
          </w:pPr>
          <w:hyperlink w:anchor="_Toc468285923" w:history="1">
            <w:r w:rsidR="00BB0757" w:rsidRPr="008B228F">
              <w:rPr>
                <w:rStyle w:val="Hyperlink"/>
                <w:noProof/>
              </w:rPr>
              <w:t>2.2.4</w:t>
            </w:r>
            <w:r w:rsidR="00BB0757">
              <w:rPr>
                <w:noProof/>
                <w:lang w:eastAsia="en-GB"/>
              </w:rPr>
              <w:tab/>
            </w:r>
            <w:r w:rsidR="00BB0757" w:rsidRPr="008B228F">
              <w:rPr>
                <w:rStyle w:val="Hyperlink"/>
                <w:noProof/>
              </w:rPr>
              <w:t>The Job Demands-Resources model (JD-R)</w:t>
            </w:r>
            <w:r w:rsidR="00BB0757">
              <w:rPr>
                <w:noProof/>
                <w:webHidden/>
              </w:rPr>
              <w:tab/>
            </w:r>
            <w:r w:rsidR="00BB0757">
              <w:rPr>
                <w:noProof/>
                <w:webHidden/>
              </w:rPr>
              <w:fldChar w:fldCharType="begin"/>
            </w:r>
            <w:r w:rsidR="00BB0757">
              <w:rPr>
                <w:noProof/>
                <w:webHidden/>
              </w:rPr>
              <w:instrText xml:space="preserve"> PAGEREF _Toc468285923 \h </w:instrText>
            </w:r>
            <w:r w:rsidR="00BB0757">
              <w:rPr>
                <w:noProof/>
                <w:webHidden/>
              </w:rPr>
            </w:r>
            <w:r w:rsidR="00BB0757">
              <w:rPr>
                <w:noProof/>
                <w:webHidden/>
              </w:rPr>
              <w:fldChar w:fldCharType="separate"/>
            </w:r>
            <w:r w:rsidR="00BB0757">
              <w:rPr>
                <w:noProof/>
                <w:webHidden/>
              </w:rPr>
              <w:t>15</w:t>
            </w:r>
            <w:r w:rsidR="00BB0757">
              <w:rPr>
                <w:noProof/>
                <w:webHidden/>
              </w:rPr>
              <w:fldChar w:fldCharType="end"/>
            </w:r>
          </w:hyperlink>
        </w:p>
        <w:p w14:paraId="1E3DC340" w14:textId="612A539D" w:rsidR="00BB0757" w:rsidRDefault="00245D68">
          <w:pPr>
            <w:pStyle w:val="TOC3"/>
            <w:tabs>
              <w:tab w:val="left" w:pos="1320"/>
              <w:tab w:val="right" w:leader="dot" w:pos="9016"/>
            </w:tabs>
            <w:rPr>
              <w:noProof/>
              <w:lang w:eastAsia="en-GB"/>
            </w:rPr>
          </w:pPr>
          <w:hyperlink w:anchor="_Toc468285924" w:history="1">
            <w:r w:rsidR="00BB0757" w:rsidRPr="008B228F">
              <w:rPr>
                <w:rStyle w:val="Hyperlink"/>
                <w:noProof/>
              </w:rPr>
              <w:t>2.2.5</w:t>
            </w:r>
            <w:r w:rsidR="00BB0757">
              <w:rPr>
                <w:noProof/>
                <w:lang w:eastAsia="en-GB"/>
              </w:rPr>
              <w:tab/>
            </w:r>
            <w:r w:rsidR="00BB0757" w:rsidRPr="008B228F">
              <w:rPr>
                <w:rStyle w:val="Hyperlink"/>
                <w:noProof/>
              </w:rPr>
              <w:t>The buffering effect of job resources on job demands</w:t>
            </w:r>
            <w:r w:rsidR="00BB0757">
              <w:rPr>
                <w:noProof/>
                <w:webHidden/>
              </w:rPr>
              <w:tab/>
            </w:r>
            <w:r w:rsidR="00BB0757">
              <w:rPr>
                <w:noProof/>
                <w:webHidden/>
              </w:rPr>
              <w:fldChar w:fldCharType="begin"/>
            </w:r>
            <w:r w:rsidR="00BB0757">
              <w:rPr>
                <w:noProof/>
                <w:webHidden/>
              </w:rPr>
              <w:instrText xml:space="preserve"> PAGEREF _Toc468285924 \h </w:instrText>
            </w:r>
            <w:r w:rsidR="00BB0757">
              <w:rPr>
                <w:noProof/>
                <w:webHidden/>
              </w:rPr>
            </w:r>
            <w:r w:rsidR="00BB0757">
              <w:rPr>
                <w:noProof/>
                <w:webHidden/>
              </w:rPr>
              <w:fldChar w:fldCharType="separate"/>
            </w:r>
            <w:r w:rsidR="00BB0757">
              <w:rPr>
                <w:noProof/>
                <w:webHidden/>
              </w:rPr>
              <w:t>17</w:t>
            </w:r>
            <w:r w:rsidR="00BB0757">
              <w:rPr>
                <w:noProof/>
                <w:webHidden/>
              </w:rPr>
              <w:fldChar w:fldCharType="end"/>
            </w:r>
          </w:hyperlink>
        </w:p>
        <w:p w14:paraId="42783D86" w14:textId="185BD2F9" w:rsidR="00BB0757" w:rsidRDefault="00245D68">
          <w:pPr>
            <w:pStyle w:val="TOC3"/>
            <w:tabs>
              <w:tab w:val="left" w:pos="1320"/>
              <w:tab w:val="right" w:leader="dot" w:pos="9016"/>
            </w:tabs>
            <w:rPr>
              <w:noProof/>
              <w:lang w:eastAsia="en-GB"/>
            </w:rPr>
          </w:pPr>
          <w:hyperlink w:anchor="_Toc468285925" w:history="1">
            <w:r w:rsidR="00BB0757" w:rsidRPr="008B228F">
              <w:rPr>
                <w:rStyle w:val="Hyperlink"/>
                <w:noProof/>
              </w:rPr>
              <w:t>2.2.6</w:t>
            </w:r>
            <w:r w:rsidR="00BB0757">
              <w:rPr>
                <w:noProof/>
                <w:lang w:eastAsia="en-GB"/>
              </w:rPr>
              <w:tab/>
            </w:r>
            <w:r w:rsidR="00BB0757" w:rsidRPr="008B228F">
              <w:rPr>
                <w:rStyle w:val="Hyperlink"/>
                <w:noProof/>
              </w:rPr>
              <w:t>Evidence for the role of SDT in work engagement theory</w:t>
            </w:r>
            <w:r w:rsidR="00BB0757">
              <w:rPr>
                <w:noProof/>
                <w:webHidden/>
              </w:rPr>
              <w:tab/>
            </w:r>
            <w:r w:rsidR="00BB0757">
              <w:rPr>
                <w:noProof/>
                <w:webHidden/>
              </w:rPr>
              <w:fldChar w:fldCharType="begin"/>
            </w:r>
            <w:r w:rsidR="00BB0757">
              <w:rPr>
                <w:noProof/>
                <w:webHidden/>
              </w:rPr>
              <w:instrText xml:space="preserve"> PAGEREF _Toc468285925 \h </w:instrText>
            </w:r>
            <w:r w:rsidR="00BB0757">
              <w:rPr>
                <w:noProof/>
                <w:webHidden/>
              </w:rPr>
            </w:r>
            <w:r w:rsidR="00BB0757">
              <w:rPr>
                <w:noProof/>
                <w:webHidden/>
              </w:rPr>
              <w:fldChar w:fldCharType="separate"/>
            </w:r>
            <w:r w:rsidR="00BB0757">
              <w:rPr>
                <w:noProof/>
                <w:webHidden/>
              </w:rPr>
              <w:t>18</w:t>
            </w:r>
            <w:r w:rsidR="00BB0757">
              <w:rPr>
                <w:noProof/>
                <w:webHidden/>
              </w:rPr>
              <w:fldChar w:fldCharType="end"/>
            </w:r>
          </w:hyperlink>
        </w:p>
        <w:p w14:paraId="19DD1E44" w14:textId="6D172F8F" w:rsidR="00BB0757" w:rsidRDefault="00245D68">
          <w:pPr>
            <w:pStyle w:val="TOC3"/>
            <w:tabs>
              <w:tab w:val="left" w:pos="1320"/>
              <w:tab w:val="right" w:leader="dot" w:pos="9016"/>
            </w:tabs>
            <w:rPr>
              <w:noProof/>
              <w:lang w:eastAsia="en-GB"/>
            </w:rPr>
          </w:pPr>
          <w:hyperlink w:anchor="_Toc468285926" w:history="1">
            <w:r w:rsidR="00BB0757" w:rsidRPr="008B228F">
              <w:rPr>
                <w:rStyle w:val="Hyperlink"/>
                <w:noProof/>
              </w:rPr>
              <w:t>2.2.7</w:t>
            </w:r>
            <w:r w:rsidR="00BB0757">
              <w:rPr>
                <w:noProof/>
                <w:lang w:eastAsia="en-GB"/>
              </w:rPr>
              <w:tab/>
            </w:r>
            <w:r w:rsidR="00BB0757" w:rsidRPr="008B228F">
              <w:rPr>
                <w:rStyle w:val="Hyperlink"/>
                <w:noProof/>
              </w:rPr>
              <w:t>Psychological processes underlying the motivational hypothesis of the JD-R model</w:t>
            </w:r>
            <w:r w:rsidR="00BB0757">
              <w:rPr>
                <w:noProof/>
                <w:webHidden/>
              </w:rPr>
              <w:tab/>
            </w:r>
            <w:r w:rsidR="00BB0757">
              <w:rPr>
                <w:noProof/>
                <w:webHidden/>
              </w:rPr>
              <w:fldChar w:fldCharType="begin"/>
            </w:r>
            <w:r w:rsidR="00BB0757">
              <w:rPr>
                <w:noProof/>
                <w:webHidden/>
              </w:rPr>
              <w:instrText xml:space="preserve"> PAGEREF _Toc468285926 \h </w:instrText>
            </w:r>
            <w:r w:rsidR="00BB0757">
              <w:rPr>
                <w:noProof/>
                <w:webHidden/>
              </w:rPr>
            </w:r>
            <w:r w:rsidR="00BB0757">
              <w:rPr>
                <w:noProof/>
                <w:webHidden/>
              </w:rPr>
              <w:fldChar w:fldCharType="separate"/>
            </w:r>
            <w:r w:rsidR="00BB0757">
              <w:rPr>
                <w:noProof/>
                <w:webHidden/>
              </w:rPr>
              <w:t>20</w:t>
            </w:r>
            <w:r w:rsidR="00BB0757">
              <w:rPr>
                <w:noProof/>
                <w:webHidden/>
              </w:rPr>
              <w:fldChar w:fldCharType="end"/>
            </w:r>
          </w:hyperlink>
        </w:p>
        <w:p w14:paraId="52DECF59" w14:textId="25E51CFD" w:rsidR="00BB0757" w:rsidRDefault="00245D68">
          <w:pPr>
            <w:pStyle w:val="TOC3"/>
            <w:tabs>
              <w:tab w:val="left" w:pos="1320"/>
              <w:tab w:val="right" w:leader="dot" w:pos="9016"/>
            </w:tabs>
            <w:rPr>
              <w:noProof/>
              <w:lang w:eastAsia="en-GB"/>
            </w:rPr>
          </w:pPr>
          <w:hyperlink w:anchor="_Toc468285927" w:history="1">
            <w:r w:rsidR="00BB0757" w:rsidRPr="008B228F">
              <w:rPr>
                <w:rStyle w:val="Hyperlink"/>
                <w:noProof/>
              </w:rPr>
              <w:t>2.2.8</w:t>
            </w:r>
            <w:r w:rsidR="00BB0757">
              <w:rPr>
                <w:noProof/>
                <w:lang w:eastAsia="en-GB"/>
              </w:rPr>
              <w:tab/>
            </w:r>
            <w:r w:rsidR="00BB0757" w:rsidRPr="008B228F">
              <w:rPr>
                <w:rStyle w:val="Hyperlink"/>
                <w:noProof/>
              </w:rPr>
              <w:t>Some critical comments about the JD-R model</w:t>
            </w:r>
            <w:r w:rsidR="00BB0757">
              <w:rPr>
                <w:noProof/>
                <w:webHidden/>
              </w:rPr>
              <w:tab/>
            </w:r>
            <w:r w:rsidR="00BB0757">
              <w:rPr>
                <w:noProof/>
                <w:webHidden/>
              </w:rPr>
              <w:fldChar w:fldCharType="begin"/>
            </w:r>
            <w:r w:rsidR="00BB0757">
              <w:rPr>
                <w:noProof/>
                <w:webHidden/>
              </w:rPr>
              <w:instrText xml:space="preserve"> PAGEREF _Toc468285927 \h </w:instrText>
            </w:r>
            <w:r w:rsidR="00BB0757">
              <w:rPr>
                <w:noProof/>
                <w:webHidden/>
              </w:rPr>
            </w:r>
            <w:r w:rsidR="00BB0757">
              <w:rPr>
                <w:noProof/>
                <w:webHidden/>
              </w:rPr>
              <w:fldChar w:fldCharType="separate"/>
            </w:r>
            <w:r w:rsidR="00BB0757">
              <w:rPr>
                <w:noProof/>
                <w:webHidden/>
              </w:rPr>
              <w:t>21</w:t>
            </w:r>
            <w:r w:rsidR="00BB0757">
              <w:rPr>
                <w:noProof/>
                <w:webHidden/>
              </w:rPr>
              <w:fldChar w:fldCharType="end"/>
            </w:r>
          </w:hyperlink>
        </w:p>
        <w:p w14:paraId="48C56F76" w14:textId="0C911420" w:rsidR="00BB0757" w:rsidRDefault="00245D68">
          <w:pPr>
            <w:pStyle w:val="TOC3"/>
            <w:tabs>
              <w:tab w:val="left" w:pos="1320"/>
              <w:tab w:val="right" w:leader="dot" w:pos="9016"/>
            </w:tabs>
            <w:rPr>
              <w:noProof/>
              <w:lang w:eastAsia="en-GB"/>
            </w:rPr>
          </w:pPr>
          <w:hyperlink w:anchor="_Toc468285928" w:history="1">
            <w:r w:rsidR="00BB0757" w:rsidRPr="008B228F">
              <w:rPr>
                <w:rStyle w:val="Hyperlink"/>
                <w:noProof/>
              </w:rPr>
              <w:t>2.2.9</w:t>
            </w:r>
            <w:r w:rsidR="00BB0757">
              <w:rPr>
                <w:noProof/>
                <w:lang w:eastAsia="en-GB"/>
              </w:rPr>
              <w:tab/>
            </w:r>
            <w:r w:rsidR="00BB0757" w:rsidRPr="008B228F">
              <w:rPr>
                <w:rStyle w:val="Hyperlink"/>
                <w:noProof/>
              </w:rPr>
              <w:t>Section conclusion</w:t>
            </w:r>
            <w:r w:rsidR="00BB0757">
              <w:rPr>
                <w:noProof/>
                <w:webHidden/>
              </w:rPr>
              <w:tab/>
            </w:r>
            <w:r w:rsidR="00BB0757">
              <w:rPr>
                <w:noProof/>
                <w:webHidden/>
              </w:rPr>
              <w:fldChar w:fldCharType="begin"/>
            </w:r>
            <w:r w:rsidR="00BB0757">
              <w:rPr>
                <w:noProof/>
                <w:webHidden/>
              </w:rPr>
              <w:instrText xml:space="preserve"> PAGEREF _Toc468285928 \h </w:instrText>
            </w:r>
            <w:r w:rsidR="00BB0757">
              <w:rPr>
                <w:noProof/>
                <w:webHidden/>
              </w:rPr>
            </w:r>
            <w:r w:rsidR="00BB0757">
              <w:rPr>
                <w:noProof/>
                <w:webHidden/>
              </w:rPr>
              <w:fldChar w:fldCharType="separate"/>
            </w:r>
            <w:r w:rsidR="00BB0757">
              <w:rPr>
                <w:noProof/>
                <w:webHidden/>
              </w:rPr>
              <w:t>22</w:t>
            </w:r>
            <w:r w:rsidR="00BB0757">
              <w:rPr>
                <w:noProof/>
                <w:webHidden/>
              </w:rPr>
              <w:fldChar w:fldCharType="end"/>
            </w:r>
          </w:hyperlink>
        </w:p>
        <w:p w14:paraId="5951CB72" w14:textId="121A5B4B" w:rsidR="00BB0757" w:rsidRDefault="00245D68">
          <w:pPr>
            <w:pStyle w:val="TOC2"/>
            <w:tabs>
              <w:tab w:val="left" w:pos="880"/>
              <w:tab w:val="right" w:leader="dot" w:pos="9016"/>
            </w:tabs>
            <w:rPr>
              <w:noProof/>
              <w:lang w:eastAsia="en-GB"/>
            </w:rPr>
          </w:pPr>
          <w:hyperlink w:anchor="_Toc468285929" w:history="1">
            <w:r w:rsidR="00BB0757" w:rsidRPr="008B228F">
              <w:rPr>
                <w:rStyle w:val="Hyperlink"/>
                <w:noProof/>
              </w:rPr>
              <w:t>2.3</w:t>
            </w:r>
            <w:r w:rsidR="00BB0757">
              <w:rPr>
                <w:noProof/>
                <w:lang w:eastAsia="en-GB"/>
              </w:rPr>
              <w:tab/>
            </w:r>
            <w:r w:rsidR="00BB0757" w:rsidRPr="008B228F">
              <w:rPr>
                <w:rStyle w:val="Hyperlink"/>
                <w:noProof/>
              </w:rPr>
              <w:t>Individual-level interventions within organisations</w:t>
            </w:r>
            <w:r w:rsidR="00BB0757">
              <w:rPr>
                <w:noProof/>
                <w:webHidden/>
              </w:rPr>
              <w:tab/>
            </w:r>
            <w:r w:rsidR="00BB0757">
              <w:rPr>
                <w:noProof/>
                <w:webHidden/>
              </w:rPr>
              <w:fldChar w:fldCharType="begin"/>
            </w:r>
            <w:r w:rsidR="00BB0757">
              <w:rPr>
                <w:noProof/>
                <w:webHidden/>
              </w:rPr>
              <w:instrText xml:space="preserve"> PAGEREF _Toc468285929 \h </w:instrText>
            </w:r>
            <w:r w:rsidR="00BB0757">
              <w:rPr>
                <w:noProof/>
                <w:webHidden/>
              </w:rPr>
            </w:r>
            <w:r w:rsidR="00BB0757">
              <w:rPr>
                <w:noProof/>
                <w:webHidden/>
              </w:rPr>
              <w:fldChar w:fldCharType="separate"/>
            </w:r>
            <w:r w:rsidR="00BB0757">
              <w:rPr>
                <w:noProof/>
                <w:webHidden/>
              </w:rPr>
              <w:t>23</w:t>
            </w:r>
            <w:r w:rsidR="00BB0757">
              <w:rPr>
                <w:noProof/>
                <w:webHidden/>
              </w:rPr>
              <w:fldChar w:fldCharType="end"/>
            </w:r>
          </w:hyperlink>
        </w:p>
        <w:p w14:paraId="31F6BC7E" w14:textId="1AE3A861" w:rsidR="00BB0757" w:rsidRDefault="00245D68">
          <w:pPr>
            <w:pStyle w:val="TOC3"/>
            <w:tabs>
              <w:tab w:val="left" w:pos="1320"/>
              <w:tab w:val="right" w:leader="dot" w:pos="9016"/>
            </w:tabs>
            <w:rPr>
              <w:noProof/>
              <w:lang w:eastAsia="en-GB"/>
            </w:rPr>
          </w:pPr>
          <w:hyperlink w:anchor="_Toc468285930" w:history="1">
            <w:r w:rsidR="00BB0757" w:rsidRPr="008B228F">
              <w:rPr>
                <w:rStyle w:val="Hyperlink"/>
                <w:noProof/>
              </w:rPr>
              <w:t>2.3.1</w:t>
            </w:r>
            <w:r w:rsidR="00BB0757">
              <w:rPr>
                <w:noProof/>
                <w:lang w:eastAsia="en-GB"/>
              </w:rPr>
              <w:tab/>
            </w:r>
            <w:r w:rsidR="00BB0757" w:rsidRPr="008B228F">
              <w:rPr>
                <w:rStyle w:val="Hyperlink"/>
                <w:noProof/>
              </w:rPr>
              <w:t>Positive Psychology and strengths based training</w:t>
            </w:r>
            <w:r w:rsidR="00BB0757">
              <w:rPr>
                <w:noProof/>
                <w:webHidden/>
              </w:rPr>
              <w:tab/>
            </w:r>
            <w:r w:rsidR="00BB0757">
              <w:rPr>
                <w:noProof/>
                <w:webHidden/>
              </w:rPr>
              <w:fldChar w:fldCharType="begin"/>
            </w:r>
            <w:r w:rsidR="00BB0757">
              <w:rPr>
                <w:noProof/>
                <w:webHidden/>
              </w:rPr>
              <w:instrText xml:space="preserve"> PAGEREF _Toc468285930 \h </w:instrText>
            </w:r>
            <w:r w:rsidR="00BB0757">
              <w:rPr>
                <w:noProof/>
                <w:webHidden/>
              </w:rPr>
            </w:r>
            <w:r w:rsidR="00BB0757">
              <w:rPr>
                <w:noProof/>
                <w:webHidden/>
              </w:rPr>
              <w:fldChar w:fldCharType="separate"/>
            </w:r>
            <w:r w:rsidR="00BB0757">
              <w:rPr>
                <w:noProof/>
                <w:webHidden/>
              </w:rPr>
              <w:t>24</w:t>
            </w:r>
            <w:r w:rsidR="00BB0757">
              <w:rPr>
                <w:noProof/>
                <w:webHidden/>
              </w:rPr>
              <w:fldChar w:fldCharType="end"/>
            </w:r>
          </w:hyperlink>
        </w:p>
        <w:p w14:paraId="61A9ECB6" w14:textId="32146AA4" w:rsidR="00BB0757" w:rsidRDefault="00245D68">
          <w:pPr>
            <w:pStyle w:val="TOC3"/>
            <w:tabs>
              <w:tab w:val="left" w:pos="1320"/>
              <w:tab w:val="right" w:leader="dot" w:pos="9016"/>
            </w:tabs>
            <w:rPr>
              <w:noProof/>
              <w:lang w:eastAsia="en-GB"/>
            </w:rPr>
          </w:pPr>
          <w:hyperlink w:anchor="_Toc468285931" w:history="1">
            <w:r w:rsidR="00BB0757" w:rsidRPr="008B228F">
              <w:rPr>
                <w:rStyle w:val="Hyperlink"/>
                <w:noProof/>
              </w:rPr>
              <w:t>2.3.2</w:t>
            </w:r>
            <w:r w:rsidR="00BB0757">
              <w:rPr>
                <w:noProof/>
                <w:lang w:eastAsia="en-GB"/>
              </w:rPr>
              <w:tab/>
            </w:r>
            <w:r w:rsidR="00BB0757" w:rsidRPr="008B228F">
              <w:rPr>
                <w:rStyle w:val="Hyperlink"/>
                <w:noProof/>
              </w:rPr>
              <w:t>Positive psychology and PsyCap interventions</w:t>
            </w:r>
            <w:r w:rsidR="00BB0757">
              <w:rPr>
                <w:noProof/>
                <w:webHidden/>
              </w:rPr>
              <w:tab/>
            </w:r>
            <w:r w:rsidR="00BB0757">
              <w:rPr>
                <w:noProof/>
                <w:webHidden/>
              </w:rPr>
              <w:fldChar w:fldCharType="begin"/>
            </w:r>
            <w:r w:rsidR="00BB0757">
              <w:rPr>
                <w:noProof/>
                <w:webHidden/>
              </w:rPr>
              <w:instrText xml:space="preserve"> PAGEREF _Toc468285931 \h </w:instrText>
            </w:r>
            <w:r w:rsidR="00BB0757">
              <w:rPr>
                <w:noProof/>
                <w:webHidden/>
              </w:rPr>
            </w:r>
            <w:r w:rsidR="00BB0757">
              <w:rPr>
                <w:noProof/>
                <w:webHidden/>
              </w:rPr>
              <w:fldChar w:fldCharType="separate"/>
            </w:r>
            <w:r w:rsidR="00BB0757">
              <w:rPr>
                <w:noProof/>
                <w:webHidden/>
              </w:rPr>
              <w:t>25</w:t>
            </w:r>
            <w:r w:rsidR="00BB0757">
              <w:rPr>
                <w:noProof/>
                <w:webHidden/>
              </w:rPr>
              <w:fldChar w:fldCharType="end"/>
            </w:r>
          </w:hyperlink>
        </w:p>
        <w:p w14:paraId="4EEAF222" w14:textId="08F7918D" w:rsidR="00BB0757" w:rsidRDefault="00245D68">
          <w:pPr>
            <w:pStyle w:val="TOC3"/>
            <w:tabs>
              <w:tab w:val="left" w:pos="1320"/>
              <w:tab w:val="right" w:leader="dot" w:pos="9016"/>
            </w:tabs>
            <w:rPr>
              <w:noProof/>
              <w:lang w:eastAsia="en-GB"/>
            </w:rPr>
          </w:pPr>
          <w:hyperlink w:anchor="_Toc468285932" w:history="1">
            <w:r w:rsidR="00BB0757" w:rsidRPr="008B228F">
              <w:rPr>
                <w:rStyle w:val="Hyperlink"/>
                <w:noProof/>
              </w:rPr>
              <w:t>2.3.3</w:t>
            </w:r>
            <w:r w:rsidR="00BB0757">
              <w:rPr>
                <w:noProof/>
                <w:lang w:eastAsia="en-GB"/>
              </w:rPr>
              <w:tab/>
            </w:r>
            <w:r w:rsidR="00BB0757" w:rsidRPr="008B228F">
              <w:rPr>
                <w:rStyle w:val="Hyperlink"/>
                <w:noProof/>
              </w:rPr>
              <w:t>Positive psychology and job crafting interventions</w:t>
            </w:r>
            <w:r w:rsidR="00BB0757">
              <w:rPr>
                <w:noProof/>
                <w:webHidden/>
              </w:rPr>
              <w:tab/>
            </w:r>
            <w:r w:rsidR="00BB0757">
              <w:rPr>
                <w:noProof/>
                <w:webHidden/>
              </w:rPr>
              <w:fldChar w:fldCharType="begin"/>
            </w:r>
            <w:r w:rsidR="00BB0757">
              <w:rPr>
                <w:noProof/>
                <w:webHidden/>
              </w:rPr>
              <w:instrText xml:space="preserve"> PAGEREF _Toc468285932 \h </w:instrText>
            </w:r>
            <w:r w:rsidR="00BB0757">
              <w:rPr>
                <w:noProof/>
                <w:webHidden/>
              </w:rPr>
            </w:r>
            <w:r w:rsidR="00BB0757">
              <w:rPr>
                <w:noProof/>
                <w:webHidden/>
              </w:rPr>
              <w:fldChar w:fldCharType="separate"/>
            </w:r>
            <w:r w:rsidR="00BB0757">
              <w:rPr>
                <w:noProof/>
                <w:webHidden/>
              </w:rPr>
              <w:t>28</w:t>
            </w:r>
            <w:r w:rsidR="00BB0757">
              <w:rPr>
                <w:noProof/>
                <w:webHidden/>
              </w:rPr>
              <w:fldChar w:fldCharType="end"/>
            </w:r>
          </w:hyperlink>
        </w:p>
        <w:p w14:paraId="2657F166" w14:textId="3D47D227" w:rsidR="00BB0757" w:rsidRDefault="00245D68">
          <w:pPr>
            <w:pStyle w:val="TOC3"/>
            <w:tabs>
              <w:tab w:val="left" w:pos="1320"/>
              <w:tab w:val="right" w:leader="dot" w:pos="9016"/>
            </w:tabs>
            <w:rPr>
              <w:noProof/>
              <w:lang w:eastAsia="en-GB"/>
            </w:rPr>
          </w:pPr>
          <w:hyperlink w:anchor="_Toc468285933" w:history="1">
            <w:r w:rsidR="00BB0757" w:rsidRPr="008B228F">
              <w:rPr>
                <w:rStyle w:val="Hyperlink"/>
                <w:noProof/>
              </w:rPr>
              <w:t>2.3.4</w:t>
            </w:r>
            <w:r w:rsidR="00BB0757">
              <w:rPr>
                <w:noProof/>
                <w:lang w:eastAsia="en-GB"/>
              </w:rPr>
              <w:tab/>
            </w:r>
            <w:r w:rsidR="00BB0757" w:rsidRPr="008B228F">
              <w:rPr>
                <w:rStyle w:val="Hyperlink"/>
                <w:noProof/>
              </w:rPr>
              <w:t>Positive psychology and health promotion interventions</w:t>
            </w:r>
            <w:r w:rsidR="00BB0757">
              <w:rPr>
                <w:noProof/>
                <w:webHidden/>
              </w:rPr>
              <w:tab/>
            </w:r>
            <w:r w:rsidR="00BB0757">
              <w:rPr>
                <w:noProof/>
                <w:webHidden/>
              </w:rPr>
              <w:fldChar w:fldCharType="begin"/>
            </w:r>
            <w:r w:rsidR="00BB0757">
              <w:rPr>
                <w:noProof/>
                <w:webHidden/>
              </w:rPr>
              <w:instrText xml:space="preserve"> PAGEREF _Toc468285933 \h </w:instrText>
            </w:r>
            <w:r w:rsidR="00BB0757">
              <w:rPr>
                <w:noProof/>
                <w:webHidden/>
              </w:rPr>
            </w:r>
            <w:r w:rsidR="00BB0757">
              <w:rPr>
                <w:noProof/>
                <w:webHidden/>
              </w:rPr>
              <w:fldChar w:fldCharType="separate"/>
            </w:r>
            <w:r w:rsidR="00BB0757">
              <w:rPr>
                <w:noProof/>
                <w:webHidden/>
              </w:rPr>
              <w:t>29</w:t>
            </w:r>
            <w:r w:rsidR="00BB0757">
              <w:rPr>
                <w:noProof/>
                <w:webHidden/>
              </w:rPr>
              <w:fldChar w:fldCharType="end"/>
            </w:r>
          </w:hyperlink>
        </w:p>
        <w:p w14:paraId="16D490E0" w14:textId="0D2DB8F1" w:rsidR="00BB0757" w:rsidRDefault="00245D68">
          <w:pPr>
            <w:pStyle w:val="TOC3"/>
            <w:tabs>
              <w:tab w:val="left" w:pos="1320"/>
              <w:tab w:val="right" w:leader="dot" w:pos="9016"/>
            </w:tabs>
            <w:rPr>
              <w:noProof/>
              <w:lang w:eastAsia="en-GB"/>
            </w:rPr>
          </w:pPr>
          <w:hyperlink w:anchor="_Toc468285934" w:history="1">
            <w:r w:rsidR="00BB0757" w:rsidRPr="008B228F">
              <w:rPr>
                <w:rStyle w:val="Hyperlink"/>
                <w:noProof/>
              </w:rPr>
              <w:t>2.3.5</w:t>
            </w:r>
            <w:r w:rsidR="00BB0757">
              <w:rPr>
                <w:noProof/>
                <w:lang w:eastAsia="en-GB"/>
              </w:rPr>
              <w:tab/>
            </w:r>
            <w:r w:rsidR="00BB0757" w:rsidRPr="008B228F">
              <w:rPr>
                <w:rStyle w:val="Hyperlink"/>
                <w:noProof/>
              </w:rPr>
              <w:t>Section conclusion</w:t>
            </w:r>
            <w:r w:rsidR="00BB0757">
              <w:rPr>
                <w:noProof/>
                <w:webHidden/>
              </w:rPr>
              <w:tab/>
            </w:r>
            <w:r w:rsidR="00BB0757">
              <w:rPr>
                <w:noProof/>
                <w:webHidden/>
              </w:rPr>
              <w:fldChar w:fldCharType="begin"/>
            </w:r>
            <w:r w:rsidR="00BB0757">
              <w:rPr>
                <w:noProof/>
                <w:webHidden/>
              </w:rPr>
              <w:instrText xml:space="preserve"> PAGEREF _Toc468285934 \h </w:instrText>
            </w:r>
            <w:r w:rsidR="00BB0757">
              <w:rPr>
                <w:noProof/>
                <w:webHidden/>
              </w:rPr>
            </w:r>
            <w:r w:rsidR="00BB0757">
              <w:rPr>
                <w:noProof/>
                <w:webHidden/>
              </w:rPr>
              <w:fldChar w:fldCharType="separate"/>
            </w:r>
            <w:r w:rsidR="00BB0757">
              <w:rPr>
                <w:noProof/>
                <w:webHidden/>
              </w:rPr>
              <w:t>30</w:t>
            </w:r>
            <w:r w:rsidR="00BB0757">
              <w:rPr>
                <w:noProof/>
                <w:webHidden/>
              </w:rPr>
              <w:fldChar w:fldCharType="end"/>
            </w:r>
          </w:hyperlink>
        </w:p>
        <w:p w14:paraId="73C6AB67" w14:textId="70470E35" w:rsidR="00BB0757" w:rsidRDefault="00245D68">
          <w:pPr>
            <w:pStyle w:val="TOC2"/>
            <w:tabs>
              <w:tab w:val="left" w:pos="880"/>
              <w:tab w:val="right" w:leader="dot" w:pos="9016"/>
            </w:tabs>
            <w:rPr>
              <w:noProof/>
              <w:lang w:eastAsia="en-GB"/>
            </w:rPr>
          </w:pPr>
          <w:hyperlink w:anchor="_Toc468285935" w:history="1">
            <w:r w:rsidR="00BB0757" w:rsidRPr="008B228F">
              <w:rPr>
                <w:rStyle w:val="Hyperlink"/>
                <w:noProof/>
              </w:rPr>
              <w:t>2.4</w:t>
            </w:r>
            <w:r w:rsidR="00BB0757">
              <w:rPr>
                <w:noProof/>
                <w:lang w:eastAsia="en-GB"/>
              </w:rPr>
              <w:tab/>
            </w:r>
            <w:r w:rsidR="00BB0757" w:rsidRPr="008B228F">
              <w:rPr>
                <w:rStyle w:val="Hyperlink"/>
                <w:noProof/>
              </w:rPr>
              <w:t>Chapter conclusion</w:t>
            </w:r>
            <w:r w:rsidR="00BB0757">
              <w:rPr>
                <w:noProof/>
                <w:webHidden/>
              </w:rPr>
              <w:tab/>
            </w:r>
            <w:r w:rsidR="00BB0757">
              <w:rPr>
                <w:noProof/>
                <w:webHidden/>
              </w:rPr>
              <w:fldChar w:fldCharType="begin"/>
            </w:r>
            <w:r w:rsidR="00BB0757">
              <w:rPr>
                <w:noProof/>
                <w:webHidden/>
              </w:rPr>
              <w:instrText xml:space="preserve"> PAGEREF _Toc468285935 \h </w:instrText>
            </w:r>
            <w:r w:rsidR="00BB0757">
              <w:rPr>
                <w:noProof/>
                <w:webHidden/>
              </w:rPr>
            </w:r>
            <w:r w:rsidR="00BB0757">
              <w:rPr>
                <w:noProof/>
                <w:webHidden/>
              </w:rPr>
              <w:fldChar w:fldCharType="separate"/>
            </w:r>
            <w:r w:rsidR="00BB0757">
              <w:rPr>
                <w:noProof/>
                <w:webHidden/>
              </w:rPr>
              <w:t>31</w:t>
            </w:r>
            <w:r w:rsidR="00BB0757">
              <w:rPr>
                <w:noProof/>
                <w:webHidden/>
              </w:rPr>
              <w:fldChar w:fldCharType="end"/>
            </w:r>
          </w:hyperlink>
        </w:p>
        <w:p w14:paraId="27AA79F1" w14:textId="11C22185" w:rsidR="00BB0757" w:rsidRDefault="00245D68">
          <w:pPr>
            <w:pStyle w:val="TOC1"/>
            <w:tabs>
              <w:tab w:val="left" w:pos="440"/>
              <w:tab w:val="right" w:leader="dot" w:pos="9016"/>
            </w:tabs>
            <w:rPr>
              <w:noProof/>
              <w:lang w:eastAsia="en-GB"/>
            </w:rPr>
          </w:pPr>
          <w:hyperlink w:anchor="_Toc468285936" w:history="1">
            <w:r w:rsidR="00BB0757" w:rsidRPr="008B228F">
              <w:rPr>
                <w:rStyle w:val="Hyperlink"/>
                <w:noProof/>
              </w:rPr>
              <w:t>3</w:t>
            </w:r>
            <w:r w:rsidR="00BB0757">
              <w:rPr>
                <w:noProof/>
                <w:lang w:eastAsia="en-GB"/>
              </w:rPr>
              <w:tab/>
            </w:r>
            <w:r w:rsidR="00BB0757" w:rsidRPr="008B228F">
              <w:rPr>
                <w:rStyle w:val="Hyperlink"/>
                <w:noProof/>
              </w:rPr>
              <w:t>The design, implementation and evaluation of organisational interventions</w:t>
            </w:r>
            <w:r w:rsidR="00BB0757">
              <w:rPr>
                <w:noProof/>
                <w:webHidden/>
              </w:rPr>
              <w:tab/>
            </w:r>
            <w:r w:rsidR="00BB0757">
              <w:rPr>
                <w:noProof/>
                <w:webHidden/>
              </w:rPr>
              <w:fldChar w:fldCharType="begin"/>
            </w:r>
            <w:r w:rsidR="00BB0757">
              <w:rPr>
                <w:noProof/>
                <w:webHidden/>
              </w:rPr>
              <w:instrText xml:space="preserve"> PAGEREF _Toc468285936 \h </w:instrText>
            </w:r>
            <w:r w:rsidR="00BB0757">
              <w:rPr>
                <w:noProof/>
                <w:webHidden/>
              </w:rPr>
            </w:r>
            <w:r w:rsidR="00BB0757">
              <w:rPr>
                <w:noProof/>
                <w:webHidden/>
              </w:rPr>
              <w:fldChar w:fldCharType="separate"/>
            </w:r>
            <w:r w:rsidR="00BB0757">
              <w:rPr>
                <w:noProof/>
                <w:webHidden/>
              </w:rPr>
              <w:t>32</w:t>
            </w:r>
            <w:r w:rsidR="00BB0757">
              <w:rPr>
                <w:noProof/>
                <w:webHidden/>
              </w:rPr>
              <w:fldChar w:fldCharType="end"/>
            </w:r>
          </w:hyperlink>
        </w:p>
        <w:p w14:paraId="5214DF34" w14:textId="7807F5AA" w:rsidR="00BB0757" w:rsidRDefault="00245D68">
          <w:pPr>
            <w:pStyle w:val="TOC2"/>
            <w:tabs>
              <w:tab w:val="left" w:pos="880"/>
              <w:tab w:val="right" w:leader="dot" w:pos="9016"/>
            </w:tabs>
            <w:rPr>
              <w:noProof/>
              <w:lang w:eastAsia="en-GB"/>
            </w:rPr>
          </w:pPr>
          <w:hyperlink w:anchor="_Toc468285937" w:history="1">
            <w:r w:rsidR="00BB0757" w:rsidRPr="008B228F">
              <w:rPr>
                <w:rStyle w:val="Hyperlink"/>
                <w:noProof/>
              </w:rPr>
              <w:t>3.1</w:t>
            </w:r>
            <w:r w:rsidR="00BB0757">
              <w:rPr>
                <w:noProof/>
                <w:lang w:eastAsia="en-GB"/>
              </w:rPr>
              <w:tab/>
            </w:r>
            <w:r w:rsidR="00BB0757" w:rsidRPr="008B228F">
              <w:rPr>
                <w:rStyle w:val="Hyperlink"/>
                <w:noProof/>
              </w:rPr>
              <w:t>The design of interventions</w:t>
            </w:r>
            <w:r w:rsidR="00BB0757">
              <w:rPr>
                <w:noProof/>
                <w:webHidden/>
              </w:rPr>
              <w:tab/>
            </w:r>
            <w:r w:rsidR="00BB0757">
              <w:rPr>
                <w:noProof/>
                <w:webHidden/>
              </w:rPr>
              <w:fldChar w:fldCharType="begin"/>
            </w:r>
            <w:r w:rsidR="00BB0757">
              <w:rPr>
                <w:noProof/>
                <w:webHidden/>
              </w:rPr>
              <w:instrText xml:space="preserve"> PAGEREF _Toc468285937 \h </w:instrText>
            </w:r>
            <w:r w:rsidR="00BB0757">
              <w:rPr>
                <w:noProof/>
                <w:webHidden/>
              </w:rPr>
            </w:r>
            <w:r w:rsidR="00BB0757">
              <w:rPr>
                <w:noProof/>
                <w:webHidden/>
              </w:rPr>
              <w:fldChar w:fldCharType="separate"/>
            </w:r>
            <w:r w:rsidR="00BB0757">
              <w:rPr>
                <w:noProof/>
                <w:webHidden/>
              </w:rPr>
              <w:t>32</w:t>
            </w:r>
            <w:r w:rsidR="00BB0757">
              <w:rPr>
                <w:noProof/>
                <w:webHidden/>
              </w:rPr>
              <w:fldChar w:fldCharType="end"/>
            </w:r>
          </w:hyperlink>
        </w:p>
        <w:p w14:paraId="05C3A0C4" w14:textId="5DECE68E" w:rsidR="00BB0757" w:rsidRDefault="00245D68">
          <w:pPr>
            <w:pStyle w:val="TOC2"/>
            <w:tabs>
              <w:tab w:val="left" w:pos="880"/>
              <w:tab w:val="right" w:leader="dot" w:pos="9016"/>
            </w:tabs>
            <w:rPr>
              <w:noProof/>
              <w:lang w:eastAsia="en-GB"/>
            </w:rPr>
          </w:pPr>
          <w:hyperlink w:anchor="_Toc468285938" w:history="1">
            <w:r w:rsidR="00BB0757" w:rsidRPr="008B228F">
              <w:rPr>
                <w:rStyle w:val="Hyperlink"/>
                <w:noProof/>
              </w:rPr>
              <w:t>3.2</w:t>
            </w:r>
            <w:r w:rsidR="00BB0757">
              <w:rPr>
                <w:noProof/>
                <w:lang w:eastAsia="en-GB"/>
              </w:rPr>
              <w:tab/>
            </w:r>
            <w:r w:rsidR="00BB0757" w:rsidRPr="008B228F">
              <w:rPr>
                <w:rStyle w:val="Hyperlink"/>
                <w:noProof/>
              </w:rPr>
              <w:t>The implementation of interventions</w:t>
            </w:r>
            <w:r w:rsidR="00BB0757">
              <w:rPr>
                <w:noProof/>
                <w:webHidden/>
              </w:rPr>
              <w:tab/>
            </w:r>
            <w:r w:rsidR="00BB0757">
              <w:rPr>
                <w:noProof/>
                <w:webHidden/>
              </w:rPr>
              <w:fldChar w:fldCharType="begin"/>
            </w:r>
            <w:r w:rsidR="00BB0757">
              <w:rPr>
                <w:noProof/>
                <w:webHidden/>
              </w:rPr>
              <w:instrText xml:space="preserve"> PAGEREF _Toc468285938 \h </w:instrText>
            </w:r>
            <w:r w:rsidR="00BB0757">
              <w:rPr>
                <w:noProof/>
                <w:webHidden/>
              </w:rPr>
            </w:r>
            <w:r w:rsidR="00BB0757">
              <w:rPr>
                <w:noProof/>
                <w:webHidden/>
              </w:rPr>
              <w:fldChar w:fldCharType="separate"/>
            </w:r>
            <w:r w:rsidR="00BB0757">
              <w:rPr>
                <w:noProof/>
                <w:webHidden/>
              </w:rPr>
              <w:t>35</w:t>
            </w:r>
            <w:r w:rsidR="00BB0757">
              <w:rPr>
                <w:noProof/>
                <w:webHidden/>
              </w:rPr>
              <w:fldChar w:fldCharType="end"/>
            </w:r>
          </w:hyperlink>
        </w:p>
        <w:p w14:paraId="3CFB2EA2" w14:textId="4CAF9C00" w:rsidR="00BB0757" w:rsidRDefault="00245D68">
          <w:pPr>
            <w:pStyle w:val="TOC2"/>
            <w:tabs>
              <w:tab w:val="left" w:pos="880"/>
              <w:tab w:val="right" w:leader="dot" w:pos="9016"/>
            </w:tabs>
            <w:rPr>
              <w:noProof/>
              <w:lang w:eastAsia="en-GB"/>
            </w:rPr>
          </w:pPr>
          <w:hyperlink w:anchor="_Toc468285939" w:history="1">
            <w:r w:rsidR="00BB0757" w:rsidRPr="008B228F">
              <w:rPr>
                <w:rStyle w:val="Hyperlink"/>
                <w:noProof/>
              </w:rPr>
              <w:t>3.3</w:t>
            </w:r>
            <w:r w:rsidR="00BB0757">
              <w:rPr>
                <w:noProof/>
                <w:lang w:eastAsia="en-GB"/>
              </w:rPr>
              <w:tab/>
            </w:r>
            <w:r w:rsidR="00BB0757" w:rsidRPr="008B228F">
              <w:rPr>
                <w:rStyle w:val="Hyperlink"/>
                <w:noProof/>
              </w:rPr>
              <w:t>The evaluation of organisational interventions</w:t>
            </w:r>
            <w:r w:rsidR="00BB0757">
              <w:rPr>
                <w:noProof/>
                <w:webHidden/>
              </w:rPr>
              <w:tab/>
            </w:r>
            <w:r w:rsidR="00BB0757">
              <w:rPr>
                <w:noProof/>
                <w:webHidden/>
              </w:rPr>
              <w:fldChar w:fldCharType="begin"/>
            </w:r>
            <w:r w:rsidR="00BB0757">
              <w:rPr>
                <w:noProof/>
                <w:webHidden/>
              </w:rPr>
              <w:instrText xml:space="preserve"> PAGEREF _Toc468285939 \h </w:instrText>
            </w:r>
            <w:r w:rsidR="00BB0757">
              <w:rPr>
                <w:noProof/>
                <w:webHidden/>
              </w:rPr>
            </w:r>
            <w:r w:rsidR="00BB0757">
              <w:rPr>
                <w:noProof/>
                <w:webHidden/>
              </w:rPr>
              <w:fldChar w:fldCharType="separate"/>
            </w:r>
            <w:r w:rsidR="00BB0757">
              <w:rPr>
                <w:noProof/>
                <w:webHidden/>
              </w:rPr>
              <w:t>35</w:t>
            </w:r>
            <w:r w:rsidR="00BB0757">
              <w:rPr>
                <w:noProof/>
                <w:webHidden/>
              </w:rPr>
              <w:fldChar w:fldCharType="end"/>
            </w:r>
          </w:hyperlink>
        </w:p>
        <w:p w14:paraId="0B38D5DF" w14:textId="69137205" w:rsidR="00BB0757" w:rsidRDefault="00245D68">
          <w:pPr>
            <w:pStyle w:val="TOC2"/>
            <w:tabs>
              <w:tab w:val="left" w:pos="880"/>
              <w:tab w:val="right" w:leader="dot" w:pos="9016"/>
            </w:tabs>
            <w:rPr>
              <w:noProof/>
              <w:lang w:eastAsia="en-GB"/>
            </w:rPr>
          </w:pPr>
          <w:hyperlink w:anchor="_Toc468285940" w:history="1">
            <w:r w:rsidR="00BB0757" w:rsidRPr="008B228F">
              <w:rPr>
                <w:rStyle w:val="Hyperlink"/>
                <w:noProof/>
              </w:rPr>
              <w:t>3.4</w:t>
            </w:r>
            <w:r w:rsidR="00BB0757">
              <w:rPr>
                <w:noProof/>
                <w:lang w:eastAsia="en-GB"/>
              </w:rPr>
              <w:tab/>
            </w:r>
            <w:r w:rsidR="00BB0757" w:rsidRPr="008B228F">
              <w:rPr>
                <w:rStyle w:val="Hyperlink"/>
                <w:noProof/>
              </w:rPr>
              <w:t>Summary and conclusion</w:t>
            </w:r>
            <w:r w:rsidR="00BB0757">
              <w:rPr>
                <w:noProof/>
                <w:webHidden/>
              </w:rPr>
              <w:tab/>
            </w:r>
            <w:r w:rsidR="00BB0757">
              <w:rPr>
                <w:noProof/>
                <w:webHidden/>
              </w:rPr>
              <w:fldChar w:fldCharType="begin"/>
            </w:r>
            <w:r w:rsidR="00BB0757">
              <w:rPr>
                <w:noProof/>
                <w:webHidden/>
              </w:rPr>
              <w:instrText xml:space="preserve"> PAGEREF _Toc468285940 \h </w:instrText>
            </w:r>
            <w:r w:rsidR="00BB0757">
              <w:rPr>
                <w:noProof/>
                <w:webHidden/>
              </w:rPr>
            </w:r>
            <w:r w:rsidR="00BB0757">
              <w:rPr>
                <w:noProof/>
                <w:webHidden/>
              </w:rPr>
              <w:fldChar w:fldCharType="separate"/>
            </w:r>
            <w:r w:rsidR="00BB0757">
              <w:rPr>
                <w:noProof/>
                <w:webHidden/>
              </w:rPr>
              <w:t>38</w:t>
            </w:r>
            <w:r w:rsidR="00BB0757">
              <w:rPr>
                <w:noProof/>
                <w:webHidden/>
              </w:rPr>
              <w:fldChar w:fldCharType="end"/>
            </w:r>
          </w:hyperlink>
        </w:p>
        <w:p w14:paraId="1E717766" w14:textId="11411D6B" w:rsidR="00BB0757" w:rsidRDefault="00245D68">
          <w:pPr>
            <w:pStyle w:val="TOC2"/>
            <w:tabs>
              <w:tab w:val="left" w:pos="880"/>
              <w:tab w:val="right" w:leader="dot" w:pos="9016"/>
            </w:tabs>
            <w:rPr>
              <w:noProof/>
              <w:lang w:eastAsia="en-GB"/>
            </w:rPr>
          </w:pPr>
          <w:hyperlink w:anchor="_Toc468285941" w:history="1">
            <w:r w:rsidR="00BB0757" w:rsidRPr="008B228F">
              <w:rPr>
                <w:rStyle w:val="Hyperlink"/>
                <w:noProof/>
              </w:rPr>
              <w:t>3.5</w:t>
            </w:r>
            <w:r w:rsidR="00BB0757">
              <w:rPr>
                <w:noProof/>
                <w:lang w:eastAsia="en-GB"/>
              </w:rPr>
              <w:tab/>
            </w:r>
            <w:r w:rsidR="00BB0757" w:rsidRPr="008B228F">
              <w:rPr>
                <w:rStyle w:val="Hyperlink"/>
                <w:noProof/>
              </w:rPr>
              <w:t>Study 1 aims</w:t>
            </w:r>
            <w:r w:rsidR="00BB0757">
              <w:rPr>
                <w:noProof/>
                <w:webHidden/>
              </w:rPr>
              <w:tab/>
            </w:r>
            <w:r w:rsidR="00BB0757">
              <w:rPr>
                <w:noProof/>
                <w:webHidden/>
              </w:rPr>
              <w:fldChar w:fldCharType="begin"/>
            </w:r>
            <w:r w:rsidR="00BB0757">
              <w:rPr>
                <w:noProof/>
                <w:webHidden/>
              </w:rPr>
              <w:instrText xml:space="preserve"> PAGEREF _Toc468285941 \h </w:instrText>
            </w:r>
            <w:r w:rsidR="00BB0757">
              <w:rPr>
                <w:noProof/>
                <w:webHidden/>
              </w:rPr>
            </w:r>
            <w:r w:rsidR="00BB0757">
              <w:rPr>
                <w:noProof/>
                <w:webHidden/>
              </w:rPr>
              <w:fldChar w:fldCharType="separate"/>
            </w:r>
            <w:r w:rsidR="00BB0757">
              <w:rPr>
                <w:noProof/>
                <w:webHidden/>
              </w:rPr>
              <w:t>39</w:t>
            </w:r>
            <w:r w:rsidR="00BB0757">
              <w:rPr>
                <w:noProof/>
                <w:webHidden/>
              </w:rPr>
              <w:fldChar w:fldCharType="end"/>
            </w:r>
          </w:hyperlink>
        </w:p>
        <w:p w14:paraId="01FE3E0E" w14:textId="4506CC94" w:rsidR="00BB0757" w:rsidRDefault="00245D68">
          <w:pPr>
            <w:pStyle w:val="TOC3"/>
            <w:tabs>
              <w:tab w:val="left" w:pos="1320"/>
              <w:tab w:val="right" w:leader="dot" w:pos="9016"/>
            </w:tabs>
            <w:rPr>
              <w:noProof/>
              <w:lang w:eastAsia="en-GB"/>
            </w:rPr>
          </w:pPr>
          <w:hyperlink w:anchor="_Toc468285942" w:history="1">
            <w:r w:rsidR="00BB0757" w:rsidRPr="008B228F">
              <w:rPr>
                <w:rStyle w:val="Hyperlink"/>
                <w:bCs/>
                <w:noProof/>
              </w:rPr>
              <w:t>3.5.1</w:t>
            </w:r>
            <w:r w:rsidR="00BB0757">
              <w:rPr>
                <w:noProof/>
                <w:lang w:eastAsia="en-GB"/>
              </w:rPr>
              <w:tab/>
            </w:r>
            <w:r w:rsidR="00BB0757" w:rsidRPr="008B228F">
              <w:rPr>
                <w:rStyle w:val="Hyperlink"/>
                <w:noProof/>
              </w:rPr>
              <w:t>The benefits of a combined narrative systematic review and meta-analysis</w:t>
            </w:r>
            <w:r w:rsidR="00BB0757">
              <w:rPr>
                <w:noProof/>
                <w:webHidden/>
              </w:rPr>
              <w:tab/>
            </w:r>
            <w:r w:rsidR="00BB0757">
              <w:rPr>
                <w:noProof/>
                <w:webHidden/>
              </w:rPr>
              <w:fldChar w:fldCharType="begin"/>
            </w:r>
            <w:r w:rsidR="00BB0757">
              <w:rPr>
                <w:noProof/>
                <w:webHidden/>
              </w:rPr>
              <w:instrText xml:space="preserve"> PAGEREF _Toc468285942 \h </w:instrText>
            </w:r>
            <w:r w:rsidR="00BB0757">
              <w:rPr>
                <w:noProof/>
                <w:webHidden/>
              </w:rPr>
            </w:r>
            <w:r w:rsidR="00BB0757">
              <w:rPr>
                <w:noProof/>
                <w:webHidden/>
              </w:rPr>
              <w:fldChar w:fldCharType="separate"/>
            </w:r>
            <w:r w:rsidR="00BB0757">
              <w:rPr>
                <w:noProof/>
                <w:webHidden/>
              </w:rPr>
              <w:t>40</w:t>
            </w:r>
            <w:r w:rsidR="00BB0757">
              <w:rPr>
                <w:noProof/>
                <w:webHidden/>
              </w:rPr>
              <w:fldChar w:fldCharType="end"/>
            </w:r>
          </w:hyperlink>
        </w:p>
        <w:p w14:paraId="119F42D4" w14:textId="3EA89899" w:rsidR="00BB0757" w:rsidRDefault="00245D68">
          <w:pPr>
            <w:pStyle w:val="TOC1"/>
            <w:tabs>
              <w:tab w:val="left" w:pos="440"/>
              <w:tab w:val="right" w:leader="dot" w:pos="9016"/>
            </w:tabs>
            <w:rPr>
              <w:noProof/>
              <w:lang w:eastAsia="en-GB"/>
            </w:rPr>
          </w:pPr>
          <w:hyperlink w:anchor="_Toc468285943" w:history="1">
            <w:r w:rsidR="00BB0757" w:rsidRPr="008B228F">
              <w:rPr>
                <w:rStyle w:val="Hyperlink"/>
                <w:noProof/>
              </w:rPr>
              <w:t>4</w:t>
            </w:r>
            <w:r w:rsidR="00BB0757">
              <w:rPr>
                <w:noProof/>
                <w:lang w:eastAsia="en-GB"/>
              </w:rPr>
              <w:tab/>
            </w:r>
            <w:r w:rsidR="00BB0757" w:rsidRPr="008B228F">
              <w:rPr>
                <w:rStyle w:val="Hyperlink"/>
                <w:noProof/>
              </w:rPr>
              <w:t>Participatory action research: A group-level approach to organisational interventions</w:t>
            </w:r>
            <w:r w:rsidR="00BB0757">
              <w:rPr>
                <w:noProof/>
                <w:webHidden/>
              </w:rPr>
              <w:tab/>
            </w:r>
            <w:r w:rsidR="00BB0757">
              <w:rPr>
                <w:noProof/>
                <w:webHidden/>
              </w:rPr>
              <w:fldChar w:fldCharType="begin"/>
            </w:r>
            <w:r w:rsidR="00BB0757">
              <w:rPr>
                <w:noProof/>
                <w:webHidden/>
              </w:rPr>
              <w:instrText xml:space="preserve"> PAGEREF _Toc468285943 \h </w:instrText>
            </w:r>
            <w:r w:rsidR="00BB0757">
              <w:rPr>
                <w:noProof/>
                <w:webHidden/>
              </w:rPr>
            </w:r>
            <w:r w:rsidR="00BB0757">
              <w:rPr>
                <w:noProof/>
                <w:webHidden/>
              </w:rPr>
              <w:fldChar w:fldCharType="separate"/>
            </w:r>
            <w:r w:rsidR="00BB0757">
              <w:rPr>
                <w:noProof/>
                <w:webHidden/>
              </w:rPr>
              <w:t>42</w:t>
            </w:r>
            <w:r w:rsidR="00BB0757">
              <w:rPr>
                <w:noProof/>
                <w:webHidden/>
              </w:rPr>
              <w:fldChar w:fldCharType="end"/>
            </w:r>
          </w:hyperlink>
        </w:p>
        <w:p w14:paraId="25D38B26" w14:textId="239F5ECE" w:rsidR="00BB0757" w:rsidRDefault="00245D68">
          <w:pPr>
            <w:pStyle w:val="TOC2"/>
            <w:tabs>
              <w:tab w:val="left" w:pos="880"/>
              <w:tab w:val="right" w:leader="dot" w:pos="9016"/>
            </w:tabs>
            <w:rPr>
              <w:noProof/>
              <w:lang w:eastAsia="en-GB"/>
            </w:rPr>
          </w:pPr>
          <w:hyperlink w:anchor="_Toc468285944" w:history="1">
            <w:r w:rsidR="00BB0757" w:rsidRPr="008B228F">
              <w:rPr>
                <w:rStyle w:val="Hyperlink"/>
                <w:noProof/>
              </w:rPr>
              <w:t>4.1</w:t>
            </w:r>
            <w:r w:rsidR="00BB0757">
              <w:rPr>
                <w:noProof/>
                <w:lang w:eastAsia="en-GB"/>
              </w:rPr>
              <w:tab/>
            </w:r>
            <w:r w:rsidR="00BB0757" w:rsidRPr="008B228F">
              <w:rPr>
                <w:rStyle w:val="Hyperlink"/>
                <w:rFonts w:eastAsiaTheme="majorEastAsia"/>
                <w:noProof/>
              </w:rPr>
              <w:t>Participatory action research (PAR</w:t>
            </w:r>
            <w:r w:rsidR="00BB0757" w:rsidRPr="008B228F">
              <w:rPr>
                <w:rStyle w:val="Hyperlink"/>
                <w:noProof/>
              </w:rPr>
              <w:t>)</w:t>
            </w:r>
            <w:r w:rsidR="00BB0757">
              <w:rPr>
                <w:noProof/>
                <w:webHidden/>
              </w:rPr>
              <w:tab/>
            </w:r>
            <w:r w:rsidR="00BB0757">
              <w:rPr>
                <w:noProof/>
                <w:webHidden/>
              </w:rPr>
              <w:fldChar w:fldCharType="begin"/>
            </w:r>
            <w:r w:rsidR="00BB0757">
              <w:rPr>
                <w:noProof/>
                <w:webHidden/>
              </w:rPr>
              <w:instrText xml:space="preserve"> PAGEREF _Toc468285944 \h </w:instrText>
            </w:r>
            <w:r w:rsidR="00BB0757">
              <w:rPr>
                <w:noProof/>
                <w:webHidden/>
              </w:rPr>
            </w:r>
            <w:r w:rsidR="00BB0757">
              <w:rPr>
                <w:noProof/>
                <w:webHidden/>
              </w:rPr>
              <w:fldChar w:fldCharType="separate"/>
            </w:r>
            <w:r w:rsidR="00BB0757">
              <w:rPr>
                <w:noProof/>
                <w:webHidden/>
              </w:rPr>
              <w:t>42</w:t>
            </w:r>
            <w:r w:rsidR="00BB0757">
              <w:rPr>
                <w:noProof/>
                <w:webHidden/>
              </w:rPr>
              <w:fldChar w:fldCharType="end"/>
            </w:r>
          </w:hyperlink>
        </w:p>
        <w:p w14:paraId="3F8DE9E7" w14:textId="54DD930C" w:rsidR="00BB0757" w:rsidRDefault="00245D68">
          <w:pPr>
            <w:pStyle w:val="TOC2"/>
            <w:tabs>
              <w:tab w:val="left" w:pos="880"/>
              <w:tab w:val="right" w:leader="dot" w:pos="9016"/>
            </w:tabs>
            <w:rPr>
              <w:noProof/>
              <w:lang w:eastAsia="en-GB"/>
            </w:rPr>
          </w:pPr>
          <w:hyperlink w:anchor="_Toc468285945" w:history="1">
            <w:r w:rsidR="00BB0757" w:rsidRPr="008B228F">
              <w:rPr>
                <w:rStyle w:val="Hyperlink"/>
                <w:noProof/>
              </w:rPr>
              <w:t>4.2</w:t>
            </w:r>
            <w:r w:rsidR="00BB0757">
              <w:rPr>
                <w:noProof/>
                <w:lang w:eastAsia="en-GB"/>
              </w:rPr>
              <w:tab/>
            </w:r>
            <w:r w:rsidR="00BB0757" w:rsidRPr="008B228F">
              <w:rPr>
                <w:rStyle w:val="Hyperlink"/>
                <w:noProof/>
              </w:rPr>
              <w:t>Psychological processes underlying participatory action research</w:t>
            </w:r>
            <w:r w:rsidR="00BB0757">
              <w:rPr>
                <w:noProof/>
                <w:webHidden/>
              </w:rPr>
              <w:tab/>
            </w:r>
            <w:r w:rsidR="00BB0757">
              <w:rPr>
                <w:noProof/>
                <w:webHidden/>
              </w:rPr>
              <w:fldChar w:fldCharType="begin"/>
            </w:r>
            <w:r w:rsidR="00BB0757">
              <w:rPr>
                <w:noProof/>
                <w:webHidden/>
              </w:rPr>
              <w:instrText xml:space="preserve"> PAGEREF _Toc468285945 \h </w:instrText>
            </w:r>
            <w:r w:rsidR="00BB0757">
              <w:rPr>
                <w:noProof/>
                <w:webHidden/>
              </w:rPr>
            </w:r>
            <w:r w:rsidR="00BB0757">
              <w:rPr>
                <w:noProof/>
                <w:webHidden/>
              </w:rPr>
              <w:fldChar w:fldCharType="separate"/>
            </w:r>
            <w:r w:rsidR="00BB0757">
              <w:rPr>
                <w:noProof/>
                <w:webHidden/>
              </w:rPr>
              <w:t>46</w:t>
            </w:r>
            <w:r w:rsidR="00BB0757">
              <w:rPr>
                <w:noProof/>
                <w:webHidden/>
              </w:rPr>
              <w:fldChar w:fldCharType="end"/>
            </w:r>
          </w:hyperlink>
        </w:p>
        <w:p w14:paraId="42530621" w14:textId="42AB9FE1" w:rsidR="00BB0757" w:rsidRDefault="00245D68">
          <w:pPr>
            <w:pStyle w:val="TOC2"/>
            <w:tabs>
              <w:tab w:val="left" w:pos="880"/>
              <w:tab w:val="right" w:leader="dot" w:pos="9016"/>
            </w:tabs>
            <w:rPr>
              <w:noProof/>
              <w:lang w:eastAsia="en-GB"/>
            </w:rPr>
          </w:pPr>
          <w:hyperlink w:anchor="_Toc468285946" w:history="1">
            <w:r w:rsidR="00BB0757" w:rsidRPr="008B228F">
              <w:rPr>
                <w:rStyle w:val="Hyperlink"/>
                <w:noProof/>
              </w:rPr>
              <w:t>4.3</w:t>
            </w:r>
            <w:r w:rsidR="00BB0757">
              <w:rPr>
                <w:noProof/>
                <w:lang w:eastAsia="en-GB"/>
              </w:rPr>
              <w:tab/>
            </w:r>
            <w:r w:rsidR="00BB0757" w:rsidRPr="008B228F">
              <w:rPr>
                <w:rStyle w:val="Hyperlink"/>
                <w:noProof/>
              </w:rPr>
              <w:t>Study 2 aims and objectives</w:t>
            </w:r>
            <w:r w:rsidR="00BB0757">
              <w:rPr>
                <w:noProof/>
                <w:webHidden/>
              </w:rPr>
              <w:tab/>
            </w:r>
            <w:r w:rsidR="00BB0757">
              <w:rPr>
                <w:noProof/>
                <w:webHidden/>
              </w:rPr>
              <w:fldChar w:fldCharType="begin"/>
            </w:r>
            <w:r w:rsidR="00BB0757">
              <w:rPr>
                <w:noProof/>
                <w:webHidden/>
              </w:rPr>
              <w:instrText xml:space="preserve"> PAGEREF _Toc468285946 \h </w:instrText>
            </w:r>
            <w:r w:rsidR="00BB0757">
              <w:rPr>
                <w:noProof/>
                <w:webHidden/>
              </w:rPr>
            </w:r>
            <w:r w:rsidR="00BB0757">
              <w:rPr>
                <w:noProof/>
                <w:webHidden/>
              </w:rPr>
              <w:fldChar w:fldCharType="separate"/>
            </w:r>
            <w:r w:rsidR="00BB0757">
              <w:rPr>
                <w:noProof/>
                <w:webHidden/>
              </w:rPr>
              <w:t>48</w:t>
            </w:r>
            <w:r w:rsidR="00BB0757">
              <w:rPr>
                <w:noProof/>
                <w:webHidden/>
              </w:rPr>
              <w:fldChar w:fldCharType="end"/>
            </w:r>
          </w:hyperlink>
        </w:p>
        <w:p w14:paraId="061EF735" w14:textId="37711028" w:rsidR="00BB0757" w:rsidRDefault="00245D68">
          <w:pPr>
            <w:pStyle w:val="TOC1"/>
            <w:tabs>
              <w:tab w:val="left" w:pos="440"/>
              <w:tab w:val="right" w:leader="dot" w:pos="9016"/>
            </w:tabs>
            <w:rPr>
              <w:noProof/>
              <w:lang w:eastAsia="en-GB"/>
            </w:rPr>
          </w:pPr>
          <w:hyperlink w:anchor="_Toc468285947" w:history="1">
            <w:r w:rsidR="00BB0757" w:rsidRPr="008B228F">
              <w:rPr>
                <w:rStyle w:val="Hyperlink"/>
                <w:noProof/>
              </w:rPr>
              <w:t>5</w:t>
            </w:r>
            <w:r w:rsidR="00BB0757">
              <w:rPr>
                <w:noProof/>
                <w:lang w:eastAsia="en-GB"/>
              </w:rPr>
              <w:tab/>
            </w:r>
            <w:r w:rsidR="00BB0757" w:rsidRPr="008B228F">
              <w:rPr>
                <w:rStyle w:val="Hyperlink"/>
                <w:noProof/>
              </w:rPr>
              <w:t>Systematic Review of the effectiveness of work engagement interventions</w:t>
            </w:r>
            <w:r w:rsidR="00BB0757">
              <w:rPr>
                <w:noProof/>
                <w:webHidden/>
              </w:rPr>
              <w:tab/>
            </w:r>
            <w:r w:rsidR="00BB0757">
              <w:rPr>
                <w:noProof/>
                <w:webHidden/>
              </w:rPr>
              <w:fldChar w:fldCharType="begin"/>
            </w:r>
            <w:r w:rsidR="00BB0757">
              <w:rPr>
                <w:noProof/>
                <w:webHidden/>
              </w:rPr>
              <w:instrText xml:space="preserve"> PAGEREF _Toc468285947 \h </w:instrText>
            </w:r>
            <w:r w:rsidR="00BB0757">
              <w:rPr>
                <w:noProof/>
                <w:webHidden/>
              </w:rPr>
            </w:r>
            <w:r w:rsidR="00BB0757">
              <w:rPr>
                <w:noProof/>
                <w:webHidden/>
              </w:rPr>
              <w:fldChar w:fldCharType="separate"/>
            </w:r>
            <w:r w:rsidR="00BB0757">
              <w:rPr>
                <w:noProof/>
                <w:webHidden/>
              </w:rPr>
              <w:t>56</w:t>
            </w:r>
            <w:r w:rsidR="00BB0757">
              <w:rPr>
                <w:noProof/>
                <w:webHidden/>
              </w:rPr>
              <w:fldChar w:fldCharType="end"/>
            </w:r>
          </w:hyperlink>
        </w:p>
        <w:p w14:paraId="6CFE7036" w14:textId="031CB478" w:rsidR="00BB0757" w:rsidRDefault="00245D68">
          <w:pPr>
            <w:pStyle w:val="TOC2"/>
            <w:tabs>
              <w:tab w:val="left" w:pos="880"/>
              <w:tab w:val="right" w:leader="dot" w:pos="9016"/>
            </w:tabs>
            <w:rPr>
              <w:noProof/>
              <w:lang w:eastAsia="en-GB"/>
            </w:rPr>
          </w:pPr>
          <w:hyperlink w:anchor="_Toc468285948" w:history="1">
            <w:r w:rsidR="00BB0757" w:rsidRPr="008B228F">
              <w:rPr>
                <w:rStyle w:val="Hyperlink"/>
                <w:noProof/>
              </w:rPr>
              <w:t>5.1</w:t>
            </w:r>
            <w:r w:rsidR="00BB0757">
              <w:rPr>
                <w:noProof/>
                <w:lang w:eastAsia="en-GB"/>
              </w:rPr>
              <w:tab/>
            </w:r>
            <w:r w:rsidR="00BB0757" w:rsidRPr="008B228F">
              <w:rPr>
                <w:rStyle w:val="Hyperlink"/>
                <w:noProof/>
              </w:rPr>
              <w:t>Introduction</w:t>
            </w:r>
            <w:r w:rsidR="00BB0757">
              <w:rPr>
                <w:noProof/>
                <w:webHidden/>
              </w:rPr>
              <w:tab/>
            </w:r>
            <w:r w:rsidR="00BB0757">
              <w:rPr>
                <w:noProof/>
                <w:webHidden/>
              </w:rPr>
              <w:fldChar w:fldCharType="begin"/>
            </w:r>
            <w:r w:rsidR="00BB0757">
              <w:rPr>
                <w:noProof/>
                <w:webHidden/>
              </w:rPr>
              <w:instrText xml:space="preserve"> PAGEREF _Toc468285948 \h </w:instrText>
            </w:r>
            <w:r w:rsidR="00BB0757">
              <w:rPr>
                <w:noProof/>
                <w:webHidden/>
              </w:rPr>
            </w:r>
            <w:r w:rsidR="00BB0757">
              <w:rPr>
                <w:noProof/>
                <w:webHidden/>
              </w:rPr>
              <w:fldChar w:fldCharType="separate"/>
            </w:r>
            <w:r w:rsidR="00BB0757">
              <w:rPr>
                <w:noProof/>
                <w:webHidden/>
              </w:rPr>
              <w:t>56</w:t>
            </w:r>
            <w:r w:rsidR="00BB0757">
              <w:rPr>
                <w:noProof/>
                <w:webHidden/>
              </w:rPr>
              <w:fldChar w:fldCharType="end"/>
            </w:r>
          </w:hyperlink>
        </w:p>
        <w:p w14:paraId="7823BE27" w14:textId="3A68B228" w:rsidR="00BB0757" w:rsidRDefault="00245D68">
          <w:pPr>
            <w:pStyle w:val="TOC3"/>
            <w:tabs>
              <w:tab w:val="left" w:pos="1320"/>
              <w:tab w:val="right" w:leader="dot" w:pos="9016"/>
            </w:tabs>
            <w:rPr>
              <w:noProof/>
              <w:lang w:eastAsia="en-GB"/>
            </w:rPr>
          </w:pPr>
          <w:hyperlink w:anchor="_Toc468285949" w:history="1">
            <w:r w:rsidR="00BB0757" w:rsidRPr="008B228F">
              <w:rPr>
                <w:rStyle w:val="Hyperlink"/>
                <w:noProof/>
              </w:rPr>
              <w:t>5.1.1</w:t>
            </w:r>
            <w:r w:rsidR="00BB0757">
              <w:rPr>
                <w:noProof/>
                <w:lang w:eastAsia="en-GB"/>
              </w:rPr>
              <w:tab/>
            </w:r>
            <w:r w:rsidR="00BB0757" w:rsidRPr="008B228F">
              <w:rPr>
                <w:rStyle w:val="Hyperlink"/>
                <w:noProof/>
              </w:rPr>
              <w:t>Research objective</w:t>
            </w:r>
            <w:r w:rsidR="00BB0757">
              <w:rPr>
                <w:noProof/>
                <w:webHidden/>
              </w:rPr>
              <w:tab/>
            </w:r>
            <w:r w:rsidR="00BB0757">
              <w:rPr>
                <w:noProof/>
                <w:webHidden/>
              </w:rPr>
              <w:fldChar w:fldCharType="begin"/>
            </w:r>
            <w:r w:rsidR="00BB0757">
              <w:rPr>
                <w:noProof/>
                <w:webHidden/>
              </w:rPr>
              <w:instrText xml:space="preserve"> PAGEREF _Toc468285949 \h </w:instrText>
            </w:r>
            <w:r w:rsidR="00BB0757">
              <w:rPr>
                <w:noProof/>
                <w:webHidden/>
              </w:rPr>
            </w:r>
            <w:r w:rsidR="00BB0757">
              <w:rPr>
                <w:noProof/>
                <w:webHidden/>
              </w:rPr>
              <w:fldChar w:fldCharType="separate"/>
            </w:r>
            <w:r w:rsidR="00BB0757">
              <w:rPr>
                <w:noProof/>
                <w:webHidden/>
              </w:rPr>
              <w:t>56</w:t>
            </w:r>
            <w:r w:rsidR="00BB0757">
              <w:rPr>
                <w:noProof/>
                <w:webHidden/>
              </w:rPr>
              <w:fldChar w:fldCharType="end"/>
            </w:r>
          </w:hyperlink>
        </w:p>
        <w:p w14:paraId="0E42C5CC" w14:textId="0749F3FF" w:rsidR="00BB0757" w:rsidRDefault="00245D68">
          <w:pPr>
            <w:pStyle w:val="TOC3"/>
            <w:tabs>
              <w:tab w:val="left" w:pos="1320"/>
              <w:tab w:val="right" w:leader="dot" w:pos="9016"/>
            </w:tabs>
            <w:rPr>
              <w:noProof/>
              <w:lang w:eastAsia="en-GB"/>
            </w:rPr>
          </w:pPr>
          <w:hyperlink w:anchor="_Toc468285950" w:history="1">
            <w:r w:rsidR="00BB0757" w:rsidRPr="008B228F">
              <w:rPr>
                <w:rStyle w:val="Hyperlink"/>
                <w:noProof/>
              </w:rPr>
              <w:t>5.1.2</w:t>
            </w:r>
            <w:r w:rsidR="00BB0757">
              <w:rPr>
                <w:noProof/>
                <w:lang w:eastAsia="en-GB"/>
              </w:rPr>
              <w:tab/>
            </w:r>
            <w:r w:rsidR="00BB0757" w:rsidRPr="008B228F">
              <w:rPr>
                <w:rStyle w:val="Hyperlink"/>
                <w:noProof/>
              </w:rPr>
              <w:t>Work engagement definitions</w:t>
            </w:r>
            <w:r w:rsidR="00BB0757">
              <w:rPr>
                <w:noProof/>
                <w:webHidden/>
              </w:rPr>
              <w:tab/>
            </w:r>
            <w:r w:rsidR="00BB0757">
              <w:rPr>
                <w:noProof/>
                <w:webHidden/>
              </w:rPr>
              <w:fldChar w:fldCharType="begin"/>
            </w:r>
            <w:r w:rsidR="00BB0757">
              <w:rPr>
                <w:noProof/>
                <w:webHidden/>
              </w:rPr>
              <w:instrText xml:space="preserve"> PAGEREF _Toc468285950 \h </w:instrText>
            </w:r>
            <w:r w:rsidR="00BB0757">
              <w:rPr>
                <w:noProof/>
                <w:webHidden/>
              </w:rPr>
            </w:r>
            <w:r w:rsidR="00BB0757">
              <w:rPr>
                <w:noProof/>
                <w:webHidden/>
              </w:rPr>
              <w:fldChar w:fldCharType="separate"/>
            </w:r>
            <w:r w:rsidR="00BB0757">
              <w:rPr>
                <w:noProof/>
                <w:webHidden/>
              </w:rPr>
              <w:t>56</w:t>
            </w:r>
            <w:r w:rsidR="00BB0757">
              <w:rPr>
                <w:noProof/>
                <w:webHidden/>
              </w:rPr>
              <w:fldChar w:fldCharType="end"/>
            </w:r>
          </w:hyperlink>
        </w:p>
        <w:p w14:paraId="32AADEAE" w14:textId="2272C51A" w:rsidR="00BB0757" w:rsidRDefault="00245D68">
          <w:pPr>
            <w:pStyle w:val="TOC3"/>
            <w:tabs>
              <w:tab w:val="left" w:pos="1320"/>
              <w:tab w:val="right" w:leader="dot" w:pos="9016"/>
            </w:tabs>
            <w:rPr>
              <w:noProof/>
              <w:lang w:eastAsia="en-GB"/>
            </w:rPr>
          </w:pPr>
          <w:hyperlink w:anchor="_Toc468285951" w:history="1">
            <w:r w:rsidR="00BB0757" w:rsidRPr="008B228F">
              <w:rPr>
                <w:rStyle w:val="Hyperlink"/>
                <w:noProof/>
              </w:rPr>
              <w:t>5.1.3</w:t>
            </w:r>
            <w:r w:rsidR="00BB0757">
              <w:rPr>
                <w:noProof/>
                <w:lang w:eastAsia="en-GB"/>
              </w:rPr>
              <w:tab/>
            </w:r>
            <w:r w:rsidR="00BB0757" w:rsidRPr="008B228F">
              <w:rPr>
                <w:rStyle w:val="Hyperlink"/>
                <w:noProof/>
              </w:rPr>
              <w:t>Types of work engagement interventions</w:t>
            </w:r>
            <w:r w:rsidR="00BB0757">
              <w:rPr>
                <w:noProof/>
                <w:webHidden/>
              </w:rPr>
              <w:tab/>
            </w:r>
            <w:r w:rsidR="00BB0757">
              <w:rPr>
                <w:noProof/>
                <w:webHidden/>
              </w:rPr>
              <w:fldChar w:fldCharType="begin"/>
            </w:r>
            <w:r w:rsidR="00BB0757">
              <w:rPr>
                <w:noProof/>
                <w:webHidden/>
              </w:rPr>
              <w:instrText xml:space="preserve"> PAGEREF _Toc468285951 \h </w:instrText>
            </w:r>
            <w:r w:rsidR="00BB0757">
              <w:rPr>
                <w:noProof/>
                <w:webHidden/>
              </w:rPr>
            </w:r>
            <w:r w:rsidR="00BB0757">
              <w:rPr>
                <w:noProof/>
                <w:webHidden/>
              </w:rPr>
              <w:fldChar w:fldCharType="separate"/>
            </w:r>
            <w:r w:rsidR="00BB0757">
              <w:rPr>
                <w:noProof/>
                <w:webHidden/>
              </w:rPr>
              <w:t>57</w:t>
            </w:r>
            <w:r w:rsidR="00BB0757">
              <w:rPr>
                <w:noProof/>
                <w:webHidden/>
              </w:rPr>
              <w:fldChar w:fldCharType="end"/>
            </w:r>
          </w:hyperlink>
        </w:p>
        <w:p w14:paraId="602D7C32" w14:textId="605FF3E7" w:rsidR="00BB0757" w:rsidRDefault="00245D68">
          <w:pPr>
            <w:pStyle w:val="TOC3"/>
            <w:tabs>
              <w:tab w:val="left" w:pos="1320"/>
              <w:tab w:val="right" w:leader="dot" w:pos="9016"/>
            </w:tabs>
            <w:rPr>
              <w:noProof/>
              <w:lang w:eastAsia="en-GB"/>
            </w:rPr>
          </w:pPr>
          <w:hyperlink w:anchor="_Toc468285952" w:history="1">
            <w:r w:rsidR="00BB0757" w:rsidRPr="008B228F">
              <w:rPr>
                <w:rStyle w:val="Hyperlink"/>
                <w:noProof/>
              </w:rPr>
              <w:t>5.1.4</w:t>
            </w:r>
            <w:r w:rsidR="00BB0757">
              <w:rPr>
                <w:noProof/>
                <w:lang w:eastAsia="en-GB"/>
              </w:rPr>
              <w:tab/>
            </w:r>
            <w:r w:rsidR="00BB0757" w:rsidRPr="008B228F">
              <w:rPr>
                <w:rStyle w:val="Hyperlink"/>
                <w:noProof/>
              </w:rPr>
              <w:t>Outcomes of work engagement interventions</w:t>
            </w:r>
            <w:r w:rsidR="00BB0757">
              <w:rPr>
                <w:noProof/>
                <w:webHidden/>
              </w:rPr>
              <w:tab/>
            </w:r>
            <w:r w:rsidR="00BB0757">
              <w:rPr>
                <w:noProof/>
                <w:webHidden/>
              </w:rPr>
              <w:fldChar w:fldCharType="begin"/>
            </w:r>
            <w:r w:rsidR="00BB0757">
              <w:rPr>
                <w:noProof/>
                <w:webHidden/>
              </w:rPr>
              <w:instrText xml:space="preserve"> PAGEREF _Toc468285952 \h </w:instrText>
            </w:r>
            <w:r w:rsidR="00BB0757">
              <w:rPr>
                <w:noProof/>
                <w:webHidden/>
              </w:rPr>
            </w:r>
            <w:r w:rsidR="00BB0757">
              <w:rPr>
                <w:noProof/>
                <w:webHidden/>
              </w:rPr>
              <w:fldChar w:fldCharType="separate"/>
            </w:r>
            <w:r w:rsidR="00BB0757">
              <w:rPr>
                <w:noProof/>
                <w:webHidden/>
              </w:rPr>
              <w:t>59</w:t>
            </w:r>
            <w:r w:rsidR="00BB0757">
              <w:rPr>
                <w:noProof/>
                <w:webHidden/>
              </w:rPr>
              <w:fldChar w:fldCharType="end"/>
            </w:r>
          </w:hyperlink>
        </w:p>
        <w:p w14:paraId="4C0272D7" w14:textId="60F0FD67" w:rsidR="00BB0757" w:rsidRDefault="00245D68">
          <w:pPr>
            <w:pStyle w:val="TOC3"/>
            <w:tabs>
              <w:tab w:val="left" w:pos="1320"/>
              <w:tab w:val="right" w:leader="dot" w:pos="9016"/>
            </w:tabs>
            <w:rPr>
              <w:noProof/>
              <w:lang w:eastAsia="en-GB"/>
            </w:rPr>
          </w:pPr>
          <w:hyperlink w:anchor="_Toc468285953" w:history="1">
            <w:r w:rsidR="00BB0757" w:rsidRPr="008B228F">
              <w:rPr>
                <w:rStyle w:val="Hyperlink"/>
                <w:noProof/>
              </w:rPr>
              <w:t>5.1.5</w:t>
            </w:r>
            <w:r w:rsidR="00BB0757">
              <w:rPr>
                <w:noProof/>
                <w:lang w:eastAsia="en-GB"/>
              </w:rPr>
              <w:tab/>
            </w:r>
            <w:r w:rsidR="00BB0757" w:rsidRPr="008B228F">
              <w:rPr>
                <w:rStyle w:val="Hyperlink"/>
                <w:noProof/>
              </w:rPr>
              <w:t>Implications for this review</w:t>
            </w:r>
            <w:r w:rsidR="00BB0757">
              <w:rPr>
                <w:noProof/>
                <w:webHidden/>
              </w:rPr>
              <w:tab/>
            </w:r>
            <w:r w:rsidR="00BB0757">
              <w:rPr>
                <w:noProof/>
                <w:webHidden/>
              </w:rPr>
              <w:fldChar w:fldCharType="begin"/>
            </w:r>
            <w:r w:rsidR="00BB0757">
              <w:rPr>
                <w:noProof/>
                <w:webHidden/>
              </w:rPr>
              <w:instrText xml:space="preserve"> PAGEREF _Toc468285953 \h </w:instrText>
            </w:r>
            <w:r w:rsidR="00BB0757">
              <w:rPr>
                <w:noProof/>
                <w:webHidden/>
              </w:rPr>
            </w:r>
            <w:r w:rsidR="00BB0757">
              <w:rPr>
                <w:noProof/>
                <w:webHidden/>
              </w:rPr>
              <w:fldChar w:fldCharType="separate"/>
            </w:r>
            <w:r w:rsidR="00BB0757">
              <w:rPr>
                <w:noProof/>
                <w:webHidden/>
              </w:rPr>
              <w:t>60</w:t>
            </w:r>
            <w:r w:rsidR="00BB0757">
              <w:rPr>
                <w:noProof/>
                <w:webHidden/>
              </w:rPr>
              <w:fldChar w:fldCharType="end"/>
            </w:r>
          </w:hyperlink>
        </w:p>
        <w:p w14:paraId="14FC726E" w14:textId="2A2CEDD3" w:rsidR="00BB0757" w:rsidRDefault="00245D68">
          <w:pPr>
            <w:pStyle w:val="TOC2"/>
            <w:tabs>
              <w:tab w:val="left" w:pos="880"/>
              <w:tab w:val="right" w:leader="dot" w:pos="9016"/>
            </w:tabs>
            <w:rPr>
              <w:noProof/>
              <w:lang w:eastAsia="en-GB"/>
            </w:rPr>
          </w:pPr>
          <w:hyperlink w:anchor="_Toc468285954" w:history="1">
            <w:r w:rsidR="00BB0757" w:rsidRPr="008B228F">
              <w:rPr>
                <w:rStyle w:val="Hyperlink"/>
                <w:noProof/>
              </w:rPr>
              <w:t>5.2</w:t>
            </w:r>
            <w:r w:rsidR="00BB0757">
              <w:rPr>
                <w:noProof/>
                <w:lang w:eastAsia="en-GB"/>
              </w:rPr>
              <w:tab/>
            </w:r>
            <w:r w:rsidR="00BB0757" w:rsidRPr="008B228F">
              <w:rPr>
                <w:rStyle w:val="Hyperlink"/>
                <w:noProof/>
              </w:rPr>
              <w:t>Method</w:t>
            </w:r>
            <w:r w:rsidR="00BB0757">
              <w:rPr>
                <w:noProof/>
                <w:webHidden/>
              </w:rPr>
              <w:tab/>
            </w:r>
            <w:r w:rsidR="00BB0757">
              <w:rPr>
                <w:noProof/>
                <w:webHidden/>
              </w:rPr>
              <w:fldChar w:fldCharType="begin"/>
            </w:r>
            <w:r w:rsidR="00BB0757">
              <w:rPr>
                <w:noProof/>
                <w:webHidden/>
              </w:rPr>
              <w:instrText xml:space="preserve"> PAGEREF _Toc468285954 \h </w:instrText>
            </w:r>
            <w:r w:rsidR="00BB0757">
              <w:rPr>
                <w:noProof/>
                <w:webHidden/>
              </w:rPr>
            </w:r>
            <w:r w:rsidR="00BB0757">
              <w:rPr>
                <w:noProof/>
                <w:webHidden/>
              </w:rPr>
              <w:fldChar w:fldCharType="separate"/>
            </w:r>
            <w:r w:rsidR="00BB0757">
              <w:rPr>
                <w:noProof/>
                <w:webHidden/>
              </w:rPr>
              <w:t>60</w:t>
            </w:r>
            <w:r w:rsidR="00BB0757">
              <w:rPr>
                <w:noProof/>
                <w:webHidden/>
              </w:rPr>
              <w:fldChar w:fldCharType="end"/>
            </w:r>
          </w:hyperlink>
        </w:p>
        <w:p w14:paraId="33BEB503" w14:textId="0B40F870" w:rsidR="00BB0757" w:rsidRDefault="00245D68">
          <w:pPr>
            <w:pStyle w:val="TOC3"/>
            <w:tabs>
              <w:tab w:val="left" w:pos="1320"/>
              <w:tab w:val="right" w:leader="dot" w:pos="9016"/>
            </w:tabs>
            <w:rPr>
              <w:noProof/>
              <w:lang w:eastAsia="en-GB"/>
            </w:rPr>
          </w:pPr>
          <w:hyperlink w:anchor="_Toc468285955" w:history="1">
            <w:r w:rsidR="00BB0757" w:rsidRPr="008B228F">
              <w:rPr>
                <w:rStyle w:val="Hyperlink"/>
                <w:noProof/>
              </w:rPr>
              <w:t>5.2.1</w:t>
            </w:r>
            <w:r w:rsidR="00BB0757">
              <w:rPr>
                <w:noProof/>
                <w:lang w:eastAsia="en-GB"/>
              </w:rPr>
              <w:tab/>
            </w:r>
            <w:r w:rsidR="00BB0757" w:rsidRPr="008B228F">
              <w:rPr>
                <w:rStyle w:val="Hyperlink"/>
                <w:noProof/>
              </w:rPr>
              <w:t>The systematic review process</w:t>
            </w:r>
            <w:r w:rsidR="00BB0757">
              <w:rPr>
                <w:noProof/>
                <w:webHidden/>
              </w:rPr>
              <w:tab/>
            </w:r>
            <w:r w:rsidR="00BB0757">
              <w:rPr>
                <w:noProof/>
                <w:webHidden/>
              </w:rPr>
              <w:fldChar w:fldCharType="begin"/>
            </w:r>
            <w:r w:rsidR="00BB0757">
              <w:rPr>
                <w:noProof/>
                <w:webHidden/>
              </w:rPr>
              <w:instrText xml:space="preserve"> PAGEREF _Toc468285955 \h </w:instrText>
            </w:r>
            <w:r w:rsidR="00BB0757">
              <w:rPr>
                <w:noProof/>
                <w:webHidden/>
              </w:rPr>
            </w:r>
            <w:r w:rsidR="00BB0757">
              <w:rPr>
                <w:noProof/>
                <w:webHidden/>
              </w:rPr>
              <w:fldChar w:fldCharType="separate"/>
            </w:r>
            <w:r w:rsidR="00BB0757">
              <w:rPr>
                <w:noProof/>
                <w:webHidden/>
              </w:rPr>
              <w:t>60</w:t>
            </w:r>
            <w:r w:rsidR="00BB0757">
              <w:rPr>
                <w:noProof/>
                <w:webHidden/>
              </w:rPr>
              <w:fldChar w:fldCharType="end"/>
            </w:r>
          </w:hyperlink>
        </w:p>
        <w:p w14:paraId="3632FFC5" w14:textId="2DEC12CF" w:rsidR="00BB0757" w:rsidRDefault="00245D68">
          <w:pPr>
            <w:pStyle w:val="TOC3"/>
            <w:tabs>
              <w:tab w:val="left" w:pos="1320"/>
              <w:tab w:val="right" w:leader="dot" w:pos="9016"/>
            </w:tabs>
            <w:rPr>
              <w:noProof/>
              <w:lang w:eastAsia="en-GB"/>
            </w:rPr>
          </w:pPr>
          <w:hyperlink w:anchor="_Toc468285956" w:history="1">
            <w:r w:rsidR="00BB0757" w:rsidRPr="008B228F">
              <w:rPr>
                <w:rStyle w:val="Hyperlink"/>
                <w:noProof/>
              </w:rPr>
              <w:t>5.2.2</w:t>
            </w:r>
            <w:r w:rsidR="00BB0757">
              <w:rPr>
                <w:noProof/>
                <w:lang w:eastAsia="en-GB"/>
              </w:rPr>
              <w:tab/>
            </w:r>
            <w:r w:rsidR="00BB0757" w:rsidRPr="008B228F">
              <w:rPr>
                <w:rStyle w:val="Hyperlink"/>
                <w:noProof/>
              </w:rPr>
              <w:t>Coding of studies</w:t>
            </w:r>
            <w:r w:rsidR="00BB0757">
              <w:rPr>
                <w:noProof/>
                <w:webHidden/>
              </w:rPr>
              <w:tab/>
            </w:r>
            <w:r w:rsidR="00BB0757">
              <w:rPr>
                <w:noProof/>
                <w:webHidden/>
              </w:rPr>
              <w:fldChar w:fldCharType="begin"/>
            </w:r>
            <w:r w:rsidR="00BB0757">
              <w:rPr>
                <w:noProof/>
                <w:webHidden/>
              </w:rPr>
              <w:instrText xml:space="preserve"> PAGEREF _Toc468285956 \h </w:instrText>
            </w:r>
            <w:r w:rsidR="00BB0757">
              <w:rPr>
                <w:noProof/>
                <w:webHidden/>
              </w:rPr>
            </w:r>
            <w:r w:rsidR="00BB0757">
              <w:rPr>
                <w:noProof/>
                <w:webHidden/>
              </w:rPr>
              <w:fldChar w:fldCharType="separate"/>
            </w:r>
            <w:r w:rsidR="00BB0757">
              <w:rPr>
                <w:noProof/>
                <w:webHidden/>
              </w:rPr>
              <w:t>63</w:t>
            </w:r>
            <w:r w:rsidR="00BB0757">
              <w:rPr>
                <w:noProof/>
                <w:webHidden/>
              </w:rPr>
              <w:fldChar w:fldCharType="end"/>
            </w:r>
          </w:hyperlink>
        </w:p>
        <w:p w14:paraId="5D8AED93" w14:textId="6A62596D" w:rsidR="00BB0757" w:rsidRDefault="00245D68">
          <w:pPr>
            <w:pStyle w:val="TOC2"/>
            <w:tabs>
              <w:tab w:val="left" w:pos="880"/>
              <w:tab w:val="right" w:leader="dot" w:pos="9016"/>
            </w:tabs>
            <w:rPr>
              <w:noProof/>
              <w:lang w:eastAsia="en-GB"/>
            </w:rPr>
          </w:pPr>
          <w:hyperlink w:anchor="_Toc468285957" w:history="1">
            <w:r w:rsidR="00BB0757" w:rsidRPr="008B228F">
              <w:rPr>
                <w:rStyle w:val="Hyperlink"/>
                <w:noProof/>
              </w:rPr>
              <w:t>5.3</w:t>
            </w:r>
            <w:r w:rsidR="00BB0757">
              <w:rPr>
                <w:noProof/>
                <w:lang w:eastAsia="en-GB"/>
              </w:rPr>
              <w:tab/>
            </w:r>
            <w:r w:rsidR="00BB0757" w:rsidRPr="008B228F">
              <w:rPr>
                <w:rStyle w:val="Hyperlink"/>
                <w:noProof/>
              </w:rPr>
              <w:t>Results</w:t>
            </w:r>
            <w:r w:rsidR="00BB0757">
              <w:rPr>
                <w:noProof/>
                <w:webHidden/>
              </w:rPr>
              <w:tab/>
            </w:r>
            <w:r w:rsidR="00BB0757">
              <w:rPr>
                <w:noProof/>
                <w:webHidden/>
              </w:rPr>
              <w:fldChar w:fldCharType="begin"/>
            </w:r>
            <w:r w:rsidR="00BB0757">
              <w:rPr>
                <w:noProof/>
                <w:webHidden/>
              </w:rPr>
              <w:instrText xml:space="preserve"> PAGEREF _Toc468285957 \h </w:instrText>
            </w:r>
            <w:r w:rsidR="00BB0757">
              <w:rPr>
                <w:noProof/>
                <w:webHidden/>
              </w:rPr>
            </w:r>
            <w:r w:rsidR="00BB0757">
              <w:rPr>
                <w:noProof/>
                <w:webHidden/>
              </w:rPr>
              <w:fldChar w:fldCharType="separate"/>
            </w:r>
            <w:r w:rsidR="00BB0757">
              <w:rPr>
                <w:noProof/>
                <w:webHidden/>
              </w:rPr>
              <w:t>65</w:t>
            </w:r>
            <w:r w:rsidR="00BB0757">
              <w:rPr>
                <w:noProof/>
                <w:webHidden/>
              </w:rPr>
              <w:fldChar w:fldCharType="end"/>
            </w:r>
          </w:hyperlink>
        </w:p>
        <w:p w14:paraId="35C90568" w14:textId="1F653F0D" w:rsidR="00BB0757" w:rsidRDefault="00245D68">
          <w:pPr>
            <w:pStyle w:val="TOC3"/>
            <w:tabs>
              <w:tab w:val="left" w:pos="1320"/>
              <w:tab w:val="right" w:leader="dot" w:pos="9016"/>
            </w:tabs>
            <w:rPr>
              <w:noProof/>
              <w:lang w:eastAsia="en-GB"/>
            </w:rPr>
          </w:pPr>
          <w:hyperlink w:anchor="_Toc468285958" w:history="1">
            <w:r w:rsidR="00BB0757" w:rsidRPr="008B228F">
              <w:rPr>
                <w:rStyle w:val="Hyperlink"/>
                <w:noProof/>
              </w:rPr>
              <w:t>5.3.1</w:t>
            </w:r>
            <w:r w:rsidR="00BB0757">
              <w:rPr>
                <w:noProof/>
                <w:lang w:eastAsia="en-GB"/>
              </w:rPr>
              <w:tab/>
            </w:r>
            <w:r w:rsidR="00BB0757" w:rsidRPr="008B228F">
              <w:rPr>
                <w:rStyle w:val="Hyperlink"/>
                <w:noProof/>
              </w:rPr>
              <w:t>Search results</w:t>
            </w:r>
            <w:r w:rsidR="00BB0757">
              <w:rPr>
                <w:noProof/>
                <w:webHidden/>
              </w:rPr>
              <w:tab/>
            </w:r>
            <w:r w:rsidR="00BB0757">
              <w:rPr>
                <w:noProof/>
                <w:webHidden/>
              </w:rPr>
              <w:fldChar w:fldCharType="begin"/>
            </w:r>
            <w:r w:rsidR="00BB0757">
              <w:rPr>
                <w:noProof/>
                <w:webHidden/>
              </w:rPr>
              <w:instrText xml:space="preserve"> PAGEREF _Toc468285958 \h </w:instrText>
            </w:r>
            <w:r w:rsidR="00BB0757">
              <w:rPr>
                <w:noProof/>
                <w:webHidden/>
              </w:rPr>
            </w:r>
            <w:r w:rsidR="00BB0757">
              <w:rPr>
                <w:noProof/>
                <w:webHidden/>
              </w:rPr>
              <w:fldChar w:fldCharType="separate"/>
            </w:r>
            <w:r w:rsidR="00BB0757">
              <w:rPr>
                <w:noProof/>
                <w:webHidden/>
              </w:rPr>
              <w:t>65</w:t>
            </w:r>
            <w:r w:rsidR="00BB0757">
              <w:rPr>
                <w:noProof/>
                <w:webHidden/>
              </w:rPr>
              <w:fldChar w:fldCharType="end"/>
            </w:r>
          </w:hyperlink>
        </w:p>
        <w:p w14:paraId="7BE13AEC" w14:textId="307345BE" w:rsidR="00BB0757" w:rsidRDefault="00245D68">
          <w:pPr>
            <w:pStyle w:val="TOC3"/>
            <w:tabs>
              <w:tab w:val="left" w:pos="1320"/>
              <w:tab w:val="right" w:leader="dot" w:pos="9016"/>
            </w:tabs>
            <w:rPr>
              <w:noProof/>
              <w:lang w:eastAsia="en-GB"/>
            </w:rPr>
          </w:pPr>
          <w:hyperlink w:anchor="_Toc468285959" w:history="1">
            <w:r w:rsidR="00BB0757" w:rsidRPr="008B228F">
              <w:rPr>
                <w:rStyle w:val="Hyperlink"/>
                <w:noProof/>
              </w:rPr>
              <w:t>5.3.2</w:t>
            </w:r>
            <w:r w:rsidR="00BB0757">
              <w:rPr>
                <w:noProof/>
                <w:lang w:eastAsia="en-GB"/>
              </w:rPr>
              <w:tab/>
            </w:r>
            <w:r w:rsidR="00BB0757" w:rsidRPr="008B228F">
              <w:rPr>
                <w:rStyle w:val="Hyperlink"/>
                <w:noProof/>
              </w:rPr>
              <w:t>Characteristics of the studies</w:t>
            </w:r>
            <w:r w:rsidR="00BB0757">
              <w:rPr>
                <w:noProof/>
                <w:webHidden/>
              </w:rPr>
              <w:tab/>
            </w:r>
            <w:r w:rsidR="00BB0757">
              <w:rPr>
                <w:noProof/>
                <w:webHidden/>
              </w:rPr>
              <w:fldChar w:fldCharType="begin"/>
            </w:r>
            <w:r w:rsidR="00BB0757">
              <w:rPr>
                <w:noProof/>
                <w:webHidden/>
              </w:rPr>
              <w:instrText xml:space="preserve"> PAGEREF _Toc468285959 \h </w:instrText>
            </w:r>
            <w:r w:rsidR="00BB0757">
              <w:rPr>
                <w:noProof/>
                <w:webHidden/>
              </w:rPr>
            </w:r>
            <w:r w:rsidR="00BB0757">
              <w:rPr>
                <w:noProof/>
                <w:webHidden/>
              </w:rPr>
              <w:fldChar w:fldCharType="separate"/>
            </w:r>
            <w:r w:rsidR="00BB0757">
              <w:rPr>
                <w:noProof/>
                <w:webHidden/>
              </w:rPr>
              <w:t>66</w:t>
            </w:r>
            <w:r w:rsidR="00BB0757">
              <w:rPr>
                <w:noProof/>
                <w:webHidden/>
              </w:rPr>
              <w:fldChar w:fldCharType="end"/>
            </w:r>
          </w:hyperlink>
        </w:p>
        <w:p w14:paraId="0A9E6F44" w14:textId="29427F54" w:rsidR="00BB0757" w:rsidRDefault="00245D68">
          <w:pPr>
            <w:pStyle w:val="TOC3"/>
            <w:tabs>
              <w:tab w:val="left" w:pos="1320"/>
              <w:tab w:val="right" w:leader="dot" w:pos="9016"/>
            </w:tabs>
            <w:rPr>
              <w:noProof/>
              <w:lang w:eastAsia="en-GB"/>
            </w:rPr>
          </w:pPr>
          <w:hyperlink w:anchor="_Toc468285960" w:history="1">
            <w:r w:rsidR="00BB0757" w:rsidRPr="008B228F">
              <w:rPr>
                <w:rStyle w:val="Hyperlink"/>
                <w:noProof/>
              </w:rPr>
              <w:t>5.3.3</w:t>
            </w:r>
            <w:r w:rsidR="00BB0757">
              <w:rPr>
                <w:noProof/>
                <w:lang w:eastAsia="en-GB"/>
              </w:rPr>
              <w:tab/>
            </w:r>
            <w:r w:rsidR="00BB0757" w:rsidRPr="008B228F">
              <w:rPr>
                <w:rStyle w:val="Hyperlink"/>
                <w:noProof/>
              </w:rPr>
              <w:t>Personal resource building interventions</w:t>
            </w:r>
            <w:r w:rsidR="00BB0757">
              <w:rPr>
                <w:noProof/>
                <w:webHidden/>
              </w:rPr>
              <w:tab/>
            </w:r>
            <w:r w:rsidR="00BB0757">
              <w:rPr>
                <w:noProof/>
                <w:webHidden/>
              </w:rPr>
              <w:fldChar w:fldCharType="begin"/>
            </w:r>
            <w:r w:rsidR="00BB0757">
              <w:rPr>
                <w:noProof/>
                <w:webHidden/>
              </w:rPr>
              <w:instrText xml:space="preserve"> PAGEREF _Toc468285960 \h </w:instrText>
            </w:r>
            <w:r w:rsidR="00BB0757">
              <w:rPr>
                <w:noProof/>
                <w:webHidden/>
              </w:rPr>
            </w:r>
            <w:r w:rsidR="00BB0757">
              <w:rPr>
                <w:noProof/>
                <w:webHidden/>
              </w:rPr>
              <w:fldChar w:fldCharType="separate"/>
            </w:r>
            <w:r w:rsidR="00BB0757">
              <w:rPr>
                <w:noProof/>
                <w:webHidden/>
              </w:rPr>
              <w:t>67</w:t>
            </w:r>
            <w:r w:rsidR="00BB0757">
              <w:rPr>
                <w:noProof/>
                <w:webHidden/>
              </w:rPr>
              <w:fldChar w:fldCharType="end"/>
            </w:r>
          </w:hyperlink>
        </w:p>
        <w:p w14:paraId="7B1F3D2B" w14:textId="1115DA45" w:rsidR="00BB0757" w:rsidRDefault="00245D68">
          <w:pPr>
            <w:pStyle w:val="TOC3"/>
            <w:tabs>
              <w:tab w:val="left" w:pos="1320"/>
              <w:tab w:val="right" w:leader="dot" w:pos="9016"/>
            </w:tabs>
            <w:rPr>
              <w:noProof/>
              <w:lang w:eastAsia="en-GB"/>
            </w:rPr>
          </w:pPr>
          <w:hyperlink w:anchor="_Toc468285961" w:history="1">
            <w:r w:rsidR="00BB0757" w:rsidRPr="008B228F">
              <w:rPr>
                <w:rStyle w:val="Hyperlink"/>
                <w:noProof/>
              </w:rPr>
              <w:t>5.3.4</w:t>
            </w:r>
            <w:r w:rsidR="00BB0757">
              <w:rPr>
                <w:noProof/>
                <w:lang w:eastAsia="en-GB"/>
              </w:rPr>
              <w:tab/>
            </w:r>
            <w:r w:rsidR="00BB0757" w:rsidRPr="008B228F">
              <w:rPr>
                <w:rStyle w:val="Hyperlink"/>
                <w:noProof/>
              </w:rPr>
              <w:t>Job resource building interventions</w:t>
            </w:r>
            <w:r w:rsidR="00BB0757">
              <w:rPr>
                <w:noProof/>
                <w:webHidden/>
              </w:rPr>
              <w:tab/>
            </w:r>
            <w:r w:rsidR="00BB0757">
              <w:rPr>
                <w:noProof/>
                <w:webHidden/>
              </w:rPr>
              <w:fldChar w:fldCharType="begin"/>
            </w:r>
            <w:r w:rsidR="00BB0757">
              <w:rPr>
                <w:noProof/>
                <w:webHidden/>
              </w:rPr>
              <w:instrText xml:space="preserve"> PAGEREF _Toc468285961 \h </w:instrText>
            </w:r>
            <w:r w:rsidR="00BB0757">
              <w:rPr>
                <w:noProof/>
                <w:webHidden/>
              </w:rPr>
            </w:r>
            <w:r w:rsidR="00BB0757">
              <w:rPr>
                <w:noProof/>
                <w:webHidden/>
              </w:rPr>
              <w:fldChar w:fldCharType="separate"/>
            </w:r>
            <w:r w:rsidR="00BB0757">
              <w:rPr>
                <w:noProof/>
                <w:webHidden/>
              </w:rPr>
              <w:t>74</w:t>
            </w:r>
            <w:r w:rsidR="00BB0757">
              <w:rPr>
                <w:noProof/>
                <w:webHidden/>
              </w:rPr>
              <w:fldChar w:fldCharType="end"/>
            </w:r>
          </w:hyperlink>
        </w:p>
        <w:p w14:paraId="787AA709" w14:textId="38658C84" w:rsidR="00BB0757" w:rsidRDefault="00245D68">
          <w:pPr>
            <w:pStyle w:val="TOC3"/>
            <w:tabs>
              <w:tab w:val="left" w:pos="1320"/>
              <w:tab w:val="right" w:leader="dot" w:pos="9016"/>
            </w:tabs>
            <w:rPr>
              <w:noProof/>
              <w:lang w:eastAsia="en-GB"/>
            </w:rPr>
          </w:pPr>
          <w:hyperlink w:anchor="_Toc468285962" w:history="1">
            <w:r w:rsidR="00BB0757" w:rsidRPr="008B228F">
              <w:rPr>
                <w:rStyle w:val="Hyperlink"/>
                <w:noProof/>
              </w:rPr>
              <w:t>5.3.5</w:t>
            </w:r>
            <w:r w:rsidR="00BB0757">
              <w:rPr>
                <w:noProof/>
                <w:lang w:eastAsia="en-GB"/>
              </w:rPr>
              <w:tab/>
            </w:r>
            <w:r w:rsidR="00BB0757" w:rsidRPr="008B228F">
              <w:rPr>
                <w:rStyle w:val="Hyperlink"/>
                <w:noProof/>
              </w:rPr>
              <w:t>Leadership training interventions</w:t>
            </w:r>
            <w:r w:rsidR="00BB0757">
              <w:rPr>
                <w:noProof/>
                <w:webHidden/>
              </w:rPr>
              <w:tab/>
            </w:r>
            <w:r w:rsidR="00BB0757">
              <w:rPr>
                <w:noProof/>
                <w:webHidden/>
              </w:rPr>
              <w:fldChar w:fldCharType="begin"/>
            </w:r>
            <w:r w:rsidR="00BB0757">
              <w:rPr>
                <w:noProof/>
                <w:webHidden/>
              </w:rPr>
              <w:instrText xml:space="preserve"> PAGEREF _Toc468285962 \h </w:instrText>
            </w:r>
            <w:r w:rsidR="00BB0757">
              <w:rPr>
                <w:noProof/>
                <w:webHidden/>
              </w:rPr>
            </w:r>
            <w:r w:rsidR="00BB0757">
              <w:rPr>
                <w:noProof/>
                <w:webHidden/>
              </w:rPr>
              <w:fldChar w:fldCharType="separate"/>
            </w:r>
            <w:r w:rsidR="00BB0757">
              <w:rPr>
                <w:noProof/>
                <w:webHidden/>
              </w:rPr>
              <w:t>82</w:t>
            </w:r>
            <w:r w:rsidR="00BB0757">
              <w:rPr>
                <w:noProof/>
                <w:webHidden/>
              </w:rPr>
              <w:fldChar w:fldCharType="end"/>
            </w:r>
          </w:hyperlink>
        </w:p>
        <w:p w14:paraId="1466ED66" w14:textId="3DA9C050" w:rsidR="00BB0757" w:rsidRDefault="00245D68">
          <w:pPr>
            <w:pStyle w:val="TOC3"/>
            <w:tabs>
              <w:tab w:val="left" w:pos="1320"/>
              <w:tab w:val="right" w:leader="dot" w:pos="9016"/>
            </w:tabs>
            <w:rPr>
              <w:noProof/>
              <w:lang w:eastAsia="en-GB"/>
            </w:rPr>
          </w:pPr>
          <w:hyperlink w:anchor="_Toc468285963" w:history="1">
            <w:r w:rsidR="00BB0757" w:rsidRPr="008B228F">
              <w:rPr>
                <w:rStyle w:val="Hyperlink"/>
                <w:noProof/>
              </w:rPr>
              <w:t>5.3.6</w:t>
            </w:r>
            <w:r w:rsidR="00BB0757">
              <w:rPr>
                <w:noProof/>
                <w:lang w:eastAsia="en-GB"/>
              </w:rPr>
              <w:tab/>
            </w:r>
            <w:r w:rsidR="00BB0757" w:rsidRPr="008B228F">
              <w:rPr>
                <w:rStyle w:val="Hyperlink"/>
                <w:noProof/>
              </w:rPr>
              <w:t>Health promotion interventions</w:t>
            </w:r>
            <w:r w:rsidR="00BB0757">
              <w:rPr>
                <w:noProof/>
                <w:webHidden/>
              </w:rPr>
              <w:tab/>
            </w:r>
            <w:r w:rsidR="00BB0757">
              <w:rPr>
                <w:noProof/>
                <w:webHidden/>
              </w:rPr>
              <w:fldChar w:fldCharType="begin"/>
            </w:r>
            <w:r w:rsidR="00BB0757">
              <w:rPr>
                <w:noProof/>
                <w:webHidden/>
              </w:rPr>
              <w:instrText xml:space="preserve"> PAGEREF _Toc468285963 \h </w:instrText>
            </w:r>
            <w:r w:rsidR="00BB0757">
              <w:rPr>
                <w:noProof/>
                <w:webHidden/>
              </w:rPr>
            </w:r>
            <w:r w:rsidR="00BB0757">
              <w:rPr>
                <w:noProof/>
                <w:webHidden/>
              </w:rPr>
              <w:fldChar w:fldCharType="separate"/>
            </w:r>
            <w:r w:rsidR="00BB0757">
              <w:rPr>
                <w:noProof/>
                <w:webHidden/>
              </w:rPr>
              <w:t>89</w:t>
            </w:r>
            <w:r w:rsidR="00BB0757">
              <w:rPr>
                <w:noProof/>
                <w:webHidden/>
              </w:rPr>
              <w:fldChar w:fldCharType="end"/>
            </w:r>
          </w:hyperlink>
        </w:p>
        <w:p w14:paraId="4BAE0F89" w14:textId="6ED4A5E5" w:rsidR="00BB0757" w:rsidRDefault="00245D68">
          <w:pPr>
            <w:pStyle w:val="TOC2"/>
            <w:tabs>
              <w:tab w:val="left" w:pos="880"/>
              <w:tab w:val="right" w:leader="dot" w:pos="9016"/>
            </w:tabs>
            <w:rPr>
              <w:noProof/>
              <w:lang w:eastAsia="en-GB"/>
            </w:rPr>
          </w:pPr>
          <w:hyperlink w:anchor="_Toc468285964" w:history="1">
            <w:r w:rsidR="00BB0757" w:rsidRPr="008B228F">
              <w:rPr>
                <w:rStyle w:val="Hyperlink"/>
                <w:noProof/>
              </w:rPr>
              <w:t>5.4</w:t>
            </w:r>
            <w:r w:rsidR="00BB0757">
              <w:rPr>
                <w:noProof/>
                <w:lang w:eastAsia="en-GB"/>
              </w:rPr>
              <w:tab/>
            </w:r>
            <w:r w:rsidR="00BB0757" w:rsidRPr="008B228F">
              <w:rPr>
                <w:rStyle w:val="Hyperlink"/>
                <w:noProof/>
              </w:rPr>
              <w:t>Summary</w:t>
            </w:r>
            <w:r w:rsidR="00BB0757">
              <w:rPr>
                <w:noProof/>
                <w:webHidden/>
              </w:rPr>
              <w:tab/>
            </w:r>
            <w:r w:rsidR="00BB0757">
              <w:rPr>
                <w:noProof/>
                <w:webHidden/>
              </w:rPr>
              <w:fldChar w:fldCharType="begin"/>
            </w:r>
            <w:r w:rsidR="00BB0757">
              <w:rPr>
                <w:noProof/>
                <w:webHidden/>
              </w:rPr>
              <w:instrText xml:space="preserve"> PAGEREF _Toc468285964 \h </w:instrText>
            </w:r>
            <w:r w:rsidR="00BB0757">
              <w:rPr>
                <w:noProof/>
                <w:webHidden/>
              </w:rPr>
            </w:r>
            <w:r w:rsidR="00BB0757">
              <w:rPr>
                <w:noProof/>
                <w:webHidden/>
              </w:rPr>
              <w:fldChar w:fldCharType="separate"/>
            </w:r>
            <w:r w:rsidR="00BB0757">
              <w:rPr>
                <w:noProof/>
                <w:webHidden/>
              </w:rPr>
              <w:t>99</w:t>
            </w:r>
            <w:r w:rsidR="00BB0757">
              <w:rPr>
                <w:noProof/>
                <w:webHidden/>
              </w:rPr>
              <w:fldChar w:fldCharType="end"/>
            </w:r>
          </w:hyperlink>
        </w:p>
        <w:p w14:paraId="6F96DE6C" w14:textId="6F01F9FB" w:rsidR="00BB0757" w:rsidRDefault="00245D68">
          <w:pPr>
            <w:pStyle w:val="TOC3"/>
            <w:tabs>
              <w:tab w:val="left" w:pos="1320"/>
              <w:tab w:val="right" w:leader="dot" w:pos="9016"/>
            </w:tabs>
            <w:rPr>
              <w:noProof/>
              <w:lang w:eastAsia="en-GB"/>
            </w:rPr>
          </w:pPr>
          <w:hyperlink w:anchor="_Toc468285965" w:history="1">
            <w:r w:rsidR="00BB0757" w:rsidRPr="008B228F">
              <w:rPr>
                <w:rStyle w:val="Hyperlink"/>
                <w:noProof/>
              </w:rPr>
              <w:t>5.4.1</w:t>
            </w:r>
            <w:r w:rsidR="00BB0757">
              <w:rPr>
                <w:noProof/>
                <w:lang w:eastAsia="en-GB"/>
              </w:rPr>
              <w:tab/>
            </w:r>
            <w:r w:rsidR="00BB0757" w:rsidRPr="008B228F">
              <w:rPr>
                <w:rStyle w:val="Hyperlink"/>
                <w:noProof/>
              </w:rPr>
              <w:t>Effectiveness of personal resource building interventions on work engagement</w:t>
            </w:r>
            <w:r w:rsidR="00BB0757">
              <w:rPr>
                <w:noProof/>
                <w:webHidden/>
              </w:rPr>
              <w:tab/>
            </w:r>
            <w:r w:rsidR="00BB0757">
              <w:rPr>
                <w:noProof/>
                <w:webHidden/>
              </w:rPr>
              <w:fldChar w:fldCharType="begin"/>
            </w:r>
            <w:r w:rsidR="00BB0757">
              <w:rPr>
                <w:noProof/>
                <w:webHidden/>
              </w:rPr>
              <w:instrText xml:space="preserve"> PAGEREF _Toc468285965 \h </w:instrText>
            </w:r>
            <w:r w:rsidR="00BB0757">
              <w:rPr>
                <w:noProof/>
                <w:webHidden/>
              </w:rPr>
            </w:r>
            <w:r w:rsidR="00BB0757">
              <w:rPr>
                <w:noProof/>
                <w:webHidden/>
              </w:rPr>
              <w:fldChar w:fldCharType="separate"/>
            </w:r>
            <w:r w:rsidR="00BB0757">
              <w:rPr>
                <w:noProof/>
                <w:webHidden/>
              </w:rPr>
              <w:t>99</w:t>
            </w:r>
            <w:r w:rsidR="00BB0757">
              <w:rPr>
                <w:noProof/>
                <w:webHidden/>
              </w:rPr>
              <w:fldChar w:fldCharType="end"/>
            </w:r>
          </w:hyperlink>
        </w:p>
        <w:p w14:paraId="09DFC568" w14:textId="5F37B39E" w:rsidR="00BB0757" w:rsidRDefault="00245D68">
          <w:pPr>
            <w:pStyle w:val="TOC3"/>
            <w:tabs>
              <w:tab w:val="left" w:pos="1320"/>
              <w:tab w:val="right" w:leader="dot" w:pos="9016"/>
            </w:tabs>
            <w:rPr>
              <w:noProof/>
              <w:lang w:eastAsia="en-GB"/>
            </w:rPr>
          </w:pPr>
          <w:hyperlink w:anchor="_Toc468285966" w:history="1">
            <w:r w:rsidR="00BB0757" w:rsidRPr="008B228F">
              <w:rPr>
                <w:rStyle w:val="Hyperlink"/>
                <w:noProof/>
              </w:rPr>
              <w:t>5.4.2</w:t>
            </w:r>
            <w:r w:rsidR="00BB0757">
              <w:rPr>
                <w:noProof/>
                <w:lang w:eastAsia="en-GB"/>
              </w:rPr>
              <w:tab/>
            </w:r>
            <w:r w:rsidR="00BB0757" w:rsidRPr="008B228F">
              <w:rPr>
                <w:rStyle w:val="Hyperlink"/>
                <w:noProof/>
              </w:rPr>
              <w:t>Effectiveness of job resource building interventions on work engagement</w:t>
            </w:r>
            <w:r w:rsidR="00BB0757">
              <w:rPr>
                <w:noProof/>
                <w:webHidden/>
              </w:rPr>
              <w:tab/>
            </w:r>
            <w:r w:rsidR="00BB0757">
              <w:rPr>
                <w:noProof/>
                <w:webHidden/>
              </w:rPr>
              <w:fldChar w:fldCharType="begin"/>
            </w:r>
            <w:r w:rsidR="00BB0757">
              <w:rPr>
                <w:noProof/>
                <w:webHidden/>
              </w:rPr>
              <w:instrText xml:space="preserve"> PAGEREF _Toc468285966 \h </w:instrText>
            </w:r>
            <w:r w:rsidR="00BB0757">
              <w:rPr>
                <w:noProof/>
                <w:webHidden/>
              </w:rPr>
            </w:r>
            <w:r w:rsidR="00BB0757">
              <w:rPr>
                <w:noProof/>
                <w:webHidden/>
              </w:rPr>
              <w:fldChar w:fldCharType="separate"/>
            </w:r>
            <w:r w:rsidR="00BB0757">
              <w:rPr>
                <w:noProof/>
                <w:webHidden/>
              </w:rPr>
              <w:t>100</w:t>
            </w:r>
            <w:r w:rsidR="00BB0757">
              <w:rPr>
                <w:noProof/>
                <w:webHidden/>
              </w:rPr>
              <w:fldChar w:fldCharType="end"/>
            </w:r>
          </w:hyperlink>
        </w:p>
        <w:p w14:paraId="68A4D71C" w14:textId="4415AE5B" w:rsidR="00BB0757" w:rsidRDefault="00245D68">
          <w:pPr>
            <w:pStyle w:val="TOC3"/>
            <w:tabs>
              <w:tab w:val="left" w:pos="1320"/>
              <w:tab w:val="right" w:leader="dot" w:pos="9016"/>
            </w:tabs>
            <w:rPr>
              <w:noProof/>
              <w:lang w:eastAsia="en-GB"/>
            </w:rPr>
          </w:pPr>
          <w:hyperlink w:anchor="_Toc468285967" w:history="1">
            <w:r w:rsidR="00BB0757" w:rsidRPr="008B228F">
              <w:rPr>
                <w:rStyle w:val="Hyperlink"/>
                <w:noProof/>
              </w:rPr>
              <w:t>5.4.3</w:t>
            </w:r>
            <w:r w:rsidR="00BB0757">
              <w:rPr>
                <w:noProof/>
                <w:lang w:eastAsia="en-GB"/>
              </w:rPr>
              <w:tab/>
            </w:r>
            <w:r w:rsidR="00BB0757" w:rsidRPr="008B228F">
              <w:rPr>
                <w:rStyle w:val="Hyperlink"/>
                <w:noProof/>
              </w:rPr>
              <w:t>Effectiveness of leadership training interventions on work engagement</w:t>
            </w:r>
            <w:r w:rsidR="00BB0757">
              <w:rPr>
                <w:noProof/>
                <w:webHidden/>
              </w:rPr>
              <w:tab/>
            </w:r>
            <w:r w:rsidR="00BB0757">
              <w:rPr>
                <w:noProof/>
                <w:webHidden/>
              </w:rPr>
              <w:fldChar w:fldCharType="begin"/>
            </w:r>
            <w:r w:rsidR="00BB0757">
              <w:rPr>
                <w:noProof/>
                <w:webHidden/>
              </w:rPr>
              <w:instrText xml:space="preserve"> PAGEREF _Toc468285967 \h </w:instrText>
            </w:r>
            <w:r w:rsidR="00BB0757">
              <w:rPr>
                <w:noProof/>
                <w:webHidden/>
              </w:rPr>
            </w:r>
            <w:r w:rsidR="00BB0757">
              <w:rPr>
                <w:noProof/>
                <w:webHidden/>
              </w:rPr>
              <w:fldChar w:fldCharType="separate"/>
            </w:r>
            <w:r w:rsidR="00BB0757">
              <w:rPr>
                <w:noProof/>
                <w:webHidden/>
              </w:rPr>
              <w:t>101</w:t>
            </w:r>
            <w:r w:rsidR="00BB0757">
              <w:rPr>
                <w:noProof/>
                <w:webHidden/>
              </w:rPr>
              <w:fldChar w:fldCharType="end"/>
            </w:r>
          </w:hyperlink>
        </w:p>
        <w:p w14:paraId="16DD2D15" w14:textId="59FFE1BE" w:rsidR="00BB0757" w:rsidRDefault="00245D68">
          <w:pPr>
            <w:pStyle w:val="TOC3"/>
            <w:tabs>
              <w:tab w:val="left" w:pos="1320"/>
              <w:tab w:val="right" w:leader="dot" w:pos="9016"/>
            </w:tabs>
            <w:rPr>
              <w:noProof/>
              <w:lang w:eastAsia="en-GB"/>
            </w:rPr>
          </w:pPr>
          <w:hyperlink w:anchor="_Toc468285968" w:history="1">
            <w:r w:rsidR="00BB0757" w:rsidRPr="008B228F">
              <w:rPr>
                <w:rStyle w:val="Hyperlink"/>
                <w:noProof/>
              </w:rPr>
              <w:t>5.4.4</w:t>
            </w:r>
            <w:r w:rsidR="00BB0757">
              <w:rPr>
                <w:noProof/>
                <w:lang w:eastAsia="en-GB"/>
              </w:rPr>
              <w:tab/>
            </w:r>
            <w:r w:rsidR="00BB0757" w:rsidRPr="008B228F">
              <w:rPr>
                <w:rStyle w:val="Hyperlink"/>
                <w:noProof/>
              </w:rPr>
              <w:t>Effectiveness of health promotion interventions on work engagement</w:t>
            </w:r>
            <w:r w:rsidR="00BB0757">
              <w:rPr>
                <w:noProof/>
                <w:webHidden/>
              </w:rPr>
              <w:tab/>
            </w:r>
            <w:r w:rsidR="00BB0757">
              <w:rPr>
                <w:noProof/>
                <w:webHidden/>
              </w:rPr>
              <w:fldChar w:fldCharType="begin"/>
            </w:r>
            <w:r w:rsidR="00BB0757">
              <w:rPr>
                <w:noProof/>
                <w:webHidden/>
              </w:rPr>
              <w:instrText xml:space="preserve"> PAGEREF _Toc468285968 \h </w:instrText>
            </w:r>
            <w:r w:rsidR="00BB0757">
              <w:rPr>
                <w:noProof/>
                <w:webHidden/>
              </w:rPr>
            </w:r>
            <w:r w:rsidR="00BB0757">
              <w:rPr>
                <w:noProof/>
                <w:webHidden/>
              </w:rPr>
              <w:fldChar w:fldCharType="separate"/>
            </w:r>
            <w:r w:rsidR="00BB0757">
              <w:rPr>
                <w:noProof/>
                <w:webHidden/>
              </w:rPr>
              <w:t>101</w:t>
            </w:r>
            <w:r w:rsidR="00BB0757">
              <w:rPr>
                <w:noProof/>
                <w:webHidden/>
              </w:rPr>
              <w:fldChar w:fldCharType="end"/>
            </w:r>
          </w:hyperlink>
        </w:p>
        <w:p w14:paraId="3E174549" w14:textId="65B07629" w:rsidR="00BB0757" w:rsidRDefault="00245D68">
          <w:pPr>
            <w:pStyle w:val="TOC1"/>
            <w:tabs>
              <w:tab w:val="left" w:pos="440"/>
              <w:tab w:val="right" w:leader="dot" w:pos="9016"/>
            </w:tabs>
            <w:rPr>
              <w:noProof/>
              <w:lang w:eastAsia="en-GB"/>
            </w:rPr>
          </w:pPr>
          <w:hyperlink w:anchor="_Toc468285969" w:history="1">
            <w:r w:rsidR="00BB0757" w:rsidRPr="008B228F">
              <w:rPr>
                <w:rStyle w:val="Hyperlink"/>
                <w:noProof/>
              </w:rPr>
              <w:t>6</w:t>
            </w:r>
            <w:r w:rsidR="00BB0757">
              <w:rPr>
                <w:noProof/>
                <w:lang w:eastAsia="en-GB"/>
              </w:rPr>
              <w:tab/>
            </w:r>
            <w:r w:rsidR="00BB0757" w:rsidRPr="008B228F">
              <w:rPr>
                <w:rStyle w:val="Hyperlink"/>
                <w:noProof/>
              </w:rPr>
              <w:t>An evaluation of the effectiveness of work engagement interventions: A meta-analysis</w:t>
            </w:r>
            <w:r w:rsidR="00BB0757">
              <w:rPr>
                <w:noProof/>
                <w:webHidden/>
              </w:rPr>
              <w:tab/>
            </w:r>
            <w:r w:rsidR="00BB0757">
              <w:rPr>
                <w:noProof/>
                <w:webHidden/>
              </w:rPr>
              <w:fldChar w:fldCharType="begin"/>
            </w:r>
            <w:r w:rsidR="00BB0757">
              <w:rPr>
                <w:noProof/>
                <w:webHidden/>
              </w:rPr>
              <w:instrText xml:space="preserve"> PAGEREF _Toc468285969 \h </w:instrText>
            </w:r>
            <w:r w:rsidR="00BB0757">
              <w:rPr>
                <w:noProof/>
                <w:webHidden/>
              </w:rPr>
            </w:r>
            <w:r w:rsidR="00BB0757">
              <w:rPr>
                <w:noProof/>
                <w:webHidden/>
              </w:rPr>
              <w:fldChar w:fldCharType="separate"/>
            </w:r>
            <w:r w:rsidR="00BB0757">
              <w:rPr>
                <w:noProof/>
                <w:webHidden/>
              </w:rPr>
              <w:t>104</w:t>
            </w:r>
            <w:r w:rsidR="00BB0757">
              <w:rPr>
                <w:noProof/>
                <w:webHidden/>
              </w:rPr>
              <w:fldChar w:fldCharType="end"/>
            </w:r>
          </w:hyperlink>
        </w:p>
        <w:p w14:paraId="1DC9E660" w14:textId="7599E912" w:rsidR="00BB0757" w:rsidRDefault="00245D68">
          <w:pPr>
            <w:pStyle w:val="TOC2"/>
            <w:tabs>
              <w:tab w:val="left" w:pos="880"/>
              <w:tab w:val="right" w:leader="dot" w:pos="9016"/>
            </w:tabs>
            <w:rPr>
              <w:noProof/>
              <w:lang w:eastAsia="en-GB"/>
            </w:rPr>
          </w:pPr>
          <w:hyperlink w:anchor="_Toc468285970" w:history="1">
            <w:r w:rsidR="00BB0757" w:rsidRPr="008B228F">
              <w:rPr>
                <w:rStyle w:val="Hyperlink"/>
                <w:noProof/>
              </w:rPr>
              <w:t>6.1</w:t>
            </w:r>
            <w:r w:rsidR="00BB0757">
              <w:rPr>
                <w:noProof/>
                <w:lang w:eastAsia="en-GB"/>
              </w:rPr>
              <w:tab/>
            </w:r>
            <w:r w:rsidR="00BB0757" w:rsidRPr="008B228F">
              <w:rPr>
                <w:rStyle w:val="Hyperlink"/>
                <w:noProof/>
              </w:rPr>
              <w:t>Introduction</w:t>
            </w:r>
            <w:r w:rsidR="00BB0757">
              <w:rPr>
                <w:noProof/>
                <w:webHidden/>
              </w:rPr>
              <w:tab/>
            </w:r>
            <w:r w:rsidR="00BB0757">
              <w:rPr>
                <w:noProof/>
                <w:webHidden/>
              </w:rPr>
              <w:fldChar w:fldCharType="begin"/>
            </w:r>
            <w:r w:rsidR="00BB0757">
              <w:rPr>
                <w:noProof/>
                <w:webHidden/>
              </w:rPr>
              <w:instrText xml:space="preserve"> PAGEREF _Toc468285970 \h </w:instrText>
            </w:r>
            <w:r w:rsidR="00BB0757">
              <w:rPr>
                <w:noProof/>
                <w:webHidden/>
              </w:rPr>
            </w:r>
            <w:r w:rsidR="00BB0757">
              <w:rPr>
                <w:noProof/>
                <w:webHidden/>
              </w:rPr>
              <w:fldChar w:fldCharType="separate"/>
            </w:r>
            <w:r w:rsidR="00BB0757">
              <w:rPr>
                <w:noProof/>
                <w:webHidden/>
              </w:rPr>
              <w:t>104</w:t>
            </w:r>
            <w:r w:rsidR="00BB0757">
              <w:rPr>
                <w:noProof/>
                <w:webHidden/>
              </w:rPr>
              <w:fldChar w:fldCharType="end"/>
            </w:r>
          </w:hyperlink>
        </w:p>
        <w:p w14:paraId="6597B715" w14:textId="6A52B5F2" w:rsidR="00BB0757" w:rsidRDefault="00245D68">
          <w:pPr>
            <w:pStyle w:val="TOC3"/>
            <w:tabs>
              <w:tab w:val="right" w:leader="dot" w:pos="9016"/>
            </w:tabs>
            <w:rPr>
              <w:noProof/>
              <w:lang w:eastAsia="en-GB"/>
            </w:rPr>
          </w:pPr>
          <w:hyperlink w:anchor="_Toc468285971" w:history="1">
            <w:r w:rsidR="00BB0757" w:rsidRPr="008B228F">
              <w:rPr>
                <w:rStyle w:val="Hyperlink"/>
                <w:noProof/>
              </w:rPr>
              <w:t>Research objective</w:t>
            </w:r>
            <w:r w:rsidR="00BB0757">
              <w:rPr>
                <w:noProof/>
                <w:webHidden/>
              </w:rPr>
              <w:tab/>
            </w:r>
            <w:r w:rsidR="00BB0757">
              <w:rPr>
                <w:noProof/>
                <w:webHidden/>
              </w:rPr>
              <w:fldChar w:fldCharType="begin"/>
            </w:r>
            <w:r w:rsidR="00BB0757">
              <w:rPr>
                <w:noProof/>
                <w:webHidden/>
              </w:rPr>
              <w:instrText xml:space="preserve"> PAGEREF _Toc468285971 \h </w:instrText>
            </w:r>
            <w:r w:rsidR="00BB0757">
              <w:rPr>
                <w:noProof/>
                <w:webHidden/>
              </w:rPr>
            </w:r>
            <w:r w:rsidR="00BB0757">
              <w:rPr>
                <w:noProof/>
                <w:webHidden/>
              </w:rPr>
              <w:fldChar w:fldCharType="separate"/>
            </w:r>
            <w:r w:rsidR="00BB0757">
              <w:rPr>
                <w:noProof/>
                <w:webHidden/>
              </w:rPr>
              <w:t>105</w:t>
            </w:r>
            <w:r w:rsidR="00BB0757">
              <w:rPr>
                <w:noProof/>
                <w:webHidden/>
              </w:rPr>
              <w:fldChar w:fldCharType="end"/>
            </w:r>
          </w:hyperlink>
        </w:p>
        <w:p w14:paraId="0857820A" w14:textId="183F1151" w:rsidR="00BB0757" w:rsidRDefault="00245D68">
          <w:pPr>
            <w:pStyle w:val="TOC3"/>
            <w:tabs>
              <w:tab w:val="left" w:pos="1320"/>
              <w:tab w:val="right" w:leader="dot" w:pos="9016"/>
            </w:tabs>
            <w:rPr>
              <w:noProof/>
              <w:lang w:eastAsia="en-GB"/>
            </w:rPr>
          </w:pPr>
          <w:hyperlink w:anchor="_Toc468285972" w:history="1">
            <w:r w:rsidR="00BB0757" w:rsidRPr="008B228F">
              <w:rPr>
                <w:rStyle w:val="Hyperlink"/>
                <w:noProof/>
              </w:rPr>
              <w:t>6.1.1</w:t>
            </w:r>
            <w:r w:rsidR="00BB0757">
              <w:rPr>
                <w:noProof/>
                <w:lang w:eastAsia="en-GB"/>
              </w:rPr>
              <w:tab/>
            </w:r>
            <w:r w:rsidR="00BB0757" w:rsidRPr="008B228F">
              <w:rPr>
                <w:rStyle w:val="Hyperlink"/>
                <w:noProof/>
              </w:rPr>
              <w:t>Work engagement definition</w:t>
            </w:r>
            <w:r w:rsidR="00BB0757">
              <w:rPr>
                <w:noProof/>
                <w:webHidden/>
              </w:rPr>
              <w:tab/>
            </w:r>
            <w:r w:rsidR="00BB0757">
              <w:rPr>
                <w:noProof/>
                <w:webHidden/>
              </w:rPr>
              <w:fldChar w:fldCharType="begin"/>
            </w:r>
            <w:r w:rsidR="00BB0757">
              <w:rPr>
                <w:noProof/>
                <w:webHidden/>
              </w:rPr>
              <w:instrText xml:space="preserve"> PAGEREF _Toc468285972 \h </w:instrText>
            </w:r>
            <w:r w:rsidR="00BB0757">
              <w:rPr>
                <w:noProof/>
                <w:webHidden/>
              </w:rPr>
            </w:r>
            <w:r w:rsidR="00BB0757">
              <w:rPr>
                <w:noProof/>
                <w:webHidden/>
              </w:rPr>
              <w:fldChar w:fldCharType="separate"/>
            </w:r>
            <w:r w:rsidR="00BB0757">
              <w:rPr>
                <w:noProof/>
                <w:webHidden/>
              </w:rPr>
              <w:t>105</w:t>
            </w:r>
            <w:r w:rsidR="00BB0757">
              <w:rPr>
                <w:noProof/>
                <w:webHidden/>
              </w:rPr>
              <w:fldChar w:fldCharType="end"/>
            </w:r>
          </w:hyperlink>
        </w:p>
        <w:p w14:paraId="20247235" w14:textId="26FA60A4" w:rsidR="00BB0757" w:rsidRDefault="00245D68">
          <w:pPr>
            <w:pStyle w:val="TOC3"/>
            <w:tabs>
              <w:tab w:val="left" w:pos="1320"/>
              <w:tab w:val="right" w:leader="dot" w:pos="9016"/>
            </w:tabs>
            <w:rPr>
              <w:noProof/>
              <w:lang w:eastAsia="en-GB"/>
            </w:rPr>
          </w:pPr>
          <w:hyperlink w:anchor="_Toc468285973" w:history="1">
            <w:r w:rsidR="00BB0757" w:rsidRPr="008B228F">
              <w:rPr>
                <w:rStyle w:val="Hyperlink"/>
                <w:noProof/>
              </w:rPr>
              <w:t>6.1.2</w:t>
            </w:r>
            <w:r w:rsidR="00BB0757">
              <w:rPr>
                <w:noProof/>
                <w:lang w:eastAsia="en-GB"/>
              </w:rPr>
              <w:tab/>
            </w:r>
            <w:r w:rsidR="00BB0757" w:rsidRPr="008B228F">
              <w:rPr>
                <w:rStyle w:val="Hyperlink"/>
                <w:noProof/>
              </w:rPr>
              <w:t>Outcomes of work engagement interventions</w:t>
            </w:r>
            <w:r w:rsidR="00BB0757">
              <w:rPr>
                <w:noProof/>
                <w:webHidden/>
              </w:rPr>
              <w:tab/>
            </w:r>
            <w:r w:rsidR="00BB0757">
              <w:rPr>
                <w:noProof/>
                <w:webHidden/>
              </w:rPr>
              <w:fldChar w:fldCharType="begin"/>
            </w:r>
            <w:r w:rsidR="00BB0757">
              <w:rPr>
                <w:noProof/>
                <w:webHidden/>
              </w:rPr>
              <w:instrText xml:space="preserve"> PAGEREF _Toc468285973 \h </w:instrText>
            </w:r>
            <w:r w:rsidR="00BB0757">
              <w:rPr>
                <w:noProof/>
                <w:webHidden/>
              </w:rPr>
            </w:r>
            <w:r w:rsidR="00BB0757">
              <w:rPr>
                <w:noProof/>
                <w:webHidden/>
              </w:rPr>
              <w:fldChar w:fldCharType="separate"/>
            </w:r>
            <w:r w:rsidR="00BB0757">
              <w:rPr>
                <w:noProof/>
                <w:webHidden/>
              </w:rPr>
              <w:t>105</w:t>
            </w:r>
            <w:r w:rsidR="00BB0757">
              <w:rPr>
                <w:noProof/>
                <w:webHidden/>
              </w:rPr>
              <w:fldChar w:fldCharType="end"/>
            </w:r>
          </w:hyperlink>
        </w:p>
        <w:p w14:paraId="313E140D" w14:textId="63685F26" w:rsidR="00BB0757" w:rsidRDefault="00245D68">
          <w:pPr>
            <w:pStyle w:val="TOC3"/>
            <w:tabs>
              <w:tab w:val="left" w:pos="1320"/>
              <w:tab w:val="right" w:leader="dot" w:pos="9016"/>
            </w:tabs>
            <w:rPr>
              <w:noProof/>
              <w:lang w:eastAsia="en-GB"/>
            </w:rPr>
          </w:pPr>
          <w:hyperlink w:anchor="_Toc468285974" w:history="1">
            <w:r w:rsidR="00BB0757" w:rsidRPr="008B228F">
              <w:rPr>
                <w:rStyle w:val="Hyperlink"/>
                <w:noProof/>
              </w:rPr>
              <w:t>6.1.3</w:t>
            </w:r>
            <w:r w:rsidR="00BB0757">
              <w:rPr>
                <w:noProof/>
                <w:lang w:eastAsia="en-GB"/>
              </w:rPr>
              <w:tab/>
            </w:r>
            <w:r w:rsidR="00BB0757" w:rsidRPr="008B228F">
              <w:rPr>
                <w:rStyle w:val="Hyperlink"/>
                <w:noProof/>
              </w:rPr>
              <w:t>Implications for this review</w:t>
            </w:r>
            <w:r w:rsidR="00BB0757">
              <w:rPr>
                <w:noProof/>
                <w:webHidden/>
              </w:rPr>
              <w:tab/>
            </w:r>
            <w:r w:rsidR="00BB0757">
              <w:rPr>
                <w:noProof/>
                <w:webHidden/>
              </w:rPr>
              <w:fldChar w:fldCharType="begin"/>
            </w:r>
            <w:r w:rsidR="00BB0757">
              <w:rPr>
                <w:noProof/>
                <w:webHidden/>
              </w:rPr>
              <w:instrText xml:space="preserve"> PAGEREF _Toc468285974 \h </w:instrText>
            </w:r>
            <w:r w:rsidR="00BB0757">
              <w:rPr>
                <w:noProof/>
                <w:webHidden/>
              </w:rPr>
            </w:r>
            <w:r w:rsidR="00BB0757">
              <w:rPr>
                <w:noProof/>
                <w:webHidden/>
              </w:rPr>
              <w:fldChar w:fldCharType="separate"/>
            </w:r>
            <w:r w:rsidR="00BB0757">
              <w:rPr>
                <w:noProof/>
                <w:webHidden/>
              </w:rPr>
              <w:t>106</w:t>
            </w:r>
            <w:r w:rsidR="00BB0757">
              <w:rPr>
                <w:noProof/>
                <w:webHidden/>
              </w:rPr>
              <w:fldChar w:fldCharType="end"/>
            </w:r>
          </w:hyperlink>
        </w:p>
        <w:p w14:paraId="3594046D" w14:textId="19CDDCCF" w:rsidR="00BB0757" w:rsidRDefault="00245D68">
          <w:pPr>
            <w:pStyle w:val="TOC3"/>
            <w:tabs>
              <w:tab w:val="left" w:pos="1320"/>
              <w:tab w:val="right" w:leader="dot" w:pos="9016"/>
            </w:tabs>
            <w:rPr>
              <w:noProof/>
              <w:lang w:eastAsia="en-GB"/>
            </w:rPr>
          </w:pPr>
          <w:hyperlink w:anchor="_Toc468285975" w:history="1">
            <w:r w:rsidR="00BB0757" w:rsidRPr="008B228F">
              <w:rPr>
                <w:rStyle w:val="Hyperlink"/>
                <w:noProof/>
              </w:rPr>
              <w:t>6.1.4</w:t>
            </w:r>
            <w:r w:rsidR="00BB0757">
              <w:rPr>
                <w:noProof/>
                <w:lang w:eastAsia="en-GB"/>
              </w:rPr>
              <w:tab/>
            </w:r>
            <w:r w:rsidR="00BB0757" w:rsidRPr="008B228F">
              <w:rPr>
                <w:rStyle w:val="Hyperlink"/>
                <w:noProof/>
              </w:rPr>
              <w:t>Moderators of work engagement interventions</w:t>
            </w:r>
            <w:r w:rsidR="00BB0757">
              <w:rPr>
                <w:noProof/>
                <w:webHidden/>
              </w:rPr>
              <w:tab/>
            </w:r>
            <w:r w:rsidR="00BB0757">
              <w:rPr>
                <w:noProof/>
                <w:webHidden/>
              </w:rPr>
              <w:fldChar w:fldCharType="begin"/>
            </w:r>
            <w:r w:rsidR="00BB0757">
              <w:rPr>
                <w:noProof/>
                <w:webHidden/>
              </w:rPr>
              <w:instrText xml:space="preserve"> PAGEREF _Toc468285975 \h </w:instrText>
            </w:r>
            <w:r w:rsidR="00BB0757">
              <w:rPr>
                <w:noProof/>
                <w:webHidden/>
              </w:rPr>
            </w:r>
            <w:r w:rsidR="00BB0757">
              <w:rPr>
                <w:noProof/>
                <w:webHidden/>
              </w:rPr>
              <w:fldChar w:fldCharType="separate"/>
            </w:r>
            <w:r w:rsidR="00BB0757">
              <w:rPr>
                <w:noProof/>
                <w:webHidden/>
              </w:rPr>
              <w:t>106</w:t>
            </w:r>
            <w:r w:rsidR="00BB0757">
              <w:rPr>
                <w:noProof/>
                <w:webHidden/>
              </w:rPr>
              <w:fldChar w:fldCharType="end"/>
            </w:r>
          </w:hyperlink>
        </w:p>
        <w:p w14:paraId="0A7A8AF0" w14:textId="1026A04F" w:rsidR="00BB0757" w:rsidRDefault="00245D68">
          <w:pPr>
            <w:pStyle w:val="TOC2"/>
            <w:tabs>
              <w:tab w:val="left" w:pos="880"/>
              <w:tab w:val="right" w:leader="dot" w:pos="9016"/>
            </w:tabs>
            <w:rPr>
              <w:noProof/>
              <w:lang w:eastAsia="en-GB"/>
            </w:rPr>
          </w:pPr>
          <w:hyperlink w:anchor="_Toc468285976" w:history="1">
            <w:r w:rsidR="00BB0757" w:rsidRPr="008B228F">
              <w:rPr>
                <w:rStyle w:val="Hyperlink"/>
                <w:noProof/>
              </w:rPr>
              <w:t>6.2</w:t>
            </w:r>
            <w:r w:rsidR="00BB0757">
              <w:rPr>
                <w:noProof/>
                <w:lang w:eastAsia="en-GB"/>
              </w:rPr>
              <w:tab/>
            </w:r>
            <w:r w:rsidR="00BB0757" w:rsidRPr="008B228F">
              <w:rPr>
                <w:rStyle w:val="Hyperlink"/>
                <w:noProof/>
              </w:rPr>
              <w:t>Method</w:t>
            </w:r>
            <w:r w:rsidR="00BB0757">
              <w:rPr>
                <w:noProof/>
                <w:webHidden/>
              </w:rPr>
              <w:tab/>
            </w:r>
            <w:r w:rsidR="00BB0757">
              <w:rPr>
                <w:noProof/>
                <w:webHidden/>
              </w:rPr>
              <w:fldChar w:fldCharType="begin"/>
            </w:r>
            <w:r w:rsidR="00BB0757">
              <w:rPr>
                <w:noProof/>
                <w:webHidden/>
              </w:rPr>
              <w:instrText xml:space="preserve"> PAGEREF _Toc468285976 \h </w:instrText>
            </w:r>
            <w:r w:rsidR="00BB0757">
              <w:rPr>
                <w:noProof/>
                <w:webHidden/>
              </w:rPr>
            </w:r>
            <w:r w:rsidR="00BB0757">
              <w:rPr>
                <w:noProof/>
                <w:webHidden/>
              </w:rPr>
              <w:fldChar w:fldCharType="separate"/>
            </w:r>
            <w:r w:rsidR="00BB0757">
              <w:rPr>
                <w:noProof/>
                <w:webHidden/>
              </w:rPr>
              <w:t>106</w:t>
            </w:r>
            <w:r w:rsidR="00BB0757">
              <w:rPr>
                <w:noProof/>
                <w:webHidden/>
              </w:rPr>
              <w:fldChar w:fldCharType="end"/>
            </w:r>
          </w:hyperlink>
        </w:p>
        <w:p w14:paraId="1A30DBA7" w14:textId="7ED07D91" w:rsidR="00BB0757" w:rsidRDefault="00245D68">
          <w:pPr>
            <w:pStyle w:val="TOC3"/>
            <w:tabs>
              <w:tab w:val="left" w:pos="1320"/>
              <w:tab w:val="right" w:leader="dot" w:pos="9016"/>
            </w:tabs>
            <w:rPr>
              <w:noProof/>
              <w:lang w:eastAsia="en-GB"/>
            </w:rPr>
          </w:pPr>
          <w:hyperlink w:anchor="_Toc468285977" w:history="1">
            <w:r w:rsidR="00BB0757" w:rsidRPr="008B228F">
              <w:rPr>
                <w:rStyle w:val="Hyperlink"/>
                <w:noProof/>
              </w:rPr>
              <w:t>6.2.1</w:t>
            </w:r>
            <w:r w:rsidR="00BB0757">
              <w:rPr>
                <w:noProof/>
                <w:lang w:eastAsia="en-GB"/>
              </w:rPr>
              <w:tab/>
            </w:r>
            <w:r w:rsidR="00BB0757" w:rsidRPr="008B228F">
              <w:rPr>
                <w:rStyle w:val="Hyperlink"/>
                <w:noProof/>
              </w:rPr>
              <w:t>Literature search and inclusion criteria</w:t>
            </w:r>
            <w:r w:rsidR="00BB0757">
              <w:rPr>
                <w:noProof/>
                <w:webHidden/>
              </w:rPr>
              <w:tab/>
            </w:r>
            <w:r w:rsidR="00BB0757">
              <w:rPr>
                <w:noProof/>
                <w:webHidden/>
              </w:rPr>
              <w:fldChar w:fldCharType="begin"/>
            </w:r>
            <w:r w:rsidR="00BB0757">
              <w:rPr>
                <w:noProof/>
                <w:webHidden/>
              </w:rPr>
              <w:instrText xml:space="preserve"> PAGEREF _Toc468285977 \h </w:instrText>
            </w:r>
            <w:r w:rsidR="00BB0757">
              <w:rPr>
                <w:noProof/>
                <w:webHidden/>
              </w:rPr>
            </w:r>
            <w:r w:rsidR="00BB0757">
              <w:rPr>
                <w:noProof/>
                <w:webHidden/>
              </w:rPr>
              <w:fldChar w:fldCharType="separate"/>
            </w:r>
            <w:r w:rsidR="00BB0757">
              <w:rPr>
                <w:noProof/>
                <w:webHidden/>
              </w:rPr>
              <w:t>106</w:t>
            </w:r>
            <w:r w:rsidR="00BB0757">
              <w:rPr>
                <w:noProof/>
                <w:webHidden/>
              </w:rPr>
              <w:fldChar w:fldCharType="end"/>
            </w:r>
          </w:hyperlink>
        </w:p>
        <w:p w14:paraId="5F674D90" w14:textId="0DC6C984" w:rsidR="00BB0757" w:rsidRDefault="00245D68">
          <w:pPr>
            <w:pStyle w:val="TOC3"/>
            <w:tabs>
              <w:tab w:val="left" w:pos="1320"/>
              <w:tab w:val="right" w:leader="dot" w:pos="9016"/>
            </w:tabs>
            <w:rPr>
              <w:noProof/>
              <w:lang w:eastAsia="en-GB"/>
            </w:rPr>
          </w:pPr>
          <w:hyperlink w:anchor="_Toc468285978" w:history="1">
            <w:r w:rsidR="00BB0757" w:rsidRPr="008B228F">
              <w:rPr>
                <w:rStyle w:val="Hyperlink"/>
                <w:noProof/>
              </w:rPr>
              <w:t>6.2.2</w:t>
            </w:r>
            <w:r w:rsidR="00BB0757">
              <w:rPr>
                <w:noProof/>
                <w:lang w:eastAsia="en-GB"/>
              </w:rPr>
              <w:tab/>
            </w:r>
            <w:r w:rsidR="00BB0757" w:rsidRPr="008B228F">
              <w:rPr>
                <w:rStyle w:val="Hyperlink"/>
                <w:noProof/>
              </w:rPr>
              <w:t>Coding of studies</w:t>
            </w:r>
            <w:r w:rsidR="00BB0757">
              <w:rPr>
                <w:noProof/>
                <w:webHidden/>
              </w:rPr>
              <w:tab/>
            </w:r>
            <w:r w:rsidR="00BB0757">
              <w:rPr>
                <w:noProof/>
                <w:webHidden/>
              </w:rPr>
              <w:fldChar w:fldCharType="begin"/>
            </w:r>
            <w:r w:rsidR="00BB0757">
              <w:rPr>
                <w:noProof/>
                <w:webHidden/>
              </w:rPr>
              <w:instrText xml:space="preserve"> PAGEREF _Toc468285978 \h </w:instrText>
            </w:r>
            <w:r w:rsidR="00BB0757">
              <w:rPr>
                <w:noProof/>
                <w:webHidden/>
              </w:rPr>
            </w:r>
            <w:r w:rsidR="00BB0757">
              <w:rPr>
                <w:noProof/>
                <w:webHidden/>
              </w:rPr>
              <w:fldChar w:fldCharType="separate"/>
            </w:r>
            <w:r w:rsidR="00BB0757">
              <w:rPr>
                <w:noProof/>
                <w:webHidden/>
              </w:rPr>
              <w:t>107</w:t>
            </w:r>
            <w:r w:rsidR="00BB0757">
              <w:rPr>
                <w:noProof/>
                <w:webHidden/>
              </w:rPr>
              <w:fldChar w:fldCharType="end"/>
            </w:r>
          </w:hyperlink>
        </w:p>
        <w:p w14:paraId="19177A7C" w14:textId="4FFDD8EC" w:rsidR="00BB0757" w:rsidRDefault="00245D68">
          <w:pPr>
            <w:pStyle w:val="TOC3"/>
            <w:tabs>
              <w:tab w:val="left" w:pos="1320"/>
              <w:tab w:val="right" w:leader="dot" w:pos="9016"/>
            </w:tabs>
            <w:rPr>
              <w:noProof/>
              <w:lang w:eastAsia="en-GB"/>
            </w:rPr>
          </w:pPr>
          <w:hyperlink w:anchor="_Toc468285979" w:history="1">
            <w:r w:rsidR="00BB0757" w:rsidRPr="008B228F">
              <w:rPr>
                <w:rStyle w:val="Hyperlink"/>
                <w:noProof/>
              </w:rPr>
              <w:t>6.2.3</w:t>
            </w:r>
            <w:r w:rsidR="00BB0757">
              <w:rPr>
                <w:noProof/>
                <w:lang w:eastAsia="en-GB"/>
              </w:rPr>
              <w:tab/>
            </w:r>
            <w:r w:rsidR="00BB0757" w:rsidRPr="008B228F">
              <w:rPr>
                <w:rStyle w:val="Hyperlink"/>
                <w:noProof/>
              </w:rPr>
              <w:t>Coding accuracy and intercoder agreement</w:t>
            </w:r>
            <w:r w:rsidR="00BB0757">
              <w:rPr>
                <w:noProof/>
                <w:webHidden/>
              </w:rPr>
              <w:tab/>
            </w:r>
            <w:r w:rsidR="00BB0757">
              <w:rPr>
                <w:noProof/>
                <w:webHidden/>
              </w:rPr>
              <w:fldChar w:fldCharType="begin"/>
            </w:r>
            <w:r w:rsidR="00BB0757">
              <w:rPr>
                <w:noProof/>
                <w:webHidden/>
              </w:rPr>
              <w:instrText xml:space="preserve"> PAGEREF _Toc468285979 \h </w:instrText>
            </w:r>
            <w:r w:rsidR="00BB0757">
              <w:rPr>
                <w:noProof/>
                <w:webHidden/>
              </w:rPr>
            </w:r>
            <w:r w:rsidR="00BB0757">
              <w:rPr>
                <w:noProof/>
                <w:webHidden/>
              </w:rPr>
              <w:fldChar w:fldCharType="separate"/>
            </w:r>
            <w:r w:rsidR="00BB0757">
              <w:rPr>
                <w:noProof/>
                <w:webHidden/>
              </w:rPr>
              <w:t>109</w:t>
            </w:r>
            <w:r w:rsidR="00BB0757">
              <w:rPr>
                <w:noProof/>
                <w:webHidden/>
              </w:rPr>
              <w:fldChar w:fldCharType="end"/>
            </w:r>
          </w:hyperlink>
        </w:p>
        <w:p w14:paraId="34C2B37A" w14:textId="7A5D36F6" w:rsidR="00BB0757" w:rsidRDefault="00245D68">
          <w:pPr>
            <w:pStyle w:val="TOC3"/>
            <w:tabs>
              <w:tab w:val="left" w:pos="1320"/>
              <w:tab w:val="right" w:leader="dot" w:pos="9016"/>
            </w:tabs>
            <w:rPr>
              <w:noProof/>
              <w:lang w:eastAsia="en-GB"/>
            </w:rPr>
          </w:pPr>
          <w:hyperlink w:anchor="_Toc468285980" w:history="1">
            <w:r w:rsidR="00BB0757" w:rsidRPr="008B228F">
              <w:rPr>
                <w:rStyle w:val="Hyperlink"/>
                <w:noProof/>
              </w:rPr>
              <w:t>6.2.4</w:t>
            </w:r>
            <w:r w:rsidR="00BB0757">
              <w:rPr>
                <w:noProof/>
                <w:lang w:eastAsia="en-GB"/>
              </w:rPr>
              <w:tab/>
            </w:r>
            <w:r w:rsidR="00BB0757" w:rsidRPr="008B228F">
              <w:rPr>
                <w:rStyle w:val="Hyperlink"/>
                <w:noProof/>
              </w:rPr>
              <w:t>Calculation of effect sizes</w:t>
            </w:r>
            <w:r w:rsidR="00BB0757">
              <w:rPr>
                <w:noProof/>
                <w:webHidden/>
              </w:rPr>
              <w:tab/>
            </w:r>
            <w:r w:rsidR="00BB0757">
              <w:rPr>
                <w:noProof/>
                <w:webHidden/>
              </w:rPr>
              <w:fldChar w:fldCharType="begin"/>
            </w:r>
            <w:r w:rsidR="00BB0757">
              <w:rPr>
                <w:noProof/>
                <w:webHidden/>
              </w:rPr>
              <w:instrText xml:space="preserve"> PAGEREF _Toc468285980 \h </w:instrText>
            </w:r>
            <w:r w:rsidR="00BB0757">
              <w:rPr>
                <w:noProof/>
                <w:webHidden/>
              </w:rPr>
            </w:r>
            <w:r w:rsidR="00BB0757">
              <w:rPr>
                <w:noProof/>
                <w:webHidden/>
              </w:rPr>
              <w:fldChar w:fldCharType="separate"/>
            </w:r>
            <w:r w:rsidR="00BB0757">
              <w:rPr>
                <w:noProof/>
                <w:webHidden/>
              </w:rPr>
              <w:t>110</w:t>
            </w:r>
            <w:r w:rsidR="00BB0757">
              <w:rPr>
                <w:noProof/>
                <w:webHidden/>
              </w:rPr>
              <w:fldChar w:fldCharType="end"/>
            </w:r>
          </w:hyperlink>
        </w:p>
        <w:p w14:paraId="2C6C0D4A" w14:textId="46F9CDBF" w:rsidR="00BB0757" w:rsidRDefault="00245D68">
          <w:pPr>
            <w:pStyle w:val="TOC3"/>
            <w:tabs>
              <w:tab w:val="left" w:pos="1320"/>
              <w:tab w:val="right" w:leader="dot" w:pos="9016"/>
            </w:tabs>
            <w:rPr>
              <w:noProof/>
              <w:lang w:eastAsia="en-GB"/>
            </w:rPr>
          </w:pPr>
          <w:hyperlink w:anchor="_Toc468285981" w:history="1">
            <w:r w:rsidR="00BB0757" w:rsidRPr="008B228F">
              <w:rPr>
                <w:rStyle w:val="Hyperlink"/>
                <w:noProof/>
              </w:rPr>
              <w:t>6.2.5</w:t>
            </w:r>
            <w:r w:rsidR="00BB0757">
              <w:rPr>
                <w:noProof/>
                <w:lang w:eastAsia="en-GB"/>
              </w:rPr>
              <w:tab/>
            </w:r>
            <w:r w:rsidR="00BB0757" w:rsidRPr="008B228F">
              <w:rPr>
                <w:rStyle w:val="Hyperlink"/>
                <w:noProof/>
              </w:rPr>
              <w:t>Meta-analytic method</w:t>
            </w:r>
            <w:r w:rsidR="00BB0757">
              <w:rPr>
                <w:noProof/>
                <w:webHidden/>
              </w:rPr>
              <w:tab/>
            </w:r>
            <w:r w:rsidR="00BB0757">
              <w:rPr>
                <w:noProof/>
                <w:webHidden/>
              </w:rPr>
              <w:fldChar w:fldCharType="begin"/>
            </w:r>
            <w:r w:rsidR="00BB0757">
              <w:rPr>
                <w:noProof/>
                <w:webHidden/>
              </w:rPr>
              <w:instrText xml:space="preserve"> PAGEREF _Toc468285981 \h </w:instrText>
            </w:r>
            <w:r w:rsidR="00BB0757">
              <w:rPr>
                <w:noProof/>
                <w:webHidden/>
              </w:rPr>
            </w:r>
            <w:r w:rsidR="00BB0757">
              <w:rPr>
                <w:noProof/>
                <w:webHidden/>
              </w:rPr>
              <w:fldChar w:fldCharType="separate"/>
            </w:r>
            <w:r w:rsidR="00BB0757">
              <w:rPr>
                <w:noProof/>
                <w:webHidden/>
              </w:rPr>
              <w:t>111</w:t>
            </w:r>
            <w:r w:rsidR="00BB0757">
              <w:rPr>
                <w:noProof/>
                <w:webHidden/>
              </w:rPr>
              <w:fldChar w:fldCharType="end"/>
            </w:r>
          </w:hyperlink>
        </w:p>
        <w:p w14:paraId="48468BAD" w14:textId="07E2FD42" w:rsidR="00BB0757" w:rsidRDefault="00245D68">
          <w:pPr>
            <w:pStyle w:val="TOC3"/>
            <w:tabs>
              <w:tab w:val="left" w:pos="1320"/>
              <w:tab w:val="right" w:leader="dot" w:pos="9016"/>
            </w:tabs>
            <w:rPr>
              <w:noProof/>
              <w:lang w:eastAsia="en-GB"/>
            </w:rPr>
          </w:pPr>
          <w:hyperlink w:anchor="_Toc468285982" w:history="1">
            <w:r w:rsidR="00BB0757" w:rsidRPr="008B228F">
              <w:rPr>
                <w:rStyle w:val="Hyperlink"/>
                <w:noProof/>
              </w:rPr>
              <w:t>6.2.6</w:t>
            </w:r>
            <w:r w:rsidR="00BB0757">
              <w:rPr>
                <w:noProof/>
                <w:lang w:eastAsia="en-GB"/>
              </w:rPr>
              <w:tab/>
            </w:r>
            <w:r w:rsidR="00BB0757" w:rsidRPr="008B228F">
              <w:rPr>
                <w:rStyle w:val="Hyperlink"/>
                <w:noProof/>
              </w:rPr>
              <w:t>Moderator analyses</w:t>
            </w:r>
            <w:r w:rsidR="00BB0757">
              <w:rPr>
                <w:noProof/>
                <w:webHidden/>
              </w:rPr>
              <w:tab/>
            </w:r>
            <w:r w:rsidR="00BB0757">
              <w:rPr>
                <w:noProof/>
                <w:webHidden/>
              </w:rPr>
              <w:fldChar w:fldCharType="begin"/>
            </w:r>
            <w:r w:rsidR="00BB0757">
              <w:rPr>
                <w:noProof/>
                <w:webHidden/>
              </w:rPr>
              <w:instrText xml:space="preserve"> PAGEREF _Toc468285982 \h </w:instrText>
            </w:r>
            <w:r w:rsidR="00BB0757">
              <w:rPr>
                <w:noProof/>
                <w:webHidden/>
              </w:rPr>
            </w:r>
            <w:r w:rsidR="00BB0757">
              <w:rPr>
                <w:noProof/>
                <w:webHidden/>
              </w:rPr>
              <w:fldChar w:fldCharType="separate"/>
            </w:r>
            <w:r w:rsidR="00BB0757">
              <w:rPr>
                <w:noProof/>
                <w:webHidden/>
              </w:rPr>
              <w:t>111</w:t>
            </w:r>
            <w:r w:rsidR="00BB0757">
              <w:rPr>
                <w:noProof/>
                <w:webHidden/>
              </w:rPr>
              <w:fldChar w:fldCharType="end"/>
            </w:r>
          </w:hyperlink>
        </w:p>
        <w:p w14:paraId="556943BD" w14:textId="16EF127C" w:rsidR="00BB0757" w:rsidRDefault="00245D68">
          <w:pPr>
            <w:pStyle w:val="TOC3"/>
            <w:tabs>
              <w:tab w:val="left" w:pos="1320"/>
              <w:tab w:val="right" w:leader="dot" w:pos="9016"/>
            </w:tabs>
            <w:rPr>
              <w:noProof/>
              <w:lang w:eastAsia="en-GB"/>
            </w:rPr>
          </w:pPr>
          <w:hyperlink w:anchor="_Toc468285983" w:history="1">
            <w:r w:rsidR="00BB0757" w:rsidRPr="008B228F">
              <w:rPr>
                <w:rStyle w:val="Hyperlink"/>
                <w:noProof/>
              </w:rPr>
              <w:t>6.2.7</w:t>
            </w:r>
            <w:r w:rsidR="00BB0757">
              <w:rPr>
                <w:noProof/>
                <w:lang w:eastAsia="en-GB"/>
              </w:rPr>
              <w:tab/>
            </w:r>
            <w:r w:rsidR="00BB0757" w:rsidRPr="008B228F">
              <w:rPr>
                <w:rStyle w:val="Hyperlink"/>
                <w:noProof/>
              </w:rPr>
              <w:t>Sensitivity analyses</w:t>
            </w:r>
            <w:r w:rsidR="00BB0757">
              <w:rPr>
                <w:noProof/>
                <w:webHidden/>
              </w:rPr>
              <w:tab/>
            </w:r>
            <w:r w:rsidR="00BB0757">
              <w:rPr>
                <w:noProof/>
                <w:webHidden/>
              </w:rPr>
              <w:fldChar w:fldCharType="begin"/>
            </w:r>
            <w:r w:rsidR="00BB0757">
              <w:rPr>
                <w:noProof/>
                <w:webHidden/>
              </w:rPr>
              <w:instrText xml:space="preserve"> PAGEREF _Toc468285983 \h </w:instrText>
            </w:r>
            <w:r w:rsidR="00BB0757">
              <w:rPr>
                <w:noProof/>
                <w:webHidden/>
              </w:rPr>
            </w:r>
            <w:r w:rsidR="00BB0757">
              <w:rPr>
                <w:noProof/>
                <w:webHidden/>
              </w:rPr>
              <w:fldChar w:fldCharType="separate"/>
            </w:r>
            <w:r w:rsidR="00BB0757">
              <w:rPr>
                <w:noProof/>
                <w:webHidden/>
              </w:rPr>
              <w:t>112</w:t>
            </w:r>
            <w:r w:rsidR="00BB0757">
              <w:rPr>
                <w:noProof/>
                <w:webHidden/>
              </w:rPr>
              <w:fldChar w:fldCharType="end"/>
            </w:r>
          </w:hyperlink>
        </w:p>
        <w:p w14:paraId="425885F9" w14:textId="62EEE464" w:rsidR="00BB0757" w:rsidRDefault="00245D68">
          <w:pPr>
            <w:pStyle w:val="TOC2"/>
            <w:tabs>
              <w:tab w:val="left" w:pos="880"/>
              <w:tab w:val="right" w:leader="dot" w:pos="9016"/>
            </w:tabs>
            <w:rPr>
              <w:noProof/>
              <w:lang w:eastAsia="en-GB"/>
            </w:rPr>
          </w:pPr>
          <w:hyperlink w:anchor="_Toc468285984" w:history="1">
            <w:r w:rsidR="00BB0757" w:rsidRPr="008B228F">
              <w:rPr>
                <w:rStyle w:val="Hyperlink"/>
                <w:noProof/>
              </w:rPr>
              <w:t>6.3</w:t>
            </w:r>
            <w:r w:rsidR="00BB0757">
              <w:rPr>
                <w:noProof/>
                <w:lang w:eastAsia="en-GB"/>
              </w:rPr>
              <w:tab/>
            </w:r>
            <w:r w:rsidR="00BB0757" w:rsidRPr="008B228F">
              <w:rPr>
                <w:rStyle w:val="Hyperlink"/>
                <w:noProof/>
              </w:rPr>
              <w:t>Results</w:t>
            </w:r>
            <w:r w:rsidR="00BB0757">
              <w:rPr>
                <w:noProof/>
                <w:webHidden/>
              </w:rPr>
              <w:tab/>
            </w:r>
            <w:r w:rsidR="00BB0757">
              <w:rPr>
                <w:noProof/>
                <w:webHidden/>
              </w:rPr>
              <w:fldChar w:fldCharType="begin"/>
            </w:r>
            <w:r w:rsidR="00BB0757">
              <w:rPr>
                <w:noProof/>
                <w:webHidden/>
              </w:rPr>
              <w:instrText xml:space="preserve"> PAGEREF _Toc468285984 \h </w:instrText>
            </w:r>
            <w:r w:rsidR="00BB0757">
              <w:rPr>
                <w:noProof/>
                <w:webHidden/>
              </w:rPr>
            </w:r>
            <w:r w:rsidR="00BB0757">
              <w:rPr>
                <w:noProof/>
                <w:webHidden/>
              </w:rPr>
              <w:fldChar w:fldCharType="separate"/>
            </w:r>
            <w:r w:rsidR="00BB0757">
              <w:rPr>
                <w:noProof/>
                <w:webHidden/>
              </w:rPr>
              <w:t>113</w:t>
            </w:r>
            <w:r w:rsidR="00BB0757">
              <w:rPr>
                <w:noProof/>
                <w:webHidden/>
              </w:rPr>
              <w:fldChar w:fldCharType="end"/>
            </w:r>
          </w:hyperlink>
        </w:p>
        <w:p w14:paraId="591872E7" w14:textId="703B8037" w:rsidR="00BB0757" w:rsidRDefault="00245D68">
          <w:pPr>
            <w:pStyle w:val="TOC3"/>
            <w:tabs>
              <w:tab w:val="left" w:pos="1320"/>
              <w:tab w:val="right" w:leader="dot" w:pos="9016"/>
            </w:tabs>
            <w:rPr>
              <w:noProof/>
              <w:lang w:eastAsia="en-GB"/>
            </w:rPr>
          </w:pPr>
          <w:hyperlink w:anchor="_Toc468285985" w:history="1">
            <w:r w:rsidR="00BB0757" w:rsidRPr="008B228F">
              <w:rPr>
                <w:rStyle w:val="Hyperlink"/>
                <w:noProof/>
              </w:rPr>
              <w:t>6.3.1</w:t>
            </w:r>
            <w:r w:rsidR="00BB0757">
              <w:rPr>
                <w:noProof/>
                <w:lang w:eastAsia="en-GB"/>
              </w:rPr>
              <w:tab/>
            </w:r>
            <w:r w:rsidR="00BB0757" w:rsidRPr="008B228F">
              <w:rPr>
                <w:rStyle w:val="Hyperlink"/>
                <w:noProof/>
              </w:rPr>
              <w:t>Description of the search results</w:t>
            </w:r>
            <w:r w:rsidR="00BB0757">
              <w:rPr>
                <w:noProof/>
                <w:webHidden/>
              </w:rPr>
              <w:tab/>
            </w:r>
            <w:r w:rsidR="00BB0757">
              <w:rPr>
                <w:noProof/>
                <w:webHidden/>
              </w:rPr>
              <w:fldChar w:fldCharType="begin"/>
            </w:r>
            <w:r w:rsidR="00BB0757">
              <w:rPr>
                <w:noProof/>
                <w:webHidden/>
              </w:rPr>
              <w:instrText xml:space="preserve"> PAGEREF _Toc468285985 \h </w:instrText>
            </w:r>
            <w:r w:rsidR="00BB0757">
              <w:rPr>
                <w:noProof/>
                <w:webHidden/>
              </w:rPr>
            </w:r>
            <w:r w:rsidR="00BB0757">
              <w:rPr>
                <w:noProof/>
                <w:webHidden/>
              </w:rPr>
              <w:fldChar w:fldCharType="separate"/>
            </w:r>
            <w:r w:rsidR="00BB0757">
              <w:rPr>
                <w:noProof/>
                <w:webHidden/>
              </w:rPr>
              <w:t>113</w:t>
            </w:r>
            <w:r w:rsidR="00BB0757">
              <w:rPr>
                <w:noProof/>
                <w:webHidden/>
              </w:rPr>
              <w:fldChar w:fldCharType="end"/>
            </w:r>
          </w:hyperlink>
        </w:p>
        <w:p w14:paraId="19FCF2C5" w14:textId="330D91A4" w:rsidR="00BB0757" w:rsidRDefault="00245D68">
          <w:pPr>
            <w:pStyle w:val="TOC3"/>
            <w:tabs>
              <w:tab w:val="left" w:pos="1320"/>
              <w:tab w:val="right" w:leader="dot" w:pos="9016"/>
            </w:tabs>
            <w:rPr>
              <w:noProof/>
              <w:lang w:eastAsia="en-GB"/>
            </w:rPr>
          </w:pPr>
          <w:hyperlink w:anchor="_Toc468285986" w:history="1">
            <w:r w:rsidR="00BB0757" w:rsidRPr="008B228F">
              <w:rPr>
                <w:rStyle w:val="Hyperlink"/>
                <w:noProof/>
              </w:rPr>
              <w:t>6.3.2</w:t>
            </w:r>
            <w:r w:rsidR="00BB0757">
              <w:rPr>
                <w:noProof/>
                <w:lang w:eastAsia="en-GB"/>
              </w:rPr>
              <w:tab/>
            </w:r>
            <w:r w:rsidR="00BB0757" w:rsidRPr="008B228F">
              <w:rPr>
                <w:rStyle w:val="Hyperlink"/>
                <w:noProof/>
              </w:rPr>
              <w:t>Meta-analytic results</w:t>
            </w:r>
            <w:r w:rsidR="00BB0757">
              <w:rPr>
                <w:noProof/>
                <w:webHidden/>
              </w:rPr>
              <w:tab/>
            </w:r>
            <w:r w:rsidR="00BB0757">
              <w:rPr>
                <w:noProof/>
                <w:webHidden/>
              </w:rPr>
              <w:fldChar w:fldCharType="begin"/>
            </w:r>
            <w:r w:rsidR="00BB0757">
              <w:rPr>
                <w:noProof/>
                <w:webHidden/>
              </w:rPr>
              <w:instrText xml:space="preserve"> PAGEREF _Toc468285986 \h </w:instrText>
            </w:r>
            <w:r w:rsidR="00BB0757">
              <w:rPr>
                <w:noProof/>
                <w:webHidden/>
              </w:rPr>
            </w:r>
            <w:r w:rsidR="00BB0757">
              <w:rPr>
                <w:noProof/>
                <w:webHidden/>
              </w:rPr>
              <w:fldChar w:fldCharType="separate"/>
            </w:r>
            <w:r w:rsidR="00BB0757">
              <w:rPr>
                <w:noProof/>
                <w:webHidden/>
              </w:rPr>
              <w:t>115</w:t>
            </w:r>
            <w:r w:rsidR="00BB0757">
              <w:rPr>
                <w:noProof/>
                <w:webHidden/>
              </w:rPr>
              <w:fldChar w:fldCharType="end"/>
            </w:r>
          </w:hyperlink>
        </w:p>
        <w:p w14:paraId="17FA23CB" w14:textId="42C6B6FA" w:rsidR="00BB0757" w:rsidRDefault="00245D68">
          <w:pPr>
            <w:pStyle w:val="TOC3"/>
            <w:tabs>
              <w:tab w:val="left" w:pos="1320"/>
              <w:tab w:val="right" w:leader="dot" w:pos="9016"/>
            </w:tabs>
            <w:rPr>
              <w:noProof/>
              <w:lang w:eastAsia="en-GB"/>
            </w:rPr>
          </w:pPr>
          <w:hyperlink w:anchor="_Toc468285987" w:history="1">
            <w:r w:rsidR="00BB0757" w:rsidRPr="008B228F">
              <w:rPr>
                <w:rStyle w:val="Hyperlink"/>
                <w:noProof/>
              </w:rPr>
              <w:t>6.3.3</w:t>
            </w:r>
            <w:r w:rsidR="00BB0757">
              <w:rPr>
                <w:noProof/>
                <w:lang w:eastAsia="en-GB"/>
              </w:rPr>
              <w:tab/>
            </w:r>
            <w:r w:rsidR="00BB0757" w:rsidRPr="008B228F">
              <w:rPr>
                <w:rStyle w:val="Hyperlink"/>
                <w:noProof/>
              </w:rPr>
              <w:t>Moderator analyses</w:t>
            </w:r>
            <w:r w:rsidR="00BB0757">
              <w:rPr>
                <w:noProof/>
                <w:webHidden/>
              </w:rPr>
              <w:tab/>
            </w:r>
            <w:r w:rsidR="00BB0757">
              <w:rPr>
                <w:noProof/>
                <w:webHidden/>
              </w:rPr>
              <w:fldChar w:fldCharType="begin"/>
            </w:r>
            <w:r w:rsidR="00BB0757">
              <w:rPr>
                <w:noProof/>
                <w:webHidden/>
              </w:rPr>
              <w:instrText xml:space="preserve"> PAGEREF _Toc468285987 \h </w:instrText>
            </w:r>
            <w:r w:rsidR="00BB0757">
              <w:rPr>
                <w:noProof/>
                <w:webHidden/>
              </w:rPr>
            </w:r>
            <w:r w:rsidR="00BB0757">
              <w:rPr>
                <w:noProof/>
                <w:webHidden/>
              </w:rPr>
              <w:fldChar w:fldCharType="separate"/>
            </w:r>
            <w:r w:rsidR="00BB0757">
              <w:rPr>
                <w:noProof/>
                <w:webHidden/>
              </w:rPr>
              <w:t>117</w:t>
            </w:r>
            <w:r w:rsidR="00BB0757">
              <w:rPr>
                <w:noProof/>
                <w:webHidden/>
              </w:rPr>
              <w:fldChar w:fldCharType="end"/>
            </w:r>
          </w:hyperlink>
        </w:p>
        <w:p w14:paraId="723BED5F" w14:textId="5C4A0228" w:rsidR="00BB0757" w:rsidRDefault="00245D68">
          <w:pPr>
            <w:pStyle w:val="TOC3"/>
            <w:tabs>
              <w:tab w:val="left" w:pos="1320"/>
              <w:tab w:val="right" w:leader="dot" w:pos="9016"/>
            </w:tabs>
            <w:rPr>
              <w:noProof/>
              <w:lang w:eastAsia="en-GB"/>
            </w:rPr>
          </w:pPr>
          <w:hyperlink w:anchor="_Toc468285988" w:history="1">
            <w:r w:rsidR="00BB0757" w:rsidRPr="008B228F">
              <w:rPr>
                <w:rStyle w:val="Hyperlink"/>
                <w:noProof/>
              </w:rPr>
              <w:t>6.3.4</w:t>
            </w:r>
            <w:r w:rsidR="00BB0757">
              <w:rPr>
                <w:noProof/>
                <w:lang w:eastAsia="en-GB"/>
              </w:rPr>
              <w:tab/>
            </w:r>
            <w:r w:rsidR="00BB0757" w:rsidRPr="008B228F">
              <w:rPr>
                <w:rStyle w:val="Hyperlink"/>
                <w:noProof/>
              </w:rPr>
              <w:t>Sensitivity analyses</w:t>
            </w:r>
            <w:r w:rsidR="00BB0757">
              <w:rPr>
                <w:noProof/>
                <w:webHidden/>
              </w:rPr>
              <w:tab/>
            </w:r>
            <w:r w:rsidR="00BB0757">
              <w:rPr>
                <w:noProof/>
                <w:webHidden/>
              </w:rPr>
              <w:fldChar w:fldCharType="begin"/>
            </w:r>
            <w:r w:rsidR="00BB0757">
              <w:rPr>
                <w:noProof/>
                <w:webHidden/>
              </w:rPr>
              <w:instrText xml:space="preserve"> PAGEREF _Toc468285988 \h </w:instrText>
            </w:r>
            <w:r w:rsidR="00BB0757">
              <w:rPr>
                <w:noProof/>
                <w:webHidden/>
              </w:rPr>
            </w:r>
            <w:r w:rsidR="00BB0757">
              <w:rPr>
                <w:noProof/>
                <w:webHidden/>
              </w:rPr>
              <w:fldChar w:fldCharType="separate"/>
            </w:r>
            <w:r w:rsidR="00BB0757">
              <w:rPr>
                <w:noProof/>
                <w:webHidden/>
              </w:rPr>
              <w:t>120</w:t>
            </w:r>
            <w:r w:rsidR="00BB0757">
              <w:rPr>
                <w:noProof/>
                <w:webHidden/>
              </w:rPr>
              <w:fldChar w:fldCharType="end"/>
            </w:r>
          </w:hyperlink>
        </w:p>
        <w:p w14:paraId="000E526C" w14:textId="41EB9F4B" w:rsidR="00BB0757" w:rsidRDefault="00245D68">
          <w:pPr>
            <w:pStyle w:val="TOC3"/>
            <w:tabs>
              <w:tab w:val="left" w:pos="1320"/>
              <w:tab w:val="right" w:leader="dot" w:pos="9016"/>
            </w:tabs>
            <w:rPr>
              <w:noProof/>
              <w:lang w:eastAsia="en-GB"/>
            </w:rPr>
          </w:pPr>
          <w:hyperlink w:anchor="_Toc468285989" w:history="1">
            <w:r w:rsidR="00BB0757" w:rsidRPr="008B228F">
              <w:rPr>
                <w:rStyle w:val="Hyperlink"/>
                <w:noProof/>
              </w:rPr>
              <w:t>6.3.5</w:t>
            </w:r>
            <w:r w:rsidR="00BB0757">
              <w:rPr>
                <w:noProof/>
                <w:lang w:eastAsia="en-GB"/>
              </w:rPr>
              <w:tab/>
            </w:r>
            <w:r w:rsidR="00BB0757" w:rsidRPr="008B228F">
              <w:rPr>
                <w:rStyle w:val="Hyperlink"/>
                <w:noProof/>
              </w:rPr>
              <w:t>Risk of bias within and across studies</w:t>
            </w:r>
            <w:r w:rsidR="00BB0757">
              <w:rPr>
                <w:noProof/>
                <w:webHidden/>
              </w:rPr>
              <w:tab/>
            </w:r>
            <w:r w:rsidR="00BB0757">
              <w:rPr>
                <w:noProof/>
                <w:webHidden/>
              </w:rPr>
              <w:fldChar w:fldCharType="begin"/>
            </w:r>
            <w:r w:rsidR="00BB0757">
              <w:rPr>
                <w:noProof/>
                <w:webHidden/>
              </w:rPr>
              <w:instrText xml:space="preserve"> PAGEREF _Toc468285989 \h </w:instrText>
            </w:r>
            <w:r w:rsidR="00BB0757">
              <w:rPr>
                <w:noProof/>
                <w:webHidden/>
              </w:rPr>
            </w:r>
            <w:r w:rsidR="00BB0757">
              <w:rPr>
                <w:noProof/>
                <w:webHidden/>
              </w:rPr>
              <w:fldChar w:fldCharType="separate"/>
            </w:r>
            <w:r w:rsidR="00BB0757">
              <w:rPr>
                <w:noProof/>
                <w:webHidden/>
              </w:rPr>
              <w:t>121</w:t>
            </w:r>
            <w:r w:rsidR="00BB0757">
              <w:rPr>
                <w:noProof/>
                <w:webHidden/>
              </w:rPr>
              <w:fldChar w:fldCharType="end"/>
            </w:r>
          </w:hyperlink>
        </w:p>
        <w:p w14:paraId="407CA4EB" w14:textId="7A6D75F6" w:rsidR="00BB0757" w:rsidRDefault="00245D68">
          <w:pPr>
            <w:pStyle w:val="TOC3"/>
            <w:tabs>
              <w:tab w:val="left" w:pos="1320"/>
              <w:tab w:val="right" w:leader="dot" w:pos="9016"/>
            </w:tabs>
            <w:rPr>
              <w:noProof/>
              <w:lang w:eastAsia="en-GB"/>
            </w:rPr>
          </w:pPr>
          <w:hyperlink w:anchor="_Toc468285990" w:history="1">
            <w:r w:rsidR="00BB0757" w:rsidRPr="008B228F">
              <w:rPr>
                <w:rStyle w:val="Hyperlink"/>
                <w:noProof/>
              </w:rPr>
              <w:t>6.3.6</w:t>
            </w:r>
            <w:r w:rsidR="00BB0757">
              <w:rPr>
                <w:noProof/>
                <w:lang w:eastAsia="en-GB"/>
              </w:rPr>
              <w:tab/>
            </w:r>
            <w:r w:rsidR="00BB0757" w:rsidRPr="008B228F">
              <w:rPr>
                <w:rStyle w:val="Hyperlink"/>
                <w:noProof/>
              </w:rPr>
              <w:t>Publication bias</w:t>
            </w:r>
            <w:r w:rsidR="00BB0757">
              <w:rPr>
                <w:noProof/>
                <w:webHidden/>
              </w:rPr>
              <w:tab/>
            </w:r>
            <w:r w:rsidR="00BB0757">
              <w:rPr>
                <w:noProof/>
                <w:webHidden/>
              </w:rPr>
              <w:fldChar w:fldCharType="begin"/>
            </w:r>
            <w:r w:rsidR="00BB0757">
              <w:rPr>
                <w:noProof/>
                <w:webHidden/>
              </w:rPr>
              <w:instrText xml:space="preserve"> PAGEREF _Toc468285990 \h </w:instrText>
            </w:r>
            <w:r w:rsidR="00BB0757">
              <w:rPr>
                <w:noProof/>
                <w:webHidden/>
              </w:rPr>
            </w:r>
            <w:r w:rsidR="00BB0757">
              <w:rPr>
                <w:noProof/>
                <w:webHidden/>
              </w:rPr>
              <w:fldChar w:fldCharType="separate"/>
            </w:r>
            <w:r w:rsidR="00BB0757">
              <w:rPr>
                <w:noProof/>
                <w:webHidden/>
              </w:rPr>
              <w:t>125</w:t>
            </w:r>
            <w:r w:rsidR="00BB0757">
              <w:rPr>
                <w:noProof/>
                <w:webHidden/>
              </w:rPr>
              <w:fldChar w:fldCharType="end"/>
            </w:r>
          </w:hyperlink>
        </w:p>
        <w:p w14:paraId="08CFA13E" w14:textId="6222FC99" w:rsidR="00BB0757" w:rsidRDefault="00245D68">
          <w:pPr>
            <w:pStyle w:val="TOC2"/>
            <w:tabs>
              <w:tab w:val="left" w:pos="880"/>
              <w:tab w:val="right" w:leader="dot" w:pos="9016"/>
            </w:tabs>
            <w:rPr>
              <w:noProof/>
              <w:lang w:eastAsia="en-GB"/>
            </w:rPr>
          </w:pPr>
          <w:hyperlink w:anchor="_Toc468285991" w:history="1">
            <w:r w:rsidR="00BB0757" w:rsidRPr="008B228F">
              <w:rPr>
                <w:rStyle w:val="Hyperlink"/>
                <w:noProof/>
              </w:rPr>
              <w:t>6.4</w:t>
            </w:r>
            <w:r w:rsidR="00BB0757">
              <w:rPr>
                <w:noProof/>
                <w:lang w:eastAsia="en-GB"/>
              </w:rPr>
              <w:tab/>
            </w:r>
            <w:r w:rsidR="00BB0757" w:rsidRPr="008B228F">
              <w:rPr>
                <w:rStyle w:val="Hyperlink"/>
                <w:noProof/>
              </w:rPr>
              <w:t>Summary</w:t>
            </w:r>
            <w:r w:rsidR="00BB0757">
              <w:rPr>
                <w:noProof/>
                <w:webHidden/>
              </w:rPr>
              <w:tab/>
            </w:r>
            <w:r w:rsidR="00BB0757">
              <w:rPr>
                <w:noProof/>
                <w:webHidden/>
              </w:rPr>
              <w:fldChar w:fldCharType="begin"/>
            </w:r>
            <w:r w:rsidR="00BB0757">
              <w:rPr>
                <w:noProof/>
                <w:webHidden/>
              </w:rPr>
              <w:instrText xml:space="preserve"> PAGEREF _Toc468285991 \h </w:instrText>
            </w:r>
            <w:r w:rsidR="00BB0757">
              <w:rPr>
                <w:noProof/>
                <w:webHidden/>
              </w:rPr>
            </w:r>
            <w:r w:rsidR="00BB0757">
              <w:rPr>
                <w:noProof/>
                <w:webHidden/>
              </w:rPr>
              <w:fldChar w:fldCharType="separate"/>
            </w:r>
            <w:r w:rsidR="00BB0757">
              <w:rPr>
                <w:noProof/>
                <w:webHidden/>
              </w:rPr>
              <w:t>127</w:t>
            </w:r>
            <w:r w:rsidR="00BB0757">
              <w:rPr>
                <w:noProof/>
                <w:webHidden/>
              </w:rPr>
              <w:fldChar w:fldCharType="end"/>
            </w:r>
          </w:hyperlink>
        </w:p>
        <w:p w14:paraId="20698EC8" w14:textId="0314179A" w:rsidR="00BB0757" w:rsidRDefault="00245D68">
          <w:pPr>
            <w:pStyle w:val="TOC1"/>
            <w:tabs>
              <w:tab w:val="left" w:pos="440"/>
              <w:tab w:val="right" w:leader="dot" w:pos="9016"/>
            </w:tabs>
            <w:rPr>
              <w:noProof/>
              <w:lang w:eastAsia="en-GB"/>
            </w:rPr>
          </w:pPr>
          <w:hyperlink w:anchor="_Toc468285992" w:history="1">
            <w:r w:rsidR="00BB0757" w:rsidRPr="008B228F">
              <w:rPr>
                <w:rStyle w:val="Hyperlink"/>
                <w:noProof/>
              </w:rPr>
              <w:t>7</w:t>
            </w:r>
            <w:r w:rsidR="00BB0757">
              <w:rPr>
                <w:noProof/>
                <w:lang w:eastAsia="en-GB"/>
              </w:rPr>
              <w:tab/>
            </w:r>
            <w:r w:rsidR="00BB0757" w:rsidRPr="008B228F">
              <w:rPr>
                <w:rStyle w:val="Hyperlink"/>
                <w:noProof/>
              </w:rPr>
              <w:t>Study 2 method – A participatory action intervention to increase work engagement in nursing staff on acute elderly NHS wards</w:t>
            </w:r>
            <w:r w:rsidR="00BB0757">
              <w:rPr>
                <w:noProof/>
                <w:webHidden/>
              </w:rPr>
              <w:tab/>
            </w:r>
            <w:r w:rsidR="00BB0757">
              <w:rPr>
                <w:noProof/>
                <w:webHidden/>
              </w:rPr>
              <w:fldChar w:fldCharType="begin"/>
            </w:r>
            <w:r w:rsidR="00BB0757">
              <w:rPr>
                <w:noProof/>
                <w:webHidden/>
              </w:rPr>
              <w:instrText xml:space="preserve"> PAGEREF _Toc468285992 \h </w:instrText>
            </w:r>
            <w:r w:rsidR="00BB0757">
              <w:rPr>
                <w:noProof/>
                <w:webHidden/>
              </w:rPr>
            </w:r>
            <w:r w:rsidR="00BB0757">
              <w:rPr>
                <w:noProof/>
                <w:webHidden/>
              </w:rPr>
              <w:fldChar w:fldCharType="separate"/>
            </w:r>
            <w:r w:rsidR="00BB0757">
              <w:rPr>
                <w:noProof/>
                <w:webHidden/>
              </w:rPr>
              <w:t>129</w:t>
            </w:r>
            <w:r w:rsidR="00BB0757">
              <w:rPr>
                <w:noProof/>
                <w:webHidden/>
              </w:rPr>
              <w:fldChar w:fldCharType="end"/>
            </w:r>
          </w:hyperlink>
        </w:p>
        <w:p w14:paraId="0C975E89" w14:textId="28BE026E" w:rsidR="00BB0757" w:rsidRDefault="00245D68">
          <w:pPr>
            <w:pStyle w:val="TOC2"/>
            <w:tabs>
              <w:tab w:val="left" w:pos="880"/>
              <w:tab w:val="right" w:leader="dot" w:pos="9016"/>
            </w:tabs>
            <w:rPr>
              <w:noProof/>
              <w:lang w:eastAsia="en-GB"/>
            </w:rPr>
          </w:pPr>
          <w:hyperlink w:anchor="_Toc468285993" w:history="1">
            <w:r w:rsidR="00BB0757" w:rsidRPr="008B228F">
              <w:rPr>
                <w:rStyle w:val="Hyperlink"/>
                <w:noProof/>
              </w:rPr>
              <w:t>7.1</w:t>
            </w:r>
            <w:r w:rsidR="00BB0757">
              <w:rPr>
                <w:noProof/>
                <w:lang w:eastAsia="en-GB"/>
              </w:rPr>
              <w:tab/>
            </w:r>
            <w:r w:rsidR="00BB0757" w:rsidRPr="008B228F">
              <w:rPr>
                <w:rStyle w:val="Hyperlink"/>
                <w:noProof/>
              </w:rPr>
              <w:t>Design</w:t>
            </w:r>
            <w:r w:rsidR="00BB0757">
              <w:rPr>
                <w:noProof/>
                <w:webHidden/>
              </w:rPr>
              <w:tab/>
            </w:r>
            <w:r w:rsidR="00BB0757">
              <w:rPr>
                <w:noProof/>
                <w:webHidden/>
              </w:rPr>
              <w:fldChar w:fldCharType="begin"/>
            </w:r>
            <w:r w:rsidR="00BB0757">
              <w:rPr>
                <w:noProof/>
                <w:webHidden/>
              </w:rPr>
              <w:instrText xml:space="preserve"> PAGEREF _Toc468285993 \h </w:instrText>
            </w:r>
            <w:r w:rsidR="00BB0757">
              <w:rPr>
                <w:noProof/>
                <w:webHidden/>
              </w:rPr>
            </w:r>
            <w:r w:rsidR="00BB0757">
              <w:rPr>
                <w:noProof/>
                <w:webHidden/>
              </w:rPr>
              <w:fldChar w:fldCharType="separate"/>
            </w:r>
            <w:r w:rsidR="00BB0757">
              <w:rPr>
                <w:noProof/>
                <w:webHidden/>
              </w:rPr>
              <w:t>129</w:t>
            </w:r>
            <w:r w:rsidR="00BB0757">
              <w:rPr>
                <w:noProof/>
                <w:webHidden/>
              </w:rPr>
              <w:fldChar w:fldCharType="end"/>
            </w:r>
          </w:hyperlink>
        </w:p>
        <w:p w14:paraId="26125303" w14:textId="5ED47A4D" w:rsidR="00BB0757" w:rsidRDefault="00245D68">
          <w:pPr>
            <w:pStyle w:val="TOC2"/>
            <w:tabs>
              <w:tab w:val="left" w:pos="880"/>
              <w:tab w:val="right" w:leader="dot" w:pos="9016"/>
            </w:tabs>
            <w:rPr>
              <w:noProof/>
              <w:lang w:eastAsia="en-GB"/>
            </w:rPr>
          </w:pPr>
          <w:hyperlink w:anchor="_Toc468285994" w:history="1">
            <w:r w:rsidR="00BB0757" w:rsidRPr="008B228F">
              <w:rPr>
                <w:rStyle w:val="Hyperlink"/>
                <w:bCs/>
                <w:noProof/>
              </w:rPr>
              <w:t>7.2</w:t>
            </w:r>
            <w:r w:rsidR="00BB0757">
              <w:rPr>
                <w:noProof/>
                <w:lang w:eastAsia="en-GB"/>
              </w:rPr>
              <w:tab/>
            </w:r>
            <w:r w:rsidR="00BB0757" w:rsidRPr="008B228F">
              <w:rPr>
                <w:rStyle w:val="Hyperlink"/>
                <w:noProof/>
              </w:rPr>
              <w:t>Participants</w:t>
            </w:r>
            <w:r w:rsidR="00BB0757">
              <w:rPr>
                <w:noProof/>
                <w:webHidden/>
              </w:rPr>
              <w:tab/>
            </w:r>
            <w:r w:rsidR="00BB0757">
              <w:rPr>
                <w:noProof/>
                <w:webHidden/>
              </w:rPr>
              <w:fldChar w:fldCharType="begin"/>
            </w:r>
            <w:r w:rsidR="00BB0757">
              <w:rPr>
                <w:noProof/>
                <w:webHidden/>
              </w:rPr>
              <w:instrText xml:space="preserve"> PAGEREF _Toc468285994 \h </w:instrText>
            </w:r>
            <w:r w:rsidR="00BB0757">
              <w:rPr>
                <w:noProof/>
                <w:webHidden/>
              </w:rPr>
            </w:r>
            <w:r w:rsidR="00BB0757">
              <w:rPr>
                <w:noProof/>
                <w:webHidden/>
              </w:rPr>
              <w:fldChar w:fldCharType="separate"/>
            </w:r>
            <w:r w:rsidR="00BB0757">
              <w:rPr>
                <w:noProof/>
                <w:webHidden/>
              </w:rPr>
              <w:t>129</w:t>
            </w:r>
            <w:r w:rsidR="00BB0757">
              <w:rPr>
                <w:noProof/>
                <w:webHidden/>
              </w:rPr>
              <w:fldChar w:fldCharType="end"/>
            </w:r>
          </w:hyperlink>
        </w:p>
        <w:p w14:paraId="28075822" w14:textId="0F84C081" w:rsidR="00BB0757" w:rsidRDefault="00245D68">
          <w:pPr>
            <w:pStyle w:val="TOC2"/>
            <w:tabs>
              <w:tab w:val="left" w:pos="880"/>
              <w:tab w:val="right" w:leader="dot" w:pos="9016"/>
            </w:tabs>
            <w:rPr>
              <w:noProof/>
              <w:lang w:eastAsia="en-GB"/>
            </w:rPr>
          </w:pPr>
          <w:hyperlink w:anchor="_Toc468285995" w:history="1">
            <w:r w:rsidR="00BB0757" w:rsidRPr="008B228F">
              <w:rPr>
                <w:rStyle w:val="Hyperlink"/>
                <w:bCs/>
                <w:noProof/>
              </w:rPr>
              <w:t>7.3</w:t>
            </w:r>
            <w:r w:rsidR="00BB0757">
              <w:rPr>
                <w:noProof/>
                <w:lang w:eastAsia="en-GB"/>
              </w:rPr>
              <w:tab/>
            </w:r>
            <w:r w:rsidR="00BB0757" w:rsidRPr="008B228F">
              <w:rPr>
                <w:rStyle w:val="Hyperlink"/>
                <w:noProof/>
              </w:rPr>
              <w:t>Intervention procedure</w:t>
            </w:r>
            <w:r w:rsidR="00BB0757">
              <w:rPr>
                <w:noProof/>
                <w:webHidden/>
              </w:rPr>
              <w:tab/>
            </w:r>
            <w:r w:rsidR="00BB0757">
              <w:rPr>
                <w:noProof/>
                <w:webHidden/>
              </w:rPr>
              <w:fldChar w:fldCharType="begin"/>
            </w:r>
            <w:r w:rsidR="00BB0757">
              <w:rPr>
                <w:noProof/>
                <w:webHidden/>
              </w:rPr>
              <w:instrText xml:space="preserve"> PAGEREF _Toc468285995 \h </w:instrText>
            </w:r>
            <w:r w:rsidR="00BB0757">
              <w:rPr>
                <w:noProof/>
                <w:webHidden/>
              </w:rPr>
            </w:r>
            <w:r w:rsidR="00BB0757">
              <w:rPr>
                <w:noProof/>
                <w:webHidden/>
              </w:rPr>
              <w:fldChar w:fldCharType="separate"/>
            </w:r>
            <w:r w:rsidR="00BB0757">
              <w:rPr>
                <w:noProof/>
                <w:webHidden/>
              </w:rPr>
              <w:t>133</w:t>
            </w:r>
            <w:r w:rsidR="00BB0757">
              <w:rPr>
                <w:noProof/>
                <w:webHidden/>
              </w:rPr>
              <w:fldChar w:fldCharType="end"/>
            </w:r>
          </w:hyperlink>
        </w:p>
        <w:p w14:paraId="3CCCD31D" w14:textId="5D1A3FF1" w:rsidR="00BB0757" w:rsidRDefault="00245D68">
          <w:pPr>
            <w:pStyle w:val="TOC2"/>
            <w:tabs>
              <w:tab w:val="left" w:pos="880"/>
              <w:tab w:val="right" w:leader="dot" w:pos="9016"/>
            </w:tabs>
            <w:rPr>
              <w:noProof/>
              <w:lang w:eastAsia="en-GB"/>
            </w:rPr>
          </w:pPr>
          <w:hyperlink w:anchor="_Toc468285996" w:history="1">
            <w:r w:rsidR="00BB0757" w:rsidRPr="008B228F">
              <w:rPr>
                <w:rStyle w:val="Hyperlink"/>
                <w:noProof/>
              </w:rPr>
              <w:t>7.4</w:t>
            </w:r>
            <w:r w:rsidR="00BB0757">
              <w:rPr>
                <w:noProof/>
                <w:lang w:eastAsia="en-GB"/>
              </w:rPr>
              <w:tab/>
            </w:r>
            <w:r w:rsidR="00BB0757" w:rsidRPr="008B228F">
              <w:rPr>
                <w:rStyle w:val="Hyperlink"/>
                <w:noProof/>
              </w:rPr>
              <w:t>Intervention workshops</w:t>
            </w:r>
            <w:r w:rsidR="00BB0757">
              <w:rPr>
                <w:noProof/>
                <w:webHidden/>
              </w:rPr>
              <w:tab/>
            </w:r>
            <w:r w:rsidR="00BB0757">
              <w:rPr>
                <w:noProof/>
                <w:webHidden/>
              </w:rPr>
              <w:fldChar w:fldCharType="begin"/>
            </w:r>
            <w:r w:rsidR="00BB0757">
              <w:rPr>
                <w:noProof/>
                <w:webHidden/>
              </w:rPr>
              <w:instrText xml:space="preserve"> PAGEREF _Toc468285996 \h </w:instrText>
            </w:r>
            <w:r w:rsidR="00BB0757">
              <w:rPr>
                <w:noProof/>
                <w:webHidden/>
              </w:rPr>
            </w:r>
            <w:r w:rsidR="00BB0757">
              <w:rPr>
                <w:noProof/>
                <w:webHidden/>
              </w:rPr>
              <w:fldChar w:fldCharType="separate"/>
            </w:r>
            <w:r w:rsidR="00BB0757">
              <w:rPr>
                <w:noProof/>
                <w:webHidden/>
              </w:rPr>
              <w:t>136</w:t>
            </w:r>
            <w:r w:rsidR="00BB0757">
              <w:rPr>
                <w:noProof/>
                <w:webHidden/>
              </w:rPr>
              <w:fldChar w:fldCharType="end"/>
            </w:r>
          </w:hyperlink>
        </w:p>
        <w:p w14:paraId="18CBD34F" w14:textId="670E5971" w:rsidR="00BB0757" w:rsidRDefault="00245D68">
          <w:pPr>
            <w:pStyle w:val="TOC2"/>
            <w:tabs>
              <w:tab w:val="left" w:pos="880"/>
              <w:tab w:val="right" w:leader="dot" w:pos="9016"/>
            </w:tabs>
            <w:rPr>
              <w:noProof/>
              <w:lang w:eastAsia="en-GB"/>
            </w:rPr>
          </w:pPr>
          <w:hyperlink w:anchor="_Toc468285997" w:history="1">
            <w:r w:rsidR="00BB0757" w:rsidRPr="008B228F">
              <w:rPr>
                <w:rStyle w:val="Hyperlink"/>
                <w:noProof/>
              </w:rPr>
              <w:t>7.5</w:t>
            </w:r>
            <w:r w:rsidR="00BB0757">
              <w:rPr>
                <w:noProof/>
                <w:lang w:eastAsia="en-GB"/>
              </w:rPr>
              <w:tab/>
            </w:r>
            <w:r w:rsidR="00BB0757" w:rsidRPr="008B228F">
              <w:rPr>
                <w:rStyle w:val="Hyperlink"/>
                <w:noProof/>
              </w:rPr>
              <w:t>The research team</w:t>
            </w:r>
            <w:r w:rsidR="00BB0757">
              <w:rPr>
                <w:noProof/>
                <w:webHidden/>
              </w:rPr>
              <w:tab/>
            </w:r>
            <w:r w:rsidR="00BB0757">
              <w:rPr>
                <w:noProof/>
                <w:webHidden/>
              </w:rPr>
              <w:fldChar w:fldCharType="begin"/>
            </w:r>
            <w:r w:rsidR="00BB0757">
              <w:rPr>
                <w:noProof/>
                <w:webHidden/>
              </w:rPr>
              <w:instrText xml:space="preserve"> PAGEREF _Toc468285997 \h </w:instrText>
            </w:r>
            <w:r w:rsidR="00BB0757">
              <w:rPr>
                <w:noProof/>
                <w:webHidden/>
              </w:rPr>
            </w:r>
            <w:r w:rsidR="00BB0757">
              <w:rPr>
                <w:noProof/>
                <w:webHidden/>
              </w:rPr>
              <w:fldChar w:fldCharType="separate"/>
            </w:r>
            <w:r w:rsidR="00BB0757">
              <w:rPr>
                <w:noProof/>
                <w:webHidden/>
              </w:rPr>
              <w:t>139</w:t>
            </w:r>
            <w:r w:rsidR="00BB0757">
              <w:rPr>
                <w:noProof/>
                <w:webHidden/>
              </w:rPr>
              <w:fldChar w:fldCharType="end"/>
            </w:r>
          </w:hyperlink>
        </w:p>
        <w:p w14:paraId="5E763405" w14:textId="5B0831C4" w:rsidR="00BB0757" w:rsidRDefault="00245D68">
          <w:pPr>
            <w:pStyle w:val="TOC2"/>
            <w:tabs>
              <w:tab w:val="left" w:pos="880"/>
              <w:tab w:val="right" w:leader="dot" w:pos="9016"/>
            </w:tabs>
            <w:rPr>
              <w:noProof/>
              <w:lang w:eastAsia="en-GB"/>
            </w:rPr>
          </w:pPr>
          <w:hyperlink w:anchor="_Toc468285998" w:history="1">
            <w:r w:rsidR="00BB0757" w:rsidRPr="008B228F">
              <w:rPr>
                <w:rStyle w:val="Hyperlink"/>
                <w:noProof/>
              </w:rPr>
              <w:t>7.6</w:t>
            </w:r>
            <w:r w:rsidR="00BB0757">
              <w:rPr>
                <w:noProof/>
                <w:lang w:eastAsia="en-GB"/>
              </w:rPr>
              <w:tab/>
            </w:r>
            <w:r w:rsidR="00BB0757" w:rsidRPr="008B228F">
              <w:rPr>
                <w:rStyle w:val="Hyperlink"/>
                <w:noProof/>
              </w:rPr>
              <w:t>My role</w:t>
            </w:r>
            <w:r w:rsidR="00BB0757">
              <w:rPr>
                <w:noProof/>
                <w:webHidden/>
              </w:rPr>
              <w:tab/>
            </w:r>
            <w:r w:rsidR="00BB0757">
              <w:rPr>
                <w:noProof/>
                <w:webHidden/>
              </w:rPr>
              <w:fldChar w:fldCharType="begin"/>
            </w:r>
            <w:r w:rsidR="00BB0757">
              <w:rPr>
                <w:noProof/>
                <w:webHidden/>
              </w:rPr>
              <w:instrText xml:space="preserve"> PAGEREF _Toc468285998 \h </w:instrText>
            </w:r>
            <w:r w:rsidR="00BB0757">
              <w:rPr>
                <w:noProof/>
                <w:webHidden/>
              </w:rPr>
            </w:r>
            <w:r w:rsidR="00BB0757">
              <w:rPr>
                <w:noProof/>
                <w:webHidden/>
              </w:rPr>
              <w:fldChar w:fldCharType="separate"/>
            </w:r>
            <w:r w:rsidR="00BB0757">
              <w:rPr>
                <w:noProof/>
                <w:webHidden/>
              </w:rPr>
              <w:t>139</w:t>
            </w:r>
            <w:r w:rsidR="00BB0757">
              <w:rPr>
                <w:noProof/>
                <w:webHidden/>
              </w:rPr>
              <w:fldChar w:fldCharType="end"/>
            </w:r>
          </w:hyperlink>
        </w:p>
        <w:p w14:paraId="77B6981A" w14:textId="2905CB94" w:rsidR="00BB0757" w:rsidRDefault="00245D68">
          <w:pPr>
            <w:pStyle w:val="TOC2"/>
            <w:tabs>
              <w:tab w:val="left" w:pos="880"/>
              <w:tab w:val="right" w:leader="dot" w:pos="9016"/>
            </w:tabs>
            <w:rPr>
              <w:noProof/>
              <w:lang w:eastAsia="en-GB"/>
            </w:rPr>
          </w:pPr>
          <w:hyperlink w:anchor="_Toc468285999" w:history="1">
            <w:r w:rsidR="00BB0757" w:rsidRPr="008B228F">
              <w:rPr>
                <w:rStyle w:val="Hyperlink"/>
                <w:noProof/>
              </w:rPr>
              <w:t>7.7</w:t>
            </w:r>
            <w:r w:rsidR="00BB0757">
              <w:rPr>
                <w:noProof/>
                <w:lang w:eastAsia="en-GB"/>
              </w:rPr>
              <w:tab/>
            </w:r>
            <w:r w:rsidR="00BB0757" w:rsidRPr="008B228F">
              <w:rPr>
                <w:rStyle w:val="Hyperlink"/>
                <w:noProof/>
              </w:rPr>
              <w:t>Measures</w:t>
            </w:r>
            <w:r w:rsidR="00BB0757">
              <w:rPr>
                <w:noProof/>
                <w:webHidden/>
              </w:rPr>
              <w:tab/>
            </w:r>
            <w:r w:rsidR="00BB0757">
              <w:rPr>
                <w:noProof/>
                <w:webHidden/>
              </w:rPr>
              <w:fldChar w:fldCharType="begin"/>
            </w:r>
            <w:r w:rsidR="00BB0757">
              <w:rPr>
                <w:noProof/>
                <w:webHidden/>
              </w:rPr>
              <w:instrText xml:space="preserve"> PAGEREF _Toc468285999 \h </w:instrText>
            </w:r>
            <w:r w:rsidR="00BB0757">
              <w:rPr>
                <w:noProof/>
                <w:webHidden/>
              </w:rPr>
            </w:r>
            <w:r w:rsidR="00BB0757">
              <w:rPr>
                <w:noProof/>
                <w:webHidden/>
              </w:rPr>
              <w:fldChar w:fldCharType="separate"/>
            </w:r>
            <w:r w:rsidR="00BB0757">
              <w:rPr>
                <w:noProof/>
                <w:webHidden/>
              </w:rPr>
              <w:t>140</w:t>
            </w:r>
            <w:r w:rsidR="00BB0757">
              <w:rPr>
                <w:noProof/>
                <w:webHidden/>
              </w:rPr>
              <w:fldChar w:fldCharType="end"/>
            </w:r>
          </w:hyperlink>
        </w:p>
        <w:p w14:paraId="32F61A0D" w14:textId="690EAF96" w:rsidR="00BB0757" w:rsidRDefault="00245D68">
          <w:pPr>
            <w:pStyle w:val="TOC3"/>
            <w:tabs>
              <w:tab w:val="left" w:pos="1320"/>
              <w:tab w:val="right" w:leader="dot" w:pos="9016"/>
            </w:tabs>
            <w:rPr>
              <w:noProof/>
              <w:lang w:eastAsia="en-GB"/>
            </w:rPr>
          </w:pPr>
          <w:hyperlink w:anchor="_Toc468286000" w:history="1">
            <w:r w:rsidR="00BB0757" w:rsidRPr="008B228F">
              <w:rPr>
                <w:rStyle w:val="Hyperlink"/>
                <w:noProof/>
              </w:rPr>
              <w:t>7.7.1</w:t>
            </w:r>
            <w:r w:rsidR="00BB0757">
              <w:rPr>
                <w:noProof/>
                <w:lang w:eastAsia="en-GB"/>
              </w:rPr>
              <w:tab/>
            </w:r>
            <w:r w:rsidR="00BB0757" w:rsidRPr="008B228F">
              <w:rPr>
                <w:rStyle w:val="Hyperlink"/>
                <w:noProof/>
              </w:rPr>
              <w:t>Time 1 measures</w:t>
            </w:r>
            <w:r w:rsidR="00BB0757">
              <w:rPr>
                <w:noProof/>
                <w:webHidden/>
              </w:rPr>
              <w:tab/>
            </w:r>
            <w:r w:rsidR="00BB0757">
              <w:rPr>
                <w:noProof/>
                <w:webHidden/>
              </w:rPr>
              <w:fldChar w:fldCharType="begin"/>
            </w:r>
            <w:r w:rsidR="00BB0757">
              <w:rPr>
                <w:noProof/>
                <w:webHidden/>
              </w:rPr>
              <w:instrText xml:space="preserve"> PAGEREF _Toc468286000 \h </w:instrText>
            </w:r>
            <w:r w:rsidR="00BB0757">
              <w:rPr>
                <w:noProof/>
                <w:webHidden/>
              </w:rPr>
            </w:r>
            <w:r w:rsidR="00BB0757">
              <w:rPr>
                <w:noProof/>
                <w:webHidden/>
              </w:rPr>
              <w:fldChar w:fldCharType="separate"/>
            </w:r>
            <w:r w:rsidR="00BB0757">
              <w:rPr>
                <w:noProof/>
                <w:webHidden/>
              </w:rPr>
              <w:t>140</w:t>
            </w:r>
            <w:r w:rsidR="00BB0757">
              <w:rPr>
                <w:noProof/>
                <w:webHidden/>
              </w:rPr>
              <w:fldChar w:fldCharType="end"/>
            </w:r>
          </w:hyperlink>
        </w:p>
        <w:p w14:paraId="26524143" w14:textId="5BC14B4A" w:rsidR="00BB0757" w:rsidRDefault="00245D68">
          <w:pPr>
            <w:pStyle w:val="TOC3"/>
            <w:tabs>
              <w:tab w:val="left" w:pos="1320"/>
              <w:tab w:val="right" w:leader="dot" w:pos="9016"/>
            </w:tabs>
            <w:rPr>
              <w:noProof/>
              <w:lang w:eastAsia="en-GB"/>
            </w:rPr>
          </w:pPr>
          <w:hyperlink w:anchor="_Toc468286001" w:history="1">
            <w:r w:rsidR="00BB0757" w:rsidRPr="008B228F">
              <w:rPr>
                <w:rStyle w:val="Hyperlink"/>
                <w:noProof/>
              </w:rPr>
              <w:t>7.7.2</w:t>
            </w:r>
            <w:r w:rsidR="00BB0757">
              <w:rPr>
                <w:noProof/>
                <w:lang w:eastAsia="en-GB"/>
              </w:rPr>
              <w:tab/>
            </w:r>
            <w:r w:rsidR="00BB0757" w:rsidRPr="008B228F">
              <w:rPr>
                <w:rStyle w:val="Hyperlink"/>
                <w:noProof/>
              </w:rPr>
              <w:t>Time 2 measures</w:t>
            </w:r>
            <w:r w:rsidR="00BB0757">
              <w:rPr>
                <w:noProof/>
                <w:webHidden/>
              </w:rPr>
              <w:tab/>
            </w:r>
            <w:r w:rsidR="00BB0757">
              <w:rPr>
                <w:noProof/>
                <w:webHidden/>
              </w:rPr>
              <w:fldChar w:fldCharType="begin"/>
            </w:r>
            <w:r w:rsidR="00BB0757">
              <w:rPr>
                <w:noProof/>
                <w:webHidden/>
              </w:rPr>
              <w:instrText xml:space="preserve"> PAGEREF _Toc468286001 \h </w:instrText>
            </w:r>
            <w:r w:rsidR="00BB0757">
              <w:rPr>
                <w:noProof/>
                <w:webHidden/>
              </w:rPr>
            </w:r>
            <w:r w:rsidR="00BB0757">
              <w:rPr>
                <w:noProof/>
                <w:webHidden/>
              </w:rPr>
              <w:fldChar w:fldCharType="separate"/>
            </w:r>
            <w:r w:rsidR="00BB0757">
              <w:rPr>
                <w:noProof/>
                <w:webHidden/>
              </w:rPr>
              <w:t>143</w:t>
            </w:r>
            <w:r w:rsidR="00BB0757">
              <w:rPr>
                <w:noProof/>
                <w:webHidden/>
              </w:rPr>
              <w:fldChar w:fldCharType="end"/>
            </w:r>
          </w:hyperlink>
        </w:p>
        <w:p w14:paraId="3C9E6754" w14:textId="34C4F889" w:rsidR="00BB0757" w:rsidRDefault="00245D68">
          <w:pPr>
            <w:pStyle w:val="TOC3"/>
            <w:tabs>
              <w:tab w:val="left" w:pos="1320"/>
              <w:tab w:val="right" w:leader="dot" w:pos="9016"/>
            </w:tabs>
            <w:rPr>
              <w:noProof/>
              <w:lang w:eastAsia="en-GB"/>
            </w:rPr>
          </w:pPr>
          <w:hyperlink w:anchor="_Toc468286002" w:history="1">
            <w:r w:rsidR="00BB0757" w:rsidRPr="008B228F">
              <w:rPr>
                <w:rStyle w:val="Hyperlink"/>
                <w:noProof/>
              </w:rPr>
              <w:t>7.7.3</w:t>
            </w:r>
            <w:r w:rsidR="00BB0757">
              <w:rPr>
                <w:noProof/>
                <w:lang w:eastAsia="en-GB"/>
              </w:rPr>
              <w:tab/>
            </w:r>
            <w:r w:rsidR="00BB0757" w:rsidRPr="008B228F">
              <w:rPr>
                <w:rStyle w:val="Hyperlink"/>
                <w:noProof/>
              </w:rPr>
              <w:t>Assessing the reliability and validity of the measures at Time 1 and Time 2</w:t>
            </w:r>
            <w:r w:rsidR="00BB0757">
              <w:rPr>
                <w:noProof/>
                <w:webHidden/>
              </w:rPr>
              <w:tab/>
            </w:r>
            <w:r w:rsidR="00BB0757">
              <w:rPr>
                <w:noProof/>
                <w:webHidden/>
              </w:rPr>
              <w:fldChar w:fldCharType="begin"/>
            </w:r>
            <w:r w:rsidR="00BB0757">
              <w:rPr>
                <w:noProof/>
                <w:webHidden/>
              </w:rPr>
              <w:instrText xml:space="preserve"> PAGEREF _Toc468286002 \h </w:instrText>
            </w:r>
            <w:r w:rsidR="00BB0757">
              <w:rPr>
                <w:noProof/>
                <w:webHidden/>
              </w:rPr>
            </w:r>
            <w:r w:rsidR="00BB0757">
              <w:rPr>
                <w:noProof/>
                <w:webHidden/>
              </w:rPr>
              <w:fldChar w:fldCharType="separate"/>
            </w:r>
            <w:r w:rsidR="00BB0757">
              <w:rPr>
                <w:noProof/>
                <w:webHidden/>
              </w:rPr>
              <w:t>143</w:t>
            </w:r>
            <w:r w:rsidR="00BB0757">
              <w:rPr>
                <w:noProof/>
                <w:webHidden/>
              </w:rPr>
              <w:fldChar w:fldCharType="end"/>
            </w:r>
          </w:hyperlink>
        </w:p>
        <w:p w14:paraId="23EEE001" w14:textId="65F2C441" w:rsidR="00BB0757" w:rsidRDefault="00245D68">
          <w:pPr>
            <w:pStyle w:val="TOC2"/>
            <w:tabs>
              <w:tab w:val="left" w:pos="880"/>
              <w:tab w:val="right" w:leader="dot" w:pos="9016"/>
            </w:tabs>
            <w:rPr>
              <w:noProof/>
              <w:lang w:eastAsia="en-GB"/>
            </w:rPr>
          </w:pPr>
          <w:hyperlink w:anchor="_Toc468286003" w:history="1">
            <w:r w:rsidR="00BB0757" w:rsidRPr="008B228F">
              <w:rPr>
                <w:rStyle w:val="Hyperlink"/>
                <w:noProof/>
              </w:rPr>
              <w:t>7.8</w:t>
            </w:r>
            <w:r w:rsidR="00BB0757">
              <w:rPr>
                <w:noProof/>
                <w:lang w:eastAsia="en-GB"/>
              </w:rPr>
              <w:tab/>
            </w:r>
            <w:r w:rsidR="00BB0757" w:rsidRPr="008B228F">
              <w:rPr>
                <w:rStyle w:val="Hyperlink"/>
                <w:noProof/>
              </w:rPr>
              <w:t>Statistical data analysis</w:t>
            </w:r>
            <w:r w:rsidR="00BB0757">
              <w:rPr>
                <w:noProof/>
                <w:webHidden/>
              </w:rPr>
              <w:tab/>
            </w:r>
            <w:r w:rsidR="00BB0757">
              <w:rPr>
                <w:noProof/>
                <w:webHidden/>
              </w:rPr>
              <w:fldChar w:fldCharType="begin"/>
            </w:r>
            <w:r w:rsidR="00BB0757">
              <w:rPr>
                <w:noProof/>
                <w:webHidden/>
              </w:rPr>
              <w:instrText xml:space="preserve"> PAGEREF _Toc468286003 \h </w:instrText>
            </w:r>
            <w:r w:rsidR="00BB0757">
              <w:rPr>
                <w:noProof/>
                <w:webHidden/>
              </w:rPr>
            </w:r>
            <w:r w:rsidR="00BB0757">
              <w:rPr>
                <w:noProof/>
                <w:webHidden/>
              </w:rPr>
              <w:fldChar w:fldCharType="separate"/>
            </w:r>
            <w:r w:rsidR="00BB0757">
              <w:rPr>
                <w:noProof/>
                <w:webHidden/>
              </w:rPr>
              <w:t>157</w:t>
            </w:r>
            <w:r w:rsidR="00BB0757">
              <w:rPr>
                <w:noProof/>
                <w:webHidden/>
              </w:rPr>
              <w:fldChar w:fldCharType="end"/>
            </w:r>
          </w:hyperlink>
        </w:p>
        <w:p w14:paraId="1E143BB7" w14:textId="3677A9BE" w:rsidR="00BB0757" w:rsidRDefault="00245D68">
          <w:pPr>
            <w:pStyle w:val="TOC3"/>
            <w:tabs>
              <w:tab w:val="left" w:pos="1320"/>
              <w:tab w:val="right" w:leader="dot" w:pos="9016"/>
            </w:tabs>
            <w:rPr>
              <w:noProof/>
              <w:lang w:eastAsia="en-GB"/>
            </w:rPr>
          </w:pPr>
          <w:hyperlink w:anchor="_Toc468286004" w:history="1">
            <w:r w:rsidR="00BB0757" w:rsidRPr="008B228F">
              <w:rPr>
                <w:rStyle w:val="Hyperlink"/>
                <w:noProof/>
              </w:rPr>
              <w:t>7.8.1</w:t>
            </w:r>
            <w:r w:rsidR="00BB0757">
              <w:rPr>
                <w:noProof/>
                <w:lang w:eastAsia="en-GB"/>
              </w:rPr>
              <w:tab/>
            </w:r>
            <w:r w:rsidR="00BB0757" w:rsidRPr="008B228F">
              <w:rPr>
                <w:rStyle w:val="Hyperlink"/>
                <w:noProof/>
              </w:rPr>
              <w:t>Aim 1</w:t>
            </w:r>
            <w:r w:rsidR="00BB0757">
              <w:rPr>
                <w:noProof/>
                <w:webHidden/>
              </w:rPr>
              <w:tab/>
            </w:r>
            <w:r w:rsidR="00BB0757">
              <w:rPr>
                <w:noProof/>
                <w:webHidden/>
              </w:rPr>
              <w:fldChar w:fldCharType="begin"/>
            </w:r>
            <w:r w:rsidR="00BB0757">
              <w:rPr>
                <w:noProof/>
                <w:webHidden/>
              </w:rPr>
              <w:instrText xml:space="preserve"> PAGEREF _Toc468286004 \h </w:instrText>
            </w:r>
            <w:r w:rsidR="00BB0757">
              <w:rPr>
                <w:noProof/>
                <w:webHidden/>
              </w:rPr>
            </w:r>
            <w:r w:rsidR="00BB0757">
              <w:rPr>
                <w:noProof/>
                <w:webHidden/>
              </w:rPr>
              <w:fldChar w:fldCharType="separate"/>
            </w:r>
            <w:r w:rsidR="00BB0757">
              <w:rPr>
                <w:noProof/>
                <w:webHidden/>
              </w:rPr>
              <w:t>157</w:t>
            </w:r>
            <w:r w:rsidR="00BB0757">
              <w:rPr>
                <w:noProof/>
                <w:webHidden/>
              </w:rPr>
              <w:fldChar w:fldCharType="end"/>
            </w:r>
          </w:hyperlink>
        </w:p>
        <w:p w14:paraId="09439B8C" w14:textId="03E40AAF" w:rsidR="00BB0757" w:rsidRDefault="00245D68">
          <w:pPr>
            <w:pStyle w:val="TOC3"/>
            <w:tabs>
              <w:tab w:val="left" w:pos="1320"/>
              <w:tab w:val="right" w:leader="dot" w:pos="9016"/>
            </w:tabs>
            <w:rPr>
              <w:noProof/>
              <w:lang w:eastAsia="en-GB"/>
            </w:rPr>
          </w:pPr>
          <w:hyperlink w:anchor="_Toc468286005" w:history="1">
            <w:r w:rsidR="00BB0757" w:rsidRPr="008B228F">
              <w:rPr>
                <w:rStyle w:val="Hyperlink"/>
                <w:noProof/>
              </w:rPr>
              <w:t>7.8.2</w:t>
            </w:r>
            <w:r w:rsidR="00BB0757">
              <w:rPr>
                <w:noProof/>
                <w:lang w:eastAsia="en-GB"/>
              </w:rPr>
              <w:tab/>
            </w:r>
            <w:r w:rsidR="00BB0757" w:rsidRPr="008B228F">
              <w:rPr>
                <w:rStyle w:val="Hyperlink"/>
                <w:noProof/>
              </w:rPr>
              <w:t>Aim 2</w:t>
            </w:r>
            <w:r w:rsidR="00BB0757">
              <w:rPr>
                <w:noProof/>
                <w:webHidden/>
              </w:rPr>
              <w:tab/>
            </w:r>
            <w:r w:rsidR="00BB0757">
              <w:rPr>
                <w:noProof/>
                <w:webHidden/>
              </w:rPr>
              <w:fldChar w:fldCharType="begin"/>
            </w:r>
            <w:r w:rsidR="00BB0757">
              <w:rPr>
                <w:noProof/>
                <w:webHidden/>
              </w:rPr>
              <w:instrText xml:space="preserve"> PAGEREF _Toc468286005 \h </w:instrText>
            </w:r>
            <w:r w:rsidR="00BB0757">
              <w:rPr>
                <w:noProof/>
                <w:webHidden/>
              </w:rPr>
            </w:r>
            <w:r w:rsidR="00BB0757">
              <w:rPr>
                <w:noProof/>
                <w:webHidden/>
              </w:rPr>
              <w:fldChar w:fldCharType="separate"/>
            </w:r>
            <w:r w:rsidR="00BB0757">
              <w:rPr>
                <w:noProof/>
                <w:webHidden/>
              </w:rPr>
              <w:t>158</w:t>
            </w:r>
            <w:r w:rsidR="00BB0757">
              <w:rPr>
                <w:noProof/>
                <w:webHidden/>
              </w:rPr>
              <w:fldChar w:fldCharType="end"/>
            </w:r>
          </w:hyperlink>
        </w:p>
        <w:p w14:paraId="01B308F4" w14:textId="47463BA0" w:rsidR="00BB0757" w:rsidRDefault="00245D68">
          <w:pPr>
            <w:pStyle w:val="TOC2"/>
            <w:tabs>
              <w:tab w:val="left" w:pos="880"/>
              <w:tab w:val="right" w:leader="dot" w:pos="9016"/>
            </w:tabs>
            <w:rPr>
              <w:noProof/>
              <w:lang w:eastAsia="en-GB"/>
            </w:rPr>
          </w:pPr>
          <w:hyperlink w:anchor="_Toc468286006" w:history="1">
            <w:r w:rsidR="00BB0757" w:rsidRPr="008B228F">
              <w:rPr>
                <w:rStyle w:val="Hyperlink"/>
                <w:noProof/>
              </w:rPr>
              <w:t>7.9</w:t>
            </w:r>
            <w:r w:rsidR="00BB0757">
              <w:rPr>
                <w:noProof/>
                <w:lang w:eastAsia="en-GB"/>
              </w:rPr>
              <w:tab/>
            </w:r>
            <w:r w:rsidR="00BB0757" w:rsidRPr="008B228F">
              <w:rPr>
                <w:rStyle w:val="Hyperlink"/>
                <w:noProof/>
              </w:rPr>
              <w:t>Ethics</w:t>
            </w:r>
            <w:r w:rsidR="00BB0757">
              <w:rPr>
                <w:noProof/>
                <w:webHidden/>
              </w:rPr>
              <w:tab/>
            </w:r>
            <w:r w:rsidR="00BB0757">
              <w:rPr>
                <w:noProof/>
                <w:webHidden/>
              </w:rPr>
              <w:fldChar w:fldCharType="begin"/>
            </w:r>
            <w:r w:rsidR="00BB0757">
              <w:rPr>
                <w:noProof/>
                <w:webHidden/>
              </w:rPr>
              <w:instrText xml:space="preserve"> PAGEREF _Toc468286006 \h </w:instrText>
            </w:r>
            <w:r w:rsidR="00BB0757">
              <w:rPr>
                <w:noProof/>
                <w:webHidden/>
              </w:rPr>
            </w:r>
            <w:r w:rsidR="00BB0757">
              <w:rPr>
                <w:noProof/>
                <w:webHidden/>
              </w:rPr>
              <w:fldChar w:fldCharType="separate"/>
            </w:r>
            <w:r w:rsidR="00BB0757">
              <w:rPr>
                <w:noProof/>
                <w:webHidden/>
              </w:rPr>
              <w:t>162</w:t>
            </w:r>
            <w:r w:rsidR="00BB0757">
              <w:rPr>
                <w:noProof/>
                <w:webHidden/>
              </w:rPr>
              <w:fldChar w:fldCharType="end"/>
            </w:r>
          </w:hyperlink>
        </w:p>
        <w:p w14:paraId="4C6B29DE" w14:textId="10BA1A1B" w:rsidR="00BB0757" w:rsidRDefault="00245D68">
          <w:pPr>
            <w:pStyle w:val="TOC1"/>
            <w:tabs>
              <w:tab w:val="left" w:pos="440"/>
              <w:tab w:val="right" w:leader="dot" w:pos="9016"/>
            </w:tabs>
            <w:rPr>
              <w:noProof/>
              <w:lang w:eastAsia="en-GB"/>
            </w:rPr>
          </w:pPr>
          <w:hyperlink w:anchor="_Toc468286007" w:history="1">
            <w:r w:rsidR="00BB0757" w:rsidRPr="008B228F">
              <w:rPr>
                <w:rStyle w:val="Hyperlink"/>
                <w:noProof/>
              </w:rPr>
              <w:t>8</w:t>
            </w:r>
            <w:r w:rsidR="00BB0757">
              <w:rPr>
                <w:noProof/>
                <w:lang w:eastAsia="en-GB"/>
              </w:rPr>
              <w:tab/>
            </w:r>
            <w:r w:rsidR="00BB0757" w:rsidRPr="008B228F">
              <w:rPr>
                <w:rStyle w:val="Hyperlink"/>
                <w:noProof/>
              </w:rPr>
              <w:t>Results of the participatory action intervention to increase work engagement in nursing staff on acute elderly NHS wards</w:t>
            </w:r>
            <w:r w:rsidR="00BB0757">
              <w:rPr>
                <w:noProof/>
                <w:webHidden/>
              </w:rPr>
              <w:tab/>
            </w:r>
            <w:r w:rsidR="00BB0757">
              <w:rPr>
                <w:noProof/>
                <w:webHidden/>
              </w:rPr>
              <w:fldChar w:fldCharType="begin"/>
            </w:r>
            <w:r w:rsidR="00BB0757">
              <w:rPr>
                <w:noProof/>
                <w:webHidden/>
              </w:rPr>
              <w:instrText xml:space="preserve"> PAGEREF _Toc468286007 \h </w:instrText>
            </w:r>
            <w:r w:rsidR="00BB0757">
              <w:rPr>
                <w:noProof/>
                <w:webHidden/>
              </w:rPr>
            </w:r>
            <w:r w:rsidR="00BB0757">
              <w:rPr>
                <w:noProof/>
                <w:webHidden/>
              </w:rPr>
              <w:fldChar w:fldCharType="separate"/>
            </w:r>
            <w:r w:rsidR="00BB0757">
              <w:rPr>
                <w:noProof/>
                <w:webHidden/>
              </w:rPr>
              <w:t>163</w:t>
            </w:r>
            <w:r w:rsidR="00BB0757">
              <w:rPr>
                <w:noProof/>
                <w:webHidden/>
              </w:rPr>
              <w:fldChar w:fldCharType="end"/>
            </w:r>
          </w:hyperlink>
        </w:p>
        <w:p w14:paraId="46321074" w14:textId="24A8D65A" w:rsidR="00BB0757" w:rsidRDefault="00245D68">
          <w:pPr>
            <w:pStyle w:val="TOC2"/>
            <w:tabs>
              <w:tab w:val="left" w:pos="880"/>
              <w:tab w:val="right" w:leader="dot" w:pos="9016"/>
            </w:tabs>
            <w:rPr>
              <w:noProof/>
              <w:lang w:eastAsia="en-GB"/>
            </w:rPr>
          </w:pPr>
          <w:hyperlink w:anchor="_Toc468286008" w:history="1">
            <w:r w:rsidR="00BB0757" w:rsidRPr="008B228F">
              <w:rPr>
                <w:rStyle w:val="Hyperlink"/>
                <w:noProof/>
              </w:rPr>
              <w:t>8.1</w:t>
            </w:r>
            <w:r w:rsidR="00BB0757">
              <w:rPr>
                <w:noProof/>
                <w:lang w:eastAsia="en-GB"/>
              </w:rPr>
              <w:tab/>
            </w:r>
            <w:r w:rsidR="00BB0757" w:rsidRPr="008B228F">
              <w:rPr>
                <w:rStyle w:val="Hyperlink"/>
                <w:noProof/>
              </w:rPr>
              <w:t>Implementing the intervention</w:t>
            </w:r>
            <w:r w:rsidR="00BB0757">
              <w:rPr>
                <w:noProof/>
                <w:webHidden/>
              </w:rPr>
              <w:tab/>
            </w:r>
            <w:r w:rsidR="00BB0757">
              <w:rPr>
                <w:noProof/>
                <w:webHidden/>
              </w:rPr>
              <w:fldChar w:fldCharType="begin"/>
            </w:r>
            <w:r w:rsidR="00BB0757">
              <w:rPr>
                <w:noProof/>
                <w:webHidden/>
              </w:rPr>
              <w:instrText xml:space="preserve"> PAGEREF _Toc468286008 \h </w:instrText>
            </w:r>
            <w:r w:rsidR="00BB0757">
              <w:rPr>
                <w:noProof/>
                <w:webHidden/>
              </w:rPr>
            </w:r>
            <w:r w:rsidR="00BB0757">
              <w:rPr>
                <w:noProof/>
                <w:webHidden/>
              </w:rPr>
              <w:fldChar w:fldCharType="separate"/>
            </w:r>
            <w:r w:rsidR="00BB0757">
              <w:rPr>
                <w:noProof/>
                <w:webHidden/>
              </w:rPr>
              <w:t>163</w:t>
            </w:r>
            <w:r w:rsidR="00BB0757">
              <w:rPr>
                <w:noProof/>
                <w:webHidden/>
              </w:rPr>
              <w:fldChar w:fldCharType="end"/>
            </w:r>
          </w:hyperlink>
        </w:p>
        <w:p w14:paraId="09AE04B7" w14:textId="08587E5C" w:rsidR="00BB0757" w:rsidRDefault="00245D68">
          <w:pPr>
            <w:pStyle w:val="TOC2"/>
            <w:tabs>
              <w:tab w:val="left" w:pos="880"/>
              <w:tab w:val="right" w:leader="dot" w:pos="9016"/>
            </w:tabs>
            <w:rPr>
              <w:noProof/>
              <w:lang w:eastAsia="en-GB"/>
            </w:rPr>
          </w:pPr>
          <w:hyperlink w:anchor="_Toc468286009" w:history="1">
            <w:r w:rsidR="00BB0757" w:rsidRPr="008B228F">
              <w:rPr>
                <w:rStyle w:val="Hyperlink"/>
                <w:noProof/>
              </w:rPr>
              <w:t>8.2</w:t>
            </w:r>
            <w:r w:rsidR="00BB0757">
              <w:rPr>
                <w:noProof/>
                <w:lang w:eastAsia="en-GB"/>
              </w:rPr>
              <w:tab/>
            </w:r>
            <w:r w:rsidR="00BB0757" w:rsidRPr="008B228F">
              <w:rPr>
                <w:rStyle w:val="Hyperlink"/>
                <w:noProof/>
              </w:rPr>
              <w:t>Descriptive statistics of the demographic and research variables for the complete sample at Time 1 and 2</w:t>
            </w:r>
            <w:r w:rsidR="00BB0757">
              <w:rPr>
                <w:noProof/>
                <w:webHidden/>
              </w:rPr>
              <w:tab/>
            </w:r>
            <w:r w:rsidR="00BB0757">
              <w:rPr>
                <w:noProof/>
                <w:webHidden/>
              </w:rPr>
              <w:fldChar w:fldCharType="begin"/>
            </w:r>
            <w:r w:rsidR="00BB0757">
              <w:rPr>
                <w:noProof/>
                <w:webHidden/>
              </w:rPr>
              <w:instrText xml:space="preserve"> PAGEREF _Toc468286009 \h </w:instrText>
            </w:r>
            <w:r w:rsidR="00BB0757">
              <w:rPr>
                <w:noProof/>
                <w:webHidden/>
              </w:rPr>
            </w:r>
            <w:r w:rsidR="00BB0757">
              <w:rPr>
                <w:noProof/>
                <w:webHidden/>
              </w:rPr>
              <w:fldChar w:fldCharType="separate"/>
            </w:r>
            <w:r w:rsidR="00BB0757">
              <w:rPr>
                <w:noProof/>
                <w:webHidden/>
              </w:rPr>
              <w:t>166</w:t>
            </w:r>
            <w:r w:rsidR="00BB0757">
              <w:rPr>
                <w:noProof/>
                <w:webHidden/>
              </w:rPr>
              <w:fldChar w:fldCharType="end"/>
            </w:r>
          </w:hyperlink>
        </w:p>
        <w:p w14:paraId="73F79A66" w14:textId="3B5793E0" w:rsidR="00BB0757" w:rsidRDefault="00245D68">
          <w:pPr>
            <w:pStyle w:val="TOC3"/>
            <w:tabs>
              <w:tab w:val="left" w:pos="1320"/>
              <w:tab w:val="right" w:leader="dot" w:pos="9016"/>
            </w:tabs>
            <w:rPr>
              <w:noProof/>
              <w:lang w:eastAsia="en-GB"/>
            </w:rPr>
          </w:pPr>
          <w:hyperlink w:anchor="_Toc468286010" w:history="1">
            <w:r w:rsidR="00BB0757" w:rsidRPr="008B228F">
              <w:rPr>
                <w:rStyle w:val="Hyperlink"/>
                <w:noProof/>
              </w:rPr>
              <w:t>8.2.1</w:t>
            </w:r>
            <w:r w:rsidR="00BB0757">
              <w:rPr>
                <w:noProof/>
                <w:lang w:eastAsia="en-GB"/>
              </w:rPr>
              <w:tab/>
            </w:r>
            <w:r w:rsidR="00BB0757" w:rsidRPr="008B228F">
              <w:rPr>
                <w:rStyle w:val="Hyperlink"/>
                <w:noProof/>
              </w:rPr>
              <w:t>Descriptive statistics of the demographic variables for the complete sample</w:t>
            </w:r>
            <w:r w:rsidR="00BB0757">
              <w:rPr>
                <w:noProof/>
                <w:webHidden/>
              </w:rPr>
              <w:tab/>
            </w:r>
            <w:r w:rsidR="00BB0757">
              <w:rPr>
                <w:noProof/>
                <w:webHidden/>
              </w:rPr>
              <w:fldChar w:fldCharType="begin"/>
            </w:r>
            <w:r w:rsidR="00BB0757">
              <w:rPr>
                <w:noProof/>
                <w:webHidden/>
              </w:rPr>
              <w:instrText xml:space="preserve"> PAGEREF _Toc468286010 \h </w:instrText>
            </w:r>
            <w:r w:rsidR="00BB0757">
              <w:rPr>
                <w:noProof/>
                <w:webHidden/>
              </w:rPr>
            </w:r>
            <w:r w:rsidR="00BB0757">
              <w:rPr>
                <w:noProof/>
                <w:webHidden/>
              </w:rPr>
              <w:fldChar w:fldCharType="separate"/>
            </w:r>
            <w:r w:rsidR="00BB0757">
              <w:rPr>
                <w:noProof/>
                <w:webHidden/>
              </w:rPr>
              <w:t>166</w:t>
            </w:r>
            <w:r w:rsidR="00BB0757">
              <w:rPr>
                <w:noProof/>
                <w:webHidden/>
              </w:rPr>
              <w:fldChar w:fldCharType="end"/>
            </w:r>
          </w:hyperlink>
        </w:p>
        <w:p w14:paraId="7CEB248D" w14:textId="71D83F74" w:rsidR="00BB0757" w:rsidRDefault="00245D68">
          <w:pPr>
            <w:pStyle w:val="TOC3"/>
            <w:tabs>
              <w:tab w:val="left" w:pos="1320"/>
              <w:tab w:val="right" w:leader="dot" w:pos="9016"/>
            </w:tabs>
            <w:rPr>
              <w:noProof/>
              <w:lang w:eastAsia="en-GB"/>
            </w:rPr>
          </w:pPr>
          <w:hyperlink w:anchor="_Toc468286011" w:history="1">
            <w:r w:rsidR="00BB0757" w:rsidRPr="008B228F">
              <w:rPr>
                <w:rStyle w:val="Hyperlink"/>
                <w:noProof/>
              </w:rPr>
              <w:t>8.2.2</w:t>
            </w:r>
            <w:r w:rsidR="00BB0757">
              <w:rPr>
                <w:noProof/>
                <w:lang w:eastAsia="en-GB"/>
              </w:rPr>
              <w:tab/>
            </w:r>
            <w:r w:rsidR="00BB0757" w:rsidRPr="008B228F">
              <w:rPr>
                <w:rStyle w:val="Hyperlink"/>
                <w:noProof/>
              </w:rPr>
              <w:t>Descriptive statistics of the research variables for the complete sample</w:t>
            </w:r>
            <w:r w:rsidR="00BB0757">
              <w:rPr>
                <w:noProof/>
                <w:webHidden/>
              </w:rPr>
              <w:tab/>
            </w:r>
            <w:r w:rsidR="00BB0757">
              <w:rPr>
                <w:noProof/>
                <w:webHidden/>
              </w:rPr>
              <w:fldChar w:fldCharType="begin"/>
            </w:r>
            <w:r w:rsidR="00BB0757">
              <w:rPr>
                <w:noProof/>
                <w:webHidden/>
              </w:rPr>
              <w:instrText xml:space="preserve"> PAGEREF _Toc468286011 \h </w:instrText>
            </w:r>
            <w:r w:rsidR="00BB0757">
              <w:rPr>
                <w:noProof/>
                <w:webHidden/>
              </w:rPr>
            </w:r>
            <w:r w:rsidR="00BB0757">
              <w:rPr>
                <w:noProof/>
                <w:webHidden/>
              </w:rPr>
              <w:fldChar w:fldCharType="separate"/>
            </w:r>
            <w:r w:rsidR="00BB0757">
              <w:rPr>
                <w:noProof/>
                <w:webHidden/>
              </w:rPr>
              <w:t>172</w:t>
            </w:r>
            <w:r w:rsidR="00BB0757">
              <w:rPr>
                <w:noProof/>
                <w:webHidden/>
              </w:rPr>
              <w:fldChar w:fldCharType="end"/>
            </w:r>
          </w:hyperlink>
        </w:p>
        <w:p w14:paraId="63E62BD5" w14:textId="6D0B0003" w:rsidR="00BB0757" w:rsidRDefault="00245D68">
          <w:pPr>
            <w:pStyle w:val="TOC2"/>
            <w:tabs>
              <w:tab w:val="left" w:pos="880"/>
              <w:tab w:val="right" w:leader="dot" w:pos="9016"/>
            </w:tabs>
            <w:rPr>
              <w:noProof/>
              <w:lang w:eastAsia="en-GB"/>
            </w:rPr>
          </w:pPr>
          <w:hyperlink w:anchor="_Toc468286012" w:history="1">
            <w:r w:rsidR="00BB0757" w:rsidRPr="008B228F">
              <w:rPr>
                <w:rStyle w:val="Hyperlink"/>
                <w:noProof/>
              </w:rPr>
              <w:t>8.3</w:t>
            </w:r>
            <w:r w:rsidR="00BB0757">
              <w:rPr>
                <w:noProof/>
                <w:lang w:eastAsia="en-GB"/>
              </w:rPr>
              <w:tab/>
            </w:r>
            <w:r w:rsidR="00BB0757" w:rsidRPr="008B228F">
              <w:rPr>
                <w:rStyle w:val="Hyperlink"/>
                <w:noProof/>
              </w:rPr>
              <w:t>Descriptive statistics of the demographic and research variables for the matched sample at Time 1 and 2</w:t>
            </w:r>
            <w:r w:rsidR="00BB0757">
              <w:rPr>
                <w:noProof/>
                <w:webHidden/>
              </w:rPr>
              <w:tab/>
            </w:r>
            <w:r w:rsidR="00BB0757">
              <w:rPr>
                <w:noProof/>
                <w:webHidden/>
              </w:rPr>
              <w:fldChar w:fldCharType="begin"/>
            </w:r>
            <w:r w:rsidR="00BB0757">
              <w:rPr>
                <w:noProof/>
                <w:webHidden/>
              </w:rPr>
              <w:instrText xml:space="preserve"> PAGEREF _Toc468286012 \h </w:instrText>
            </w:r>
            <w:r w:rsidR="00BB0757">
              <w:rPr>
                <w:noProof/>
                <w:webHidden/>
              </w:rPr>
            </w:r>
            <w:r w:rsidR="00BB0757">
              <w:rPr>
                <w:noProof/>
                <w:webHidden/>
              </w:rPr>
              <w:fldChar w:fldCharType="separate"/>
            </w:r>
            <w:r w:rsidR="00BB0757">
              <w:rPr>
                <w:noProof/>
                <w:webHidden/>
              </w:rPr>
              <w:t>179</w:t>
            </w:r>
            <w:r w:rsidR="00BB0757">
              <w:rPr>
                <w:noProof/>
                <w:webHidden/>
              </w:rPr>
              <w:fldChar w:fldCharType="end"/>
            </w:r>
          </w:hyperlink>
        </w:p>
        <w:p w14:paraId="102C78E7" w14:textId="7EAF6C72" w:rsidR="00BB0757" w:rsidRDefault="00245D68">
          <w:pPr>
            <w:pStyle w:val="TOC3"/>
            <w:tabs>
              <w:tab w:val="left" w:pos="1320"/>
              <w:tab w:val="right" w:leader="dot" w:pos="9016"/>
            </w:tabs>
            <w:rPr>
              <w:noProof/>
              <w:lang w:eastAsia="en-GB"/>
            </w:rPr>
          </w:pPr>
          <w:hyperlink w:anchor="_Toc468286013" w:history="1">
            <w:r w:rsidR="00BB0757" w:rsidRPr="008B228F">
              <w:rPr>
                <w:rStyle w:val="Hyperlink"/>
                <w:noProof/>
              </w:rPr>
              <w:t>8.3.1</w:t>
            </w:r>
            <w:r w:rsidR="00BB0757">
              <w:rPr>
                <w:noProof/>
                <w:lang w:eastAsia="en-GB"/>
              </w:rPr>
              <w:tab/>
            </w:r>
            <w:r w:rsidR="00BB0757" w:rsidRPr="008B228F">
              <w:rPr>
                <w:rStyle w:val="Hyperlink"/>
                <w:noProof/>
              </w:rPr>
              <w:t>Descriptive statistics of the demographic variables for the matched sample</w:t>
            </w:r>
            <w:r w:rsidR="00BB0757">
              <w:rPr>
                <w:noProof/>
                <w:webHidden/>
              </w:rPr>
              <w:tab/>
            </w:r>
            <w:r w:rsidR="00BB0757">
              <w:rPr>
                <w:noProof/>
                <w:webHidden/>
              </w:rPr>
              <w:fldChar w:fldCharType="begin"/>
            </w:r>
            <w:r w:rsidR="00BB0757">
              <w:rPr>
                <w:noProof/>
                <w:webHidden/>
              </w:rPr>
              <w:instrText xml:space="preserve"> PAGEREF _Toc468286013 \h </w:instrText>
            </w:r>
            <w:r w:rsidR="00BB0757">
              <w:rPr>
                <w:noProof/>
                <w:webHidden/>
              </w:rPr>
            </w:r>
            <w:r w:rsidR="00BB0757">
              <w:rPr>
                <w:noProof/>
                <w:webHidden/>
              </w:rPr>
              <w:fldChar w:fldCharType="separate"/>
            </w:r>
            <w:r w:rsidR="00BB0757">
              <w:rPr>
                <w:noProof/>
                <w:webHidden/>
              </w:rPr>
              <w:t>179</w:t>
            </w:r>
            <w:r w:rsidR="00BB0757">
              <w:rPr>
                <w:noProof/>
                <w:webHidden/>
              </w:rPr>
              <w:fldChar w:fldCharType="end"/>
            </w:r>
          </w:hyperlink>
        </w:p>
        <w:p w14:paraId="1526E653" w14:textId="41813965" w:rsidR="00BB0757" w:rsidRDefault="00245D68">
          <w:pPr>
            <w:pStyle w:val="TOC3"/>
            <w:tabs>
              <w:tab w:val="left" w:pos="1320"/>
              <w:tab w:val="right" w:leader="dot" w:pos="9016"/>
            </w:tabs>
            <w:rPr>
              <w:noProof/>
              <w:lang w:eastAsia="en-GB"/>
            </w:rPr>
          </w:pPr>
          <w:hyperlink w:anchor="_Toc468286014" w:history="1">
            <w:r w:rsidR="00BB0757" w:rsidRPr="008B228F">
              <w:rPr>
                <w:rStyle w:val="Hyperlink"/>
                <w:noProof/>
              </w:rPr>
              <w:t>8.3.2</w:t>
            </w:r>
            <w:r w:rsidR="00BB0757">
              <w:rPr>
                <w:noProof/>
                <w:lang w:eastAsia="en-GB"/>
              </w:rPr>
              <w:tab/>
            </w:r>
            <w:r w:rsidR="00BB0757" w:rsidRPr="008B228F">
              <w:rPr>
                <w:rStyle w:val="Hyperlink"/>
                <w:noProof/>
              </w:rPr>
              <w:t>Descriptive statistics of the research variables for the matched sample</w:t>
            </w:r>
            <w:r w:rsidR="00BB0757">
              <w:rPr>
                <w:noProof/>
                <w:webHidden/>
              </w:rPr>
              <w:tab/>
            </w:r>
            <w:r w:rsidR="00BB0757">
              <w:rPr>
                <w:noProof/>
                <w:webHidden/>
              </w:rPr>
              <w:fldChar w:fldCharType="begin"/>
            </w:r>
            <w:r w:rsidR="00BB0757">
              <w:rPr>
                <w:noProof/>
                <w:webHidden/>
              </w:rPr>
              <w:instrText xml:space="preserve"> PAGEREF _Toc468286014 \h </w:instrText>
            </w:r>
            <w:r w:rsidR="00BB0757">
              <w:rPr>
                <w:noProof/>
                <w:webHidden/>
              </w:rPr>
            </w:r>
            <w:r w:rsidR="00BB0757">
              <w:rPr>
                <w:noProof/>
                <w:webHidden/>
              </w:rPr>
              <w:fldChar w:fldCharType="separate"/>
            </w:r>
            <w:r w:rsidR="00BB0757">
              <w:rPr>
                <w:noProof/>
                <w:webHidden/>
              </w:rPr>
              <w:t>185</w:t>
            </w:r>
            <w:r w:rsidR="00BB0757">
              <w:rPr>
                <w:noProof/>
                <w:webHidden/>
              </w:rPr>
              <w:fldChar w:fldCharType="end"/>
            </w:r>
          </w:hyperlink>
        </w:p>
        <w:p w14:paraId="105EBEAB" w14:textId="5D4737E4" w:rsidR="00BB0757" w:rsidRDefault="00245D68">
          <w:pPr>
            <w:pStyle w:val="TOC2"/>
            <w:tabs>
              <w:tab w:val="left" w:pos="880"/>
              <w:tab w:val="right" w:leader="dot" w:pos="9016"/>
            </w:tabs>
            <w:rPr>
              <w:noProof/>
              <w:lang w:eastAsia="en-GB"/>
            </w:rPr>
          </w:pPr>
          <w:hyperlink w:anchor="_Toc468286015" w:history="1">
            <w:r w:rsidR="00BB0757" w:rsidRPr="008B228F">
              <w:rPr>
                <w:rStyle w:val="Hyperlink"/>
                <w:noProof/>
              </w:rPr>
              <w:t>8.4</w:t>
            </w:r>
            <w:r w:rsidR="00BB0757">
              <w:rPr>
                <w:noProof/>
                <w:lang w:eastAsia="en-GB"/>
              </w:rPr>
              <w:tab/>
            </w:r>
            <w:r w:rsidR="00BB0757" w:rsidRPr="008B228F">
              <w:rPr>
                <w:rStyle w:val="Hyperlink"/>
                <w:noProof/>
              </w:rPr>
              <w:t>Investigating the effect of the intervention on the matched sample using repeated measures ANOVA</w:t>
            </w:r>
            <w:r w:rsidR="00BB0757">
              <w:rPr>
                <w:noProof/>
                <w:webHidden/>
              </w:rPr>
              <w:tab/>
            </w:r>
            <w:r w:rsidR="00BB0757">
              <w:rPr>
                <w:noProof/>
                <w:webHidden/>
              </w:rPr>
              <w:fldChar w:fldCharType="begin"/>
            </w:r>
            <w:r w:rsidR="00BB0757">
              <w:rPr>
                <w:noProof/>
                <w:webHidden/>
              </w:rPr>
              <w:instrText xml:space="preserve"> PAGEREF _Toc468286015 \h </w:instrText>
            </w:r>
            <w:r w:rsidR="00BB0757">
              <w:rPr>
                <w:noProof/>
                <w:webHidden/>
              </w:rPr>
            </w:r>
            <w:r w:rsidR="00BB0757">
              <w:rPr>
                <w:noProof/>
                <w:webHidden/>
              </w:rPr>
              <w:fldChar w:fldCharType="separate"/>
            </w:r>
            <w:r w:rsidR="00BB0757">
              <w:rPr>
                <w:noProof/>
                <w:webHidden/>
              </w:rPr>
              <w:t>193</w:t>
            </w:r>
            <w:r w:rsidR="00BB0757">
              <w:rPr>
                <w:noProof/>
                <w:webHidden/>
              </w:rPr>
              <w:fldChar w:fldCharType="end"/>
            </w:r>
          </w:hyperlink>
        </w:p>
        <w:p w14:paraId="1DC568A9" w14:textId="462F7A23" w:rsidR="00BB0757" w:rsidRDefault="00245D68">
          <w:pPr>
            <w:pStyle w:val="TOC2"/>
            <w:tabs>
              <w:tab w:val="left" w:pos="880"/>
              <w:tab w:val="right" w:leader="dot" w:pos="9016"/>
            </w:tabs>
            <w:rPr>
              <w:noProof/>
              <w:lang w:eastAsia="en-GB"/>
            </w:rPr>
          </w:pPr>
          <w:hyperlink w:anchor="_Toc468286016" w:history="1">
            <w:r w:rsidR="00BB0757" w:rsidRPr="008B228F">
              <w:rPr>
                <w:rStyle w:val="Hyperlink"/>
                <w:noProof/>
              </w:rPr>
              <w:t>8.5</w:t>
            </w:r>
            <w:r w:rsidR="00BB0757">
              <w:rPr>
                <w:noProof/>
                <w:lang w:eastAsia="en-GB"/>
              </w:rPr>
              <w:tab/>
            </w:r>
            <w:r w:rsidR="00BB0757" w:rsidRPr="008B228F">
              <w:rPr>
                <w:rStyle w:val="Hyperlink"/>
                <w:noProof/>
              </w:rPr>
              <w:t>Investigating the effect of the intervention on the complete sample using multilevel modelling techniques</w:t>
            </w:r>
            <w:r w:rsidR="00BB0757">
              <w:rPr>
                <w:noProof/>
                <w:webHidden/>
              </w:rPr>
              <w:tab/>
            </w:r>
            <w:r w:rsidR="00BB0757">
              <w:rPr>
                <w:noProof/>
                <w:webHidden/>
              </w:rPr>
              <w:fldChar w:fldCharType="begin"/>
            </w:r>
            <w:r w:rsidR="00BB0757">
              <w:rPr>
                <w:noProof/>
                <w:webHidden/>
              </w:rPr>
              <w:instrText xml:space="preserve"> PAGEREF _Toc468286016 \h </w:instrText>
            </w:r>
            <w:r w:rsidR="00BB0757">
              <w:rPr>
                <w:noProof/>
                <w:webHidden/>
              </w:rPr>
            </w:r>
            <w:r w:rsidR="00BB0757">
              <w:rPr>
                <w:noProof/>
                <w:webHidden/>
              </w:rPr>
              <w:fldChar w:fldCharType="separate"/>
            </w:r>
            <w:r w:rsidR="00BB0757">
              <w:rPr>
                <w:noProof/>
                <w:webHidden/>
              </w:rPr>
              <w:t>198</w:t>
            </w:r>
            <w:r w:rsidR="00BB0757">
              <w:rPr>
                <w:noProof/>
                <w:webHidden/>
              </w:rPr>
              <w:fldChar w:fldCharType="end"/>
            </w:r>
          </w:hyperlink>
        </w:p>
        <w:p w14:paraId="394CDA43" w14:textId="01485DEF" w:rsidR="00BB0757" w:rsidRDefault="00245D68">
          <w:pPr>
            <w:pStyle w:val="TOC2"/>
            <w:tabs>
              <w:tab w:val="left" w:pos="880"/>
              <w:tab w:val="right" w:leader="dot" w:pos="9016"/>
            </w:tabs>
            <w:rPr>
              <w:noProof/>
              <w:lang w:eastAsia="en-GB"/>
            </w:rPr>
          </w:pPr>
          <w:hyperlink w:anchor="_Toc468286017" w:history="1">
            <w:r w:rsidR="00BB0757" w:rsidRPr="008B228F">
              <w:rPr>
                <w:rStyle w:val="Hyperlink"/>
                <w:noProof/>
              </w:rPr>
              <w:t>8.6</w:t>
            </w:r>
            <w:r w:rsidR="00BB0757">
              <w:rPr>
                <w:noProof/>
                <w:lang w:eastAsia="en-GB"/>
              </w:rPr>
              <w:tab/>
            </w:r>
            <w:r w:rsidR="00BB0757" w:rsidRPr="008B228F">
              <w:rPr>
                <w:rStyle w:val="Hyperlink"/>
                <w:noProof/>
              </w:rPr>
              <w:t>Investigating the results of the evaluation questions</w:t>
            </w:r>
            <w:r w:rsidR="00BB0757">
              <w:rPr>
                <w:noProof/>
                <w:webHidden/>
              </w:rPr>
              <w:tab/>
            </w:r>
            <w:r w:rsidR="00BB0757">
              <w:rPr>
                <w:noProof/>
                <w:webHidden/>
              </w:rPr>
              <w:fldChar w:fldCharType="begin"/>
            </w:r>
            <w:r w:rsidR="00BB0757">
              <w:rPr>
                <w:noProof/>
                <w:webHidden/>
              </w:rPr>
              <w:instrText xml:space="preserve"> PAGEREF _Toc468286017 \h </w:instrText>
            </w:r>
            <w:r w:rsidR="00BB0757">
              <w:rPr>
                <w:noProof/>
                <w:webHidden/>
              </w:rPr>
            </w:r>
            <w:r w:rsidR="00BB0757">
              <w:rPr>
                <w:noProof/>
                <w:webHidden/>
              </w:rPr>
              <w:fldChar w:fldCharType="separate"/>
            </w:r>
            <w:r w:rsidR="00BB0757">
              <w:rPr>
                <w:noProof/>
                <w:webHidden/>
              </w:rPr>
              <w:t>202</w:t>
            </w:r>
            <w:r w:rsidR="00BB0757">
              <w:rPr>
                <w:noProof/>
                <w:webHidden/>
              </w:rPr>
              <w:fldChar w:fldCharType="end"/>
            </w:r>
          </w:hyperlink>
        </w:p>
        <w:p w14:paraId="545DFF06" w14:textId="1979CA91" w:rsidR="00BB0757" w:rsidRDefault="00245D68">
          <w:pPr>
            <w:pStyle w:val="TOC2"/>
            <w:tabs>
              <w:tab w:val="left" w:pos="880"/>
              <w:tab w:val="right" w:leader="dot" w:pos="9016"/>
            </w:tabs>
            <w:rPr>
              <w:noProof/>
              <w:lang w:eastAsia="en-GB"/>
            </w:rPr>
          </w:pPr>
          <w:hyperlink w:anchor="_Toc468286018" w:history="1">
            <w:r w:rsidR="00BB0757" w:rsidRPr="008B228F">
              <w:rPr>
                <w:rStyle w:val="Hyperlink"/>
                <w:noProof/>
              </w:rPr>
              <w:t>8.7</w:t>
            </w:r>
            <w:r w:rsidR="00BB0757">
              <w:rPr>
                <w:noProof/>
                <w:lang w:eastAsia="en-GB"/>
              </w:rPr>
              <w:tab/>
            </w:r>
            <w:r w:rsidR="00BB0757" w:rsidRPr="008B228F">
              <w:rPr>
                <w:rStyle w:val="Hyperlink"/>
                <w:noProof/>
              </w:rPr>
              <w:t>Summary</w:t>
            </w:r>
            <w:r w:rsidR="00BB0757">
              <w:rPr>
                <w:noProof/>
                <w:webHidden/>
              </w:rPr>
              <w:tab/>
            </w:r>
            <w:r w:rsidR="00BB0757">
              <w:rPr>
                <w:noProof/>
                <w:webHidden/>
              </w:rPr>
              <w:fldChar w:fldCharType="begin"/>
            </w:r>
            <w:r w:rsidR="00BB0757">
              <w:rPr>
                <w:noProof/>
                <w:webHidden/>
              </w:rPr>
              <w:instrText xml:space="preserve"> PAGEREF _Toc468286018 \h </w:instrText>
            </w:r>
            <w:r w:rsidR="00BB0757">
              <w:rPr>
                <w:noProof/>
                <w:webHidden/>
              </w:rPr>
            </w:r>
            <w:r w:rsidR="00BB0757">
              <w:rPr>
                <w:noProof/>
                <w:webHidden/>
              </w:rPr>
              <w:fldChar w:fldCharType="separate"/>
            </w:r>
            <w:r w:rsidR="00BB0757">
              <w:rPr>
                <w:noProof/>
                <w:webHidden/>
              </w:rPr>
              <w:t>205</w:t>
            </w:r>
            <w:r w:rsidR="00BB0757">
              <w:rPr>
                <w:noProof/>
                <w:webHidden/>
              </w:rPr>
              <w:fldChar w:fldCharType="end"/>
            </w:r>
          </w:hyperlink>
        </w:p>
        <w:p w14:paraId="350D7C58" w14:textId="2D9D937F" w:rsidR="00BB0757" w:rsidRDefault="00245D68">
          <w:pPr>
            <w:pStyle w:val="TOC1"/>
            <w:tabs>
              <w:tab w:val="left" w:pos="440"/>
              <w:tab w:val="right" w:leader="dot" w:pos="9016"/>
            </w:tabs>
            <w:rPr>
              <w:noProof/>
              <w:lang w:eastAsia="en-GB"/>
            </w:rPr>
          </w:pPr>
          <w:hyperlink w:anchor="_Toc468286019" w:history="1">
            <w:r w:rsidR="00BB0757" w:rsidRPr="008B228F">
              <w:rPr>
                <w:rStyle w:val="Hyperlink"/>
                <w:noProof/>
              </w:rPr>
              <w:t>9</w:t>
            </w:r>
            <w:r w:rsidR="00BB0757">
              <w:rPr>
                <w:noProof/>
                <w:lang w:eastAsia="en-GB"/>
              </w:rPr>
              <w:tab/>
            </w:r>
            <w:r w:rsidR="00BB0757" w:rsidRPr="008B228F">
              <w:rPr>
                <w:rStyle w:val="Hyperlink"/>
                <w:noProof/>
              </w:rPr>
              <w:t>Investigation of the mediation relationships between job resources, work-related basic needs, and work engagement</w:t>
            </w:r>
            <w:r w:rsidR="00BB0757">
              <w:rPr>
                <w:noProof/>
                <w:webHidden/>
              </w:rPr>
              <w:tab/>
            </w:r>
            <w:r w:rsidR="00BB0757">
              <w:rPr>
                <w:noProof/>
                <w:webHidden/>
              </w:rPr>
              <w:fldChar w:fldCharType="begin"/>
            </w:r>
            <w:r w:rsidR="00BB0757">
              <w:rPr>
                <w:noProof/>
                <w:webHidden/>
              </w:rPr>
              <w:instrText xml:space="preserve"> PAGEREF _Toc468286019 \h </w:instrText>
            </w:r>
            <w:r w:rsidR="00BB0757">
              <w:rPr>
                <w:noProof/>
                <w:webHidden/>
              </w:rPr>
            </w:r>
            <w:r w:rsidR="00BB0757">
              <w:rPr>
                <w:noProof/>
                <w:webHidden/>
              </w:rPr>
              <w:fldChar w:fldCharType="separate"/>
            </w:r>
            <w:r w:rsidR="00BB0757">
              <w:rPr>
                <w:noProof/>
                <w:webHidden/>
              </w:rPr>
              <w:t>207</w:t>
            </w:r>
            <w:r w:rsidR="00BB0757">
              <w:rPr>
                <w:noProof/>
                <w:webHidden/>
              </w:rPr>
              <w:fldChar w:fldCharType="end"/>
            </w:r>
          </w:hyperlink>
        </w:p>
        <w:p w14:paraId="61681CC6" w14:textId="597337BD" w:rsidR="00BB0757" w:rsidRDefault="00245D68">
          <w:pPr>
            <w:pStyle w:val="TOC2"/>
            <w:tabs>
              <w:tab w:val="left" w:pos="880"/>
              <w:tab w:val="right" w:leader="dot" w:pos="9016"/>
            </w:tabs>
            <w:rPr>
              <w:noProof/>
              <w:lang w:eastAsia="en-GB"/>
            </w:rPr>
          </w:pPr>
          <w:hyperlink w:anchor="_Toc468286020" w:history="1">
            <w:r w:rsidR="00BB0757" w:rsidRPr="008B228F">
              <w:rPr>
                <w:rStyle w:val="Hyperlink"/>
                <w:noProof/>
              </w:rPr>
              <w:t>9.1</w:t>
            </w:r>
            <w:r w:rsidR="00BB0757">
              <w:rPr>
                <w:noProof/>
                <w:lang w:eastAsia="en-GB"/>
              </w:rPr>
              <w:tab/>
            </w:r>
            <w:r w:rsidR="00BB0757" w:rsidRPr="008B228F">
              <w:rPr>
                <w:rStyle w:val="Hyperlink"/>
                <w:noProof/>
              </w:rPr>
              <w:t>Descriptive statistics and bivariate correlations of the research variables</w:t>
            </w:r>
            <w:r w:rsidR="00BB0757">
              <w:rPr>
                <w:noProof/>
                <w:webHidden/>
              </w:rPr>
              <w:tab/>
            </w:r>
            <w:r w:rsidR="00BB0757">
              <w:rPr>
                <w:noProof/>
                <w:webHidden/>
              </w:rPr>
              <w:fldChar w:fldCharType="begin"/>
            </w:r>
            <w:r w:rsidR="00BB0757">
              <w:rPr>
                <w:noProof/>
                <w:webHidden/>
              </w:rPr>
              <w:instrText xml:space="preserve"> PAGEREF _Toc468286020 \h </w:instrText>
            </w:r>
            <w:r w:rsidR="00BB0757">
              <w:rPr>
                <w:noProof/>
                <w:webHidden/>
              </w:rPr>
            </w:r>
            <w:r w:rsidR="00BB0757">
              <w:rPr>
                <w:noProof/>
                <w:webHidden/>
              </w:rPr>
              <w:fldChar w:fldCharType="separate"/>
            </w:r>
            <w:r w:rsidR="00BB0757">
              <w:rPr>
                <w:noProof/>
                <w:webHidden/>
              </w:rPr>
              <w:t>208</w:t>
            </w:r>
            <w:r w:rsidR="00BB0757">
              <w:rPr>
                <w:noProof/>
                <w:webHidden/>
              </w:rPr>
              <w:fldChar w:fldCharType="end"/>
            </w:r>
          </w:hyperlink>
        </w:p>
        <w:p w14:paraId="7224CBD7" w14:textId="3BD57D76" w:rsidR="00BB0757" w:rsidRDefault="00245D68">
          <w:pPr>
            <w:pStyle w:val="TOC3"/>
            <w:tabs>
              <w:tab w:val="left" w:pos="1320"/>
              <w:tab w:val="right" w:leader="dot" w:pos="9016"/>
            </w:tabs>
            <w:rPr>
              <w:noProof/>
              <w:lang w:eastAsia="en-GB"/>
            </w:rPr>
          </w:pPr>
          <w:hyperlink w:anchor="_Toc468286021" w:history="1">
            <w:r w:rsidR="00BB0757" w:rsidRPr="008B228F">
              <w:rPr>
                <w:rStyle w:val="Hyperlink"/>
                <w:noProof/>
              </w:rPr>
              <w:t>9.1.1</w:t>
            </w:r>
            <w:r w:rsidR="00BB0757">
              <w:rPr>
                <w:noProof/>
                <w:lang w:eastAsia="en-GB"/>
              </w:rPr>
              <w:tab/>
            </w:r>
            <w:r w:rsidR="00BB0757" w:rsidRPr="008B228F">
              <w:rPr>
                <w:rStyle w:val="Hyperlink"/>
                <w:noProof/>
              </w:rPr>
              <w:t>Testing for systematic differences between the demographic variables and the research variables</w:t>
            </w:r>
            <w:r w:rsidR="00BB0757">
              <w:rPr>
                <w:noProof/>
                <w:webHidden/>
              </w:rPr>
              <w:tab/>
            </w:r>
            <w:r w:rsidR="00BB0757">
              <w:rPr>
                <w:noProof/>
                <w:webHidden/>
              </w:rPr>
              <w:fldChar w:fldCharType="begin"/>
            </w:r>
            <w:r w:rsidR="00BB0757">
              <w:rPr>
                <w:noProof/>
                <w:webHidden/>
              </w:rPr>
              <w:instrText xml:space="preserve"> PAGEREF _Toc468286021 \h </w:instrText>
            </w:r>
            <w:r w:rsidR="00BB0757">
              <w:rPr>
                <w:noProof/>
                <w:webHidden/>
              </w:rPr>
            </w:r>
            <w:r w:rsidR="00BB0757">
              <w:rPr>
                <w:noProof/>
                <w:webHidden/>
              </w:rPr>
              <w:fldChar w:fldCharType="separate"/>
            </w:r>
            <w:r w:rsidR="00BB0757">
              <w:rPr>
                <w:noProof/>
                <w:webHidden/>
              </w:rPr>
              <w:t>210</w:t>
            </w:r>
            <w:r w:rsidR="00BB0757">
              <w:rPr>
                <w:noProof/>
                <w:webHidden/>
              </w:rPr>
              <w:fldChar w:fldCharType="end"/>
            </w:r>
          </w:hyperlink>
        </w:p>
        <w:p w14:paraId="08ACF73D" w14:textId="5E7E465A" w:rsidR="00BB0757" w:rsidRDefault="00245D68">
          <w:pPr>
            <w:pStyle w:val="TOC2"/>
            <w:tabs>
              <w:tab w:val="left" w:pos="880"/>
              <w:tab w:val="right" w:leader="dot" w:pos="9016"/>
            </w:tabs>
            <w:rPr>
              <w:noProof/>
              <w:lang w:eastAsia="en-GB"/>
            </w:rPr>
          </w:pPr>
          <w:hyperlink w:anchor="_Toc468286022" w:history="1">
            <w:r w:rsidR="00BB0757" w:rsidRPr="008B228F">
              <w:rPr>
                <w:rStyle w:val="Hyperlink"/>
                <w:noProof/>
              </w:rPr>
              <w:t>9.2</w:t>
            </w:r>
            <w:r w:rsidR="00BB0757">
              <w:rPr>
                <w:noProof/>
                <w:lang w:eastAsia="en-GB"/>
              </w:rPr>
              <w:tab/>
            </w:r>
            <w:r w:rsidR="00BB0757" w:rsidRPr="008B228F">
              <w:rPr>
                <w:rStyle w:val="Hyperlink"/>
                <w:noProof/>
              </w:rPr>
              <w:t>Results of mediation analyses</w:t>
            </w:r>
            <w:r w:rsidR="00BB0757">
              <w:rPr>
                <w:noProof/>
                <w:webHidden/>
              </w:rPr>
              <w:tab/>
            </w:r>
            <w:r w:rsidR="00BB0757">
              <w:rPr>
                <w:noProof/>
                <w:webHidden/>
              </w:rPr>
              <w:fldChar w:fldCharType="begin"/>
            </w:r>
            <w:r w:rsidR="00BB0757">
              <w:rPr>
                <w:noProof/>
                <w:webHidden/>
              </w:rPr>
              <w:instrText xml:space="preserve"> PAGEREF _Toc468286022 \h </w:instrText>
            </w:r>
            <w:r w:rsidR="00BB0757">
              <w:rPr>
                <w:noProof/>
                <w:webHidden/>
              </w:rPr>
            </w:r>
            <w:r w:rsidR="00BB0757">
              <w:rPr>
                <w:noProof/>
                <w:webHidden/>
              </w:rPr>
              <w:fldChar w:fldCharType="separate"/>
            </w:r>
            <w:r w:rsidR="00BB0757">
              <w:rPr>
                <w:noProof/>
                <w:webHidden/>
              </w:rPr>
              <w:t>210</w:t>
            </w:r>
            <w:r w:rsidR="00BB0757">
              <w:rPr>
                <w:noProof/>
                <w:webHidden/>
              </w:rPr>
              <w:fldChar w:fldCharType="end"/>
            </w:r>
          </w:hyperlink>
        </w:p>
        <w:p w14:paraId="6E9583A6" w14:textId="469BA809" w:rsidR="00BB0757" w:rsidRDefault="00245D68">
          <w:pPr>
            <w:pStyle w:val="TOC3"/>
            <w:tabs>
              <w:tab w:val="left" w:pos="1320"/>
              <w:tab w:val="right" w:leader="dot" w:pos="9016"/>
            </w:tabs>
            <w:rPr>
              <w:noProof/>
              <w:lang w:eastAsia="en-GB"/>
            </w:rPr>
          </w:pPr>
          <w:hyperlink w:anchor="_Toc468286023" w:history="1">
            <w:r w:rsidR="00BB0757" w:rsidRPr="008B228F">
              <w:rPr>
                <w:rStyle w:val="Hyperlink"/>
                <w:noProof/>
              </w:rPr>
              <w:t>9.2.1</w:t>
            </w:r>
            <w:r w:rsidR="00BB0757">
              <w:rPr>
                <w:noProof/>
                <w:lang w:eastAsia="en-GB"/>
              </w:rPr>
              <w:tab/>
            </w:r>
            <w:r w:rsidR="00BB0757" w:rsidRPr="008B228F">
              <w:rPr>
                <w:rStyle w:val="Hyperlink"/>
                <w:noProof/>
              </w:rPr>
              <w:t>The relationship between social support and work engagement, mediated by autonomy</w:t>
            </w:r>
            <w:r w:rsidR="00BB0757">
              <w:rPr>
                <w:noProof/>
                <w:webHidden/>
              </w:rPr>
              <w:tab/>
            </w:r>
            <w:r w:rsidR="00BB0757">
              <w:rPr>
                <w:noProof/>
                <w:webHidden/>
              </w:rPr>
              <w:fldChar w:fldCharType="begin"/>
            </w:r>
            <w:r w:rsidR="00BB0757">
              <w:rPr>
                <w:noProof/>
                <w:webHidden/>
              </w:rPr>
              <w:instrText xml:space="preserve"> PAGEREF _Toc468286023 \h </w:instrText>
            </w:r>
            <w:r w:rsidR="00BB0757">
              <w:rPr>
                <w:noProof/>
                <w:webHidden/>
              </w:rPr>
            </w:r>
            <w:r w:rsidR="00BB0757">
              <w:rPr>
                <w:noProof/>
                <w:webHidden/>
              </w:rPr>
              <w:fldChar w:fldCharType="separate"/>
            </w:r>
            <w:r w:rsidR="00BB0757">
              <w:rPr>
                <w:noProof/>
                <w:webHidden/>
              </w:rPr>
              <w:t>211</w:t>
            </w:r>
            <w:r w:rsidR="00BB0757">
              <w:rPr>
                <w:noProof/>
                <w:webHidden/>
              </w:rPr>
              <w:fldChar w:fldCharType="end"/>
            </w:r>
          </w:hyperlink>
        </w:p>
        <w:p w14:paraId="78E862C0" w14:textId="0E3F1E7D" w:rsidR="00BB0757" w:rsidRDefault="00245D68">
          <w:pPr>
            <w:pStyle w:val="TOC3"/>
            <w:tabs>
              <w:tab w:val="left" w:pos="1320"/>
              <w:tab w:val="right" w:leader="dot" w:pos="9016"/>
            </w:tabs>
            <w:rPr>
              <w:noProof/>
              <w:lang w:eastAsia="en-GB"/>
            </w:rPr>
          </w:pPr>
          <w:hyperlink w:anchor="_Toc468286024" w:history="1">
            <w:r w:rsidR="00BB0757" w:rsidRPr="008B228F">
              <w:rPr>
                <w:rStyle w:val="Hyperlink"/>
                <w:noProof/>
              </w:rPr>
              <w:t>9.2.2</w:t>
            </w:r>
            <w:r w:rsidR="00BB0757">
              <w:rPr>
                <w:noProof/>
                <w:lang w:eastAsia="en-GB"/>
              </w:rPr>
              <w:tab/>
            </w:r>
            <w:r w:rsidR="00BB0757" w:rsidRPr="008B228F">
              <w:rPr>
                <w:rStyle w:val="Hyperlink"/>
                <w:noProof/>
              </w:rPr>
              <w:t>The relationship between influence in decision-making and work engagement, mediated by Autonomy</w:t>
            </w:r>
            <w:r w:rsidR="00BB0757">
              <w:rPr>
                <w:noProof/>
                <w:webHidden/>
              </w:rPr>
              <w:tab/>
            </w:r>
            <w:r w:rsidR="00BB0757">
              <w:rPr>
                <w:noProof/>
                <w:webHidden/>
              </w:rPr>
              <w:fldChar w:fldCharType="begin"/>
            </w:r>
            <w:r w:rsidR="00BB0757">
              <w:rPr>
                <w:noProof/>
                <w:webHidden/>
              </w:rPr>
              <w:instrText xml:space="preserve"> PAGEREF _Toc468286024 \h </w:instrText>
            </w:r>
            <w:r w:rsidR="00BB0757">
              <w:rPr>
                <w:noProof/>
                <w:webHidden/>
              </w:rPr>
            </w:r>
            <w:r w:rsidR="00BB0757">
              <w:rPr>
                <w:noProof/>
                <w:webHidden/>
              </w:rPr>
              <w:fldChar w:fldCharType="separate"/>
            </w:r>
            <w:r w:rsidR="00BB0757">
              <w:rPr>
                <w:noProof/>
                <w:webHidden/>
              </w:rPr>
              <w:t>212</w:t>
            </w:r>
            <w:r w:rsidR="00BB0757">
              <w:rPr>
                <w:noProof/>
                <w:webHidden/>
              </w:rPr>
              <w:fldChar w:fldCharType="end"/>
            </w:r>
          </w:hyperlink>
        </w:p>
        <w:p w14:paraId="06214BE0" w14:textId="4DCDBC2D" w:rsidR="00BB0757" w:rsidRDefault="00245D68">
          <w:pPr>
            <w:pStyle w:val="TOC3"/>
            <w:tabs>
              <w:tab w:val="left" w:pos="1320"/>
              <w:tab w:val="right" w:leader="dot" w:pos="9016"/>
            </w:tabs>
            <w:rPr>
              <w:noProof/>
              <w:lang w:eastAsia="en-GB"/>
            </w:rPr>
          </w:pPr>
          <w:hyperlink w:anchor="_Toc468286025" w:history="1">
            <w:r w:rsidR="00BB0757" w:rsidRPr="008B228F">
              <w:rPr>
                <w:rStyle w:val="Hyperlink"/>
                <w:noProof/>
              </w:rPr>
              <w:t>9.2.3</w:t>
            </w:r>
            <w:r w:rsidR="00BB0757">
              <w:rPr>
                <w:noProof/>
                <w:lang w:eastAsia="en-GB"/>
              </w:rPr>
              <w:tab/>
            </w:r>
            <w:r w:rsidR="00BB0757" w:rsidRPr="008B228F">
              <w:rPr>
                <w:rStyle w:val="Hyperlink"/>
                <w:noProof/>
              </w:rPr>
              <w:t>The relationship between resources and demands (composite variable) and work engagement, mediated by autonomy</w:t>
            </w:r>
            <w:r w:rsidR="00BB0757">
              <w:rPr>
                <w:noProof/>
                <w:webHidden/>
              </w:rPr>
              <w:tab/>
            </w:r>
            <w:r w:rsidR="00BB0757">
              <w:rPr>
                <w:noProof/>
                <w:webHidden/>
              </w:rPr>
              <w:fldChar w:fldCharType="begin"/>
            </w:r>
            <w:r w:rsidR="00BB0757">
              <w:rPr>
                <w:noProof/>
                <w:webHidden/>
              </w:rPr>
              <w:instrText xml:space="preserve"> PAGEREF _Toc468286025 \h </w:instrText>
            </w:r>
            <w:r w:rsidR="00BB0757">
              <w:rPr>
                <w:noProof/>
                <w:webHidden/>
              </w:rPr>
            </w:r>
            <w:r w:rsidR="00BB0757">
              <w:rPr>
                <w:noProof/>
                <w:webHidden/>
              </w:rPr>
              <w:fldChar w:fldCharType="separate"/>
            </w:r>
            <w:r w:rsidR="00BB0757">
              <w:rPr>
                <w:noProof/>
                <w:webHidden/>
              </w:rPr>
              <w:t>213</w:t>
            </w:r>
            <w:r w:rsidR="00BB0757">
              <w:rPr>
                <w:noProof/>
                <w:webHidden/>
              </w:rPr>
              <w:fldChar w:fldCharType="end"/>
            </w:r>
          </w:hyperlink>
        </w:p>
        <w:p w14:paraId="4668880C" w14:textId="6D619123" w:rsidR="00BB0757" w:rsidRDefault="00245D68">
          <w:pPr>
            <w:pStyle w:val="TOC3"/>
            <w:tabs>
              <w:tab w:val="left" w:pos="1320"/>
              <w:tab w:val="right" w:leader="dot" w:pos="9016"/>
            </w:tabs>
            <w:rPr>
              <w:noProof/>
              <w:lang w:eastAsia="en-GB"/>
            </w:rPr>
          </w:pPr>
          <w:hyperlink w:anchor="_Toc468286026" w:history="1">
            <w:r w:rsidR="00BB0757" w:rsidRPr="008B228F">
              <w:rPr>
                <w:rStyle w:val="Hyperlink"/>
                <w:noProof/>
              </w:rPr>
              <w:t>9.2.4</w:t>
            </w:r>
            <w:r w:rsidR="00BB0757">
              <w:rPr>
                <w:noProof/>
                <w:lang w:eastAsia="en-GB"/>
              </w:rPr>
              <w:tab/>
            </w:r>
            <w:r w:rsidR="00BB0757" w:rsidRPr="008B228F">
              <w:rPr>
                <w:rStyle w:val="Hyperlink"/>
                <w:noProof/>
              </w:rPr>
              <w:t>The relationship between social support and work engagement, mediated by competence</w:t>
            </w:r>
            <w:r w:rsidR="00BB0757">
              <w:rPr>
                <w:noProof/>
                <w:webHidden/>
              </w:rPr>
              <w:tab/>
            </w:r>
            <w:r w:rsidR="00BB0757">
              <w:rPr>
                <w:noProof/>
                <w:webHidden/>
              </w:rPr>
              <w:fldChar w:fldCharType="begin"/>
            </w:r>
            <w:r w:rsidR="00BB0757">
              <w:rPr>
                <w:noProof/>
                <w:webHidden/>
              </w:rPr>
              <w:instrText xml:space="preserve"> PAGEREF _Toc468286026 \h </w:instrText>
            </w:r>
            <w:r w:rsidR="00BB0757">
              <w:rPr>
                <w:noProof/>
                <w:webHidden/>
              </w:rPr>
            </w:r>
            <w:r w:rsidR="00BB0757">
              <w:rPr>
                <w:noProof/>
                <w:webHidden/>
              </w:rPr>
              <w:fldChar w:fldCharType="separate"/>
            </w:r>
            <w:r w:rsidR="00BB0757">
              <w:rPr>
                <w:noProof/>
                <w:webHidden/>
              </w:rPr>
              <w:t>214</w:t>
            </w:r>
            <w:r w:rsidR="00BB0757">
              <w:rPr>
                <w:noProof/>
                <w:webHidden/>
              </w:rPr>
              <w:fldChar w:fldCharType="end"/>
            </w:r>
          </w:hyperlink>
        </w:p>
        <w:p w14:paraId="33380CA0" w14:textId="7A78D71A" w:rsidR="00BB0757" w:rsidRDefault="00245D68">
          <w:pPr>
            <w:pStyle w:val="TOC3"/>
            <w:tabs>
              <w:tab w:val="left" w:pos="1320"/>
              <w:tab w:val="right" w:leader="dot" w:pos="9016"/>
            </w:tabs>
            <w:rPr>
              <w:noProof/>
              <w:lang w:eastAsia="en-GB"/>
            </w:rPr>
          </w:pPr>
          <w:hyperlink w:anchor="_Toc468286027" w:history="1">
            <w:r w:rsidR="00BB0757" w:rsidRPr="008B228F">
              <w:rPr>
                <w:rStyle w:val="Hyperlink"/>
                <w:noProof/>
              </w:rPr>
              <w:t>9.2.5</w:t>
            </w:r>
            <w:r w:rsidR="00BB0757">
              <w:rPr>
                <w:noProof/>
                <w:lang w:eastAsia="en-GB"/>
              </w:rPr>
              <w:tab/>
            </w:r>
            <w:r w:rsidR="00BB0757" w:rsidRPr="008B228F">
              <w:rPr>
                <w:rStyle w:val="Hyperlink"/>
                <w:noProof/>
              </w:rPr>
              <w:t>The relationship between influence in decision-making and work engagement, mediated by competence</w:t>
            </w:r>
            <w:r w:rsidR="00BB0757">
              <w:rPr>
                <w:noProof/>
                <w:webHidden/>
              </w:rPr>
              <w:tab/>
            </w:r>
            <w:r w:rsidR="00BB0757">
              <w:rPr>
                <w:noProof/>
                <w:webHidden/>
              </w:rPr>
              <w:fldChar w:fldCharType="begin"/>
            </w:r>
            <w:r w:rsidR="00BB0757">
              <w:rPr>
                <w:noProof/>
                <w:webHidden/>
              </w:rPr>
              <w:instrText xml:space="preserve"> PAGEREF _Toc468286027 \h </w:instrText>
            </w:r>
            <w:r w:rsidR="00BB0757">
              <w:rPr>
                <w:noProof/>
                <w:webHidden/>
              </w:rPr>
            </w:r>
            <w:r w:rsidR="00BB0757">
              <w:rPr>
                <w:noProof/>
                <w:webHidden/>
              </w:rPr>
              <w:fldChar w:fldCharType="separate"/>
            </w:r>
            <w:r w:rsidR="00BB0757">
              <w:rPr>
                <w:noProof/>
                <w:webHidden/>
              </w:rPr>
              <w:t>215</w:t>
            </w:r>
            <w:r w:rsidR="00BB0757">
              <w:rPr>
                <w:noProof/>
                <w:webHidden/>
              </w:rPr>
              <w:fldChar w:fldCharType="end"/>
            </w:r>
          </w:hyperlink>
        </w:p>
        <w:p w14:paraId="08492EEB" w14:textId="668B0E64" w:rsidR="00BB0757" w:rsidRDefault="00245D68">
          <w:pPr>
            <w:pStyle w:val="TOC3"/>
            <w:tabs>
              <w:tab w:val="left" w:pos="1320"/>
              <w:tab w:val="right" w:leader="dot" w:pos="9016"/>
            </w:tabs>
            <w:rPr>
              <w:noProof/>
              <w:lang w:eastAsia="en-GB"/>
            </w:rPr>
          </w:pPr>
          <w:hyperlink w:anchor="_Toc468286028" w:history="1">
            <w:r w:rsidR="00BB0757" w:rsidRPr="008B228F">
              <w:rPr>
                <w:rStyle w:val="Hyperlink"/>
                <w:noProof/>
              </w:rPr>
              <w:t>9.2.6</w:t>
            </w:r>
            <w:r w:rsidR="00BB0757">
              <w:rPr>
                <w:noProof/>
                <w:lang w:eastAsia="en-GB"/>
              </w:rPr>
              <w:tab/>
            </w:r>
            <w:r w:rsidR="00BB0757" w:rsidRPr="008B228F">
              <w:rPr>
                <w:rStyle w:val="Hyperlink"/>
                <w:noProof/>
              </w:rPr>
              <w:t>The relationship between resources and demands and work engagement, mediated by competence</w:t>
            </w:r>
            <w:r w:rsidR="00BB0757">
              <w:rPr>
                <w:noProof/>
                <w:webHidden/>
              </w:rPr>
              <w:tab/>
            </w:r>
            <w:r w:rsidR="00BB0757">
              <w:rPr>
                <w:noProof/>
                <w:webHidden/>
              </w:rPr>
              <w:fldChar w:fldCharType="begin"/>
            </w:r>
            <w:r w:rsidR="00BB0757">
              <w:rPr>
                <w:noProof/>
                <w:webHidden/>
              </w:rPr>
              <w:instrText xml:space="preserve"> PAGEREF _Toc468286028 \h </w:instrText>
            </w:r>
            <w:r w:rsidR="00BB0757">
              <w:rPr>
                <w:noProof/>
                <w:webHidden/>
              </w:rPr>
            </w:r>
            <w:r w:rsidR="00BB0757">
              <w:rPr>
                <w:noProof/>
                <w:webHidden/>
              </w:rPr>
              <w:fldChar w:fldCharType="separate"/>
            </w:r>
            <w:r w:rsidR="00BB0757">
              <w:rPr>
                <w:noProof/>
                <w:webHidden/>
              </w:rPr>
              <w:t>216</w:t>
            </w:r>
            <w:r w:rsidR="00BB0757">
              <w:rPr>
                <w:noProof/>
                <w:webHidden/>
              </w:rPr>
              <w:fldChar w:fldCharType="end"/>
            </w:r>
          </w:hyperlink>
        </w:p>
        <w:p w14:paraId="7A99AA36" w14:textId="56017D22" w:rsidR="00BB0757" w:rsidRDefault="00245D68">
          <w:pPr>
            <w:pStyle w:val="TOC3"/>
            <w:tabs>
              <w:tab w:val="left" w:pos="1320"/>
              <w:tab w:val="right" w:leader="dot" w:pos="9016"/>
            </w:tabs>
            <w:rPr>
              <w:noProof/>
              <w:lang w:eastAsia="en-GB"/>
            </w:rPr>
          </w:pPr>
          <w:hyperlink w:anchor="_Toc468286029" w:history="1">
            <w:r w:rsidR="00BB0757" w:rsidRPr="008B228F">
              <w:rPr>
                <w:rStyle w:val="Hyperlink"/>
                <w:noProof/>
              </w:rPr>
              <w:t>9.2.7</w:t>
            </w:r>
            <w:r w:rsidR="00BB0757">
              <w:rPr>
                <w:noProof/>
                <w:lang w:eastAsia="en-GB"/>
              </w:rPr>
              <w:tab/>
            </w:r>
            <w:r w:rsidR="00BB0757" w:rsidRPr="008B228F">
              <w:rPr>
                <w:rStyle w:val="Hyperlink"/>
                <w:noProof/>
              </w:rPr>
              <w:t>The relationship between social support and work engagement, mediated by relatedness</w:t>
            </w:r>
            <w:r w:rsidR="00BB0757">
              <w:rPr>
                <w:noProof/>
                <w:webHidden/>
              </w:rPr>
              <w:tab/>
            </w:r>
            <w:r w:rsidR="00BB0757">
              <w:rPr>
                <w:noProof/>
                <w:webHidden/>
              </w:rPr>
              <w:fldChar w:fldCharType="begin"/>
            </w:r>
            <w:r w:rsidR="00BB0757">
              <w:rPr>
                <w:noProof/>
                <w:webHidden/>
              </w:rPr>
              <w:instrText xml:space="preserve"> PAGEREF _Toc468286029 \h </w:instrText>
            </w:r>
            <w:r w:rsidR="00BB0757">
              <w:rPr>
                <w:noProof/>
                <w:webHidden/>
              </w:rPr>
            </w:r>
            <w:r w:rsidR="00BB0757">
              <w:rPr>
                <w:noProof/>
                <w:webHidden/>
              </w:rPr>
              <w:fldChar w:fldCharType="separate"/>
            </w:r>
            <w:r w:rsidR="00BB0757">
              <w:rPr>
                <w:noProof/>
                <w:webHidden/>
              </w:rPr>
              <w:t>217</w:t>
            </w:r>
            <w:r w:rsidR="00BB0757">
              <w:rPr>
                <w:noProof/>
                <w:webHidden/>
              </w:rPr>
              <w:fldChar w:fldCharType="end"/>
            </w:r>
          </w:hyperlink>
        </w:p>
        <w:p w14:paraId="7423C656" w14:textId="72B874FB" w:rsidR="00BB0757" w:rsidRDefault="00245D68">
          <w:pPr>
            <w:pStyle w:val="TOC3"/>
            <w:tabs>
              <w:tab w:val="left" w:pos="1320"/>
              <w:tab w:val="right" w:leader="dot" w:pos="9016"/>
            </w:tabs>
            <w:rPr>
              <w:noProof/>
              <w:lang w:eastAsia="en-GB"/>
            </w:rPr>
          </w:pPr>
          <w:hyperlink w:anchor="_Toc468286030" w:history="1">
            <w:r w:rsidR="00BB0757" w:rsidRPr="008B228F">
              <w:rPr>
                <w:rStyle w:val="Hyperlink"/>
                <w:noProof/>
              </w:rPr>
              <w:t>9.2.8</w:t>
            </w:r>
            <w:r w:rsidR="00BB0757">
              <w:rPr>
                <w:noProof/>
                <w:lang w:eastAsia="en-GB"/>
              </w:rPr>
              <w:tab/>
            </w:r>
            <w:r w:rsidR="00BB0757" w:rsidRPr="008B228F">
              <w:rPr>
                <w:rStyle w:val="Hyperlink"/>
                <w:noProof/>
              </w:rPr>
              <w:t>The relationship between influence in decision-making and work engagement, mediated by relatedness</w:t>
            </w:r>
            <w:r w:rsidR="00BB0757">
              <w:rPr>
                <w:noProof/>
                <w:webHidden/>
              </w:rPr>
              <w:tab/>
            </w:r>
            <w:r w:rsidR="00BB0757">
              <w:rPr>
                <w:noProof/>
                <w:webHidden/>
              </w:rPr>
              <w:fldChar w:fldCharType="begin"/>
            </w:r>
            <w:r w:rsidR="00BB0757">
              <w:rPr>
                <w:noProof/>
                <w:webHidden/>
              </w:rPr>
              <w:instrText xml:space="preserve"> PAGEREF _Toc468286030 \h </w:instrText>
            </w:r>
            <w:r w:rsidR="00BB0757">
              <w:rPr>
                <w:noProof/>
                <w:webHidden/>
              </w:rPr>
            </w:r>
            <w:r w:rsidR="00BB0757">
              <w:rPr>
                <w:noProof/>
                <w:webHidden/>
              </w:rPr>
              <w:fldChar w:fldCharType="separate"/>
            </w:r>
            <w:r w:rsidR="00BB0757">
              <w:rPr>
                <w:noProof/>
                <w:webHidden/>
              </w:rPr>
              <w:t>218</w:t>
            </w:r>
            <w:r w:rsidR="00BB0757">
              <w:rPr>
                <w:noProof/>
                <w:webHidden/>
              </w:rPr>
              <w:fldChar w:fldCharType="end"/>
            </w:r>
          </w:hyperlink>
        </w:p>
        <w:p w14:paraId="1B7CC0AA" w14:textId="52D2A777" w:rsidR="00BB0757" w:rsidRDefault="00245D68">
          <w:pPr>
            <w:pStyle w:val="TOC3"/>
            <w:tabs>
              <w:tab w:val="left" w:pos="1320"/>
              <w:tab w:val="right" w:leader="dot" w:pos="9016"/>
            </w:tabs>
            <w:rPr>
              <w:noProof/>
              <w:lang w:eastAsia="en-GB"/>
            </w:rPr>
          </w:pPr>
          <w:hyperlink w:anchor="_Toc468286031" w:history="1">
            <w:r w:rsidR="00BB0757" w:rsidRPr="008B228F">
              <w:rPr>
                <w:rStyle w:val="Hyperlink"/>
                <w:noProof/>
              </w:rPr>
              <w:t>9.2.9</w:t>
            </w:r>
            <w:r w:rsidR="00BB0757">
              <w:rPr>
                <w:noProof/>
                <w:lang w:eastAsia="en-GB"/>
              </w:rPr>
              <w:tab/>
            </w:r>
            <w:r w:rsidR="00BB0757" w:rsidRPr="008B228F">
              <w:rPr>
                <w:rStyle w:val="Hyperlink"/>
                <w:noProof/>
              </w:rPr>
              <w:t>The relationship between resources and demands and work engagement, mediated by relatedness</w:t>
            </w:r>
            <w:r w:rsidR="00BB0757">
              <w:rPr>
                <w:noProof/>
                <w:webHidden/>
              </w:rPr>
              <w:tab/>
            </w:r>
            <w:r w:rsidR="00BB0757">
              <w:rPr>
                <w:noProof/>
                <w:webHidden/>
              </w:rPr>
              <w:fldChar w:fldCharType="begin"/>
            </w:r>
            <w:r w:rsidR="00BB0757">
              <w:rPr>
                <w:noProof/>
                <w:webHidden/>
              </w:rPr>
              <w:instrText xml:space="preserve"> PAGEREF _Toc468286031 \h </w:instrText>
            </w:r>
            <w:r w:rsidR="00BB0757">
              <w:rPr>
                <w:noProof/>
                <w:webHidden/>
              </w:rPr>
            </w:r>
            <w:r w:rsidR="00BB0757">
              <w:rPr>
                <w:noProof/>
                <w:webHidden/>
              </w:rPr>
              <w:fldChar w:fldCharType="separate"/>
            </w:r>
            <w:r w:rsidR="00BB0757">
              <w:rPr>
                <w:noProof/>
                <w:webHidden/>
              </w:rPr>
              <w:t>219</w:t>
            </w:r>
            <w:r w:rsidR="00BB0757">
              <w:rPr>
                <w:noProof/>
                <w:webHidden/>
              </w:rPr>
              <w:fldChar w:fldCharType="end"/>
            </w:r>
          </w:hyperlink>
        </w:p>
        <w:p w14:paraId="1BF7F122" w14:textId="5BC38BB2" w:rsidR="00BB0757" w:rsidRDefault="00245D68">
          <w:pPr>
            <w:pStyle w:val="TOC2"/>
            <w:tabs>
              <w:tab w:val="left" w:pos="880"/>
              <w:tab w:val="right" w:leader="dot" w:pos="9016"/>
            </w:tabs>
            <w:rPr>
              <w:noProof/>
              <w:lang w:eastAsia="en-GB"/>
            </w:rPr>
          </w:pPr>
          <w:hyperlink w:anchor="_Toc468286032" w:history="1">
            <w:r w:rsidR="00BB0757" w:rsidRPr="008B228F">
              <w:rPr>
                <w:rStyle w:val="Hyperlink"/>
                <w:noProof/>
              </w:rPr>
              <w:t>9.3</w:t>
            </w:r>
            <w:r w:rsidR="00BB0757">
              <w:rPr>
                <w:noProof/>
                <w:lang w:eastAsia="en-GB"/>
              </w:rPr>
              <w:tab/>
            </w:r>
            <w:r w:rsidR="00BB0757" w:rsidRPr="008B228F">
              <w:rPr>
                <w:rStyle w:val="Hyperlink"/>
                <w:noProof/>
              </w:rPr>
              <w:t>Summary</w:t>
            </w:r>
            <w:r w:rsidR="00BB0757">
              <w:rPr>
                <w:noProof/>
                <w:webHidden/>
              </w:rPr>
              <w:tab/>
            </w:r>
            <w:r w:rsidR="00BB0757">
              <w:rPr>
                <w:noProof/>
                <w:webHidden/>
              </w:rPr>
              <w:fldChar w:fldCharType="begin"/>
            </w:r>
            <w:r w:rsidR="00BB0757">
              <w:rPr>
                <w:noProof/>
                <w:webHidden/>
              </w:rPr>
              <w:instrText xml:space="preserve"> PAGEREF _Toc468286032 \h </w:instrText>
            </w:r>
            <w:r w:rsidR="00BB0757">
              <w:rPr>
                <w:noProof/>
                <w:webHidden/>
              </w:rPr>
            </w:r>
            <w:r w:rsidR="00BB0757">
              <w:rPr>
                <w:noProof/>
                <w:webHidden/>
              </w:rPr>
              <w:fldChar w:fldCharType="separate"/>
            </w:r>
            <w:r w:rsidR="00BB0757">
              <w:rPr>
                <w:noProof/>
                <w:webHidden/>
              </w:rPr>
              <w:t>221</w:t>
            </w:r>
            <w:r w:rsidR="00BB0757">
              <w:rPr>
                <w:noProof/>
                <w:webHidden/>
              </w:rPr>
              <w:fldChar w:fldCharType="end"/>
            </w:r>
          </w:hyperlink>
        </w:p>
        <w:p w14:paraId="11EA61BF" w14:textId="0337712D" w:rsidR="00BB0757" w:rsidRDefault="00245D68">
          <w:pPr>
            <w:pStyle w:val="TOC1"/>
            <w:tabs>
              <w:tab w:val="left" w:pos="660"/>
              <w:tab w:val="right" w:leader="dot" w:pos="9016"/>
            </w:tabs>
            <w:rPr>
              <w:noProof/>
              <w:lang w:eastAsia="en-GB"/>
            </w:rPr>
          </w:pPr>
          <w:hyperlink w:anchor="_Toc468286033" w:history="1">
            <w:r w:rsidR="00BB0757" w:rsidRPr="008B228F">
              <w:rPr>
                <w:rStyle w:val="Hyperlink"/>
                <w:noProof/>
              </w:rPr>
              <w:t>10</w:t>
            </w:r>
            <w:r w:rsidR="00BB0757">
              <w:rPr>
                <w:noProof/>
                <w:lang w:eastAsia="en-GB"/>
              </w:rPr>
              <w:tab/>
            </w:r>
            <w:r w:rsidR="00BB0757" w:rsidRPr="008B228F">
              <w:rPr>
                <w:rStyle w:val="Hyperlink"/>
                <w:noProof/>
              </w:rPr>
              <w:t>Discussion</w:t>
            </w:r>
            <w:r w:rsidR="00BB0757">
              <w:rPr>
                <w:noProof/>
                <w:webHidden/>
              </w:rPr>
              <w:tab/>
            </w:r>
            <w:r w:rsidR="00BB0757">
              <w:rPr>
                <w:noProof/>
                <w:webHidden/>
              </w:rPr>
              <w:fldChar w:fldCharType="begin"/>
            </w:r>
            <w:r w:rsidR="00BB0757">
              <w:rPr>
                <w:noProof/>
                <w:webHidden/>
              </w:rPr>
              <w:instrText xml:space="preserve"> PAGEREF _Toc468286033 \h </w:instrText>
            </w:r>
            <w:r w:rsidR="00BB0757">
              <w:rPr>
                <w:noProof/>
                <w:webHidden/>
              </w:rPr>
            </w:r>
            <w:r w:rsidR="00BB0757">
              <w:rPr>
                <w:noProof/>
                <w:webHidden/>
              </w:rPr>
              <w:fldChar w:fldCharType="separate"/>
            </w:r>
            <w:r w:rsidR="00BB0757">
              <w:rPr>
                <w:noProof/>
                <w:webHidden/>
              </w:rPr>
              <w:t>223</w:t>
            </w:r>
            <w:r w:rsidR="00BB0757">
              <w:rPr>
                <w:noProof/>
                <w:webHidden/>
              </w:rPr>
              <w:fldChar w:fldCharType="end"/>
            </w:r>
          </w:hyperlink>
        </w:p>
        <w:p w14:paraId="67B49F4C" w14:textId="748A2093" w:rsidR="00BB0757" w:rsidRDefault="00245D68">
          <w:pPr>
            <w:pStyle w:val="TOC2"/>
            <w:tabs>
              <w:tab w:val="left" w:pos="880"/>
              <w:tab w:val="right" w:leader="dot" w:pos="9016"/>
            </w:tabs>
            <w:rPr>
              <w:noProof/>
              <w:lang w:eastAsia="en-GB"/>
            </w:rPr>
          </w:pPr>
          <w:hyperlink w:anchor="_Toc468286034" w:history="1">
            <w:r w:rsidR="00BB0757" w:rsidRPr="008B228F">
              <w:rPr>
                <w:rStyle w:val="Hyperlink"/>
                <w:noProof/>
              </w:rPr>
              <w:t>10.1</w:t>
            </w:r>
            <w:r w:rsidR="00BB0757">
              <w:rPr>
                <w:noProof/>
                <w:lang w:eastAsia="en-GB"/>
              </w:rPr>
              <w:tab/>
            </w:r>
            <w:r w:rsidR="00BB0757" w:rsidRPr="008B228F">
              <w:rPr>
                <w:rStyle w:val="Hyperlink"/>
                <w:noProof/>
              </w:rPr>
              <w:t>Study 1: A narrative systematic review and meta-analysis to investigate the effectiveness of interventions to increase work engagement</w:t>
            </w:r>
            <w:r w:rsidR="00BB0757">
              <w:rPr>
                <w:noProof/>
                <w:webHidden/>
              </w:rPr>
              <w:tab/>
            </w:r>
            <w:r w:rsidR="00BB0757">
              <w:rPr>
                <w:noProof/>
                <w:webHidden/>
              </w:rPr>
              <w:fldChar w:fldCharType="begin"/>
            </w:r>
            <w:r w:rsidR="00BB0757">
              <w:rPr>
                <w:noProof/>
                <w:webHidden/>
              </w:rPr>
              <w:instrText xml:space="preserve"> PAGEREF _Toc468286034 \h </w:instrText>
            </w:r>
            <w:r w:rsidR="00BB0757">
              <w:rPr>
                <w:noProof/>
                <w:webHidden/>
              </w:rPr>
            </w:r>
            <w:r w:rsidR="00BB0757">
              <w:rPr>
                <w:noProof/>
                <w:webHidden/>
              </w:rPr>
              <w:fldChar w:fldCharType="separate"/>
            </w:r>
            <w:r w:rsidR="00BB0757">
              <w:rPr>
                <w:noProof/>
                <w:webHidden/>
              </w:rPr>
              <w:t>223</w:t>
            </w:r>
            <w:r w:rsidR="00BB0757">
              <w:rPr>
                <w:noProof/>
                <w:webHidden/>
              </w:rPr>
              <w:fldChar w:fldCharType="end"/>
            </w:r>
          </w:hyperlink>
        </w:p>
        <w:p w14:paraId="17500852" w14:textId="426F7A4E" w:rsidR="00BB0757" w:rsidRDefault="00245D68">
          <w:pPr>
            <w:pStyle w:val="TOC3"/>
            <w:tabs>
              <w:tab w:val="left" w:pos="1320"/>
              <w:tab w:val="right" w:leader="dot" w:pos="9016"/>
            </w:tabs>
            <w:rPr>
              <w:noProof/>
              <w:lang w:eastAsia="en-GB"/>
            </w:rPr>
          </w:pPr>
          <w:hyperlink w:anchor="_Toc468286035" w:history="1">
            <w:r w:rsidR="00BB0757" w:rsidRPr="008B228F">
              <w:rPr>
                <w:rStyle w:val="Hyperlink"/>
                <w:noProof/>
                <w:specVanish/>
              </w:rPr>
              <w:t>10.1.1</w:t>
            </w:r>
            <w:r w:rsidR="00BB0757">
              <w:rPr>
                <w:noProof/>
                <w:lang w:eastAsia="en-GB"/>
              </w:rPr>
              <w:tab/>
            </w:r>
            <w:r w:rsidR="00BB0757" w:rsidRPr="008B228F">
              <w:rPr>
                <w:rStyle w:val="Hyperlink"/>
                <w:noProof/>
              </w:rPr>
              <w:t>Aim 1</w:t>
            </w:r>
            <w:r w:rsidR="00BB0757">
              <w:rPr>
                <w:noProof/>
                <w:webHidden/>
              </w:rPr>
              <w:tab/>
            </w:r>
            <w:r w:rsidR="00BB0757">
              <w:rPr>
                <w:noProof/>
                <w:webHidden/>
              </w:rPr>
              <w:fldChar w:fldCharType="begin"/>
            </w:r>
            <w:r w:rsidR="00BB0757">
              <w:rPr>
                <w:noProof/>
                <w:webHidden/>
              </w:rPr>
              <w:instrText xml:space="preserve"> PAGEREF _Toc468286035 \h </w:instrText>
            </w:r>
            <w:r w:rsidR="00BB0757">
              <w:rPr>
                <w:noProof/>
                <w:webHidden/>
              </w:rPr>
            </w:r>
            <w:r w:rsidR="00BB0757">
              <w:rPr>
                <w:noProof/>
                <w:webHidden/>
              </w:rPr>
              <w:fldChar w:fldCharType="separate"/>
            </w:r>
            <w:r w:rsidR="00BB0757">
              <w:rPr>
                <w:noProof/>
                <w:webHidden/>
              </w:rPr>
              <w:t>223</w:t>
            </w:r>
            <w:r w:rsidR="00BB0757">
              <w:rPr>
                <w:noProof/>
                <w:webHidden/>
              </w:rPr>
              <w:fldChar w:fldCharType="end"/>
            </w:r>
          </w:hyperlink>
        </w:p>
        <w:p w14:paraId="745BDFDE" w14:textId="16A15A4F" w:rsidR="00BB0757" w:rsidRDefault="00245D68">
          <w:pPr>
            <w:pStyle w:val="TOC3"/>
            <w:tabs>
              <w:tab w:val="left" w:pos="1320"/>
              <w:tab w:val="right" w:leader="dot" w:pos="9016"/>
            </w:tabs>
            <w:rPr>
              <w:noProof/>
              <w:lang w:eastAsia="en-GB"/>
            </w:rPr>
          </w:pPr>
          <w:hyperlink w:anchor="_Toc468286036" w:history="1">
            <w:r w:rsidR="00BB0757" w:rsidRPr="008B228F">
              <w:rPr>
                <w:rStyle w:val="Hyperlink"/>
                <w:noProof/>
                <w:specVanish/>
              </w:rPr>
              <w:t>10.1.2</w:t>
            </w:r>
            <w:r w:rsidR="00BB0757">
              <w:rPr>
                <w:noProof/>
                <w:lang w:eastAsia="en-GB"/>
              </w:rPr>
              <w:tab/>
            </w:r>
            <w:r w:rsidR="00BB0757" w:rsidRPr="008B228F">
              <w:rPr>
                <w:rStyle w:val="Hyperlink"/>
                <w:noProof/>
              </w:rPr>
              <w:t>Aim 2</w:t>
            </w:r>
            <w:r w:rsidR="00BB0757">
              <w:rPr>
                <w:noProof/>
                <w:webHidden/>
              </w:rPr>
              <w:tab/>
            </w:r>
            <w:r w:rsidR="00BB0757">
              <w:rPr>
                <w:noProof/>
                <w:webHidden/>
              </w:rPr>
              <w:fldChar w:fldCharType="begin"/>
            </w:r>
            <w:r w:rsidR="00BB0757">
              <w:rPr>
                <w:noProof/>
                <w:webHidden/>
              </w:rPr>
              <w:instrText xml:space="preserve"> PAGEREF _Toc468286036 \h </w:instrText>
            </w:r>
            <w:r w:rsidR="00BB0757">
              <w:rPr>
                <w:noProof/>
                <w:webHidden/>
              </w:rPr>
            </w:r>
            <w:r w:rsidR="00BB0757">
              <w:rPr>
                <w:noProof/>
                <w:webHidden/>
              </w:rPr>
              <w:fldChar w:fldCharType="separate"/>
            </w:r>
            <w:r w:rsidR="00BB0757">
              <w:rPr>
                <w:noProof/>
                <w:webHidden/>
              </w:rPr>
              <w:t>224</w:t>
            </w:r>
            <w:r w:rsidR="00BB0757">
              <w:rPr>
                <w:noProof/>
                <w:webHidden/>
              </w:rPr>
              <w:fldChar w:fldCharType="end"/>
            </w:r>
          </w:hyperlink>
        </w:p>
        <w:p w14:paraId="03A83CB1" w14:textId="293949A0" w:rsidR="00BB0757" w:rsidRDefault="00245D68">
          <w:pPr>
            <w:pStyle w:val="TOC3"/>
            <w:tabs>
              <w:tab w:val="left" w:pos="1320"/>
              <w:tab w:val="right" w:leader="dot" w:pos="9016"/>
            </w:tabs>
            <w:rPr>
              <w:noProof/>
              <w:lang w:eastAsia="en-GB"/>
            </w:rPr>
          </w:pPr>
          <w:hyperlink w:anchor="_Toc468286037" w:history="1">
            <w:r w:rsidR="00BB0757" w:rsidRPr="008B228F">
              <w:rPr>
                <w:rStyle w:val="Hyperlink"/>
                <w:noProof/>
                <w:specVanish/>
              </w:rPr>
              <w:t>10.1.3</w:t>
            </w:r>
            <w:r w:rsidR="00BB0757">
              <w:rPr>
                <w:noProof/>
                <w:lang w:eastAsia="en-GB"/>
              </w:rPr>
              <w:tab/>
            </w:r>
            <w:r w:rsidR="00BB0757" w:rsidRPr="008B228F">
              <w:rPr>
                <w:rStyle w:val="Hyperlink"/>
                <w:noProof/>
              </w:rPr>
              <w:t>Aim 3</w:t>
            </w:r>
            <w:r w:rsidR="00BB0757">
              <w:rPr>
                <w:noProof/>
                <w:webHidden/>
              </w:rPr>
              <w:tab/>
            </w:r>
            <w:r w:rsidR="00BB0757">
              <w:rPr>
                <w:noProof/>
                <w:webHidden/>
              </w:rPr>
              <w:fldChar w:fldCharType="begin"/>
            </w:r>
            <w:r w:rsidR="00BB0757">
              <w:rPr>
                <w:noProof/>
                <w:webHidden/>
              </w:rPr>
              <w:instrText xml:space="preserve"> PAGEREF _Toc468286037 \h </w:instrText>
            </w:r>
            <w:r w:rsidR="00BB0757">
              <w:rPr>
                <w:noProof/>
                <w:webHidden/>
              </w:rPr>
            </w:r>
            <w:r w:rsidR="00BB0757">
              <w:rPr>
                <w:noProof/>
                <w:webHidden/>
              </w:rPr>
              <w:fldChar w:fldCharType="separate"/>
            </w:r>
            <w:r w:rsidR="00BB0757">
              <w:rPr>
                <w:noProof/>
                <w:webHidden/>
              </w:rPr>
              <w:t>227</w:t>
            </w:r>
            <w:r w:rsidR="00BB0757">
              <w:rPr>
                <w:noProof/>
                <w:webHidden/>
              </w:rPr>
              <w:fldChar w:fldCharType="end"/>
            </w:r>
          </w:hyperlink>
        </w:p>
        <w:p w14:paraId="682CFB49" w14:textId="3B14F75F" w:rsidR="00BB0757" w:rsidRDefault="00245D68">
          <w:pPr>
            <w:pStyle w:val="TOC3"/>
            <w:tabs>
              <w:tab w:val="left" w:pos="1320"/>
              <w:tab w:val="right" w:leader="dot" w:pos="9016"/>
            </w:tabs>
            <w:rPr>
              <w:noProof/>
              <w:lang w:eastAsia="en-GB"/>
            </w:rPr>
          </w:pPr>
          <w:hyperlink w:anchor="_Toc468286038" w:history="1">
            <w:r w:rsidR="00BB0757" w:rsidRPr="008B228F">
              <w:rPr>
                <w:rStyle w:val="Hyperlink"/>
                <w:noProof/>
              </w:rPr>
              <w:t>10.1.4</w:t>
            </w:r>
            <w:r w:rsidR="00BB0757">
              <w:rPr>
                <w:noProof/>
                <w:lang w:eastAsia="en-GB"/>
              </w:rPr>
              <w:tab/>
            </w:r>
            <w:r w:rsidR="00BB0757" w:rsidRPr="008B228F">
              <w:rPr>
                <w:rStyle w:val="Hyperlink"/>
                <w:noProof/>
              </w:rPr>
              <w:t>Contributions of Study 1 for theory</w:t>
            </w:r>
            <w:r w:rsidR="00BB0757">
              <w:rPr>
                <w:noProof/>
                <w:webHidden/>
              </w:rPr>
              <w:tab/>
            </w:r>
            <w:r w:rsidR="00BB0757">
              <w:rPr>
                <w:noProof/>
                <w:webHidden/>
              </w:rPr>
              <w:fldChar w:fldCharType="begin"/>
            </w:r>
            <w:r w:rsidR="00BB0757">
              <w:rPr>
                <w:noProof/>
                <w:webHidden/>
              </w:rPr>
              <w:instrText xml:space="preserve"> PAGEREF _Toc468286038 \h </w:instrText>
            </w:r>
            <w:r w:rsidR="00BB0757">
              <w:rPr>
                <w:noProof/>
                <w:webHidden/>
              </w:rPr>
            </w:r>
            <w:r w:rsidR="00BB0757">
              <w:rPr>
                <w:noProof/>
                <w:webHidden/>
              </w:rPr>
              <w:fldChar w:fldCharType="separate"/>
            </w:r>
            <w:r w:rsidR="00BB0757">
              <w:rPr>
                <w:noProof/>
                <w:webHidden/>
              </w:rPr>
              <w:t>231</w:t>
            </w:r>
            <w:r w:rsidR="00BB0757">
              <w:rPr>
                <w:noProof/>
                <w:webHidden/>
              </w:rPr>
              <w:fldChar w:fldCharType="end"/>
            </w:r>
          </w:hyperlink>
        </w:p>
        <w:p w14:paraId="20B10713" w14:textId="22AD6A99" w:rsidR="00BB0757" w:rsidRDefault="00245D68">
          <w:pPr>
            <w:pStyle w:val="TOC3"/>
            <w:tabs>
              <w:tab w:val="left" w:pos="1320"/>
              <w:tab w:val="right" w:leader="dot" w:pos="9016"/>
            </w:tabs>
            <w:rPr>
              <w:noProof/>
              <w:lang w:eastAsia="en-GB"/>
            </w:rPr>
          </w:pPr>
          <w:hyperlink w:anchor="_Toc468286039" w:history="1">
            <w:r w:rsidR="00BB0757" w:rsidRPr="008B228F">
              <w:rPr>
                <w:rStyle w:val="Hyperlink"/>
                <w:noProof/>
              </w:rPr>
              <w:t>10.1.5</w:t>
            </w:r>
            <w:r w:rsidR="00BB0757">
              <w:rPr>
                <w:noProof/>
                <w:lang w:eastAsia="en-GB"/>
              </w:rPr>
              <w:tab/>
            </w:r>
            <w:r w:rsidR="00BB0757" w:rsidRPr="008B228F">
              <w:rPr>
                <w:rStyle w:val="Hyperlink"/>
                <w:noProof/>
              </w:rPr>
              <w:t>Contributions of Study 1 for future research</w:t>
            </w:r>
            <w:r w:rsidR="00BB0757">
              <w:rPr>
                <w:noProof/>
                <w:webHidden/>
              </w:rPr>
              <w:tab/>
            </w:r>
            <w:r w:rsidR="00BB0757">
              <w:rPr>
                <w:noProof/>
                <w:webHidden/>
              </w:rPr>
              <w:fldChar w:fldCharType="begin"/>
            </w:r>
            <w:r w:rsidR="00BB0757">
              <w:rPr>
                <w:noProof/>
                <w:webHidden/>
              </w:rPr>
              <w:instrText xml:space="preserve"> PAGEREF _Toc468286039 \h </w:instrText>
            </w:r>
            <w:r w:rsidR="00BB0757">
              <w:rPr>
                <w:noProof/>
                <w:webHidden/>
              </w:rPr>
            </w:r>
            <w:r w:rsidR="00BB0757">
              <w:rPr>
                <w:noProof/>
                <w:webHidden/>
              </w:rPr>
              <w:fldChar w:fldCharType="separate"/>
            </w:r>
            <w:r w:rsidR="00BB0757">
              <w:rPr>
                <w:noProof/>
                <w:webHidden/>
              </w:rPr>
              <w:t>232</w:t>
            </w:r>
            <w:r w:rsidR="00BB0757">
              <w:rPr>
                <w:noProof/>
                <w:webHidden/>
              </w:rPr>
              <w:fldChar w:fldCharType="end"/>
            </w:r>
          </w:hyperlink>
        </w:p>
        <w:p w14:paraId="4269186D" w14:textId="3C272481" w:rsidR="00BB0757" w:rsidRDefault="00245D68">
          <w:pPr>
            <w:pStyle w:val="TOC3"/>
            <w:tabs>
              <w:tab w:val="left" w:pos="1320"/>
              <w:tab w:val="right" w:leader="dot" w:pos="9016"/>
            </w:tabs>
            <w:rPr>
              <w:noProof/>
              <w:lang w:eastAsia="en-GB"/>
            </w:rPr>
          </w:pPr>
          <w:hyperlink w:anchor="_Toc468286040" w:history="1">
            <w:r w:rsidR="00BB0757" w:rsidRPr="008B228F">
              <w:rPr>
                <w:rStyle w:val="Hyperlink"/>
                <w:noProof/>
              </w:rPr>
              <w:t>10.1.6</w:t>
            </w:r>
            <w:r w:rsidR="00BB0757">
              <w:rPr>
                <w:noProof/>
                <w:lang w:eastAsia="en-GB"/>
              </w:rPr>
              <w:tab/>
            </w:r>
            <w:r w:rsidR="00BB0757" w:rsidRPr="008B228F">
              <w:rPr>
                <w:rStyle w:val="Hyperlink"/>
                <w:noProof/>
              </w:rPr>
              <w:t>Implications of Study 1 for practice</w:t>
            </w:r>
            <w:r w:rsidR="00BB0757">
              <w:rPr>
                <w:noProof/>
                <w:webHidden/>
              </w:rPr>
              <w:tab/>
            </w:r>
            <w:r w:rsidR="00BB0757">
              <w:rPr>
                <w:noProof/>
                <w:webHidden/>
              </w:rPr>
              <w:fldChar w:fldCharType="begin"/>
            </w:r>
            <w:r w:rsidR="00BB0757">
              <w:rPr>
                <w:noProof/>
                <w:webHidden/>
              </w:rPr>
              <w:instrText xml:space="preserve"> PAGEREF _Toc468286040 \h </w:instrText>
            </w:r>
            <w:r w:rsidR="00BB0757">
              <w:rPr>
                <w:noProof/>
                <w:webHidden/>
              </w:rPr>
            </w:r>
            <w:r w:rsidR="00BB0757">
              <w:rPr>
                <w:noProof/>
                <w:webHidden/>
              </w:rPr>
              <w:fldChar w:fldCharType="separate"/>
            </w:r>
            <w:r w:rsidR="00BB0757">
              <w:rPr>
                <w:noProof/>
                <w:webHidden/>
              </w:rPr>
              <w:t>234</w:t>
            </w:r>
            <w:r w:rsidR="00BB0757">
              <w:rPr>
                <w:noProof/>
                <w:webHidden/>
              </w:rPr>
              <w:fldChar w:fldCharType="end"/>
            </w:r>
          </w:hyperlink>
        </w:p>
        <w:p w14:paraId="54DAF419" w14:textId="795C0783" w:rsidR="00BB0757" w:rsidRDefault="00245D68">
          <w:pPr>
            <w:pStyle w:val="TOC3"/>
            <w:tabs>
              <w:tab w:val="left" w:pos="1320"/>
              <w:tab w:val="right" w:leader="dot" w:pos="9016"/>
            </w:tabs>
            <w:rPr>
              <w:noProof/>
              <w:lang w:eastAsia="en-GB"/>
            </w:rPr>
          </w:pPr>
          <w:hyperlink w:anchor="_Toc468286041" w:history="1">
            <w:r w:rsidR="00BB0757" w:rsidRPr="008B228F">
              <w:rPr>
                <w:rStyle w:val="Hyperlink"/>
                <w:noProof/>
              </w:rPr>
              <w:t>10.1.7</w:t>
            </w:r>
            <w:r w:rsidR="00BB0757">
              <w:rPr>
                <w:noProof/>
                <w:lang w:eastAsia="en-GB"/>
              </w:rPr>
              <w:tab/>
            </w:r>
            <w:r w:rsidR="00BB0757" w:rsidRPr="008B228F">
              <w:rPr>
                <w:rStyle w:val="Hyperlink"/>
                <w:noProof/>
              </w:rPr>
              <w:t>Limitations</w:t>
            </w:r>
            <w:r w:rsidR="00BB0757">
              <w:rPr>
                <w:noProof/>
                <w:webHidden/>
              </w:rPr>
              <w:tab/>
            </w:r>
            <w:r w:rsidR="00BB0757">
              <w:rPr>
                <w:noProof/>
                <w:webHidden/>
              </w:rPr>
              <w:fldChar w:fldCharType="begin"/>
            </w:r>
            <w:r w:rsidR="00BB0757">
              <w:rPr>
                <w:noProof/>
                <w:webHidden/>
              </w:rPr>
              <w:instrText xml:space="preserve"> PAGEREF _Toc468286041 \h </w:instrText>
            </w:r>
            <w:r w:rsidR="00BB0757">
              <w:rPr>
                <w:noProof/>
                <w:webHidden/>
              </w:rPr>
            </w:r>
            <w:r w:rsidR="00BB0757">
              <w:rPr>
                <w:noProof/>
                <w:webHidden/>
              </w:rPr>
              <w:fldChar w:fldCharType="separate"/>
            </w:r>
            <w:r w:rsidR="00BB0757">
              <w:rPr>
                <w:noProof/>
                <w:webHidden/>
              </w:rPr>
              <w:t>235</w:t>
            </w:r>
            <w:r w:rsidR="00BB0757">
              <w:rPr>
                <w:noProof/>
                <w:webHidden/>
              </w:rPr>
              <w:fldChar w:fldCharType="end"/>
            </w:r>
          </w:hyperlink>
        </w:p>
        <w:p w14:paraId="6ED34F80" w14:textId="331E35E3" w:rsidR="00BB0757" w:rsidRDefault="00245D68">
          <w:pPr>
            <w:pStyle w:val="TOC2"/>
            <w:tabs>
              <w:tab w:val="left" w:pos="880"/>
              <w:tab w:val="right" w:leader="dot" w:pos="9016"/>
            </w:tabs>
            <w:rPr>
              <w:noProof/>
              <w:lang w:eastAsia="en-GB"/>
            </w:rPr>
          </w:pPr>
          <w:hyperlink w:anchor="_Toc468286042" w:history="1">
            <w:r w:rsidR="00BB0757" w:rsidRPr="008B228F">
              <w:rPr>
                <w:rStyle w:val="Hyperlink"/>
                <w:noProof/>
              </w:rPr>
              <w:t>10.2</w:t>
            </w:r>
            <w:r w:rsidR="00BB0757">
              <w:rPr>
                <w:noProof/>
                <w:lang w:eastAsia="en-GB"/>
              </w:rPr>
              <w:tab/>
            </w:r>
            <w:r w:rsidR="00BB0757" w:rsidRPr="008B228F">
              <w:rPr>
                <w:rStyle w:val="Hyperlink"/>
                <w:noProof/>
              </w:rPr>
              <w:t>Study 2: Evaluating the effectiveness of a participatory action research intervention to increase work engagement in nursing staff on acute elderly NHS wards</w:t>
            </w:r>
            <w:r w:rsidR="00BB0757">
              <w:rPr>
                <w:noProof/>
                <w:webHidden/>
              </w:rPr>
              <w:tab/>
            </w:r>
            <w:r w:rsidR="00BB0757">
              <w:rPr>
                <w:noProof/>
                <w:webHidden/>
              </w:rPr>
              <w:fldChar w:fldCharType="begin"/>
            </w:r>
            <w:r w:rsidR="00BB0757">
              <w:rPr>
                <w:noProof/>
                <w:webHidden/>
              </w:rPr>
              <w:instrText xml:space="preserve"> PAGEREF _Toc468286042 \h </w:instrText>
            </w:r>
            <w:r w:rsidR="00BB0757">
              <w:rPr>
                <w:noProof/>
                <w:webHidden/>
              </w:rPr>
            </w:r>
            <w:r w:rsidR="00BB0757">
              <w:rPr>
                <w:noProof/>
                <w:webHidden/>
              </w:rPr>
              <w:fldChar w:fldCharType="separate"/>
            </w:r>
            <w:r w:rsidR="00BB0757">
              <w:rPr>
                <w:noProof/>
                <w:webHidden/>
              </w:rPr>
              <w:t>237</w:t>
            </w:r>
            <w:r w:rsidR="00BB0757">
              <w:rPr>
                <w:noProof/>
                <w:webHidden/>
              </w:rPr>
              <w:fldChar w:fldCharType="end"/>
            </w:r>
          </w:hyperlink>
        </w:p>
        <w:p w14:paraId="3B9DDB56" w14:textId="472266C6" w:rsidR="00BB0757" w:rsidRDefault="00245D68">
          <w:pPr>
            <w:pStyle w:val="TOC3"/>
            <w:tabs>
              <w:tab w:val="left" w:pos="1320"/>
              <w:tab w:val="right" w:leader="dot" w:pos="9016"/>
            </w:tabs>
            <w:rPr>
              <w:noProof/>
              <w:lang w:eastAsia="en-GB"/>
            </w:rPr>
          </w:pPr>
          <w:hyperlink w:anchor="_Toc468286043" w:history="1">
            <w:r w:rsidR="00BB0757" w:rsidRPr="008B228F">
              <w:rPr>
                <w:rStyle w:val="Hyperlink"/>
                <w:noProof/>
                <w:specVanish/>
              </w:rPr>
              <w:t>10.2.1</w:t>
            </w:r>
            <w:r w:rsidR="00BB0757">
              <w:rPr>
                <w:noProof/>
                <w:lang w:eastAsia="en-GB"/>
              </w:rPr>
              <w:tab/>
            </w:r>
            <w:r w:rsidR="00BB0757" w:rsidRPr="008B228F">
              <w:rPr>
                <w:rStyle w:val="Hyperlink"/>
                <w:noProof/>
              </w:rPr>
              <w:t>Aim 1</w:t>
            </w:r>
            <w:r w:rsidR="00BB0757">
              <w:rPr>
                <w:noProof/>
                <w:webHidden/>
              </w:rPr>
              <w:tab/>
            </w:r>
            <w:r w:rsidR="00BB0757">
              <w:rPr>
                <w:noProof/>
                <w:webHidden/>
              </w:rPr>
              <w:fldChar w:fldCharType="begin"/>
            </w:r>
            <w:r w:rsidR="00BB0757">
              <w:rPr>
                <w:noProof/>
                <w:webHidden/>
              </w:rPr>
              <w:instrText xml:space="preserve"> PAGEREF _Toc468286043 \h </w:instrText>
            </w:r>
            <w:r w:rsidR="00BB0757">
              <w:rPr>
                <w:noProof/>
                <w:webHidden/>
              </w:rPr>
            </w:r>
            <w:r w:rsidR="00BB0757">
              <w:rPr>
                <w:noProof/>
                <w:webHidden/>
              </w:rPr>
              <w:fldChar w:fldCharType="separate"/>
            </w:r>
            <w:r w:rsidR="00BB0757">
              <w:rPr>
                <w:noProof/>
                <w:webHidden/>
              </w:rPr>
              <w:t>237</w:t>
            </w:r>
            <w:r w:rsidR="00BB0757">
              <w:rPr>
                <w:noProof/>
                <w:webHidden/>
              </w:rPr>
              <w:fldChar w:fldCharType="end"/>
            </w:r>
          </w:hyperlink>
        </w:p>
        <w:p w14:paraId="31F43335" w14:textId="463B8788" w:rsidR="00BB0757" w:rsidRDefault="00245D68">
          <w:pPr>
            <w:pStyle w:val="TOC3"/>
            <w:tabs>
              <w:tab w:val="left" w:pos="1320"/>
              <w:tab w:val="right" w:leader="dot" w:pos="9016"/>
            </w:tabs>
            <w:rPr>
              <w:noProof/>
              <w:lang w:eastAsia="en-GB"/>
            </w:rPr>
          </w:pPr>
          <w:hyperlink w:anchor="_Toc468286044" w:history="1">
            <w:r w:rsidR="00BB0757" w:rsidRPr="008B228F">
              <w:rPr>
                <w:rStyle w:val="Hyperlink"/>
                <w:noProof/>
                <w:specVanish/>
              </w:rPr>
              <w:t>10.2.2</w:t>
            </w:r>
            <w:r w:rsidR="00BB0757">
              <w:rPr>
                <w:noProof/>
                <w:lang w:eastAsia="en-GB"/>
              </w:rPr>
              <w:tab/>
            </w:r>
            <w:r w:rsidR="00BB0757" w:rsidRPr="008B228F">
              <w:rPr>
                <w:rStyle w:val="Hyperlink"/>
                <w:noProof/>
              </w:rPr>
              <w:t>Aim 2</w:t>
            </w:r>
            <w:r w:rsidR="00BB0757">
              <w:rPr>
                <w:noProof/>
                <w:webHidden/>
              </w:rPr>
              <w:tab/>
            </w:r>
            <w:r w:rsidR="00BB0757">
              <w:rPr>
                <w:noProof/>
                <w:webHidden/>
              </w:rPr>
              <w:fldChar w:fldCharType="begin"/>
            </w:r>
            <w:r w:rsidR="00BB0757">
              <w:rPr>
                <w:noProof/>
                <w:webHidden/>
              </w:rPr>
              <w:instrText xml:space="preserve"> PAGEREF _Toc468286044 \h </w:instrText>
            </w:r>
            <w:r w:rsidR="00BB0757">
              <w:rPr>
                <w:noProof/>
                <w:webHidden/>
              </w:rPr>
            </w:r>
            <w:r w:rsidR="00BB0757">
              <w:rPr>
                <w:noProof/>
                <w:webHidden/>
              </w:rPr>
              <w:fldChar w:fldCharType="separate"/>
            </w:r>
            <w:r w:rsidR="00BB0757">
              <w:rPr>
                <w:noProof/>
                <w:webHidden/>
              </w:rPr>
              <w:t>240</w:t>
            </w:r>
            <w:r w:rsidR="00BB0757">
              <w:rPr>
                <w:noProof/>
                <w:webHidden/>
              </w:rPr>
              <w:fldChar w:fldCharType="end"/>
            </w:r>
          </w:hyperlink>
        </w:p>
        <w:p w14:paraId="005D3E3E" w14:textId="3701D0C5" w:rsidR="00BB0757" w:rsidRDefault="00245D68">
          <w:pPr>
            <w:pStyle w:val="TOC3"/>
            <w:tabs>
              <w:tab w:val="left" w:pos="1320"/>
              <w:tab w:val="right" w:leader="dot" w:pos="9016"/>
            </w:tabs>
            <w:rPr>
              <w:noProof/>
              <w:lang w:eastAsia="en-GB"/>
            </w:rPr>
          </w:pPr>
          <w:hyperlink w:anchor="_Toc468286045" w:history="1">
            <w:r w:rsidR="00BB0757" w:rsidRPr="008B228F">
              <w:rPr>
                <w:rStyle w:val="Hyperlink"/>
                <w:noProof/>
              </w:rPr>
              <w:t>10.2.3</w:t>
            </w:r>
            <w:r w:rsidR="00BB0757">
              <w:rPr>
                <w:noProof/>
                <w:lang w:eastAsia="en-GB"/>
              </w:rPr>
              <w:tab/>
            </w:r>
            <w:r w:rsidR="00BB0757" w:rsidRPr="008B228F">
              <w:rPr>
                <w:rStyle w:val="Hyperlink"/>
                <w:noProof/>
              </w:rPr>
              <w:t>Contributions of Study 2 for theory</w:t>
            </w:r>
            <w:r w:rsidR="00BB0757">
              <w:rPr>
                <w:noProof/>
                <w:webHidden/>
              </w:rPr>
              <w:tab/>
            </w:r>
            <w:r w:rsidR="00BB0757">
              <w:rPr>
                <w:noProof/>
                <w:webHidden/>
              </w:rPr>
              <w:fldChar w:fldCharType="begin"/>
            </w:r>
            <w:r w:rsidR="00BB0757">
              <w:rPr>
                <w:noProof/>
                <w:webHidden/>
              </w:rPr>
              <w:instrText xml:space="preserve"> PAGEREF _Toc468286045 \h </w:instrText>
            </w:r>
            <w:r w:rsidR="00BB0757">
              <w:rPr>
                <w:noProof/>
                <w:webHidden/>
              </w:rPr>
            </w:r>
            <w:r w:rsidR="00BB0757">
              <w:rPr>
                <w:noProof/>
                <w:webHidden/>
              </w:rPr>
              <w:fldChar w:fldCharType="separate"/>
            </w:r>
            <w:r w:rsidR="00BB0757">
              <w:rPr>
                <w:noProof/>
                <w:webHidden/>
              </w:rPr>
              <w:t>246</w:t>
            </w:r>
            <w:r w:rsidR="00BB0757">
              <w:rPr>
                <w:noProof/>
                <w:webHidden/>
              </w:rPr>
              <w:fldChar w:fldCharType="end"/>
            </w:r>
          </w:hyperlink>
        </w:p>
        <w:p w14:paraId="142976AA" w14:textId="6BA341AB" w:rsidR="00BB0757" w:rsidRDefault="00245D68">
          <w:pPr>
            <w:pStyle w:val="TOC3"/>
            <w:tabs>
              <w:tab w:val="left" w:pos="1320"/>
              <w:tab w:val="right" w:leader="dot" w:pos="9016"/>
            </w:tabs>
            <w:rPr>
              <w:noProof/>
              <w:lang w:eastAsia="en-GB"/>
            </w:rPr>
          </w:pPr>
          <w:hyperlink w:anchor="_Toc468286046" w:history="1">
            <w:r w:rsidR="00BB0757" w:rsidRPr="008B228F">
              <w:rPr>
                <w:rStyle w:val="Hyperlink"/>
                <w:noProof/>
              </w:rPr>
              <w:t>10.2.4</w:t>
            </w:r>
            <w:r w:rsidR="00BB0757">
              <w:rPr>
                <w:noProof/>
                <w:lang w:eastAsia="en-GB"/>
              </w:rPr>
              <w:tab/>
            </w:r>
            <w:r w:rsidR="00BB0757" w:rsidRPr="008B228F">
              <w:rPr>
                <w:rStyle w:val="Hyperlink"/>
                <w:noProof/>
              </w:rPr>
              <w:t>Contributions of Study 2 for future research</w:t>
            </w:r>
            <w:r w:rsidR="00BB0757">
              <w:rPr>
                <w:noProof/>
                <w:webHidden/>
              </w:rPr>
              <w:tab/>
            </w:r>
            <w:r w:rsidR="00BB0757">
              <w:rPr>
                <w:noProof/>
                <w:webHidden/>
              </w:rPr>
              <w:fldChar w:fldCharType="begin"/>
            </w:r>
            <w:r w:rsidR="00BB0757">
              <w:rPr>
                <w:noProof/>
                <w:webHidden/>
              </w:rPr>
              <w:instrText xml:space="preserve"> PAGEREF _Toc468286046 \h </w:instrText>
            </w:r>
            <w:r w:rsidR="00BB0757">
              <w:rPr>
                <w:noProof/>
                <w:webHidden/>
              </w:rPr>
            </w:r>
            <w:r w:rsidR="00BB0757">
              <w:rPr>
                <w:noProof/>
                <w:webHidden/>
              </w:rPr>
              <w:fldChar w:fldCharType="separate"/>
            </w:r>
            <w:r w:rsidR="00BB0757">
              <w:rPr>
                <w:noProof/>
                <w:webHidden/>
              </w:rPr>
              <w:t>246</w:t>
            </w:r>
            <w:r w:rsidR="00BB0757">
              <w:rPr>
                <w:noProof/>
                <w:webHidden/>
              </w:rPr>
              <w:fldChar w:fldCharType="end"/>
            </w:r>
          </w:hyperlink>
        </w:p>
        <w:p w14:paraId="15BA1CB2" w14:textId="18724D35" w:rsidR="00BB0757" w:rsidRDefault="00245D68">
          <w:pPr>
            <w:pStyle w:val="TOC3"/>
            <w:tabs>
              <w:tab w:val="left" w:pos="1320"/>
              <w:tab w:val="right" w:leader="dot" w:pos="9016"/>
            </w:tabs>
            <w:rPr>
              <w:noProof/>
              <w:lang w:eastAsia="en-GB"/>
            </w:rPr>
          </w:pPr>
          <w:hyperlink w:anchor="_Toc468286047" w:history="1">
            <w:r w:rsidR="00BB0757" w:rsidRPr="008B228F">
              <w:rPr>
                <w:rStyle w:val="Hyperlink"/>
                <w:noProof/>
              </w:rPr>
              <w:t>10.2.5</w:t>
            </w:r>
            <w:r w:rsidR="00BB0757">
              <w:rPr>
                <w:noProof/>
                <w:lang w:eastAsia="en-GB"/>
              </w:rPr>
              <w:tab/>
            </w:r>
            <w:r w:rsidR="00BB0757" w:rsidRPr="008B228F">
              <w:rPr>
                <w:rStyle w:val="Hyperlink"/>
                <w:noProof/>
              </w:rPr>
              <w:t>Implications of Study 2 for practice</w:t>
            </w:r>
            <w:r w:rsidR="00BB0757">
              <w:rPr>
                <w:noProof/>
                <w:webHidden/>
              </w:rPr>
              <w:tab/>
            </w:r>
            <w:r w:rsidR="00BB0757">
              <w:rPr>
                <w:noProof/>
                <w:webHidden/>
              </w:rPr>
              <w:fldChar w:fldCharType="begin"/>
            </w:r>
            <w:r w:rsidR="00BB0757">
              <w:rPr>
                <w:noProof/>
                <w:webHidden/>
              </w:rPr>
              <w:instrText xml:space="preserve"> PAGEREF _Toc468286047 \h </w:instrText>
            </w:r>
            <w:r w:rsidR="00BB0757">
              <w:rPr>
                <w:noProof/>
                <w:webHidden/>
              </w:rPr>
            </w:r>
            <w:r w:rsidR="00BB0757">
              <w:rPr>
                <w:noProof/>
                <w:webHidden/>
              </w:rPr>
              <w:fldChar w:fldCharType="separate"/>
            </w:r>
            <w:r w:rsidR="00BB0757">
              <w:rPr>
                <w:noProof/>
                <w:webHidden/>
              </w:rPr>
              <w:t>249</w:t>
            </w:r>
            <w:r w:rsidR="00BB0757">
              <w:rPr>
                <w:noProof/>
                <w:webHidden/>
              </w:rPr>
              <w:fldChar w:fldCharType="end"/>
            </w:r>
          </w:hyperlink>
        </w:p>
        <w:p w14:paraId="1FEB9EB5" w14:textId="042A97E6" w:rsidR="00BB0757" w:rsidRDefault="00245D68">
          <w:pPr>
            <w:pStyle w:val="TOC3"/>
            <w:tabs>
              <w:tab w:val="left" w:pos="1320"/>
              <w:tab w:val="right" w:leader="dot" w:pos="9016"/>
            </w:tabs>
            <w:rPr>
              <w:noProof/>
              <w:lang w:eastAsia="en-GB"/>
            </w:rPr>
          </w:pPr>
          <w:hyperlink w:anchor="_Toc468286048" w:history="1">
            <w:r w:rsidR="00BB0757" w:rsidRPr="008B228F">
              <w:rPr>
                <w:rStyle w:val="Hyperlink"/>
                <w:noProof/>
              </w:rPr>
              <w:t>10.2.6</w:t>
            </w:r>
            <w:r w:rsidR="00BB0757">
              <w:rPr>
                <w:noProof/>
                <w:lang w:eastAsia="en-GB"/>
              </w:rPr>
              <w:tab/>
            </w:r>
            <w:r w:rsidR="00BB0757" w:rsidRPr="008B228F">
              <w:rPr>
                <w:rStyle w:val="Hyperlink"/>
                <w:noProof/>
              </w:rPr>
              <w:t>Limitations</w:t>
            </w:r>
            <w:r w:rsidR="00BB0757">
              <w:rPr>
                <w:noProof/>
                <w:webHidden/>
              </w:rPr>
              <w:tab/>
            </w:r>
            <w:r w:rsidR="00BB0757">
              <w:rPr>
                <w:noProof/>
                <w:webHidden/>
              </w:rPr>
              <w:fldChar w:fldCharType="begin"/>
            </w:r>
            <w:r w:rsidR="00BB0757">
              <w:rPr>
                <w:noProof/>
                <w:webHidden/>
              </w:rPr>
              <w:instrText xml:space="preserve"> PAGEREF _Toc468286048 \h </w:instrText>
            </w:r>
            <w:r w:rsidR="00BB0757">
              <w:rPr>
                <w:noProof/>
                <w:webHidden/>
              </w:rPr>
            </w:r>
            <w:r w:rsidR="00BB0757">
              <w:rPr>
                <w:noProof/>
                <w:webHidden/>
              </w:rPr>
              <w:fldChar w:fldCharType="separate"/>
            </w:r>
            <w:r w:rsidR="00BB0757">
              <w:rPr>
                <w:noProof/>
                <w:webHidden/>
              </w:rPr>
              <w:t>251</w:t>
            </w:r>
            <w:r w:rsidR="00BB0757">
              <w:rPr>
                <w:noProof/>
                <w:webHidden/>
              </w:rPr>
              <w:fldChar w:fldCharType="end"/>
            </w:r>
          </w:hyperlink>
        </w:p>
        <w:p w14:paraId="2D343AB6" w14:textId="6C3752C6" w:rsidR="00BB0757" w:rsidRDefault="00245D68">
          <w:pPr>
            <w:pStyle w:val="TOC2"/>
            <w:tabs>
              <w:tab w:val="left" w:pos="880"/>
              <w:tab w:val="right" w:leader="dot" w:pos="9016"/>
            </w:tabs>
            <w:rPr>
              <w:noProof/>
              <w:lang w:eastAsia="en-GB"/>
            </w:rPr>
          </w:pPr>
          <w:hyperlink w:anchor="_Toc468286049" w:history="1">
            <w:r w:rsidR="00BB0757" w:rsidRPr="008B228F">
              <w:rPr>
                <w:rStyle w:val="Hyperlink"/>
                <w:noProof/>
              </w:rPr>
              <w:t>10.3</w:t>
            </w:r>
            <w:r w:rsidR="00BB0757">
              <w:rPr>
                <w:noProof/>
                <w:lang w:eastAsia="en-GB"/>
              </w:rPr>
              <w:tab/>
            </w:r>
            <w:r w:rsidR="00BB0757" w:rsidRPr="008B228F">
              <w:rPr>
                <w:rStyle w:val="Hyperlink"/>
                <w:noProof/>
              </w:rPr>
              <w:t>Overall conclusion</w:t>
            </w:r>
            <w:r w:rsidR="00BB0757">
              <w:rPr>
                <w:noProof/>
                <w:webHidden/>
              </w:rPr>
              <w:tab/>
            </w:r>
            <w:r w:rsidR="00BB0757">
              <w:rPr>
                <w:noProof/>
                <w:webHidden/>
              </w:rPr>
              <w:fldChar w:fldCharType="begin"/>
            </w:r>
            <w:r w:rsidR="00BB0757">
              <w:rPr>
                <w:noProof/>
                <w:webHidden/>
              </w:rPr>
              <w:instrText xml:space="preserve"> PAGEREF _Toc468286049 \h </w:instrText>
            </w:r>
            <w:r w:rsidR="00BB0757">
              <w:rPr>
                <w:noProof/>
                <w:webHidden/>
              </w:rPr>
            </w:r>
            <w:r w:rsidR="00BB0757">
              <w:rPr>
                <w:noProof/>
                <w:webHidden/>
              </w:rPr>
              <w:fldChar w:fldCharType="separate"/>
            </w:r>
            <w:r w:rsidR="00BB0757">
              <w:rPr>
                <w:noProof/>
                <w:webHidden/>
              </w:rPr>
              <w:t>254</w:t>
            </w:r>
            <w:r w:rsidR="00BB0757">
              <w:rPr>
                <w:noProof/>
                <w:webHidden/>
              </w:rPr>
              <w:fldChar w:fldCharType="end"/>
            </w:r>
          </w:hyperlink>
        </w:p>
        <w:p w14:paraId="47BD2392" w14:textId="5D8D293C" w:rsidR="00BB0757" w:rsidRDefault="00245D68">
          <w:pPr>
            <w:pStyle w:val="TOC1"/>
            <w:tabs>
              <w:tab w:val="right" w:leader="dot" w:pos="9016"/>
            </w:tabs>
            <w:rPr>
              <w:noProof/>
              <w:lang w:eastAsia="en-GB"/>
            </w:rPr>
          </w:pPr>
          <w:hyperlink w:anchor="_Toc468286050" w:history="1">
            <w:r w:rsidR="00BB0757" w:rsidRPr="008B228F">
              <w:rPr>
                <w:rStyle w:val="Hyperlink"/>
                <w:noProof/>
              </w:rPr>
              <w:t>References</w:t>
            </w:r>
            <w:r w:rsidR="00BB0757">
              <w:rPr>
                <w:noProof/>
                <w:webHidden/>
              </w:rPr>
              <w:tab/>
            </w:r>
            <w:r w:rsidR="00BB0757">
              <w:rPr>
                <w:noProof/>
                <w:webHidden/>
              </w:rPr>
              <w:fldChar w:fldCharType="begin"/>
            </w:r>
            <w:r w:rsidR="00BB0757">
              <w:rPr>
                <w:noProof/>
                <w:webHidden/>
              </w:rPr>
              <w:instrText xml:space="preserve"> PAGEREF _Toc468286050 \h </w:instrText>
            </w:r>
            <w:r w:rsidR="00BB0757">
              <w:rPr>
                <w:noProof/>
                <w:webHidden/>
              </w:rPr>
            </w:r>
            <w:r w:rsidR="00BB0757">
              <w:rPr>
                <w:noProof/>
                <w:webHidden/>
              </w:rPr>
              <w:fldChar w:fldCharType="separate"/>
            </w:r>
            <w:r w:rsidR="00BB0757">
              <w:rPr>
                <w:noProof/>
                <w:webHidden/>
              </w:rPr>
              <w:t>256</w:t>
            </w:r>
            <w:r w:rsidR="00BB0757">
              <w:rPr>
                <w:noProof/>
                <w:webHidden/>
              </w:rPr>
              <w:fldChar w:fldCharType="end"/>
            </w:r>
          </w:hyperlink>
        </w:p>
        <w:p w14:paraId="3E0A6E82" w14:textId="02D847C8" w:rsidR="00BB0757" w:rsidRDefault="00245D68">
          <w:pPr>
            <w:pStyle w:val="TOC1"/>
            <w:tabs>
              <w:tab w:val="right" w:leader="dot" w:pos="9016"/>
            </w:tabs>
            <w:rPr>
              <w:noProof/>
              <w:lang w:eastAsia="en-GB"/>
            </w:rPr>
          </w:pPr>
          <w:hyperlink w:anchor="_Toc468286051" w:history="1">
            <w:r w:rsidR="00BB0757" w:rsidRPr="008B228F">
              <w:rPr>
                <w:rStyle w:val="Hyperlink"/>
                <w:noProof/>
              </w:rPr>
              <w:t>Appendices</w:t>
            </w:r>
            <w:r w:rsidR="00BB0757">
              <w:rPr>
                <w:noProof/>
                <w:webHidden/>
              </w:rPr>
              <w:tab/>
            </w:r>
            <w:r w:rsidR="00BB0757">
              <w:rPr>
                <w:noProof/>
                <w:webHidden/>
              </w:rPr>
              <w:fldChar w:fldCharType="begin"/>
            </w:r>
            <w:r w:rsidR="00BB0757">
              <w:rPr>
                <w:noProof/>
                <w:webHidden/>
              </w:rPr>
              <w:instrText xml:space="preserve"> PAGEREF _Toc468286051 \h </w:instrText>
            </w:r>
            <w:r w:rsidR="00BB0757">
              <w:rPr>
                <w:noProof/>
                <w:webHidden/>
              </w:rPr>
            </w:r>
            <w:r w:rsidR="00BB0757">
              <w:rPr>
                <w:noProof/>
                <w:webHidden/>
              </w:rPr>
              <w:fldChar w:fldCharType="separate"/>
            </w:r>
            <w:r w:rsidR="00BB0757">
              <w:rPr>
                <w:noProof/>
                <w:webHidden/>
              </w:rPr>
              <w:t>276</w:t>
            </w:r>
            <w:r w:rsidR="00BB0757">
              <w:rPr>
                <w:noProof/>
                <w:webHidden/>
              </w:rPr>
              <w:fldChar w:fldCharType="end"/>
            </w:r>
          </w:hyperlink>
        </w:p>
        <w:p w14:paraId="313E3C3B" w14:textId="099627B3" w:rsidR="00BB0757" w:rsidRDefault="00245D68">
          <w:pPr>
            <w:pStyle w:val="TOC2"/>
            <w:tabs>
              <w:tab w:val="right" w:leader="dot" w:pos="9016"/>
            </w:tabs>
            <w:rPr>
              <w:noProof/>
              <w:lang w:eastAsia="en-GB"/>
            </w:rPr>
          </w:pPr>
          <w:hyperlink w:anchor="_Toc468286052" w:history="1">
            <w:r w:rsidR="00BB0757" w:rsidRPr="008B228F">
              <w:rPr>
                <w:rStyle w:val="Hyperlink"/>
                <w:noProof/>
              </w:rPr>
              <w:t>Appendix 1: Study 1 systematic review database search strategies</w:t>
            </w:r>
            <w:r w:rsidR="00BB0757">
              <w:rPr>
                <w:noProof/>
                <w:webHidden/>
              </w:rPr>
              <w:tab/>
            </w:r>
            <w:r w:rsidR="00BB0757">
              <w:rPr>
                <w:noProof/>
                <w:webHidden/>
              </w:rPr>
              <w:fldChar w:fldCharType="begin"/>
            </w:r>
            <w:r w:rsidR="00BB0757">
              <w:rPr>
                <w:noProof/>
                <w:webHidden/>
              </w:rPr>
              <w:instrText xml:space="preserve"> PAGEREF _Toc468286052 \h </w:instrText>
            </w:r>
            <w:r w:rsidR="00BB0757">
              <w:rPr>
                <w:noProof/>
                <w:webHidden/>
              </w:rPr>
            </w:r>
            <w:r w:rsidR="00BB0757">
              <w:rPr>
                <w:noProof/>
                <w:webHidden/>
              </w:rPr>
              <w:fldChar w:fldCharType="separate"/>
            </w:r>
            <w:r w:rsidR="00BB0757">
              <w:rPr>
                <w:noProof/>
                <w:webHidden/>
              </w:rPr>
              <w:t>276</w:t>
            </w:r>
            <w:r w:rsidR="00BB0757">
              <w:rPr>
                <w:noProof/>
                <w:webHidden/>
              </w:rPr>
              <w:fldChar w:fldCharType="end"/>
            </w:r>
          </w:hyperlink>
        </w:p>
        <w:p w14:paraId="3B997674" w14:textId="767E9F08" w:rsidR="00BB0757" w:rsidRDefault="00245D68">
          <w:pPr>
            <w:pStyle w:val="TOC2"/>
            <w:tabs>
              <w:tab w:val="right" w:leader="dot" w:pos="9016"/>
            </w:tabs>
            <w:rPr>
              <w:noProof/>
              <w:lang w:eastAsia="en-GB"/>
            </w:rPr>
          </w:pPr>
          <w:hyperlink w:anchor="_Toc468286053" w:history="1">
            <w:r w:rsidR="00BB0757" w:rsidRPr="008B228F">
              <w:rPr>
                <w:rStyle w:val="Hyperlink"/>
                <w:noProof/>
              </w:rPr>
              <w:t>Appendix 2: Study 1 coding guide</w:t>
            </w:r>
            <w:r w:rsidR="00BB0757">
              <w:rPr>
                <w:noProof/>
                <w:webHidden/>
              </w:rPr>
              <w:tab/>
            </w:r>
            <w:r w:rsidR="00BB0757">
              <w:rPr>
                <w:noProof/>
                <w:webHidden/>
              </w:rPr>
              <w:fldChar w:fldCharType="begin"/>
            </w:r>
            <w:r w:rsidR="00BB0757">
              <w:rPr>
                <w:noProof/>
                <w:webHidden/>
              </w:rPr>
              <w:instrText xml:space="preserve"> PAGEREF _Toc468286053 \h </w:instrText>
            </w:r>
            <w:r w:rsidR="00BB0757">
              <w:rPr>
                <w:noProof/>
                <w:webHidden/>
              </w:rPr>
            </w:r>
            <w:r w:rsidR="00BB0757">
              <w:rPr>
                <w:noProof/>
                <w:webHidden/>
              </w:rPr>
              <w:fldChar w:fldCharType="separate"/>
            </w:r>
            <w:r w:rsidR="00BB0757">
              <w:rPr>
                <w:noProof/>
                <w:webHidden/>
              </w:rPr>
              <w:t>281</w:t>
            </w:r>
            <w:r w:rsidR="00BB0757">
              <w:rPr>
                <w:noProof/>
                <w:webHidden/>
              </w:rPr>
              <w:fldChar w:fldCharType="end"/>
            </w:r>
          </w:hyperlink>
        </w:p>
        <w:p w14:paraId="096223E0" w14:textId="2452DE45" w:rsidR="00BB0757" w:rsidRDefault="00245D68">
          <w:pPr>
            <w:pStyle w:val="TOC2"/>
            <w:tabs>
              <w:tab w:val="right" w:leader="dot" w:pos="9016"/>
            </w:tabs>
            <w:rPr>
              <w:noProof/>
              <w:lang w:eastAsia="en-GB"/>
            </w:rPr>
          </w:pPr>
          <w:hyperlink w:anchor="_Toc468286054" w:history="1">
            <w:r w:rsidR="00BB0757" w:rsidRPr="008B228F">
              <w:rPr>
                <w:rStyle w:val="Hyperlink"/>
                <w:noProof/>
              </w:rPr>
              <w:t>Appendix 3a: Work engagement intervention studies which were followed up for eligibility but eventually excluded from the systematic review</w:t>
            </w:r>
            <w:r w:rsidR="00BB0757">
              <w:rPr>
                <w:noProof/>
                <w:webHidden/>
              </w:rPr>
              <w:tab/>
            </w:r>
            <w:r w:rsidR="00BB0757">
              <w:rPr>
                <w:noProof/>
                <w:webHidden/>
              </w:rPr>
              <w:fldChar w:fldCharType="begin"/>
            </w:r>
            <w:r w:rsidR="00BB0757">
              <w:rPr>
                <w:noProof/>
                <w:webHidden/>
              </w:rPr>
              <w:instrText xml:space="preserve"> PAGEREF _Toc468286054 \h </w:instrText>
            </w:r>
            <w:r w:rsidR="00BB0757">
              <w:rPr>
                <w:noProof/>
                <w:webHidden/>
              </w:rPr>
            </w:r>
            <w:r w:rsidR="00BB0757">
              <w:rPr>
                <w:noProof/>
                <w:webHidden/>
              </w:rPr>
              <w:fldChar w:fldCharType="separate"/>
            </w:r>
            <w:r w:rsidR="00BB0757">
              <w:rPr>
                <w:noProof/>
                <w:webHidden/>
              </w:rPr>
              <w:t>286</w:t>
            </w:r>
            <w:r w:rsidR="00BB0757">
              <w:rPr>
                <w:noProof/>
                <w:webHidden/>
              </w:rPr>
              <w:fldChar w:fldCharType="end"/>
            </w:r>
          </w:hyperlink>
        </w:p>
        <w:p w14:paraId="1506F2CA" w14:textId="17A710E5" w:rsidR="00BB0757" w:rsidRDefault="00245D68">
          <w:pPr>
            <w:pStyle w:val="TOC2"/>
            <w:tabs>
              <w:tab w:val="right" w:leader="dot" w:pos="9016"/>
            </w:tabs>
            <w:rPr>
              <w:noProof/>
              <w:lang w:eastAsia="en-GB"/>
            </w:rPr>
          </w:pPr>
          <w:hyperlink w:anchor="_Toc468286055" w:history="1">
            <w:r w:rsidR="00BB0757" w:rsidRPr="008B228F">
              <w:rPr>
                <w:rStyle w:val="Hyperlink"/>
                <w:noProof/>
              </w:rPr>
              <w:t>Appendix 3b: Work engagement intervention studies which were included in the systematic review but excluded from meta-analyses</w:t>
            </w:r>
            <w:r w:rsidR="00BB0757">
              <w:rPr>
                <w:noProof/>
                <w:webHidden/>
              </w:rPr>
              <w:tab/>
            </w:r>
            <w:r w:rsidR="00BB0757">
              <w:rPr>
                <w:noProof/>
                <w:webHidden/>
              </w:rPr>
              <w:fldChar w:fldCharType="begin"/>
            </w:r>
            <w:r w:rsidR="00BB0757">
              <w:rPr>
                <w:noProof/>
                <w:webHidden/>
              </w:rPr>
              <w:instrText xml:space="preserve"> PAGEREF _Toc468286055 \h </w:instrText>
            </w:r>
            <w:r w:rsidR="00BB0757">
              <w:rPr>
                <w:noProof/>
                <w:webHidden/>
              </w:rPr>
            </w:r>
            <w:r w:rsidR="00BB0757">
              <w:rPr>
                <w:noProof/>
                <w:webHidden/>
              </w:rPr>
              <w:fldChar w:fldCharType="separate"/>
            </w:r>
            <w:r w:rsidR="00BB0757">
              <w:rPr>
                <w:noProof/>
                <w:webHidden/>
              </w:rPr>
              <w:t>290</w:t>
            </w:r>
            <w:r w:rsidR="00BB0757">
              <w:rPr>
                <w:noProof/>
                <w:webHidden/>
              </w:rPr>
              <w:fldChar w:fldCharType="end"/>
            </w:r>
          </w:hyperlink>
        </w:p>
        <w:p w14:paraId="469CDB84" w14:textId="2F55C445" w:rsidR="00BB0757" w:rsidRDefault="00245D68">
          <w:pPr>
            <w:pStyle w:val="TOC2"/>
            <w:tabs>
              <w:tab w:val="right" w:leader="dot" w:pos="9016"/>
            </w:tabs>
            <w:rPr>
              <w:noProof/>
              <w:lang w:eastAsia="en-GB"/>
            </w:rPr>
          </w:pPr>
          <w:hyperlink w:anchor="_Toc468286056" w:history="1">
            <w:r w:rsidR="00BB0757" w:rsidRPr="008B228F">
              <w:rPr>
                <w:rStyle w:val="Hyperlink"/>
                <w:noProof/>
              </w:rPr>
              <w:t>Appendix 4a: Characteristics of all studies included in the narrative systematic review and meta-analyses (</w:t>
            </w:r>
            <w:r w:rsidR="00BB0757" w:rsidRPr="008B228F">
              <w:rPr>
                <w:rStyle w:val="Hyperlink"/>
                <w:i/>
                <w:noProof/>
              </w:rPr>
              <w:t>K</w:t>
            </w:r>
            <w:r w:rsidR="00BB0757" w:rsidRPr="008B228F">
              <w:rPr>
                <w:rStyle w:val="Hyperlink"/>
                <w:noProof/>
              </w:rPr>
              <w:t>=33)</w:t>
            </w:r>
            <w:r w:rsidR="00BB0757">
              <w:rPr>
                <w:noProof/>
                <w:webHidden/>
              </w:rPr>
              <w:tab/>
            </w:r>
            <w:r w:rsidR="00BB0757">
              <w:rPr>
                <w:noProof/>
                <w:webHidden/>
              </w:rPr>
              <w:fldChar w:fldCharType="begin"/>
            </w:r>
            <w:r w:rsidR="00BB0757">
              <w:rPr>
                <w:noProof/>
                <w:webHidden/>
              </w:rPr>
              <w:instrText xml:space="preserve"> PAGEREF _Toc468286056 \h </w:instrText>
            </w:r>
            <w:r w:rsidR="00BB0757">
              <w:rPr>
                <w:noProof/>
                <w:webHidden/>
              </w:rPr>
            </w:r>
            <w:r w:rsidR="00BB0757">
              <w:rPr>
                <w:noProof/>
                <w:webHidden/>
              </w:rPr>
              <w:fldChar w:fldCharType="separate"/>
            </w:r>
            <w:r w:rsidR="00BB0757">
              <w:rPr>
                <w:noProof/>
                <w:webHidden/>
              </w:rPr>
              <w:t>294</w:t>
            </w:r>
            <w:r w:rsidR="00BB0757">
              <w:rPr>
                <w:noProof/>
                <w:webHidden/>
              </w:rPr>
              <w:fldChar w:fldCharType="end"/>
            </w:r>
          </w:hyperlink>
        </w:p>
        <w:p w14:paraId="0A9E3045" w14:textId="66E4A1FC" w:rsidR="00BB0757" w:rsidRDefault="00245D68">
          <w:pPr>
            <w:pStyle w:val="TOC2"/>
            <w:tabs>
              <w:tab w:val="right" w:leader="dot" w:pos="9016"/>
            </w:tabs>
            <w:rPr>
              <w:noProof/>
              <w:lang w:eastAsia="en-GB"/>
            </w:rPr>
          </w:pPr>
          <w:hyperlink w:anchor="_Toc468286057" w:history="1">
            <w:r w:rsidR="00BB0757" w:rsidRPr="008B228F">
              <w:rPr>
                <w:rStyle w:val="Hyperlink"/>
                <w:noProof/>
              </w:rPr>
              <w:t>Appendix 4b: Characteristics of all studies included in the narrative systematic review and meta-analyses continued</w:t>
            </w:r>
            <w:r w:rsidR="00BB0757">
              <w:rPr>
                <w:noProof/>
                <w:webHidden/>
              </w:rPr>
              <w:tab/>
            </w:r>
            <w:r w:rsidR="00BB0757">
              <w:rPr>
                <w:noProof/>
                <w:webHidden/>
              </w:rPr>
              <w:fldChar w:fldCharType="begin"/>
            </w:r>
            <w:r w:rsidR="00BB0757">
              <w:rPr>
                <w:noProof/>
                <w:webHidden/>
              </w:rPr>
              <w:instrText xml:space="preserve"> PAGEREF _Toc468286057 \h </w:instrText>
            </w:r>
            <w:r w:rsidR="00BB0757">
              <w:rPr>
                <w:noProof/>
                <w:webHidden/>
              </w:rPr>
            </w:r>
            <w:r w:rsidR="00BB0757">
              <w:rPr>
                <w:noProof/>
                <w:webHidden/>
              </w:rPr>
              <w:fldChar w:fldCharType="separate"/>
            </w:r>
            <w:r w:rsidR="00BB0757">
              <w:rPr>
                <w:noProof/>
                <w:webHidden/>
              </w:rPr>
              <w:t>304</w:t>
            </w:r>
            <w:r w:rsidR="00BB0757">
              <w:rPr>
                <w:noProof/>
                <w:webHidden/>
              </w:rPr>
              <w:fldChar w:fldCharType="end"/>
            </w:r>
          </w:hyperlink>
        </w:p>
        <w:p w14:paraId="71AE8E52" w14:textId="51443911" w:rsidR="00BB0757" w:rsidRDefault="00245D68">
          <w:pPr>
            <w:pStyle w:val="TOC2"/>
            <w:tabs>
              <w:tab w:val="right" w:leader="dot" w:pos="9016"/>
            </w:tabs>
            <w:rPr>
              <w:noProof/>
              <w:lang w:eastAsia="en-GB"/>
            </w:rPr>
          </w:pPr>
          <w:hyperlink w:anchor="_Toc468286058" w:history="1">
            <w:r w:rsidR="00BB0757" w:rsidRPr="008B228F">
              <w:rPr>
                <w:rStyle w:val="Hyperlink"/>
                <w:noProof/>
              </w:rPr>
              <w:t>Appendix 4c: Outcomes measured and findings for each of the studies included in the narrative systematic review and meta-analyses (</w:t>
            </w:r>
            <w:r w:rsidR="00BB0757" w:rsidRPr="008B228F">
              <w:rPr>
                <w:rStyle w:val="Hyperlink"/>
                <w:i/>
                <w:noProof/>
              </w:rPr>
              <w:t>K</w:t>
            </w:r>
            <w:r w:rsidR="00BB0757" w:rsidRPr="008B228F">
              <w:rPr>
                <w:rStyle w:val="Hyperlink"/>
                <w:noProof/>
              </w:rPr>
              <w:t>=33)</w:t>
            </w:r>
            <w:r w:rsidR="00BB0757">
              <w:rPr>
                <w:noProof/>
                <w:webHidden/>
              </w:rPr>
              <w:tab/>
            </w:r>
            <w:r w:rsidR="00BB0757">
              <w:rPr>
                <w:noProof/>
                <w:webHidden/>
              </w:rPr>
              <w:fldChar w:fldCharType="begin"/>
            </w:r>
            <w:r w:rsidR="00BB0757">
              <w:rPr>
                <w:noProof/>
                <w:webHidden/>
              </w:rPr>
              <w:instrText xml:space="preserve"> PAGEREF _Toc468286058 \h </w:instrText>
            </w:r>
            <w:r w:rsidR="00BB0757">
              <w:rPr>
                <w:noProof/>
                <w:webHidden/>
              </w:rPr>
            </w:r>
            <w:r w:rsidR="00BB0757">
              <w:rPr>
                <w:noProof/>
                <w:webHidden/>
              </w:rPr>
              <w:fldChar w:fldCharType="separate"/>
            </w:r>
            <w:r w:rsidR="00BB0757">
              <w:rPr>
                <w:noProof/>
                <w:webHidden/>
              </w:rPr>
              <w:t>318</w:t>
            </w:r>
            <w:r w:rsidR="00BB0757">
              <w:rPr>
                <w:noProof/>
                <w:webHidden/>
              </w:rPr>
              <w:fldChar w:fldCharType="end"/>
            </w:r>
          </w:hyperlink>
        </w:p>
        <w:p w14:paraId="5096D606" w14:textId="263BF959" w:rsidR="00BB0757" w:rsidRDefault="00245D68">
          <w:pPr>
            <w:pStyle w:val="TOC2"/>
            <w:tabs>
              <w:tab w:val="right" w:leader="dot" w:pos="9016"/>
            </w:tabs>
            <w:rPr>
              <w:noProof/>
              <w:lang w:eastAsia="en-GB"/>
            </w:rPr>
          </w:pPr>
          <w:hyperlink w:anchor="_Toc468286059" w:history="1">
            <w:r w:rsidR="00BB0757" w:rsidRPr="008B228F">
              <w:rPr>
                <w:rStyle w:val="Hyperlink"/>
                <w:noProof/>
              </w:rPr>
              <w:t>Appendix 4d: Study quality characteristics for all studies included in the systematic review and meta-analyses (</w:t>
            </w:r>
            <w:r w:rsidR="00BB0757" w:rsidRPr="008B228F">
              <w:rPr>
                <w:rStyle w:val="Hyperlink"/>
                <w:i/>
                <w:noProof/>
              </w:rPr>
              <w:t>K</w:t>
            </w:r>
            <w:r w:rsidR="00BB0757" w:rsidRPr="008B228F">
              <w:rPr>
                <w:rStyle w:val="Hyperlink"/>
                <w:noProof/>
              </w:rPr>
              <w:t>=33)</w:t>
            </w:r>
            <w:r w:rsidR="00BB0757">
              <w:rPr>
                <w:noProof/>
                <w:webHidden/>
              </w:rPr>
              <w:tab/>
            </w:r>
            <w:r w:rsidR="00BB0757">
              <w:rPr>
                <w:noProof/>
                <w:webHidden/>
              </w:rPr>
              <w:fldChar w:fldCharType="begin"/>
            </w:r>
            <w:r w:rsidR="00BB0757">
              <w:rPr>
                <w:noProof/>
                <w:webHidden/>
              </w:rPr>
              <w:instrText xml:space="preserve"> PAGEREF _Toc468286059 \h </w:instrText>
            </w:r>
            <w:r w:rsidR="00BB0757">
              <w:rPr>
                <w:noProof/>
                <w:webHidden/>
              </w:rPr>
            </w:r>
            <w:r w:rsidR="00BB0757">
              <w:rPr>
                <w:noProof/>
                <w:webHidden/>
              </w:rPr>
              <w:fldChar w:fldCharType="separate"/>
            </w:r>
            <w:r w:rsidR="00BB0757">
              <w:rPr>
                <w:noProof/>
                <w:webHidden/>
              </w:rPr>
              <w:t>332</w:t>
            </w:r>
            <w:r w:rsidR="00BB0757">
              <w:rPr>
                <w:noProof/>
                <w:webHidden/>
              </w:rPr>
              <w:fldChar w:fldCharType="end"/>
            </w:r>
          </w:hyperlink>
        </w:p>
        <w:p w14:paraId="459D964C" w14:textId="644ACE2C" w:rsidR="00BB0757" w:rsidRDefault="00245D68">
          <w:pPr>
            <w:pStyle w:val="TOC2"/>
            <w:tabs>
              <w:tab w:val="right" w:leader="dot" w:pos="9016"/>
            </w:tabs>
            <w:rPr>
              <w:noProof/>
              <w:lang w:eastAsia="en-GB"/>
            </w:rPr>
          </w:pPr>
          <w:hyperlink w:anchor="_Toc468286060" w:history="1">
            <w:r w:rsidR="00BB0757" w:rsidRPr="008B228F">
              <w:rPr>
                <w:rStyle w:val="Hyperlink"/>
                <w:noProof/>
              </w:rPr>
              <w:t>Appendix 4e: Study quality characteristics for all studies included in the narrative systematic review and meta-analyses continued</w:t>
            </w:r>
            <w:r w:rsidR="00BB0757">
              <w:rPr>
                <w:noProof/>
                <w:webHidden/>
              </w:rPr>
              <w:tab/>
            </w:r>
            <w:r w:rsidR="00BB0757">
              <w:rPr>
                <w:noProof/>
                <w:webHidden/>
              </w:rPr>
              <w:fldChar w:fldCharType="begin"/>
            </w:r>
            <w:r w:rsidR="00BB0757">
              <w:rPr>
                <w:noProof/>
                <w:webHidden/>
              </w:rPr>
              <w:instrText xml:space="preserve"> PAGEREF _Toc468286060 \h </w:instrText>
            </w:r>
            <w:r w:rsidR="00BB0757">
              <w:rPr>
                <w:noProof/>
                <w:webHidden/>
              </w:rPr>
            </w:r>
            <w:r w:rsidR="00BB0757">
              <w:rPr>
                <w:noProof/>
                <w:webHidden/>
              </w:rPr>
              <w:fldChar w:fldCharType="separate"/>
            </w:r>
            <w:r w:rsidR="00BB0757">
              <w:rPr>
                <w:noProof/>
                <w:webHidden/>
              </w:rPr>
              <w:t>341</w:t>
            </w:r>
            <w:r w:rsidR="00BB0757">
              <w:rPr>
                <w:noProof/>
                <w:webHidden/>
              </w:rPr>
              <w:fldChar w:fldCharType="end"/>
            </w:r>
          </w:hyperlink>
        </w:p>
        <w:p w14:paraId="499BAD96" w14:textId="0003452B" w:rsidR="00BB0757" w:rsidRDefault="00245D68">
          <w:pPr>
            <w:pStyle w:val="TOC2"/>
            <w:tabs>
              <w:tab w:val="right" w:leader="dot" w:pos="9016"/>
            </w:tabs>
            <w:rPr>
              <w:noProof/>
              <w:lang w:eastAsia="en-GB"/>
            </w:rPr>
          </w:pPr>
          <w:hyperlink w:anchor="_Toc468286061" w:history="1">
            <w:r w:rsidR="00BB0757" w:rsidRPr="008B228F">
              <w:rPr>
                <w:rStyle w:val="Hyperlink"/>
                <w:noProof/>
              </w:rPr>
              <w:t>Appendix 4f: Intervention implementation details for all studies included in the narrative systematic review and meta-analyses (</w:t>
            </w:r>
            <w:r w:rsidR="00BB0757" w:rsidRPr="008B228F">
              <w:rPr>
                <w:rStyle w:val="Hyperlink"/>
                <w:i/>
                <w:noProof/>
              </w:rPr>
              <w:t>K</w:t>
            </w:r>
            <w:r w:rsidR="00BB0757" w:rsidRPr="008B228F">
              <w:rPr>
                <w:rStyle w:val="Hyperlink"/>
                <w:noProof/>
              </w:rPr>
              <w:t>=33)</w:t>
            </w:r>
            <w:r w:rsidR="00BB0757">
              <w:rPr>
                <w:noProof/>
                <w:webHidden/>
              </w:rPr>
              <w:tab/>
            </w:r>
            <w:r w:rsidR="00BB0757">
              <w:rPr>
                <w:noProof/>
                <w:webHidden/>
              </w:rPr>
              <w:fldChar w:fldCharType="begin"/>
            </w:r>
            <w:r w:rsidR="00BB0757">
              <w:rPr>
                <w:noProof/>
                <w:webHidden/>
              </w:rPr>
              <w:instrText xml:space="preserve"> PAGEREF _Toc468286061 \h </w:instrText>
            </w:r>
            <w:r w:rsidR="00BB0757">
              <w:rPr>
                <w:noProof/>
                <w:webHidden/>
              </w:rPr>
            </w:r>
            <w:r w:rsidR="00BB0757">
              <w:rPr>
                <w:noProof/>
                <w:webHidden/>
              </w:rPr>
              <w:fldChar w:fldCharType="separate"/>
            </w:r>
            <w:r w:rsidR="00BB0757">
              <w:rPr>
                <w:noProof/>
                <w:webHidden/>
              </w:rPr>
              <w:t>354</w:t>
            </w:r>
            <w:r w:rsidR="00BB0757">
              <w:rPr>
                <w:noProof/>
                <w:webHidden/>
              </w:rPr>
              <w:fldChar w:fldCharType="end"/>
            </w:r>
          </w:hyperlink>
        </w:p>
        <w:p w14:paraId="745F345F" w14:textId="049A1D0A" w:rsidR="00BB0757" w:rsidRDefault="00245D68">
          <w:pPr>
            <w:pStyle w:val="TOC2"/>
            <w:tabs>
              <w:tab w:val="right" w:leader="dot" w:pos="9016"/>
            </w:tabs>
            <w:rPr>
              <w:noProof/>
              <w:lang w:eastAsia="en-GB"/>
            </w:rPr>
          </w:pPr>
          <w:hyperlink w:anchor="_Toc468286062" w:history="1">
            <w:r w:rsidR="00BB0757" w:rsidRPr="008B228F">
              <w:rPr>
                <w:rStyle w:val="Hyperlink"/>
                <w:noProof/>
              </w:rPr>
              <w:t>Appendix 5: Study 2 final staff questionnaire and cover sheet</w:t>
            </w:r>
            <w:r w:rsidR="00BB0757">
              <w:rPr>
                <w:noProof/>
                <w:webHidden/>
              </w:rPr>
              <w:tab/>
            </w:r>
            <w:r w:rsidR="00BB0757">
              <w:rPr>
                <w:noProof/>
                <w:webHidden/>
              </w:rPr>
              <w:fldChar w:fldCharType="begin"/>
            </w:r>
            <w:r w:rsidR="00BB0757">
              <w:rPr>
                <w:noProof/>
                <w:webHidden/>
              </w:rPr>
              <w:instrText xml:space="preserve"> PAGEREF _Toc468286062 \h </w:instrText>
            </w:r>
            <w:r w:rsidR="00BB0757">
              <w:rPr>
                <w:noProof/>
                <w:webHidden/>
              </w:rPr>
            </w:r>
            <w:r w:rsidR="00BB0757">
              <w:rPr>
                <w:noProof/>
                <w:webHidden/>
              </w:rPr>
              <w:fldChar w:fldCharType="separate"/>
            </w:r>
            <w:r w:rsidR="00BB0757">
              <w:rPr>
                <w:noProof/>
                <w:webHidden/>
              </w:rPr>
              <w:t>371</w:t>
            </w:r>
            <w:r w:rsidR="00BB0757">
              <w:rPr>
                <w:noProof/>
                <w:webHidden/>
              </w:rPr>
              <w:fldChar w:fldCharType="end"/>
            </w:r>
          </w:hyperlink>
        </w:p>
        <w:p w14:paraId="03691B66" w14:textId="65EB2D0A" w:rsidR="00BB0757" w:rsidRDefault="00245D68">
          <w:pPr>
            <w:pStyle w:val="TOC2"/>
            <w:tabs>
              <w:tab w:val="right" w:leader="dot" w:pos="9016"/>
            </w:tabs>
            <w:rPr>
              <w:noProof/>
              <w:lang w:eastAsia="en-GB"/>
            </w:rPr>
          </w:pPr>
          <w:hyperlink w:anchor="_Toc468286063" w:history="1">
            <w:r w:rsidR="00BB0757" w:rsidRPr="008B228F">
              <w:rPr>
                <w:rStyle w:val="Hyperlink"/>
                <w:noProof/>
              </w:rPr>
              <w:t>Appendix 6: Study 2 attendance record of nursing staff at the five core participatory intervention workshops</w:t>
            </w:r>
            <w:r w:rsidR="00BB0757">
              <w:rPr>
                <w:noProof/>
                <w:webHidden/>
              </w:rPr>
              <w:tab/>
            </w:r>
            <w:r w:rsidR="00BB0757">
              <w:rPr>
                <w:noProof/>
                <w:webHidden/>
              </w:rPr>
              <w:fldChar w:fldCharType="begin"/>
            </w:r>
            <w:r w:rsidR="00BB0757">
              <w:rPr>
                <w:noProof/>
                <w:webHidden/>
              </w:rPr>
              <w:instrText xml:space="preserve"> PAGEREF _Toc468286063 \h </w:instrText>
            </w:r>
            <w:r w:rsidR="00BB0757">
              <w:rPr>
                <w:noProof/>
                <w:webHidden/>
              </w:rPr>
            </w:r>
            <w:r w:rsidR="00BB0757">
              <w:rPr>
                <w:noProof/>
                <w:webHidden/>
              </w:rPr>
              <w:fldChar w:fldCharType="separate"/>
            </w:r>
            <w:r w:rsidR="00BB0757">
              <w:rPr>
                <w:noProof/>
                <w:webHidden/>
              </w:rPr>
              <w:t>383</w:t>
            </w:r>
            <w:r w:rsidR="00BB0757">
              <w:rPr>
                <w:noProof/>
                <w:webHidden/>
              </w:rPr>
              <w:fldChar w:fldCharType="end"/>
            </w:r>
          </w:hyperlink>
        </w:p>
        <w:p w14:paraId="1FD48C05" w14:textId="5B52B7F0" w:rsidR="00BC2D9F" w:rsidRDefault="00BC2D9F" w:rsidP="00BC2D9F">
          <w:pPr>
            <w:spacing w:before="120" w:after="120" w:line="360" w:lineRule="auto"/>
            <w:contextualSpacing/>
          </w:pPr>
          <w:r w:rsidRPr="00B7614E">
            <w:rPr>
              <w:bCs/>
              <w:noProof/>
            </w:rPr>
            <w:fldChar w:fldCharType="end"/>
          </w:r>
        </w:p>
      </w:sdtContent>
    </w:sdt>
    <w:p w14:paraId="380C68EB" w14:textId="77777777" w:rsidR="00BC2D9F" w:rsidRDefault="00BC2D9F" w:rsidP="00BC2D9F">
      <w:pPr>
        <w:rPr>
          <w:rFonts w:asciiTheme="majorHAnsi" w:hAnsiTheme="majorHAnsi"/>
          <w:b/>
          <w:sz w:val="32"/>
          <w:szCs w:val="32"/>
        </w:rPr>
        <w:sectPr w:rsidR="00BC2D9F" w:rsidSect="00621A20">
          <w:headerReference w:type="first" r:id="rId11"/>
          <w:footerReference w:type="first" r:id="rId12"/>
          <w:pgSz w:w="11906" w:h="16838"/>
          <w:pgMar w:top="1440" w:right="1440" w:bottom="1440" w:left="1440" w:header="709" w:footer="709" w:gutter="0"/>
          <w:pgNumType w:fmt="lowerRoman"/>
          <w:cols w:space="708"/>
          <w:titlePg/>
          <w:docGrid w:linePitch="360"/>
        </w:sectPr>
      </w:pPr>
    </w:p>
    <w:p w14:paraId="0C0CE590" w14:textId="77777777" w:rsidR="00621A20" w:rsidRDefault="00621A20">
      <w:pPr>
        <w:spacing w:after="160"/>
        <w:rPr>
          <w:rFonts w:asciiTheme="majorHAnsi" w:hAnsiTheme="majorHAnsi" w:cstheme="majorBidi"/>
          <w:b/>
          <w:bCs/>
          <w:sz w:val="32"/>
          <w:szCs w:val="32"/>
        </w:rPr>
      </w:pPr>
      <w:r>
        <w:lastRenderedPageBreak/>
        <w:br w:type="page"/>
      </w:r>
    </w:p>
    <w:p w14:paraId="1E533038" w14:textId="5668C2FA" w:rsidR="00824339" w:rsidRDefault="00E15B49" w:rsidP="00732887">
      <w:pPr>
        <w:pStyle w:val="Heading1nonumbers"/>
      </w:pPr>
      <w:bookmarkStart w:id="2" w:name="_Toc468285909"/>
      <w:r>
        <w:lastRenderedPageBreak/>
        <w:t>List of tables</w:t>
      </w:r>
      <w:bookmarkEnd w:id="2"/>
    </w:p>
    <w:p w14:paraId="720CDE75" w14:textId="18C5FCE3" w:rsidR="00824339" w:rsidRDefault="00824339" w:rsidP="00824339"/>
    <w:p w14:paraId="3DEA0E54" w14:textId="6362DB89" w:rsidR="00BB0757" w:rsidRDefault="00824339">
      <w:pPr>
        <w:pStyle w:val="TableofFigures"/>
        <w:rPr>
          <w:rFonts w:eastAsiaTheme="minorEastAsia"/>
          <w:noProof/>
          <w:lang w:eastAsia="en-GB"/>
        </w:rPr>
      </w:pPr>
      <w:r>
        <w:fldChar w:fldCharType="begin"/>
      </w:r>
      <w:r>
        <w:instrText xml:space="preserve"> TOC \h \z \c "Table" </w:instrText>
      </w:r>
      <w:r>
        <w:fldChar w:fldCharType="separate"/>
      </w:r>
      <w:hyperlink w:anchor="_Toc468286064" w:history="1">
        <w:r w:rsidR="00BB0757" w:rsidRPr="007150B0">
          <w:rPr>
            <w:rStyle w:val="Hyperlink"/>
            <w:noProof/>
          </w:rPr>
          <w:t>Table 5.1 Inclusion and exclusion criteria for the systematic search of work engagement interventions</w:t>
        </w:r>
        <w:r w:rsidR="00BB0757">
          <w:rPr>
            <w:noProof/>
            <w:webHidden/>
          </w:rPr>
          <w:tab/>
        </w:r>
        <w:r w:rsidR="00BB0757">
          <w:rPr>
            <w:noProof/>
            <w:webHidden/>
          </w:rPr>
          <w:fldChar w:fldCharType="begin"/>
        </w:r>
        <w:r w:rsidR="00BB0757">
          <w:rPr>
            <w:noProof/>
            <w:webHidden/>
          </w:rPr>
          <w:instrText xml:space="preserve"> PAGEREF _Toc468286064 \h </w:instrText>
        </w:r>
        <w:r w:rsidR="00BB0757">
          <w:rPr>
            <w:noProof/>
            <w:webHidden/>
          </w:rPr>
        </w:r>
        <w:r w:rsidR="00BB0757">
          <w:rPr>
            <w:noProof/>
            <w:webHidden/>
          </w:rPr>
          <w:fldChar w:fldCharType="separate"/>
        </w:r>
        <w:r w:rsidR="00BB0757">
          <w:rPr>
            <w:noProof/>
            <w:webHidden/>
          </w:rPr>
          <w:t>62</w:t>
        </w:r>
        <w:r w:rsidR="00BB0757">
          <w:rPr>
            <w:noProof/>
            <w:webHidden/>
          </w:rPr>
          <w:fldChar w:fldCharType="end"/>
        </w:r>
      </w:hyperlink>
    </w:p>
    <w:p w14:paraId="573476C5" w14:textId="7D0B006E" w:rsidR="00BB0757" w:rsidRDefault="00245D68">
      <w:pPr>
        <w:pStyle w:val="TableofFigures"/>
        <w:rPr>
          <w:rFonts w:eastAsiaTheme="minorEastAsia"/>
          <w:noProof/>
          <w:lang w:eastAsia="en-GB"/>
        </w:rPr>
      </w:pPr>
      <w:hyperlink w:anchor="_Toc468286065" w:history="1">
        <w:r w:rsidR="00BB0757" w:rsidRPr="007150B0">
          <w:rPr>
            <w:rStyle w:val="Hyperlink"/>
            <w:noProof/>
          </w:rPr>
          <w:t>Table 6.1 Key characteristics of the studies included in the meta-analyses (</w:t>
        </w:r>
        <w:r w:rsidR="00BB0757" w:rsidRPr="007150B0">
          <w:rPr>
            <w:rStyle w:val="Hyperlink"/>
            <w:i/>
            <w:noProof/>
          </w:rPr>
          <w:t>k</w:t>
        </w:r>
        <w:r w:rsidR="00BB0757" w:rsidRPr="007150B0">
          <w:rPr>
            <w:rStyle w:val="Hyperlink"/>
            <w:noProof/>
          </w:rPr>
          <w:t>=20)</w:t>
        </w:r>
        <w:r w:rsidR="00BB0757">
          <w:rPr>
            <w:noProof/>
            <w:webHidden/>
          </w:rPr>
          <w:tab/>
        </w:r>
        <w:r w:rsidR="00BB0757">
          <w:rPr>
            <w:noProof/>
            <w:webHidden/>
          </w:rPr>
          <w:fldChar w:fldCharType="begin"/>
        </w:r>
        <w:r w:rsidR="00BB0757">
          <w:rPr>
            <w:noProof/>
            <w:webHidden/>
          </w:rPr>
          <w:instrText xml:space="preserve"> PAGEREF _Toc468286065 \h </w:instrText>
        </w:r>
        <w:r w:rsidR="00BB0757">
          <w:rPr>
            <w:noProof/>
            <w:webHidden/>
          </w:rPr>
        </w:r>
        <w:r w:rsidR="00BB0757">
          <w:rPr>
            <w:noProof/>
            <w:webHidden/>
          </w:rPr>
          <w:fldChar w:fldCharType="separate"/>
        </w:r>
        <w:r w:rsidR="00BB0757">
          <w:rPr>
            <w:noProof/>
            <w:webHidden/>
          </w:rPr>
          <w:t>108</w:t>
        </w:r>
        <w:r w:rsidR="00BB0757">
          <w:rPr>
            <w:noProof/>
            <w:webHidden/>
          </w:rPr>
          <w:fldChar w:fldCharType="end"/>
        </w:r>
      </w:hyperlink>
    </w:p>
    <w:p w14:paraId="12BD3DA2" w14:textId="1B6422B3" w:rsidR="00BB0757" w:rsidRDefault="00245D68">
      <w:pPr>
        <w:pStyle w:val="TableofFigures"/>
        <w:rPr>
          <w:rFonts w:eastAsiaTheme="minorEastAsia"/>
          <w:noProof/>
          <w:lang w:eastAsia="en-GB"/>
        </w:rPr>
      </w:pPr>
      <w:hyperlink w:anchor="_Toc468286066" w:history="1">
        <w:r w:rsidR="00BB0757" w:rsidRPr="007150B0">
          <w:rPr>
            <w:rStyle w:val="Hyperlink"/>
            <w:noProof/>
          </w:rPr>
          <w:t>Table 6.2 Results of meta-analysis for the effects of interventions on the outcomes, work engagement, vigour, dedication and absorption, measured at post- intervention (T2) or follow-up (T3)</w:t>
        </w:r>
        <w:r w:rsidR="00BB0757">
          <w:rPr>
            <w:noProof/>
            <w:webHidden/>
          </w:rPr>
          <w:tab/>
        </w:r>
        <w:r w:rsidR="00BB0757">
          <w:rPr>
            <w:noProof/>
            <w:webHidden/>
          </w:rPr>
          <w:fldChar w:fldCharType="begin"/>
        </w:r>
        <w:r w:rsidR="00BB0757">
          <w:rPr>
            <w:noProof/>
            <w:webHidden/>
          </w:rPr>
          <w:instrText xml:space="preserve"> PAGEREF _Toc468286066 \h </w:instrText>
        </w:r>
        <w:r w:rsidR="00BB0757">
          <w:rPr>
            <w:noProof/>
            <w:webHidden/>
          </w:rPr>
        </w:r>
        <w:r w:rsidR="00BB0757">
          <w:rPr>
            <w:noProof/>
            <w:webHidden/>
          </w:rPr>
          <w:fldChar w:fldCharType="separate"/>
        </w:r>
        <w:r w:rsidR="00BB0757">
          <w:rPr>
            <w:noProof/>
            <w:webHidden/>
          </w:rPr>
          <w:t>116</w:t>
        </w:r>
        <w:r w:rsidR="00BB0757">
          <w:rPr>
            <w:noProof/>
            <w:webHidden/>
          </w:rPr>
          <w:fldChar w:fldCharType="end"/>
        </w:r>
      </w:hyperlink>
    </w:p>
    <w:p w14:paraId="00F23012" w14:textId="304F42D7" w:rsidR="00BB0757" w:rsidRDefault="00245D68">
      <w:pPr>
        <w:pStyle w:val="TableofFigures"/>
        <w:rPr>
          <w:rFonts w:eastAsiaTheme="minorEastAsia"/>
          <w:noProof/>
          <w:lang w:eastAsia="en-GB"/>
        </w:rPr>
      </w:pPr>
      <w:hyperlink w:anchor="_Toc468286067" w:history="1">
        <w:r w:rsidR="00BB0757" w:rsidRPr="007150B0">
          <w:rPr>
            <w:rStyle w:val="Hyperlink"/>
            <w:noProof/>
          </w:rPr>
          <w:t>Table 6.3 Results of meta-analysis for the effects of interventions on the outcomes, work engagement, vigour, dedication and absorption, at post-intervention (T2) and follow-up (T3)</w:t>
        </w:r>
        <w:r w:rsidR="00BB0757">
          <w:rPr>
            <w:noProof/>
            <w:webHidden/>
          </w:rPr>
          <w:tab/>
        </w:r>
        <w:r w:rsidR="00BB0757">
          <w:rPr>
            <w:noProof/>
            <w:webHidden/>
          </w:rPr>
          <w:fldChar w:fldCharType="begin"/>
        </w:r>
        <w:r w:rsidR="00BB0757">
          <w:rPr>
            <w:noProof/>
            <w:webHidden/>
          </w:rPr>
          <w:instrText xml:space="preserve"> PAGEREF _Toc468286067 \h </w:instrText>
        </w:r>
        <w:r w:rsidR="00BB0757">
          <w:rPr>
            <w:noProof/>
            <w:webHidden/>
          </w:rPr>
        </w:r>
        <w:r w:rsidR="00BB0757">
          <w:rPr>
            <w:noProof/>
            <w:webHidden/>
          </w:rPr>
          <w:fldChar w:fldCharType="separate"/>
        </w:r>
        <w:r w:rsidR="00BB0757">
          <w:rPr>
            <w:noProof/>
            <w:webHidden/>
          </w:rPr>
          <w:t>117</w:t>
        </w:r>
        <w:r w:rsidR="00BB0757">
          <w:rPr>
            <w:noProof/>
            <w:webHidden/>
          </w:rPr>
          <w:fldChar w:fldCharType="end"/>
        </w:r>
      </w:hyperlink>
    </w:p>
    <w:p w14:paraId="662AC933" w14:textId="6B910388" w:rsidR="00BB0757" w:rsidRDefault="00245D68">
      <w:pPr>
        <w:pStyle w:val="TableofFigures"/>
        <w:rPr>
          <w:rFonts w:eastAsiaTheme="minorEastAsia"/>
          <w:noProof/>
          <w:lang w:eastAsia="en-GB"/>
        </w:rPr>
      </w:pPr>
      <w:hyperlink w:anchor="_Toc468286068" w:history="1">
        <w:r w:rsidR="00BB0757" w:rsidRPr="007150B0">
          <w:rPr>
            <w:rStyle w:val="Hyperlink"/>
            <w:noProof/>
          </w:rPr>
          <w:t>Table 6.4 Results of moderator analyses (intervention type, intervention style &amp; type of organisation) on the effects of interventions on work engagement</w:t>
        </w:r>
        <w:r w:rsidR="00BB0757">
          <w:rPr>
            <w:noProof/>
            <w:webHidden/>
          </w:rPr>
          <w:tab/>
        </w:r>
        <w:r w:rsidR="00BB0757">
          <w:rPr>
            <w:noProof/>
            <w:webHidden/>
          </w:rPr>
          <w:fldChar w:fldCharType="begin"/>
        </w:r>
        <w:r w:rsidR="00BB0757">
          <w:rPr>
            <w:noProof/>
            <w:webHidden/>
          </w:rPr>
          <w:instrText xml:space="preserve"> PAGEREF _Toc468286068 \h </w:instrText>
        </w:r>
        <w:r w:rsidR="00BB0757">
          <w:rPr>
            <w:noProof/>
            <w:webHidden/>
          </w:rPr>
        </w:r>
        <w:r w:rsidR="00BB0757">
          <w:rPr>
            <w:noProof/>
            <w:webHidden/>
          </w:rPr>
          <w:fldChar w:fldCharType="separate"/>
        </w:r>
        <w:r w:rsidR="00BB0757">
          <w:rPr>
            <w:noProof/>
            <w:webHidden/>
          </w:rPr>
          <w:t>119</w:t>
        </w:r>
        <w:r w:rsidR="00BB0757">
          <w:rPr>
            <w:noProof/>
            <w:webHidden/>
          </w:rPr>
          <w:fldChar w:fldCharType="end"/>
        </w:r>
      </w:hyperlink>
    </w:p>
    <w:p w14:paraId="12759F3E" w14:textId="39A23B4E" w:rsidR="00BB0757" w:rsidRDefault="00245D68">
      <w:pPr>
        <w:pStyle w:val="TableofFigures"/>
        <w:rPr>
          <w:rFonts w:eastAsiaTheme="minorEastAsia"/>
          <w:noProof/>
          <w:lang w:eastAsia="en-GB"/>
        </w:rPr>
      </w:pPr>
      <w:hyperlink w:anchor="_Toc468286069" w:history="1">
        <w:r w:rsidR="00BB0757" w:rsidRPr="007150B0">
          <w:rPr>
            <w:rStyle w:val="Hyperlink"/>
            <w:noProof/>
          </w:rPr>
          <w:t>Table 6.5 Results of sensitivity analyses to determine the effect of randomised studies and studies following the ITT principle on the effect of interventions measuring the outcome work engagement</w:t>
        </w:r>
        <w:r w:rsidR="00BB0757">
          <w:rPr>
            <w:noProof/>
            <w:webHidden/>
          </w:rPr>
          <w:tab/>
        </w:r>
        <w:r w:rsidR="00BB0757">
          <w:rPr>
            <w:noProof/>
            <w:webHidden/>
          </w:rPr>
          <w:fldChar w:fldCharType="begin"/>
        </w:r>
        <w:r w:rsidR="00BB0757">
          <w:rPr>
            <w:noProof/>
            <w:webHidden/>
          </w:rPr>
          <w:instrText xml:space="preserve"> PAGEREF _Toc468286069 \h </w:instrText>
        </w:r>
        <w:r w:rsidR="00BB0757">
          <w:rPr>
            <w:noProof/>
            <w:webHidden/>
          </w:rPr>
        </w:r>
        <w:r w:rsidR="00BB0757">
          <w:rPr>
            <w:noProof/>
            <w:webHidden/>
          </w:rPr>
          <w:fldChar w:fldCharType="separate"/>
        </w:r>
        <w:r w:rsidR="00BB0757">
          <w:rPr>
            <w:noProof/>
            <w:webHidden/>
          </w:rPr>
          <w:t>121</w:t>
        </w:r>
        <w:r w:rsidR="00BB0757">
          <w:rPr>
            <w:noProof/>
            <w:webHidden/>
          </w:rPr>
          <w:fldChar w:fldCharType="end"/>
        </w:r>
      </w:hyperlink>
    </w:p>
    <w:p w14:paraId="456ADA2D" w14:textId="1A425910" w:rsidR="00BB0757" w:rsidRDefault="00245D68">
      <w:pPr>
        <w:pStyle w:val="TableofFigures"/>
        <w:rPr>
          <w:rFonts w:eastAsiaTheme="minorEastAsia"/>
          <w:noProof/>
          <w:lang w:eastAsia="en-GB"/>
        </w:rPr>
      </w:pPr>
      <w:hyperlink w:anchor="_Toc468286070" w:history="1">
        <w:r w:rsidR="00BB0757" w:rsidRPr="007150B0">
          <w:rPr>
            <w:rStyle w:val="Hyperlink"/>
            <w:noProof/>
          </w:rPr>
          <w:t>Table 7.1 A list of the intervention and matched control wards at baseline</w:t>
        </w:r>
        <w:r w:rsidR="00BB0757">
          <w:rPr>
            <w:noProof/>
            <w:webHidden/>
          </w:rPr>
          <w:tab/>
        </w:r>
        <w:r w:rsidR="00BB0757">
          <w:rPr>
            <w:noProof/>
            <w:webHidden/>
          </w:rPr>
          <w:fldChar w:fldCharType="begin"/>
        </w:r>
        <w:r w:rsidR="00BB0757">
          <w:rPr>
            <w:noProof/>
            <w:webHidden/>
          </w:rPr>
          <w:instrText xml:space="preserve"> PAGEREF _Toc468286070 \h </w:instrText>
        </w:r>
        <w:r w:rsidR="00BB0757">
          <w:rPr>
            <w:noProof/>
            <w:webHidden/>
          </w:rPr>
        </w:r>
        <w:r w:rsidR="00BB0757">
          <w:rPr>
            <w:noProof/>
            <w:webHidden/>
          </w:rPr>
          <w:fldChar w:fldCharType="separate"/>
        </w:r>
        <w:r w:rsidR="00BB0757">
          <w:rPr>
            <w:noProof/>
            <w:webHidden/>
          </w:rPr>
          <w:t>130</w:t>
        </w:r>
        <w:r w:rsidR="00BB0757">
          <w:rPr>
            <w:noProof/>
            <w:webHidden/>
          </w:rPr>
          <w:fldChar w:fldCharType="end"/>
        </w:r>
      </w:hyperlink>
    </w:p>
    <w:p w14:paraId="2F40C338" w14:textId="185A1019" w:rsidR="00BB0757" w:rsidRDefault="00245D68">
      <w:pPr>
        <w:pStyle w:val="TableofFigures"/>
        <w:rPr>
          <w:rFonts w:eastAsiaTheme="minorEastAsia"/>
          <w:noProof/>
          <w:lang w:eastAsia="en-GB"/>
        </w:rPr>
      </w:pPr>
      <w:hyperlink w:anchor="_Toc468286071" w:history="1">
        <w:r w:rsidR="00BB0757" w:rsidRPr="007150B0">
          <w:rPr>
            <w:rStyle w:val="Hyperlink"/>
            <w:noProof/>
          </w:rPr>
          <w:t>Table 7.2 Characteristics of the three intervention wards that completed the intervention</w:t>
        </w:r>
        <w:r w:rsidR="00BB0757">
          <w:rPr>
            <w:noProof/>
            <w:webHidden/>
          </w:rPr>
          <w:tab/>
        </w:r>
        <w:r w:rsidR="00BB0757">
          <w:rPr>
            <w:noProof/>
            <w:webHidden/>
          </w:rPr>
          <w:fldChar w:fldCharType="begin"/>
        </w:r>
        <w:r w:rsidR="00BB0757">
          <w:rPr>
            <w:noProof/>
            <w:webHidden/>
          </w:rPr>
          <w:instrText xml:space="preserve"> PAGEREF _Toc468286071 \h </w:instrText>
        </w:r>
        <w:r w:rsidR="00BB0757">
          <w:rPr>
            <w:noProof/>
            <w:webHidden/>
          </w:rPr>
        </w:r>
        <w:r w:rsidR="00BB0757">
          <w:rPr>
            <w:noProof/>
            <w:webHidden/>
          </w:rPr>
          <w:fldChar w:fldCharType="separate"/>
        </w:r>
        <w:r w:rsidR="00BB0757">
          <w:rPr>
            <w:noProof/>
            <w:webHidden/>
          </w:rPr>
          <w:t>131</w:t>
        </w:r>
        <w:r w:rsidR="00BB0757">
          <w:rPr>
            <w:noProof/>
            <w:webHidden/>
          </w:rPr>
          <w:fldChar w:fldCharType="end"/>
        </w:r>
      </w:hyperlink>
    </w:p>
    <w:p w14:paraId="628E1123" w14:textId="7DE178F5" w:rsidR="00BB0757" w:rsidRDefault="00245D68">
      <w:pPr>
        <w:pStyle w:val="TableofFigures"/>
        <w:rPr>
          <w:rFonts w:eastAsiaTheme="minorEastAsia"/>
          <w:noProof/>
          <w:lang w:eastAsia="en-GB"/>
        </w:rPr>
      </w:pPr>
      <w:hyperlink w:anchor="_Toc468286072" w:history="1">
        <w:r w:rsidR="00BB0757" w:rsidRPr="007150B0">
          <w:rPr>
            <w:rStyle w:val="Hyperlink"/>
            <w:noProof/>
          </w:rPr>
          <w:t>Table 7.3 Bivariate correlations between all of the research variables and their subcomponents which were investigated via reliability, CFA and discriminant analyses, based on the unmatched Time 1 - Time 2 sample (N=217)</w:t>
        </w:r>
        <w:r w:rsidR="00BB0757">
          <w:rPr>
            <w:noProof/>
            <w:webHidden/>
          </w:rPr>
          <w:tab/>
        </w:r>
        <w:r w:rsidR="00BB0757">
          <w:rPr>
            <w:noProof/>
            <w:webHidden/>
          </w:rPr>
          <w:fldChar w:fldCharType="begin"/>
        </w:r>
        <w:r w:rsidR="00BB0757">
          <w:rPr>
            <w:noProof/>
            <w:webHidden/>
          </w:rPr>
          <w:instrText xml:space="preserve"> PAGEREF _Toc468286072 \h </w:instrText>
        </w:r>
        <w:r w:rsidR="00BB0757">
          <w:rPr>
            <w:noProof/>
            <w:webHidden/>
          </w:rPr>
        </w:r>
        <w:r w:rsidR="00BB0757">
          <w:rPr>
            <w:noProof/>
            <w:webHidden/>
          </w:rPr>
          <w:fldChar w:fldCharType="separate"/>
        </w:r>
        <w:r w:rsidR="00BB0757">
          <w:rPr>
            <w:noProof/>
            <w:webHidden/>
          </w:rPr>
          <w:t>150</w:t>
        </w:r>
        <w:r w:rsidR="00BB0757">
          <w:rPr>
            <w:noProof/>
            <w:webHidden/>
          </w:rPr>
          <w:fldChar w:fldCharType="end"/>
        </w:r>
      </w:hyperlink>
    </w:p>
    <w:p w14:paraId="7F3444BA" w14:textId="0C9C1663" w:rsidR="00BB0757" w:rsidRDefault="00245D68">
      <w:pPr>
        <w:pStyle w:val="TableofFigures"/>
        <w:rPr>
          <w:rFonts w:eastAsiaTheme="minorEastAsia"/>
          <w:noProof/>
          <w:lang w:eastAsia="en-GB"/>
        </w:rPr>
      </w:pPr>
      <w:hyperlink w:anchor="_Toc468286073" w:history="1">
        <w:r w:rsidR="00BB0757" w:rsidRPr="007150B0">
          <w:rPr>
            <w:rStyle w:val="Hyperlink"/>
            <w:noProof/>
          </w:rPr>
          <w:t>Table 7.4 A table displaying the results of discriminant analyses to investigate the discriminant validity of the subcomponents of the work-related basic needs, work engagement, and resources and demands scales (N=217)</w:t>
        </w:r>
        <w:r w:rsidR="00BB0757">
          <w:rPr>
            <w:noProof/>
            <w:webHidden/>
          </w:rPr>
          <w:tab/>
        </w:r>
        <w:r w:rsidR="00BB0757">
          <w:rPr>
            <w:noProof/>
            <w:webHidden/>
          </w:rPr>
          <w:fldChar w:fldCharType="begin"/>
        </w:r>
        <w:r w:rsidR="00BB0757">
          <w:rPr>
            <w:noProof/>
            <w:webHidden/>
          </w:rPr>
          <w:instrText xml:space="preserve"> PAGEREF _Toc468286073 \h </w:instrText>
        </w:r>
        <w:r w:rsidR="00BB0757">
          <w:rPr>
            <w:noProof/>
            <w:webHidden/>
          </w:rPr>
        </w:r>
        <w:r w:rsidR="00BB0757">
          <w:rPr>
            <w:noProof/>
            <w:webHidden/>
          </w:rPr>
          <w:fldChar w:fldCharType="separate"/>
        </w:r>
        <w:r w:rsidR="00BB0757">
          <w:rPr>
            <w:noProof/>
            <w:webHidden/>
          </w:rPr>
          <w:t>155</w:t>
        </w:r>
        <w:r w:rsidR="00BB0757">
          <w:rPr>
            <w:noProof/>
            <w:webHidden/>
          </w:rPr>
          <w:fldChar w:fldCharType="end"/>
        </w:r>
      </w:hyperlink>
    </w:p>
    <w:p w14:paraId="133D8BAF" w14:textId="3CDC8EC9" w:rsidR="00BB0757" w:rsidRDefault="00245D68">
      <w:pPr>
        <w:pStyle w:val="TableofFigures"/>
        <w:rPr>
          <w:rFonts w:eastAsiaTheme="minorEastAsia"/>
          <w:noProof/>
          <w:lang w:eastAsia="en-GB"/>
        </w:rPr>
      </w:pPr>
      <w:hyperlink w:anchor="_Toc468286074" w:history="1">
        <w:r w:rsidR="00BB0757" w:rsidRPr="007150B0">
          <w:rPr>
            <w:rStyle w:val="Hyperlink"/>
            <w:noProof/>
          </w:rPr>
          <w:t>Table 7.5 A table displaying the results of reliability analyses and maximum likelihood confirmatory factor analyses (CFA) for each of the measures in the questionnaire, based on the unmatched sample (N=217)</w:t>
        </w:r>
        <w:r w:rsidR="00BB0757">
          <w:rPr>
            <w:noProof/>
            <w:webHidden/>
          </w:rPr>
          <w:tab/>
        </w:r>
        <w:r w:rsidR="00BB0757">
          <w:rPr>
            <w:noProof/>
            <w:webHidden/>
          </w:rPr>
          <w:fldChar w:fldCharType="begin"/>
        </w:r>
        <w:r w:rsidR="00BB0757">
          <w:rPr>
            <w:noProof/>
            <w:webHidden/>
          </w:rPr>
          <w:instrText xml:space="preserve"> PAGEREF _Toc468286074 \h </w:instrText>
        </w:r>
        <w:r w:rsidR="00BB0757">
          <w:rPr>
            <w:noProof/>
            <w:webHidden/>
          </w:rPr>
        </w:r>
        <w:r w:rsidR="00BB0757">
          <w:rPr>
            <w:noProof/>
            <w:webHidden/>
          </w:rPr>
          <w:fldChar w:fldCharType="separate"/>
        </w:r>
        <w:r w:rsidR="00BB0757">
          <w:rPr>
            <w:noProof/>
            <w:webHidden/>
          </w:rPr>
          <w:t>156</w:t>
        </w:r>
        <w:r w:rsidR="00BB0757">
          <w:rPr>
            <w:noProof/>
            <w:webHidden/>
          </w:rPr>
          <w:fldChar w:fldCharType="end"/>
        </w:r>
      </w:hyperlink>
    </w:p>
    <w:p w14:paraId="3B2472A5" w14:textId="2AE2A8D1" w:rsidR="00BB0757" w:rsidRDefault="00245D68">
      <w:pPr>
        <w:pStyle w:val="TableofFigures"/>
        <w:rPr>
          <w:rFonts w:eastAsiaTheme="minorEastAsia"/>
          <w:noProof/>
          <w:lang w:eastAsia="en-GB"/>
        </w:rPr>
      </w:pPr>
      <w:hyperlink w:anchor="_Toc468286075" w:history="1">
        <w:r w:rsidR="00BB0757" w:rsidRPr="007150B0">
          <w:rPr>
            <w:rStyle w:val="Hyperlink"/>
            <w:noProof/>
          </w:rPr>
          <w:t>Table 8.1 Descriptive statistics of the demographic variables for the whole sample (intervention &amp; control group) who responded to the questionnaire at Time 1 (N=179), and the whole sample who responded at Time 2 (N=83)</w:t>
        </w:r>
        <w:r w:rsidR="00BB0757">
          <w:rPr>
            <w:noProof/>
            <w:webHidden/>
          </w:rPr>
          <w:tab/>
        </w:r>
        <w:r w:rsidR="00BB0757">
          <w:rPr>
            <w:noProof/>
            <w:webHidden/>
          </w:rPr>
          <w:fldChar w:fldCharType="begin"/>
        </w:r>
        <w:r w:rsidR="00BB0757">
          <w:rPr>
            <w:noProof/>
            <w:webHidden/>
          </w:rPr>
          <w:instrText xml:space="preserve"> PAGEREF _Toc468286075 \h </w:instrText>
        </w:r>
        <w:r w:rsidR="00BB0757">
          <w:rPr>
            <w:noProof/>
            <w:webHidden/>
          </w:rPr>
        </w:r>
        <w:r w:rsidR="00BB0757">
          <w:rPr>
            <w:noProof/>
            <w:webHidden/>
          </w:rPr>
          <w:fldChar w:fldCharType="separate"/>
        </w:r>
        <w:r w:rsidR="00BB0757">
          <w:rPr>
            <w:noProof/>
            <w:webHidden/>
          </w:rPr>
          <w:t>169</w:t>
        </w:r>
        <w:r w:rsidR="00BB0757">
          <w:rPr>
            <w:noProof/>
            <w:webHidden/>
          </w:rPr>
          <w:fldChar w:fldCharType="end"/>
        </w:r>
      </w:hyperlink>
    </w:p>
    <w:p w14:paraId="004EF505" w14:textId="6C891F08" w:rsidR="00BB0757" w:rsidRDefault="00245D68">
      <w:pPr>
        <w:pStyle w:val="TableofFigures"/>
        <w:rPr>
          <w:rFonts w:eastAsiaTheme="minorEastAsia"/>
          <w:noProof/>
          <w:lang w:eastAsia="en-GB"/>
        </w:rPr>
      </w:pPr>
      <w:hyperlink w:anchor="_Toc468286076" w:history="1">
        <w:r w:rsidR="00BB0757" w:rsidRPr="007150B0">
          <w:rPr>
            <w:rStyle w:val="Hyperlink"/>
            <w:noProof/>
          </w:rPr>
          <w:t>Table 8.2 Descriptive statistics of the demographics for those in the control and intervention groups who responded to the questionnaire at Time 1 (N=179)</w:t>
        </w:r>
        <w:r w:rsidR="00BB0757">
          <w:rPr>
            <w:noProof/>
            <w:webHidden/>
          </w:rPr>
          <w:tab/>
        </w:r>
        <w:r w:rsidR="00BB0757">
          <w:rPr>
            <w:noProof/>
            <w:webHidden/>
          </w:rPr>
          <w:fldChar w:fldCharType="begin"/>
        </w:r>
        <w:r w:rsidR="00BB0757">
          <w:rPr>
            <w:noProof/>
            <w:webHidden/>
          </w:rPr>
          <w:instrText xml:space="preserve"> PAGEREF _Toc468286076 \h </w:instrText>
        </w:r>
        <w:r w:rsidR="00BB0757">
          <w:rPr>
            <w:noProof/>
            <w:webHidden/>
          </w:rPr>
        </w:r>
        <w:r w:rsidR="00BB0757">
          <w:rPr>
            <w:noProof/>
            <w:webHidden/>
          </w:rPr>
          <w:fldChar w:fldCharType="separate"/>
        </w:r>
        <w:r w:rsidR="00BB0757">
          <w:rPr>
            <w:noProof/>
            <w:webHidden/>
          </w:rPr>
          <w:t>170</w:t>
        </w:r>
        <w:r w:rsidR="00BB0757">
          <w:rPr>
            <w:noProof/>
            <w:webHidden/>
          </w:rPr>
          <w:fldChar w:fldCharType="end"/>
        </w:r>
      </w:hyperlink>
    </w:p>
    <w:p w14:paraId="701A6275" w14:textId="75C8BE7F" w:rsidR="00BB0757" w:rsidRDefault="00245D68">
      <w:pPr>
        <w:pStyle w:val="TableofFigures"/>
        <w:rPr>
          <w:rFonts w:eastAsiaTheme="minorEastAsia"/>
          <w:noProof/>
          <w:lang w:eastAsia="en-GB"/>
        </w:rPr>
      </w:pPr>
      <w:hyperlink w:anchor="_Toc468286077" w:history="1">
        <w:r w:rsidR="00BB0757" w:rsidRPr="007150B0">
          <w:rPr>
            <w:rStyle w:val="Hyperlink"/>
            <w:noProof/>
          </w:rPr>
          <w:t>Table 8.3 Descriptive statistics of the demographics for those in the control and intervention groups who responded to the questionnaire at Time 2 (N=83)</w:t>
        </w:r>
        <w:r w:rsidR="00BB0757">
          <w:rPr>
            <w:noProof/>
            <w:webHidden/>
          </w:rPr>
          <w:tab/>
        </w:r>
        <w:r w:rsidR="00BB0757">
          <w:rPr>
            <w:noProof/>
            <w:webHidden/>
          </w:rPr>
          <w:fldChar w:fldCharType="begin"/>
        </w:r>
        <w:r w:rsidR="00BB0757">
          <w:rPr>
            <w:noProof/>
            <w:webHidden/>
          </w:rPr>
          <w:instrText xml:space="preserve"> PAGEREF _Toc468286077 \h </w:instrText>
        </w:r>
        <w:r w:rsidR="00BB0757">
          <w:rPr>
            <w:noProof/>
            <w:webHidden/>
          </w:rPr>
        </w:r>
        <w:r w:rsidR="00BB0757">
          <w:rPr>
            <w:noProof/>
            <w:webHidden/>
          </w:rPr>
          <w:fldChar w:fldCharType="separate"/>
        </w:r>
        <w:r w:rsidR="00BB0757">
          <w:rPr>
            <w:noProof/>
            <w:webHidden/>
          </w:rPr>
          <w:t>171</w:t>
        </w:r>
        <w:r w:rsidR="00BB0757">
          <w:rPr>
            <w:noProof/>
            <w:webHidden/>
          </w:rPr>
          <w:fldChar w:fldCharType="end"/>
        </w:r>
      </w:hyperlink>
    </w:p>
    <w:p w14:paraId="3F4011B3" w14:textId="231F2766" w:rsidR="00BB0757" w:rsidRDefault="00245D68">
      <w:pPr>
        <w:pStyle w:val="TableofFigures"/>
        <w:rPr>
          <w:rFonts w:eastAsiaTheme="minorEastAsia"/>
          <w:noProof/>
          <w:lang w:eastAsia="en-GB"/>
        </w:rPr>
      </w:pPr>
      <w:hyperlink w:anchor="_Toc468286078" w:history="1">
        <w:r w:rsidR="00BB0757" w:rsidRPr="007150B0">
          <w:rPr>
            <w:rStyle w:val="Hyperlink"/>
            <w:noProof/>
          </w:rPr>
          <w:t>Table 8.4 Descriptive statistics of the research variables for the whole sample (intervention &amp; control group) at Time 1 (N=179), and the whole sample at Time 2 (N=83)</w:t>
        </w:r>
        <w:r w:rsidR="00BB0757">
          <w:rPr>
            <w:noProof/>
            <w:webHidden/>
          </w:rPr>
          <w:tab/>
        </w:r>
        <w:r w:rsidR="00BB0757">
          <w:rPr>
            <w:noProof/>
            <w:webHidden/>
          </w:rPr>
          <w:fldChar w:fldCharType="begin"/>
        </w:r>
        <w:r w:rsidR="00BB0757">
          <w:rPr>
            <w:noProof/>
            <w:webHidden/>
          </w:rPr>
          <w:instrText xml:space="preserve"> PAGEREF _Toc468286078 \h </w:instrText>
        </w:r>
        <w:r w:rsidR="00BB0757">
          <w:rPr>
            <w:noProof/>
            <w:webHidden/>
          </w:rPr>
        </w:r>
        <w:r w:rsidR="00BB0757">
          <w:rPr>
            <w:noProof/>
            <w:webHidden/>
          </w:rPr>
          <w:fldChar w:fldCharType="separate"/>
        </w:r>
        <w:r w:rsidR="00BB0757">
          <w:rPr>
            <w:noProof/>
            <w:webHidden/>
          </w:rPr>
          <w:t>175</w:t>
        </w:r>
        <w:r w:rsidR="00BB0757">
          <w:rPr>
            <w:noProof/>
            <w:webHidden/>
          </w:rPr>
          <w:fldChar w:fldCharType="end"/>
        </w:r>
      </w:hyperlink>
    </w:p>
    <w:p w14:paraId="17F3D72C" w14:textId="0195AF17" w:rsidR="00BB0757" w:rsidRDefault="00245D68">
      <w:pPr>
        <w:pStyle w:val="TableofFigures"/>
        <w:rPr>
          <w:rFonts w:eastAsiaTheme="minorEastAsia"/>
          <w:noProof/>
          <w:lang w:eastAsia="en-GB"/>
        </w:rPr>
      </w:pPr>
      <w:hyperlink w:anchor="_Toc468286079" w:history="1">
        <w:r w:rsidR="00BB0757" w:rsidRPr="007150B0">
          <w:rPr>
            <w:rStyle w:val="Hyperlink"/>
            <w:noProof/>
          </w:rPr>
          <w:t>Table 8.5 Descriptive statistics of the research variables for the intervention and control group at Time 1 (N=179)</w:t>
        </w:r>
        <w:r w:rsidR="00BB0757">
          <w:rPr>
            <w:noProof/>
            <w:webHidden/>
          </w:rPr>
          <w:tab/>
        </w:r>
        <w:r w:rsidR="00BB0757">
          <w:rPr>
            <w:noProof/>
            <w:webHidden/>
          </w:rPr>
          <w:fldChar w:fldCharType="begin"/>
        </w:r>
        <w:r w:rsidR="00BB0757">
          <w:rPr>
            <w:noProof/>
            <w:webHidden/>
          </w:rPr>
          <w:instrText xml:space="preserve"> PAGEREF _Toc468286079 \h </w:instrText>
        </w:r>
        <w:r w:rsidR="00BB0757">
          <w:rPr>
            <w:noProof/>
            <w:webHidden/>
          </w:rPr>
        </w:r>
        <w:r w:rsidR="00BB0757">
          <w:rPr>
            <w:noProof/>
            <w:webHidden/>
          </w:rPr>
          <w:fldChar w:fldCharType="separate"/>
        </w:r>
        <w:r w:rsidR="00BB0757">
          <w:rPr>
            <w:noProof/>
            <w:webHidden/>
          </w:rPr>
          <w:t>176</w:t>
        </w:r>
        <w:r w:rsidR="00BB0757">
          <w:rPr>
            <w:noProof/>
            <w:webHidden/>
          </w:rPr>
          <w:fldChar w:fldCharType="end"/>
        </w:r>
      </w:hyperlink>
    </w:p>
    <w:p w14:paraId="00926FFB" w14:textId="0AA42BE4" w:rsidR="00BB0757" w:rsidRDefault="00245D68">
      <w:pPr>
        <w:pStyle w:val="TableofFigures"/>
        <w:rPr>
          <w:rFonts w:eastAsiaTheme="minorEastAsia"/>
          <w:noProof/>
          <w:lang w:eastAsia="en-GB"/>
        </w:rPr>
      </w:pPr>
      <w:hyperlink w:anchor="_Toc468286080" w:history="1">
        <w:r w:rsidR="00BB0757" w:rsidRPr="007150B0">
          <w:rPr>
            <w:rStyle w:val="Hyperlink"/>
            <w:noProof/>
          </w:rPr>
          <w:t>Table 8.6 Descriptive statistics of the research variables for the intervention and control group at Time 2 (N=83)</w:t>
        </w:r>
        <w:r w:rsidR="00BB0757">
          <w:rPr>
            <w:noProof/>
            <w:webHidden/>
          </w:rPr>
          <w:tab/>
        </w:r>
        <w:r w:rsidR="00BB0757">
          <w:rPr>
            <w:noProof/>
            <w:webHidden/>
          </w:rPr>
          <w:fldChar w:fldCharType="begin"/>
        </w:r>
        <w:r w:rsidR="00BB0757">
          <w:rPr>
            <w:noProof/>
            <w:webHidden/>
          </w:rPr>
          <w:instrText xml:space="preserve"> PAGEREF _Toc468286080 \h </w:instrText>
        </w:r>
        <w:r w:rsidR="00BB0757">
          <w:rPr>
            <w:noProof/>
            <w:webHidden/>
          </w:rPr>
        </w:r>
        <w:r w:rsidR="00BB0757">
          <w:rPr>
            <w:noProof/>
            <w:webHidden/>
          </w:rPr>
          <w:fldChar w:fldCharType="separate"/>
        </w:r>
        <w:r w:rsidR="00BB0757">
          <w:rPr>
            <w:noProof/>
            <w:webHidden/>
          </w:rPr>
          <w:t>177</w:t>
        </w:r>
        <w:r w:rsidR="00BB0757">
          <w:rPr>
            <w:noProof/>
            <w:webHidden/>
          </w:rPr>
          <w:fldChar w:fldCharType="end"/>
        </w:r>
      </w:hyperlink>
    </w:p>
    <w:p w14:paraId="0CDE9E1E" w14:textId="45314B25" w:rsidR="00BB0757" w:rsidRDefault="00245D68">
      <w:pPr>
        <w:pStyle w:val="TableofFigures"/>
        <w:rPr>
          <w:rFonts w:eastAsiaTheme="minorEastAsia"/>
          <w:noProof/>
          <w:lang w:eastAsia="en-GB"/>
        </w:rPr>
      </w:pPr>
      <w:hyperlink w:anchor="_Toc468286081" w:history="1">
        <w:r w:rsidR="00BB0757" w:rsidRPr="007150B0">
          <w:rPr>
            <w:rStyle w:val="Hyperlink"/>
            <w:noProof/>
          </w:rPr>
          <w:t>Table 8.7 Time 1 and Time 2 bivariate Pearson’s correlations between all of the research variables and the demographic variable, role (N=179 &amp; N=83, respectively)</w:t>
        </w:r>
        <w:r w:rsidR="00BB0757">
          <w:rPr>
            <w:noProof/>
            <w:webHidden/>
          </w:rPr>
          <w:tab/>
        </w:r>
        <w:r w:rsidR="00BB0757">
          <w:rPr>
            <w:noProof/>
            <w:webHidden/>
          </w:rPr>
          <w:fldChar w:fldCharType="begin"/>
        </w:r>
        <w:r w:rsidR="00BB0757">
          <w:rPr>
            <w:noProof/>
            <w:webHidden/>
          </w:rPr>
          <w:instrText xml:space="preserve"> PAGEREF _Toc468286081 \h </w:instrText>
        </w:r>
        <w:r w:rsidR="00BB0757">
          <w:rPr>
            <w:noProof/>
            <w:webHidden/>
          </w:rPr>
        </w:r>
        <w:r w:rsidR="00BB0757">
          <w:rPr>
            <w:noProof/>
            <w:webHidden/>
          </w:rPr>
          <w:fldChar w:fldCharType="separate"/>
        </w:r>
        <w:r w:rsidR="00BB0757">
          <w:rPr>
            <w:noProof/>
            <w:webHidden/>
          </w:rPr>
          <w:t>178</w:t>
        </w:r>
        <w:r w:rsidR="00BB0757">
          <w:rPr>
            <w:noProof/>
            <w:webHidden/>
          </w:rPr>
          <w:fldChar w:fldCharType="end"/>
        </w:r>
      </w:hyperlink>
    </w:p>
    <w:p w14:paraId="5364A5A3" w14:textId="2FC70BBF" w:rsidR="00BB0757" w:rsidRDefault="00245D68">
      <w:pPr>
        <w:pStyle w:val="TableofFigures"/>
        <w:rPr>
          <w:rFonts w:eastAsiaTheme="minorEastAsia"/>
          <w:noProof/>
          <w:lang w:eastAsia="en-GB"/>
        </w:rPr>
      </w:pPr>
      <w:hyperlink w:anchor="_Toc468286082" w:history="1">
        <w:r w:rsidR="00BB0757" w:rsidRPr="007150B0">
          <w:rPr>
            <w:rStyle w:val="Hyperlink"/>
            <w:noProof/>
          </w:rPr>
          <w:t>Table 8.8 Descriptive statistics for the matched sample (including both the intervention &amp; control group) who responded to the questionnaire at both Time 1 and Time 2 (N=45)</w:t>
        </w:r>
        <w:r w:rsidR="00BB0757">
          <w:rPr>
            <w:noProof/>
            <w:webHidden/>
          </w:rPr>
          <w:tab/>
        </w:r>
        <w:r w:rsidR="00BB0757">
          <w:rPr>
            <w:noProof/>
            <w:webHidden/>
          </w:rPr>
          <w:fldChar w:fldCharType="begin"/>
        </w:r>
        <w:r w:rsidR="00BB0757">
          <w:rPr>
            <w:noProof/>
            <w:webHidden/>
          </w:rPr>
          <w:instrText xml:space="preserve"> PAGEREF _Toc468286082 \h </w:instrText>
        </w:r>
        <w:r w:rsidR="00BB0757">
          <w:rPr>
            <w:noProof/>
            <w:webHidden/>
          </w:rPr>
        </w:r>
        <w:r w:rsidR="00BB0757">
          <w:rPr>
            <w:noProof/>
            <w:webHidden/>
          </w:rPr>
          <w:fldChar w:fldCharType="separate"/>
        </w:r>
        <w:r w:rsidR="00BB0757">
          <w:rPr>
            <w:noProof/>
            <w:webHidden/>
          </w:rPr>
          <w:t>181</w:t>
        </w:r>
        <w:r w:rsidR="00BB0757">
          <w:rPr>
            <w:noProof/>
            <w:webHidden/>
          </w:rPr>
          <w:fldChar w:fldCharType="end"/>
        </w:r>
      </w:hyperlink>
    </w:p>
    <w:p w14:paraId="57334128" w14:textId="5559133E" w:rsidR="00BB0757" w:rsidRDefault="00245D68">
      <w:pPr>
        <w:pStyle w:val="TableofFigures"/>
        <w:rPr>
          <w:rFonts w:eastAsiaTheme="minorEastAsia"/>
          <w:noProof/>
          <w:lang w:eastAsia="en-GB"/>
        </w:rPr>
      </w:pPr>
      <w:hyperlink w:anchor="_Toc468286083" w:history="1">
        <w:r w:rsidR="00BB0757" w:rsidRPr="007150B0">
          <w:rPr>
            <w:rStyle w:val="Hyperlink"/>
            <w:noProof/>
          </w:rPr>
          <w:t>Table 8.9 Descriptive statistics for those in the control group who responded to the questionnaire at both Time 1 and Time 2 (N=14)</w:t>
        </w:r>
        <w:r w:rsidR="00BB0757">
          <w:rPr>
            <w:noProof/>
            <w:webHidden/>
          </w:rPr>
          <w:tab/>
        </w:r>
        <w:r w:rsidR="00BB0757">
          <w:rPr>
            <w:noProof/>
            <w:webHidden/>
          </w:rPr>
          <w:fldChar w:fldCharType="begin"/>
        </w:r>
        <w:r w:rsidR="00BB0757">
          <w:rPr>
            <w:noProof/>
            <w:webHidden/>
          </w:rPr>
          <w:instrText xml:space="preserve"> PAGEREF _Toc468286083 \h </w:instrText>
        </w:r>
        <w:r w:rsidR="00BB0757">
          <w:rPr>
            <w:noProof/>
            <w:webHidden/>
          </w:rPr>
        </w:r>
        <w:r w:rsidR="00BB0757">
          <w:rPr>
            <w:noProof/>
            <w:webHidden/>
          </w:rPr>
          <w:fldChar w:fldCharType="separate"/>
        </w:r>
        <w:r w:rsidR="00BB0757">
          <w:rPr>
            <w:noProof/>
            <w:webHidden/>
          </w:rPr>
          <w:t>182</w:t>
        </w:r>
        <w:r w:rsidR="00BB0757">
          <w:rPr>
            <w:noProof/>
            <w:webHidden/>
          </w:rPr>
          <w:fldChar w:fldCharType="end"/>
        </w:r>
      </w:hyperlink>
    </w:p>
    <w:p w14:paraId="64578315" w14:textId="169B6B0E" w:rsidR="00BB0757" w:rsidRDefault="00245D68">
      <w:pPr>
        <w:pStyle w:val="TableofFigures"/>
        <w:rPr>
          <w:rFonts w:eastAsiaTheme="minorEastAsia"/>
          <w:noProof/>
          <w:lang w:eastAsia="en-GB"/>
        </w:rPr>
      </w:pPr>
      <w:hyperlink w:anchor="_Toc468286084" w:history="1">
        <w:r w:rsidR="00BB0757" w:rsidRPr="007150B0">
          <w:rPr>
            <w:rStyle w:val="Hyperlink"/>
            <w:noProof/>
          </w:rPr>
          <w:t>Table 8.10 Descriptive statistics for those in the intervention group who responded to the questionnaire at both Time 1 and Time 2 (N=31)</w:t>
        </w:r>
        <w:r w:rsidR="00BB0757">
          <w:rPr>
            <w:noProof/>
            <w:webHidden/>
          </w:rPr>
          <w:tab/>
        </w:r>
        <w:r w:rsidR="00BB0757">
          <w:rPr>
            <w:noProof/>
            <w:webHidden/>
          </w:rPr>
          <w:fldChar w:fldCharType="begin"/>
        </w:r>
        <w:r w:rsidR="00BB0757">
          <w:rPr>
            <w:noProof/>
            <w:webHidden/>
          </w:rPr>
          <w:instrText xml:space="preserve"> PAGEREF _Toc468286084 \h </w:instrText>
        </w:r>
        <w:r w:rsidR="00BB0757">
          <w:rPr>
            <w:noProof/>
            <w:webHidden/>
          </w:rPr>
        </w:r>
        <w:r w:rsidR="00BB0757">
          <w:rPr>
            <w:noProof/>
            <w:webHidden/>
          </w:rPr>
          <w:fldChar w:fldCharType="separate"/>
        </w:r>
        <w:r w:rsidR="00BB0757">
          <w:rPr>
            <w:noProof/>
            <w:webHidden/>
          </w:rPr>
          <w:t>183</w:t>
        </w:r>
        <w:r w:rsidR="00BB0757">
          <w:rPr>
            <w:noProof/>
            <w:webHidden/>
          </w:rPr>
          <w:fldChar w:fldCharType="end"/>
        </w:r>
      </w:hyperlink>
    </w:p>
    <w:p w14:paraId="0C4C9785" w14:textId="5BF69A4D" w:rsidR="00BB0757" w:rsidRDefault="00245D68">
      <w:pPr>
        <w:pStyle w:val="TableofFigures"/>
        <w:rPr>
          <w:rFonts w:eastAsiaTheme="minorEastAsia"/>
          <w:noProof/>
          <w:lang w:eastAsia="en-GB"/>
        </w:rPr>
      </w:pPr>
      <w:hyperlink w:anchor="_Toc468286085" w:history="1">
        <w:r w:rsidR="00BB0757" w:rsidRPr="007150B0">
          <w:rPr>
            <w:rStyle w:val="Hyperlink"/>
            <w:noProof/>
          </w:rPr>
          <w:t xml:space="preserve">Table 8.11 Results of independent samples </w:t>
        </w:r>
        <w:r w:rsidR="00BB0757" w:rsidRPr="007150B0">
          <w:rPr>
            <w:rStyle w:val="Hyperlink"/>
            <w:i/>
            <w:noProof/>
          </w:rPr>
          <w:t>t-</w:t>
        </w:r>
        <w:r w:rsidR="00BB0757" w:rsidRPr="007150B0">
          <w:rPr>
            <w:rStyle w:val="Hyperlink"/>
            <w:noProof/>
          </w:rPr>
          <w:t>tests between the intervention (N=31) and control (N=14) groups at baseline (Time 1), for all of the demographic variables measured</w:t>
        </w:r>
        <w:r w:rsidR="00BB0757">
          <w:rPr>
            <w:noProof/>
            <w:webHidden/>
          </w:rPr>
          <w:tab/>
        </w:r>
        <w:r w:rsidR="00BB0757">
          <w:rPr>
            <w:noProof/>
            <w:webHidden/>
          </w:rPr>
          <w:fldChar w:fldCharType="begin"/>
        </w:r>
        <w:r w:rsidR="00BB0757">
          <w:rPr>
            <w:noProof/>
            <w:webHidden/>
          </w:rPr>
          <w:instrText xml:space="preserve"> PAGEREF _Toc468286085 \h </w:instrText>
        </w:r>
        <w:r w:rsidR="00BB0757">
          <w:rPr>
            <w:noProof/>
            <w:webHidden/>
          </w:rPr>
        </w:r>
        <w:r w:rsidR="00BB0757">
          <w:rPr>
            <w:noProof/>
            <w:webHidden/>
          </w:rPr>
          <w:fldChar w:fldCharType="separate"/>
        </w:r>
        <w:r w:rsidR="00BB0757">
          <w:rPr>
            <w:noProof/>
            <w:webHidden/>
          </w:rPr>
          <w:t>184</w:t>
        </w:r>
        <w:r w:rsidR="00BB0757">
          <w:rPr>
            <w:noProof/>
            <w:webHidden/>
          </w:rPr>
          <w:fldChar w:fldCharType="end"/>
        </w:r>
      </w:hyperlink>
    </w:p>
    <w:p w14:paraId="715D8974" w14:textId="1C84429B" w:rsidR="00BB0757" w:rsidRDefault="00245D68">
      <w:pPr>
        <w:pStyle w:val="TableofFigures"/>
        <w:rPr>
          <w:rFonts w:eastAsiaTheme="minorEastAsia"/>
          <w:noProof/>
          <w:lang w:eastAsia="en-GB"/>
        </w:rPr>
      </w:pPr>
      <w:hyperlink w:anchor="_Toc468286086" w:history="1">
        <w:r w:rsidR="00BB0757" w:rsidRPr="007150B0">
          <w:rPr>
            <w:rStyle w:val="Hyperlink"/>
            <w:noProof/>
          </w:rPr>
          <w:t>Table 8.12 Descriptive statistics for the whole sample (including both intervention &amp; control groups) at Time 1 and Time 2 (N=45)</w:t>
        </w:r>
        <w:r w:rsidR="00BB0757">
          <w:rPr>
            <w:noProof/>
            <w:webHidden/>
          </w:rPr>
          <w:tab/>
        </w:r>
        <w:r w:rsidR="00BB0757">
          <w:rPr>
            <w:noProof/>
            <w:webHidden/>
          </w:rPr>
          <w:fldChar w:fldCharType="begin"/>
        </w:r>
        <w:r w:rsidR="00BB0757">
          <w:rPr>
            <w:noProof/>
            <w:webHidden/>
          </w:rPr>
          <w:instrText xml:space="preserve"> PAGEREF _Toc468286086 \h </w:instrText>
        </w:r>
        <w:r w:rsidR="00BB0757">
          <w:rPr>
            <w:noProof/>
            <w:webHidden/>
          </w:rPr>
        </w:r>
        <w:r w:rsidR="00BB0757">
          <w:rPr>
            <w:noProof/>
            <w:webHidden/>
          </w:rPr>
          <w:fldChar w:fldCharType="separate"/>
        </w:r>
        <w:r w:rsidR="00BB0757">
          <w:rPr>
            <w:noProof/>
            <w:webHidden/>
          </w:rPr>
          <w:t>188</w:t>
        </w:r>
        <w:r w:rsidR="00BB0757">
          <w:rPr>
            <w:noProof/>
            <w:webHidden/>
          </w:rPr>
          <w:fldChar w:fldCharType="end"/>
        </w:r>
      </w:hyperlink>
    </w:p>
    <w:p w14:paraId="2C6F1390" w14:textId="1CF00B92" w:rsidR="00BB0757" w:rsidRDefault="00245D68">
      <w:pPr>
        <w:pStyle w:val="TableofFigures"/>
        <w:rPr>
          <w:rFonts w:eastAsiaTheme="minorEastAsia"/>
          <w:noProof/>
          <w:lang w:eastAsia="en-GB"/>
        </w:rPr>
      </w:pPr>
      <w:hyperlink w:anchor="_Toc468286087" w:history="1">
        <w:r w:rsidR="00BB0757" w:rsidRPr="007150B0">
          <w:rPr>
            <w:rStyle w:val="Hyperlink"/>
            <w:noProof/>
          </w:rPr>
          <w:t>Table 8.13 Descriptive statistics for those in the control group at Time 1 and Time 2 (N=14)</w:t>
        </w:r>
        <w:r w:rsidR="00BB0757">
          <w:rPr>
            <w:noProof/>
            <w:webHidden/>
          </w:rPr>
          <w:tab/>
        </w:r>
        <w:r w:rsidR="00BB0757">
          <w:rPr>
            <w:noProof/>
            <w:webHidden/>
          </w:rPr>
          <w:fldChar w:fldCharType="begin"/>
        </w:r>
        <w:r w:rsidR="00BB0757">
          <w:rPr>
            <w:noProof/>
            <w:webHidden/>
          </w:rPr>
          <w:instrText xml:space="preserve"> PAGEREF _Toc468286087 \h </w:instrText>
        </w:r>
        <w:r w:rsidR="00BB0757">
          <w:rPr>
            <w:noProof/>
            <w:webHidden/>
          </w:rPr>
        </w:r>
        <w:r w:rsidR="00BB0757">
          <w:rPr>
            <w:noProof/>
            <w:webHidden/>
          </w:rPr>
          <w:fldChar w:fldCharType="separate"/>
        </w:r>
        <w:r w:rsidR="00BB0757">
          <w:rPr>
            <w:noProof/>
            <w:webHidden/>
          </w:rPr>
          <w:t>189</w:t>
        </w:r>
        <w:r w:rsidR="00BB0757">
          <w:rPr>
            <w:noProof/>
            <w:webHidden/>
          </w:rPr>
          <w:fldChar w:fldCharType="end"/>
        </w:r>
      </w:hyperlink>
    </w:p>
    <w:p w14:paraId="3C4E4EDC" w14:textId="43C8F9DF" w:rsidR="00BB0757" w:rsidRDefault="00245D68">
      <w:pPr>
        <w:pStyle w:val="TableofFigures"/>
        <w:rPr>
          <w:rFonts w:eastAsiaTheme="minorEastAsia"/>
          <w:noProof/>
          <w:lang w:eastAsia="en-GB"/>
        </w:rPr>
      </w:pPr>
      <w:hyperlink w:anchor="_Toc468286088" w:history="1">
        <w:r w:rsidR="00BB0757" w:rsidRPr="007150B0">
          <w:rPr>
            <w:rStyle w:val="Hyperlink"/>
            <w:noProof/>
          </w:rPr>
          <w:t>Table 8.14 Descriptive statistics for the scale variables for those in the intervention group at Time 1 and Time 2 (N=31)</w:t>
        </w:r>
        <w:r w:rsidR="00BB0757">
          <w:rPr>
            <w:noProof/>
            <w:webHidden/>
          </w:rPr>
          <w:tab/>
        </w:r>
        <w:r w:rsidR="00BB0757">
          <w:rPr>
            <w:noProof/>
            <w:webHidden/>
          </w:rPr>
          <w:fldChar w:fldCharType="begin"/>
        </w:r>
        <w:r w:rsidR="00BB0757">
          <w:rPr>
            <w:noProof/>
            <w:webHidden/>
          </w:rPr>
          <w:instrText xml:space="preserve"> PAGEREF _Toc468286088 \h </w:instrText>
        </w:r>
        <w:r w:rsidR="00BB0757">
          <w:rPr>
            <w:noProof/>
            <w:webHidden/>
          </w:rPr>
        </w:r>
        <w:r w:rsidR="00BB0757">
          <w:rPr>
            <w:noProof/>
            <w:webHidden/>
          </w:rPr>
          <w:fldChar w:fldCharType="separate"/>
        </w:r>
        <w:r w:rsidR="00BB0757">
          <w:rPr>
            <w:noProof/>
            <w:webHidden/>
          </w:rPr>
          <w:t>190</w:t>
        </w:r>
        <w:r w:rsidR="00BB0757">
          <w:rPr>
            <w:noProof/>
            <w:webHidden/>
          </w:rPr>
          <w:fldChar w:fldCharType="end"/>
        </w:r>
      </w:hyperlink>
    </w:p>
    <w:p w14:paraId="233415B5" w14:textId="3B6DF7C5" w:rsidR="00BB0757" w:rsidRDefault="00245D68">
      <w:pPr>
        <w:pStyle w:val="TableofFigures"/>
        <w:rPr>
          <w:rFonts w:eastAsiaTheme="minorEastAsia"/>
          <w:noProof/>
          <w:lang w:eastAsia="en-GB"/>
        </w:rPr>
      </w:pPr>
      <w:hyperlink w:anchor="_Toc468286089" w:history="1">
        <w:r w:rsidR="00BB0757" w:rsidRPr="007150B0">
          <w:rPr>
            <w:rStyle w:val="Hyperlink"/>
            <w:noProof/>
          </w:rPr>
          <w:t>Table 8.15 Time 1 and Time 2 bivariate Pearson’s correlations between all of the research variables and the demographic variable, role, for the matched sample (N=45)</w:t>
        </w:r>
        <w:r w:rsidR="00BB0757">
          <w:rPr>
            <w:noProof/>
            <w:webHidden/>
          </w:rPr>
          <w:tab/>
        </w:r>
        <w:r w:rsidR="00BB0757">
          <w:rPr>
            <w:noProof/>
            <w:webHidden/>
          </w:rPr>
          <w:fldChar w:fldCharType="begin"/>
        </w:r>
        <w:r w:rsidR="00BB0757">
          <w:rPr>
            <w:noProof/>
            <w:webHidden/>
          </w:rPr>
          <w:instrText xml:space="preserve"> PAGEREF _Toc468286089 \h </w:instrText>
        </w:r>
        <w:r w:rsidR="00BB0757">
          <w:rPr>
            <w:noProof/>
            <w:webHidden/>
          </w:rPr>
        </w:r>
        <w:r w:rsidR="00BB0757">
          <w:rPr>
            <w:noProof/>
            <w:webHidden/>
          </w:rPr>
          <w:fldChar w:fldCharType="separate"/>
        </w:r>
        <w:r w:rsidR="00BB0757">
          <w:rPr>
            <w:noProof/>
            <w:webHidden/>
          </w:rPr>
          <w:t>191</w:t>
        </w:r>
        <w:r w:rsidR="00BB0757">
          <w:rPr>
            <w:noProof/>
            <w:webHidden/>
          </w:rPr>
          <w:fldChar w:fldCharType="end"/>
        </w:r>
      </w:hyperlink>
    </w:p>
    <w:p w14:paraId="203174AE" w14:textId="09F35F9E" w:rsidR="00BB0757" w:rsidRDefault="00245D68">
      <w:pPr>
        <w:pStyle w:val="TableofFigures"/>
        <w:rPr>
          <w:rFonts w:eastAsiaTheme="minorEastAsia"/>
          <w:noProof/>
          <w:lang w:eastAsia="en-GB"/>
        </w:rPr>
      </w:pPr>
      <w:hyperlink w:anchor="_Toc468286090" w:history="1">
        <w:r w:rsidR="00BB0757" w:rsidRPr="007150B0">
          <w:rPr>
            <w:rStyle w:val="Hyperlink"/>
            <w:noProof/>
          </w:rPr>
          <w:t xml:space="preserve">Table 8.16 Results of independent samples </w:t>
        </w:r>
        <w:r w:rsidR="00BB0757" w:rsidRPr="007150B0">
          <w:rPr>
            <w:rStyle w:val="Hyperlink"/>
            <w:i/>
            <w:noProof/>
          </w:rPr>
          <w:t>t</w:t>
        </w:r>
        <w:r w:rsidR="00BB0757" w:rsidRPr="007150B0">
          <w:rPr>
            <w:rStyle w:val="Hyperlink"/>
            <w:noProof/>
          </w:rPr>
          <w:t>-tests between the intervention (N=31) and control (N=14) groups at baseline (Time 1), for all of the measures</w:t>
        </w:r>
        <w:r w:rsidR="00BB0757">
          <w:rPr>
            <w:noProof/>
            <w:webHidden/>
          </w:rPr>
          <w:tab/>
        </w:r>
        <w:r w:rsidR="00BB0757">
          <w:rPr>
            <w:noProof/>
            <w:webHidden/>
          </w:rPr>
          <w:fldChar w:fldCharType="begin"/>
        </w:r>
        <w:r w:rsidR="00BB0757">
          <w:rPr>
            <w:noProof/>
            <w:webHidden/>
          </w:rPr>
          <w:instrText xml:space="preserve"> PAGEREF _Toc468286090 \h </w:instrText>
        </w:r>
        <w:r w:rsidR="00BB0757">
          <w:rPr>
            <w:noProof/>
            <w:webHidden/>
          </w:rPr>
        </w:r>
        <w:r w:rsidR="00BB0757">
          <w:rPr>
            <w:noProof/>
            <w:webHidden/>
          </w:rPr>
          <w:fldChar w:fldCharType="separate"/>
        </w:r>
        <w:r w:rsidR="00BB0757">
          <w:rPr>
            <w:noProof/>
            <w:webHidden/>
          </w:rPr>
          <w:t>192</w:t>
        </w:r>
        <w:r w:rsidR="00BB0757">
          <w:rPr>
            <w:noProof/>
            <w:webHidden/>
          </w:rPr>
          <w:fldChar w:fldCharType="end"/>
        </w:r>
      </w:hyperlink>
    </w:p>
    <w:p w14:paraId="24560C55" w14:textId="51DEA0F5" w:rsidR="00BB0757" w:rsidRDefault="00245D68">
      <w:pPr>
        <w:pStyle w:val="TableofFigures"/>
        <w:rPr>
          <w:rFonts w:eastAsiaTheme="minorEastAsia"/>
          <w:noProof/>
          <w:lang w:eastAsia="en-GB"/>
        </w:rPr>
      </w:pPr>
      <w:hyperlink w:anchor="_Toc468286091" w:history="1">
        <w:r w:rsidR="00BB0757" w:rsidRPr="007150B0">
          <w:rPr>
            <w:rStyle w:val="Hyperlink"/>
            <w:noProof/>
          </w:rPr>
          <w:t xml:space="preserve">Table 8.17 Results of mixed analysis of covariance to determine whether there were significant differences in work engagement across the Time 1 sample (N=45) in terms of the continuous demographic variable, ward tenure, and the categorical demographic variables, </w:t>
        </w:r>
        <w:r w:rsidR="00BB0757" w:rsidRPr="007150B0">
          <w:rPr>
            <w:rStyle w:val="Hyperlink"/>
            <w:rFonts w:ascii="Calibri" w:eastAsia="Calibri" w:hAnsi="Calibri" w:cs="Times New Roman"/>
            <w:noProof/>
          </w:rPr>
          <w:t>gender, role, and whether or not respondents managed others (Manager)</w:t>
        </w:r>
        <w:r w:rsidR="00BB0757">
          <w:rPr>
            <w:noProof/>
            <w:webHidden/>
          </w:rPr>
          <w:tab/>
        </w:r>
        <w:r w:rsidR="00BB0757">
          <w:rPr>
            <w:noProof/>
            <w:webHidden/>
          </w:rPr>
          <w:fldChar w:fldCharType="begin"/>
        </w:r>
        <w:r w:rsidR="00BB0757">
          <w:rPr>
            <w:noProof/>
            <w:webHidden/>
          </w:rPr>
          <w:instrText xml:space="preserve"> PAGEREF _Toc468286091 \h </w:instrText>
        </w:r>
        <w:r w:rsidR="00BB0757">
          <w:rPr>
            <w:noProof/>
            <w:webHidden/>
          </w:rPr>
        </w:r>
        <w:r w:rsidR="00BB0757">
          <w:rPr>
            <w:noProof/>
            <w:webHidden/>
          </w:rPr>
          <w:fldChar w:fldCharType="separate"/>
        </w:r>
        <w:r w:rsidR="00BB0757">
          <w:rPr>
            <w:noProof/>
            <w:webHidden/>
          </w:rPr>
          <w:t>194</w:t>
        </w:r>
        <w:r w:rsidR="00BB0757">
          <w:rPr>
            <w:noProof/>
            <w:webHidden/>
          </w:rPr>
          <w:fldChar w:fldCharType="end"/>
        </w:r>
      </w:hyperlink>
    </w:p>
    <w:p w14:paraId="1423D98C" w14:textId="43127AB3" w:rsidR="00BB0757" w:rsidRDefault="00245D68">
      <w:pPr>
        <w:pStyle w:val="TableofFigures"/>
        <w:rPr>
          <w:rFonts w:eastAsiaTheme="minorEastAsia"/>
          <w:noProof/>
          <w:lang w:eastAsia="en-GB"/>
        </w:rPr>
      </w:pPr>
      <w:hyperlink w:anchor="_Toc468286092" w:history="1">
        <w:r w:rsidR="00BB0757" w:rsidRPr="007150B0">
          <w:rPr>
            <w:rStyle w:val="Hyperlink"/>
            <w:noProof/>
          </w:rPr>
          <w:t>Table 8.18 Results of repeated measures ANOVA in the general linear model (GLM) to test whether there were any significant mean differences between intervention and control groups across the two time points on any of the measures (N=45)</w:t>
        </w:r>
        <w:r w:rsidR="00BB0757">
          <w:rPr>
            <w:noProof/>
            <w:webHidden/>
          </w:rPr>
          <w:tab/>
        </w:r>
        <w:r w:rsidR="00BB0757">
          <w:rPr>
            <w:noProof/>
            <w:webHidden/>
          </w:rPr>
          <w:fldChar w:fldCharType="begin"/>
        </w:r>
        <w:r w:rsidR="00BB0757">
          <w:rPr>
            <w:noProof/>
            <w:webHidden/>
          </w:rPr>
          <w:instrText xml:space="preserve"> PAGEREF _Toc468286092 \h </w:instrText>
        </w:r>
        <w:r w:rsidR="00BB0757">
          <w:rPr>
            <w:noProof/>
            <w:webHidden/>
          </w:rPr>
        </w:r>
        <w:r w:rsidR="00BB0757">
          <w:rPr>
            <w:noProof/>
            <w:webHidden/>
          </w:rPr>
          <w:fldChar w:fldCharType="separate"/>
        </w:r>
        <w:r w:rsidR="00BB0757">
          <w:rPr>
            <w:noProof/>
            <w:webHidden/>
          </w:rPr>
          <w:t>196</w:t>
        </w:r>
        <w:r w:rsidR="00BB0757">
          <w:rPr>
            <w:noProof/>
            <w:webHidden/>
          </w:rPr>
          <w:fldChar w:fldCharType="end"/>
        </w:r>
      </w:hyperlink>
    </w:p>
    <w:p w14:paraId="3E5D79F8" w14:textId="0032C862" w:rsidR="00BB0757" w:rsidRDefault="00245D68">
      <w:pPr>
        <w:pStyle w:val="TableofFigures"/>
        <w:rPr>
          <w:rFonts w:eastAsiaTheme="minorEastAsia"/>
          <w:noProof/>
          <w:lang w:eastAsia="en-GB"/>
        </w:rPr>
      </w:pPr>
      <w:hyperlink w:anchor="_Toc468286093" w:history="1">
        <w:r w:rsidR="00BB0757" w:rsidRPr="007150B0">
          <w:rPr>
            <w:rStyle w:val="Hyperlink"/>
            <w:noProof/>
          </w:rPr>
          <w:t>Table 8.19 Results of independent samples t-tests between the intervention (N=) and control (N=) groups at baseline (Time 1), for all of the demographic variables measured</w:t>
        </w:r>
        <w:r w:rsidR="00BB0757">
          <w:rPr>
            <w:noProof/>
            <w:webHidden/>
          </w:rPr>
          <w:tab/>
        </w:r>
        <w:r w:rsidR="00BB0757">
          <w:rPr>
            <w:noProof/>
            <w:webHidden/>
          </w:rPr>
          <w:fldChar w:fldCharType="begin"/>
        </w:r>
        <w:r w:rsidR="00BB0757">
          <w:rPr>
            <w:noProof/>
            <w:webHidden/>
          </w:rPr>
          <w:instrText xml:space="preserve"> PAGEREF _Toc468286093 \h </w:instrText>
        </w:r>
        <w:r w:rsidR="00BB0757">
          <w:rPr>
            <w:noProof/>
            <w:webHidden/>
          </w:rPr>
        </w:r>
        <w:r w:rsidR="00BB0757">
          <w:rPr>
            <w:noProof/>
            <w:webHidden/>
          </w:rPr>
          <w:fldChar w:fldCharType="separate"/>
        </w:r>
        <w:r w:rsidR="00BB0757">
          <w:rPr>
            <w:noProof/>
            <w:webHidden/>
          </w:rPr>
          <w:t>200</w:t>
        </w:r>
        <w:r w:rsidR="00BB0757">
          <w:rPr>
            <w:noProof/>
            <w:webHidden/>
          </w:rPr>
          <w:fldChar w:fldCharType="end"/>
        </w:r>
      </w:hyperlink>
    </w:p>
    <w:p w14:paraId="231CFC15" w14:textId="09FAC4D3" w:rsidR="00BB0757" w:rsidRDefault="00245D68">
      <w:pPr>
        <w:pStyle w:val="TableofFigures"/>
        <w:rPr>
          <w:rFonts w:eastAsiaTheme="minorEastAsia"/>
          <w:noProof/>
          <w:lang w:eastAsia="en-GB"/>
        </w:rPr>
      </w:pPr>
      <w:hyperlink w:anchor="_Toc468286094" w:history="1">
        <w:r w:rsidR="00BB0757" w:rsidRPr="007150B0">
          <w:rPr>
            <w:rStyle w:val="Hyperlink"/>
            <w:noProof/>
          </w:rPr>
          <w:t xml:space="preserve">Table 8.20 Results of independent samples </w:t>
        </w:r>
        <w:r w:rsidR="00BB0757" w:rsidRPr="007150B0">
          <w:rPr>
            <w:rStyle w:val="Hyperlink"/>
            <w:i/>
            <w:noProof/>
          </w:rPr>
          <w:t>t</w:t>
        </w:r>
        <w:r w:rsidR="00BB0757" w:rsidRPr="007150B0">
          <w:rPr>
            <w:rStyle w:val="Hyperlink"/>
            <w:noProof/>
          </w:rPr>
          <w:t>-tests between the intervention (N=31) and control (N=14) groups at baseline (Time 1), for all of the measures</w:t>
        </w:r>
        <w:r w:rsidR="00BB0757">
          <w:rPr>
            <w:noProof/>
            <w:webHidden/>
          </w:rPr>
          <w:tab/>
        </w:r>
        <w:r w:rsidR="00BB0757">
          <w:rPr>
            <w:noProof/>
            <w:webHidden/>
          </w:rPr>
          <w:fldChar w:fldCharType="begin"/>
        </w:r>
        <w:r w:rsidR="00BB0757">
          <w:rPr>
            <w:noProof/>
            <w:webHidden/>
          </w:rPr>
          <w:instrText xml:space="preserve"> PAGEREF _Toc468286094 \h </w:instrText>
        </w:r>
        <w:r w:rsidR="00BB0757">
          <w:rPr>
            <w:noProof/>
            <w:webHidden/>
          </w:rPr>
        </w:r>
        <w:r w:rsidR="00BB0757">
          <w:rPr>
            <w:noProof/>
            <w:webHidden/>
          </w:rPr>
          <w:fldChar w:fldCharType="separate"/>
        </w:r>
        <w:r w:rsidR="00BB0757">
          <w:rPr>
            <w:noProof/>
            <w:webHidden/>
          </w:rPr>
          <w:t>201</w:t>
        </w:r>
        <w:r w:rsidR="00BB0757">
          <w:rPr>
            <w:noProof/>
            <w:webHidden/>
          </w:rPr>
          <w:fldChar w:fldCharType="end"/>
        </w:r>
      </w:hyperlink>
    </w:p>
    <w:p w14:paraId="29FF7511" w14:textId="1DBAEDB8" w:rsidR="00BB0757" w:rsidRDefault="00245D68">
      <w:pPr>
        <w:pStyle w:val="TableofFigures"/>
        <w:rPr>
          <w:rFonts w:eastAsiaTheme="minorEastAsia"/>
          <w:noProof/>
          <w:lang w:eastAsia="en-GB"/>
        </w:rPr>
      </w:pPr>
      <w:hyperlink w:anchor="_Toc468286095" w:history="1">
        <w:r w:rsidR="00BB0757" w:rsidRPr="007150B0">
          <w:rPr>
            <w:rStyle w:val="Hyperlink"/>
            <w:noProof/>
          </w:rPr>
          <w:t>Table 8.21 Results of mixed level analyses in SPSS to test for significant differences between control (N=179) and intervention (N=83) groups on the research variables between Time 1 and Time 2, controlling for hospital tenure</w:t>
        </w:r>
        <w:r w:rsidR="00BB0757">
          <w:rPr>
            <w:noProof/>
            <w:webHidden/>
          </w:rPr>
          <w:tab/>
        </w:r>
        <w:r w:rsidR="00BB0757">
          <w:rPr>
            <w:noProof/>
            <w:webHidden/>
          </w:rPr>
          <w:fldChar w:fldCharType="begin"/>
        </w:r>
        <w:r w:rsidR="00BB0757">
          <w:rPr>
            <w:noProof/>
            <w:webHidden/>
          </w:rPr>
          <w:instrText xml:space="preserve"> PAGEREF _Toc468286095 \h </w:instrText>
        </w:r>
        <w:r w:rsidR="00BB0757">
          <w:rPr>
            <w:noProof/>
            <w:webHidden/>
          </w:rPr>
        </w:r>
        <w:r w:rsidR="00BB0757">
          <w:rPr>
            <w:noProof/>
            <w:webHidden/>
          </w:rPr>
          <w:fldChar w:fldCharType="separate"/>
        </w:r>
        <w:r w:rsidR="00BB0757">
          <w:rPr>
            <w:noProof/>
            <w:webHidden/>
          </w:rPr>
          <w:t>202</w:t>
        </w:r>
        <w:r w:rsidR="00BB0757">
          <w:rPr>
            <w:noProof/>
            <w:webHidden/>
          </w:rPr>
          <w:fldChar w:fldCharType="end"/>
        </w:r>
      </w:hyperlink>
    </w:p>
    <w:p w14:paraId="483AD2EF" w14:textId="1EBE4389" w:rsidR="00BB0757" w:rsidRDefault="00245D68">
      <w:pPr>
        <w:pStyle w:val="TableofFigures"/>
        <w:rPr>
          <w:rFonts w:eastAsiaTheme="minorEastAsia"/>
          <w:noProof/>
          <w:lang w:eastAsia="en-GB"/>
        </w:rPr>
      </w:pPr>
      <w:hyperlink w:anchor="_Toc468286096" w:history="1">
        <w:r w:rsidR="00BB0757" w:rsidRPr="007150B0">
          <w:rPr>
            <w:rStyle w:val="Hyperlink"/>
            <w:noProof/>
          </w:rPr>
          <w:t>Table 8.22 Percentage of respondents who responded ‘yes’ or ‘no’ to each of the intervention evaluation questions requiring a ‘yes’ or ‘no’ response</w:t>
        </w:r>
        <w:r w:rsidR="00BB0757">
          <w:rPr>
            <w:noProof/>
            <w:webHidden/>
          </w:rPr>
          <w:tab/>
        </w:r>
        <w:r w:rsidR="00BB0757">
          <w:rPr>
            <w:noProof/>
            <w:webHidden/>
          </w:rPr>
          <w:fldChar w:fldCharType="begin"/>
        </w:r>
        <w:r w:rsidR="00BB0757">
          <w:rPr>
            <w:noProof/>
            <w:webHidden/>
          </w:rPr>
          <w:instrText xml:space="preserve"> PAGEREF _Toc468286096 \h </w:instrText>
        </w:r>
        <w:r w:rsidR="00BB0757">
          <w:rPr>
            <w:noProof/>
            <w:webHidden/>
          </w:rPr>
        </w:r>
        <w:r w:rsidR="00BB0757">
          <w:rPr>
            <w:noProof/>
            <w:webHidden/>
          </w:rPr>
          <w:fldChar w:fldCharType="separate"/>
        </w:r>
        <w:r w:rsidR="00BB0757">
          <w:rPr>
            <w:noProof/>
            <w:webHidden/>
          </w:rPr>
          <w:t>204</w:t>
        </w:r>
        <w:r w:rsidR="00BB0757">
          <w:rPr>
            <w:noProof/>
            <w:webHidden/>
          </w:rPr>
          <w:fldChar w:fldCharType="end"/>
        </w:r>
      </w:hyperlink>
    </w:p>
    <w:p w14:paraId="13BAF8CA" w14:textId="10C02219" w:rsidR="00BB0757" w:rsidRDefault="00245D68">
      <w:pPr>
        <w:pStyle w:val="TableofFigures"/>
        <w:rPr>
          <w:rFonts w:eastAsiaTheme="minorEastAsia"/>
          <w:noProof/>
          <w:lang w:eastAsia="en-GB"/>
        </w:rPr>
      </w:pPr>
      <w:hyperlink w:anchor="_Toc468286097" w:history="1">
        <w:r w:rsidR="00BB0757" w:rsidRPr="007150B0">
          <w:rPr>
            <w:rStyle w:val="Hyperlink"/>
            <w:noProof/>
          </w:rPr>
          <w:t>Table 8.23 Extent to which respondents agreed or disagreed with five evaluation questions, expressed as percentages (%)</w:t>
        </w:r>
        <w:r w:rsidR="00BB0757">
          <w:rPr>
            <w:noProof/>
            <w:webHidden/>
          </w:rPr>
          <w:tab/>
        </w:r>
        <w:r w:rsidR="00BB0757">
          <w:rPr>
            <w:noProof/>
            <w:webHidden/>
          </w:rPr>
          <w:fldChar w:fldCharType="begin"/>
        </w:r>
        <w:r w:rsidR="00BB0757">
          <w:rPr>
            <w:noProof/>
            <w:webHidden/>
          </w:rPr>
          <w:instrText xml:space="preserve"> PAGEREF _Toc468286097 \h </w:instrText>
        </w:r>
        <w:r w:rsidR="00BB0757">
          <w:rPr>
            <w:noProof/>
            <w:webHidden/>
          </w:rPr>
        </w:r>
        <w:r w:rsidR="00BB0757">
          <w:rPr>
            <w:noProof/>
            <w:webHidden/>
          </w:rPr>
          <w:fldChar w:fldCharType="separate"/>
        </w:r>
        <w:r w:rsidR="00BB0757">
          <w:rPr>
            <w:noProof/>
            <w:webHidden/>
          </w:rPr>
          <w:t>205</w:t>
        </w:r>
        <w:r w:rsidR="00BB0757">
          <w:rPr>
            <w:noProof/>
            <w:webHidden/>
          </w:rPr>
          <w:fldChar w:fldCharType="end"/>
        </w:r>
      </w:hyperlink>
    </w:p>
    <w:p w14:paraId="06E70852" w14:textId="299435EC" w:rsidR="00BB0757" w:rsidRDefault="00245D68">
      <w:pPr>
        <w:pStyle w:val="TableofFigures"/>
        <w:rPr>
          <w:rFonts w:eastAsiaTheme="minorEastAsia"/>
          <w:noProof/>
          <w:lang w:eastAsia="en-GB"/>
        </w:rPr>
      </w:pPr>
      <w:hyperlink w:anchor="_Toc468286098" w:history="1">
        <w:r w:rsidR="00BB0757" w:rsidRPr="007150B0">
          <w:rPr>
            <w:rStyle w:val="Hyperlink"/>
            <w:noProof/>
          </w:rPr>
          <w:t>Table 9.1 Descriptive statistics for all of the variables investigated via confirmatory factor analyses, discriminant analyses, and mediation analyses, based on the unmatched Time 1 / Time 2 sample (N=217)</w:t>
        </w:r>
        <w:r w:rsidR="00BB0757">
          <w:rPr>
            <w:noProof/>
            <w:webHidden/>
          </w:rPr>
          <w:tab/>
        </w:r>
        <w:r w:rsidR="00BB0757">
          <w:rPr>
            <w:noProof/>
            <w:webHidden/>
          </w:rPr>
          <w:fldChar w:fldCharType="begin"/>
        </w:r>
        <w:r w:rsidR="00BB0757">
          <w:rPr>
            <w:noProof/>
            <w:webHidden/>
          </w:rPr>
          <w:instrText xml:space="preserve"> PAGEREF _Toc468286098 \h </w:instrText>
        </w:r>
        <w:r w:rsidR="00BB0757">
          <w:rPr>
            <w:noProof/>
            <w:webHidden/>
          </w:rPr>
        </w:r>
        <w:r w:rsidR="00BB0757">
          <w:rPr>
            <w:noProof/>
            <w:webHidden/>
          </w:rPr>
          <w:fldChar w:fldCharType="separate"/>
        </w:r>
        <w:r w:rsidR="00BB0757">
          <w:rPr>
            <w:noProof/>
            <w:webHidden/>
          </w:rPr>
          <w:t>209</w:t>
        </w:r>
        <w:r w:rsidR="00BB0757">
          <w:rPr>
            <w:noProof/>
            <w:webHidden/>
          </w:rPr>
          <w:fldChar w:fldCharType="end"/>
        </w:r>
      </w:hyperlink>
    </w:p>
    <w:p w14:paraId="6836E856" w14:textId="5613507A" w:rsidR="00BB0757" w:rsidRDefault="00245D68">
      <w:pPr>
        <w:pStyle w:val="TableofFigures"/>
        <w:rPr>
          <w:rFonts w:eastAsiaTheme="minorEastAsia"/>
          <w:noProof/>
          <w:lang w:eastAsia="en-GB"/>
        </w:rPr>
      </w:pPr>
      <w:hyperlink w:anchor="_Toc468286099" w:history="1">
        <w:r w:rsidR="00BB0757" w:rsidRPr="007150B0">
          <w:rPr>
            <w:rStyle w:val="Hyperlink"/>
            <w:noProof/>
          </w:rPr>
          <w:t>Table 9.2 A summary of the Study 2 mediation hypotheses which were supported</w:t>
        </w:r>
        <w:r w:rsidR="00BB0757">
          <w:rPr>
            <w:noProof/>
            <w:webHidden/>
          </w:rPr>
          <w:tab/>
        </w:r>
        <w:r w:rsidR="00BB0757">
          <w:rPr>
            <w:noProof/>
            <w:webHidden/>
          </w:rPr>
          <w:fldChar w:fldCharType="begin"/>
        </w:r>
        <w:r w:rsidR="00BB0757">
          <w:rPr>
            <w:noProof/>
            <w:webHidden/>
          </w:rPr>
          <w:instrText xml:space="preserve"> PAGEREF _Toc468286099 \h </w:instrText>
        </w:r>
        <w:r w:rsidR="00BB0757">
          <w:rPr>
            <w:noProof/>
            <w:webHidden/>
          </w:rPr>
        </w:r>
        <w:r w:rsidR="00BB0757">
          <w:rPr>
            <w:noProof/>
            <w:webHidden/>
          </w:rPr>
          <w:fldChar w:fldCharType="separate"/>
        </w:r>
        <w:r w:rsidR="00BB0757">
          <w:rPr>
            <w:noProof/>
            <w:webHidden/>
          </w:rPr>
          <w:t>222</w:t>
        </w:r>
        <w:r w:rsidR="00BB0757">
          <w:rPr>
            <w:noProof/>
            <w:webHidden/>
          </w:rPr>
          <w:fldChar w:fldCharType="end"/>
        </w:r>
      </w:hyperlink>
    </w:p>
    <w:p w14:paraId="1FF732D2" w14:textId="63A7F836" w:rsidR="00824339" w:rsidRDefault="00824339" w:rsidP="00DC1E2B">
      <w:pPr>
        <w:pStyle w:val="TableofFigures"/>
        <w:sectPr w:rsidR="00824339" w:rsidSect="00C21657">
          <w:headerReference w:type="first" r:id="rId13"/>
          <w:footerReference w:type="first" r:id="rId14"/>
          <w:pgSz w:w="11906" w:h="16838"/>
          <w:pgMar w:top="1440" w:right="1440" w:bottom="1440" w:left="1440" w:header="709" w:footer="709" w:gutter="0"/>
          <w:pgNumType w:fmt="lowerRoman"/>
          <w:cols w:space="708"/>
          <w:docGrid w:linePitch="360"/>
        </w:sectPr>
      </w:pPr>
      <w:r>
        <w:fldChar w:fldCharType="end"/>
      </w:r>
    </w:p>
    <w:p w14:paraId="0B5427AA" w14:textId="77777777" w:rsidR="00152F6D" w:rsidRDefault="00152F6D">
      <w:pPr>
        <w:spacing w:after="160"/>
        <w:rPr>
          <w:rFonts w:asciiTheme="majorHAnsi" w:hAnsiTheme="majorHAnsi" w:cstheme="majorBidi"/>
          <w:b/>
          <w:bCs/>
          <w:sz w:val="32"/>
          <w:szCs w:val="32"/>
        </w:rPr>
      </w:pPr>
      <w:r>
        <w:lastRenderedPageBreak/>
        <w:br w:type="page"/>
      </w:r>
    </w:p>
    <w:p w14:paraId="05FD126A" w14:textId="57A90C92" w:rsidR="00E15B49" w:rsidRDefault="00E15B49" w:rsidP="00732887">
      <w:pPr>
        <w:pStyle w:val="Heading1nonumbers"/>
      </w:pPr>
      <w:bookmarkStart w:id="3" w:name="_Toc468285910"/>
      <w:r>
        <w:lastRenderedPageBreak/>
        <w:t>List of figures</w:t>
      </w:r>
      <w:bookmarkEnd w:id="3"/>
    </w:p>
    <w:p w14:paraId="29D2DA98" w14:textId="77777777" w:rsidR="00E15B49" w:rsidRDefault="00E15B49" w:rsidP="00E23CF8">
      <w:pPr>
        <w:pStyle w:val="TableofFigures"/>
      </w:pPr>
    </w:p>
    <w:p w14:paraId="1306E3D4" w14:textId="652EE0B4" w:rsidR="00BB0757" w:rsidRDefault="00B06205">
      <w:pPr>
        <w:pStyle w:val="TableofFigures"/>
        <w:rPr>
          <w:rFonts w:eastAsiaTheme="minorEastAsia"/>
          <w:noProof/>
          <w:lang w:eastAsia="en-GB"/>
        </w:rPr>
      </w:pPr>
      <w:r>
        <w:fldChar w:fldCharType="begin"/>
      </w:r>
      <w:r>
        <w:instrText xml:space="preserve"> TOC \c "Figure" </w:instrText>
      </w:r>
      <w:r>
        <w:fldChar w:fldCharType="separate"/>
      </w:r>
      <w:r w:rsidR="00BB0757">
        <w:rPr>
          <w:noProof/>
        </w:rPr>
        <w:t>Figure 2.1 An overview of the Job Demands-Resources model</w:t>
      </w:r>
      <w:r w:rsidR="00BB0757">
        <w:rPr>
          <w:noProof/>
        </w:rPr>
        <w:tab/>
      </w:r>
      <w:r w:rsidR="00BB0757">
        <w:rPr>
          <w:noProof/>
        </w:rPr>
        <w:fldChar w:fldCharType="begin"/>
      </w:r>
      <w:r w:rsidR="00BB0757">
        <w:rPr>
          <w:noProof/>
        </w:rPr>
        <w:instrText xml:space="preserve"> PAGEREF _Toc468286100 \h </w:instrText>
      </w:r>
      <w:r w:rsidR="00BB0757">
        <w:rPr>
          <w:noProof/>
        </w:rPr>
      </w:r>
      <w:r w:rsidR="00BB0757">
        <w:rPr>
          <w:noProof/>
        </w:rPr>
        <w:fldChar w:fldCharType="separate"/>
      </w:r>
      <w:r w:rsidR="00BB0757">
        <w:rPr>
          <w:noProof/>
        </w:rPr>
        <w:t>17</w:t>
      </w:r>
      <w:r w:rsidR="00BB0757">
        <w:rPr>
          <w:noProof/>
        </w:rPr>
        <w:fldChar w:fldCharType="end"/>
      </w:r>
    </w:p>
    <w:p w14:paraId="0A5F0620" w14:textId="586421F4" w:rsidR="00BB0757" w:rsidRDefault="00BB0757">
      <w:pPr>
        <w:pStyle w:val="TableofFigures"/>
        <w:rPr>
          <w:rFonts w:eastAsiaTheme="minorEastAsia"/>
          <w:noProof/>
          <w:lang w:eastAsia="en-GB"/>
        </w:rPr>
      </w:pPr>
      <w:r>
        <w:rPr>
          <w:noProof/>
        </w:rPr>
        <w:t>Figure 4.1 The work engagement model to be tested in Study 2</w:t>
      </w:r>
      <w:r>
        <w:rPr>
          <w:noProof/>
        </w:rPr>
        <w:tab/>
      </w:r>
      <w:r>
        <w:rPr>
          <w:noProof/>
        </w:rPr>
        <w:fldChar w:fldCharType="begin"/>
      </w:r>
      <w:r>
        <w:rPr>
          <w:noProof/>
        </w:rPr>
        <w:instrText xml:space="preserve"> PAGEREF _Toc468286101 \h </w:instrText>
      </w:r>
      <w:r>
        <w:rPr>
          <w:noProof/>
        </w:rPr>
      </w:r>
      <w:r>
        <w:rPr>
          <w:noProof/>
        </w:rPr>
        <w:fldChar w:fldCharType="separate"/>
      </w:r>
      <w:r>
        <w:rPr>
          <w:noProof/>
        </w:rPr>
        <w:t>55</w:t>
      </w:r>
      <w:r>
        <w:rPr>
          <w:noProof/>
        </w:rPr>
        <w:fldChar w:fldCharType="end"/>
      </w:r>
    </w:p>
    <w:p w14:paraId="7A7A9F63" w14:textId="6B55B628" w:rsidR="00BB0757" w:rsidRDefault="00BB0757">
      <w:pPr>
        <w:pStyle w:val="TableofFigures"/>
        <w:rPr>
          <w:rFonts w:eastAsiaTheme="minorEastAsia"/>
          <w:noProof/>
          <w:lang w:eastAsia="en-GB"/>
        </w:rPr>
      </w:pPr>
      <w:r>
        <w:rPr>
          <w:noProof/>
        </w:rPr>
        <w:t>Figure 5.1 A flow diagram of the systematic literature search results</w:t>
      </w:r>
      <w:r>
        <w:rPr>
          <w:noProof/>
        </w:rPr>
        <w:tab/>
      </w:r>
      <w:r>
        <w:rPr>
          <w:noProof/>
        </w:rPr>
        <w:fldChar w:fldCharType="begin"/>
      </w:r>
      <w:r>
        <w:rPr>
          <w:noProof/>
        </w:rPr>
        <w:instrText xml:space="preserve"> PAGEREF _Toc468286102 \h </w:instrText>
      </w:r>
      <w:r>
        <w:rPr>
          <w:noProof/>
        </w:rPr>
      </w:r>
      <w:r>
        <w:rPr>
          <w:noProof/>
        </w:rPr>
        <w:fldChar w:fldCharType="separate"/>
      </w:r>
      <w:r>
        <w:rPr>
          <w:noProof/>
        </w:rPr>
        <w:t>66</w:t>
      </w:r>
      <w:r>
        <w:rPr>
          <w:noProof/>
        </w:rPr>
        <w:fldChar w:fldCharType="end"/>
      </w:r>
    </w:p>
    <w:p w14:paraId="4D4187C9" w14:textId="4D97A0D1" w:rsidR="00BB0757" w:rsidRDefault="00BB0757">
      <w:pPr>
        <w:pStyle w:val="TableofFigures"/>
        <w:rPr>
          <w:rFonts w:eastAsiaTheme="minorEastAsia"/>
          <w:noProof/>
          <w:lang w:eastAsia="en-GB"/>
        </w:rPr>
      </w:pPr>
      <w:r>
        <w:rPr>
          <w:noProof/>
        </w:rPr>
        <w:t>Figure 6.1 A flow diagram of the systematic literature search results</w:t>
      </w:r>
      <w:r>
        <w:rPr>
          <w:noProof/>
        </w:rPr>
        <w:tab/>
      </w:r>
      <w:r>
        <w:rPr>
          <w:noProof/>
        </w:rPr>
        <w:fldChar w:fldCharType="begin"/>
      </w:r>
      <w:r>
        <w:rPr>
          <w:noProof/>
        </w:rPr>
        <w:instrText xml:space="preserve"> PAGEREF _Toc468286103 \h </w:instrText>
      </w:r>
      <w:r>
        <w:rPr>
          <w:noProof/>
        </w:rPr>
      </w:r>
      <w:r>
        <w:rPr>
          <w:noProof/>
        </w:rPr>
        <w:fldChar w:fldCharType="separate"/>
      </w:r>
      <w:r>
        <w:rPr>
          <w:noProof/>
        </w:rPr>
        <w:t>114</w:t>
      </w:r>
      <w:r>
        <w:rPr>
          <w:noProof/>
        </w:rPr>
        <w:fldChar w:fldCharType="end"/>
      </w:r>
    </w:p>
    <w:p w14:paraId="6602F65F" w14:textId="3721AB16" w:rsidR="00BB0757" w:rsidRDefault="00BB0757">
      <w:pPr>
        <w:pStyle w:val="TableofFigures"/>
        <w:rPr>
          <w:rFonts w:eastAsiaTheme="minorEastAsia"/>
          <w:noProof/>
          <w:lang w:eastAsia="en-GB"/>
        </w:rPr>
      </w:pPr>
      <w:r>
        <w:rPr>
          <w:noProof/>
        </w:rPr>
        <w:t>Figure 6.2 A scatterplot indicating the relationship between the effect size of interventions measuring total work engagement scores and the duration between baseline and post-intervention / follow-up measurements</w:t>
      </w:r>
      <w:r>
        <w:rPr>
          <w:noProof/>
        </w:rPr>
        <w:tab/>
      </w:r>
      <w:r>
        <w:rPr>
          <w:noProof/>
        </w:rPr>
        <w:fldChar w:fldCharType="begin"/>
      </w:r>
      <w:r>
        <w:rPr>
          <w:noProof/>
        </w:rPr>
        <w:instrText xml:space="preserve"> PAGEREF _Toc468286104 \h </w:instrText>
      </w:r>
      <w:r>
        <w:rPr>
          <w:noProof/>
        </w:rPr>
      </w:r>
      <w:r>
        <w:rPr>
          <w:noProof/>
        </w:rPr>
        <w:fldChar w:fldCharType="separate"/>
      </w:r>
      <w:r>
        <w:rPr>
          <w:noProof/>
        </w:rPr>
        <w:t>120</w:t>
      </w:r>
      <w:r>
        <w:rPr>
          <w:noProof/>
        </w:rPr>
        <w:fldChar w:fldCharType="end"/>
      </w:r>
    </w:p>
    <w:p w14:paraId="1AB277E0" w14:textId="5FE2CEA1" w:rsidR="00BB0757" w:rsidRDefault="00BB0757">
      <w:pPr>
        <w:pStyle w:val="TableofFigures"/>
        <w:rPr>
          <w:rFonts w:eastAsiaTheme="minorEastAsia"/>
          <w:noProof/>
          <w:lang w:eastAsia="en-GB"/>
        </w:rPr>
      </w:pPr>
      <w:r>
        <w:rPr>
          <w:noProof/>
        </w:rPr>
        <w:t>Figure 6.3 Risk of bias diagram displaying the domain and summary risk of bias judgements for each domain for each study</w:t>
      </w:r>
      <w:r>
        <w:rPr>
          <w:noProof/>
        </w:rPr>
        <w:tab/>
      </w:r>
      <w:r>
        <w:rPr>
          <w:noProof/>
        </w:rPr>
        <w:fldChar w:fldCharType="begin"/>
      </w:r>
      <w:r>
        <w:rPr>
          <w:noProof/>
        </w:rPr>
        <w:instrText xml:space="preserve"> PAGEREF _Toc468286105 \h </w:instrText>
      </w:r>
      <w:r>
        <w:rPr>
          <w:noProof/>
        </w:rPr>
      </w:r>
      <w:r>
        <w:rPr>
          <w:noProof/>
        </w:rPr>
        <w:fldChar w:fldCharType="separate"/>
      </w:r>
      <w:r>
        <w:rPr>
          <w:noProof/>
        </w:rPr>
        <w:t>124</w:t>
      </w:r>
      <w:r>
        <w:rPr>
          <w:noProof/>
        </w:rPr>
        <w:fldChar w:fldCharType="end"/>
      </w:r>
    </w:p>
    <w:p w14:paraId="4BAD8C4A" w14:textId="3F77D15C" w:rsidR="00BB0757" w:rsidRDefault="00BB0757">
      <w:pPr>
        <w:pStyle w:val="TableofFigures"/>
        <w:rPr>
          <w:rFonts w:eastAsiaTheme="minorEastAsia"/>
          <w:noProof/>
          <w:lang w:eastAsia="en-GB"/>
        </w:rPr>
      </w:pPr>
      <w:r>
        <w:rPr>
          <w:noProof/>
        </w:rPr>
        <w:t>Figure 6.4 Risk of bias graph depicting the relative percentage of each risk of bias judgement for each domain across all of the included studies</w:t>
      </w:r>
      <w:r>
        <w:rPr>
          <w:noProof/>
        </w:rPr>
        <w:tab/>
      </w:r>
      <w:r>
        <w:rPr>
          <w:noProof/>
        </w:rPr>
        <w:fldChar w:fldCharType="begin"/>
      </w:r>
      <w:r>
        <w:rPr>
          <w:noProof/>
        </w:rPr>
        <w:instrText xml:space="preserve"> PAGEREF _Toc468286106 \h </w:instrText>
      </w:r>
      <w:r>
        <w:rPr>
          <w:noProof/>
        </w:rPr>
      </w:r>
      <w:r>
        <w:rPr>
          <w:noProof/>
        </w:rPr>
        <w:fldChar w:fldCharType="separate"/>
      </w:r>
      <w:r>
        <w:rPr>
          <w:noProof/>
        </w:rPr>
        <w:t>125</w:t>
      </w:r>
      <w:r>
        <w:rPr>
          <w:noProof/>
        </w:rPr>
        <w:fldChar w:fldCharType="end"/>
      </w:r>
    </w:p>
    <w:p w14:paraId="5BEBCA66" w14:textId="6E04942A" w:rsidR="00BB0757" w:rsidRDefault="00BB0757">
      <w:pPr>
        <w:pStyle w:val="TableofFigures"/>
        <w:rPr>
          <w:rFonts w:eastAsiaTheme="minorEastAsia"/>
          <w:noProof/>
          <w:lang w:eastAsia="en-GB"/>
        </w:rPr>
      </w:pPr>
      <w:r>
        <w:rPr>
          <w:noProof/>
        </w:rPr>
        <w:t>Figure 6.5 Funnel plot displaying Hedges g, and its standard error, for the 14 studies in the core meta-analysis of intervention studies measuring work engagement</w:t>
      </w:r>
      <w:r>
        <w:rPr>
          <w:noProof/>
        </w:rPr>
        <w:tab/>
      </w:r>
      <w:r>
        <w:rPr>
          <w:noProof/>
        </w:rPr>
        <w:fldChar w:fldCharType="begin"/>
      </w:r>
      <w:r>
        <w:rPr>
          <w:noProof/>
        </w:rPr>
        <w:instrText xml:space="preserve"> PAGEREF _Toc468286107 \h </w:instrText>
      </w:r>
      <w:r>
        <w:rPr>
          <w:noProof/>
        </w:rPr>
      </w:r>
      <w:r>
        <w:rPr>
          <w:noProof/>
        </w:rPr>
        <w:fldChar w:fldCharType="separate"/>
      </w:r>
      <w:r>
        <w:rPr>
          <w:noProof/>
        </w:rPr>
        <w:t>126</w:t>
      </w:r>
      <w:r>
        <w:rPr>
          <w:noProof/>
        </w:rPr>
        <w:fldChar w:fldCharType="end"/>
      </w:r>
    </w:p>
    <w:p w14:paraId="7FC08AE2" w14:textId="0236DB5A" w:rsidR="00BB0757" w:rsidRDefault="00BB0757">
      <w:pPr>
        <w:pStyle w:val="TableofFigures"/>
        <w:rPr>
          <w:rFonts w:eastAsiaTheme="minorEastAsia"/>
          <w:noProof/>
          <w:lang w:eastAsia="en-GB"/>
        </w:rPr>
      </w:pPr>
      <w:r>
        <w:rPr>
          <w:noProof/>
        </w:rPr>
        <w:t>Figure 7.1 Timeline of the intervention, from the initial project launch to the final completion event</w:t>
      </w:r>
      <w:r>
        <w:rPr>
          <w:noProof/>
        </w:rPr>
        <w:tab/>
      </w:r>
      <w:r>
        <w:rPr>
          <w:noProof/>
        </w:rPr>
        <w:fldChar w:fldCharType="begin"/>
      </w:r>
      <w:r>
        <w:rPr>
          <w:noProof/>
        </w:rPr>
        <w:instrText xml:space="preserve"> PAGEREF _Toc468286108 \h </w:instrText>
      </w:r>
      <w:r>
        <w:rPr>
          <w:noProof/>
        </w:rPr>
      </w:r>
      <w:r>
        <w:rPr>
          <w:noProof/>
        </w:rPr>
        <w:fldChar w:fldCharType="separate"/>
      </w:r>
      <w:r>
        <w:rPr>
          <w:noProof/>
        </w:rPr>
        <w:t>135</w:t>
      </w:r>
      <w:r>
        <w:rPr>
          <w:noProof/>
        </w:rPr>
        <w:fldChar w:fldCharType="end"/>
      </w:r>
    </w:p>
    <w:p w14:paraId="189D0C85" w14:textId="118AF84C" w:rsidR="00BB0757" w:rsidRDefault="00BB0757">
      <w:pPr>
        <w:pStyle w:val="TableofFigures"/>
        <w:rPr>
          <w:rFonts w:eastAsiaTheme="minorEastAsia"/>
          <w:noProof/>
          <w:lang w:eastAsia="en-GB"/>
        </w:rPr>
      </w:pPr>
      <w:r>
        <w:rPr>
          <w:noProof/>
        </w:rPr>
        <w:t>Figure 7.2 A diagram demonstrating the simple mediation model</w:t>
      </w:r>
      <w:r>
        <w:rPr>
          <w:noProof/>
        </w:rPr>
        <w:tab/>
      </w:r>
      <w:r>
        <w:rPr>
          <w:noProof/>
        </w:rPr>
        <w:fldChar w:fldCharType="begin"/>
      </w:r>
      <w:r>
        <w:rPr>
          <w:noProof/>
        </w:rPr>
        <w:instrText xml:space="preserve"> PAGEREF _Toc468286109 \h </w:instrText>
      </w:r>
      <w:r>
        <w:rPr>
          <w:noProof/>
        </w:rPr>
      </w:r>
      <w:r>
        <w:rPr>
          <w:noProof/>
        </w:rPr>
        <w:fldChar w:fldCharType="separate"/>
      </w:r>
      <w:r>
        <w:rPr>
          <w:noProof/>
        </w:rPr>
        <w:t>160</w:t>
      </w:r>
      <w:r>
        <w:rPr>
          <w:noProof/>
        </w:rPr>
        <w:fldChar w:fldCharType="end"/>
      </w:r>
    </w:p>
    <w:p w14:paraId="5BF60D13" w14:textId="285EE3B7" w:rsidR="00BB0757" w:rsidRDefault="00BB0757">
      <w:pPr>
        <w:pStyle w:val="TableofFigures"/>
        <w:rPr>
          <w:rFonts w:eastAsiaTheme="minorEastAsia"/>
          <w:noProof/>
          <w:lang w:eastAsia="en-GB"/>
        </w:rPr>
      </w:pPr>
      <w:r>
        <w:rPr>
          <w:noProof/>
        </w:rPr>
        <w:t>Figure 8.1 A profile plot comparing the estimated marginal means for relatedness, controlling for role, between Time 1 and Time 2 for the control and intervention groups</w:t>
      </w:r>
      <w:r>
        <w:rPr>
          <w:noProof/>
        </w:rPr>
        <w:tab/>
      </w:r>
      <w:r>
        <w:rPr>
          <w:noProof/>
        </w:rPr>
        <w:fldChar w:fldCharType="begin"/>
      </w:r>
      <w:r>
        <w:rPr>
          <w:noProof/>
        </w:rPr>
        <w:instrText xml:space="preserve"> PAGEREF _Toc468286110 \h </w:instrText>
      </w:r>
      <w:r>
        <w:rPr>
          <w:noProof/>
        </w:rPr>
      </w:r>
      <w:r>
        <w:rPr>
          <w:noProof/>
        </w:rPr>
        <w:fldChar w:fldCharType="separate"/>
      </w:r>
      <w:r>
        <w:rPr>
          <w:noProof/>
        </w:rPr>
        <w:t>197</w:t>
      </w:r>
      <w:r>
        <w:rPr>
          <w:noProof/>
        </w:rPr>
        <w:fldChar w:fldCharType="end"/>
      </w:r>
    </w:p>
    <w:p w14:paraId="09608C0A" w14:textId="0C13E3E7" w:rsidR="00BB0757" w:rsidRDefault="00BB0757">
      <w:pPr>
        <w:pStyle w:val="TableofFigures"/>
        <w:rPr>
          <w:rFonts w:eastAsiaTheme="minorEastAsia"/>
          <w:noProof/>
          <w:lang w:eastAsia="en-GB"/>
        </w:rPr>
      </w:pPr>
      <w:r>
        <w:rPr>
          <w:noProof/>
        </w:rPr>
        <w:t>Figure 8.2 A profile plot comparing the estimated marginal means for competence, controlling for role, between Time 1 and Time 2 for the control and intervention groups</w:t>
      </w:r>
      <w:r>
        <w:rPr>
          <w:noProof/>
        </w:rPr>
        <w:tab/>
      </w:r>
      <w:r>
        <w:rPr>
          <w:noProof/>
        </w:rPr>
        <w:fldChar w:fldCharType="begin"/>
      </w:r>
      <w:r>
        <w:rPr>
          <w:noProof/>
        </w:rPr>
        <w:instrText xml:space="preserve"> PAGEREF _Toc468286111 \h </w:instrText>
      </w:r>
      <w:r>
        <w:rPr>
          <w:noProof/>
        </w:rPr>
      </w:r>
      <w:r>
        <w:rPr>
          <w:noProof/>
        </w:rPr>
        <w:fldChar w:fldCharType="separate"/>
      </w:r>
      <w:r>
        <w:rPr>
          <w:noProof/>
        </w:rPr>
        <w:t>197</w:t>
      </w:r>
      <w:r>
        <w:rPr>
          <w:noProof/>
        </w:rPr>
        <w:fldChar w:fldCharType="end"/>
      </w:r>
    </w:p>
    <w:p w14:paraId="57E911F4" w14:textId="79803E7E" w:rsidR="00BB0757" w:rsidRDefault="00BB0757">
      <w:pPr>
        <w:pStyle w:val="TableofFigures"/>
        <w:rPr>
          <w:rFonts w:eastAsiaTheme="minorEastAsia"/>
          <w:noProof/>
          <w:lang w:eastAsia="en-GB"/>
        </w:rPr>
      </w:pPr>
      <w:r>
        <w:rPr>
          <w:noProof/>
        </w:rPr>
        <w:t>Figure 8.3 A profile plot comparing the estimated marginal means for high activated unpleasant affect (HAUA; anxiety) between Time 1 and Time 2 for the control and intervention groups, controlling for hospital tenure at Time 1 (higher scores=more positive results)</w:t>
      </w:r>
      <w:r>
        <w:rPr>
          <w:noProof/>
        </w:rPr>
        <w:tab/>
      </w:r>
      <w:r>
        <w:rPr>
          <w:noProof/>
        </w:rPr>
        <w:fldChar w:fldCharType="begin"/>
      </w:r>
      <w:r>
        <w:rPr>
          <w:noProof/>
        </w:rPr>
        <w:instrText xml:space="preserve"> PAGEREF _Toc468286112 \h </w:instrText>
      </w:r>
      <w:r>
        <w:rPr>
          <w:noProof/>
        </w:rPr>
      </w:r>
      <w:r>
        <w:rPr>
          <w:noProof/>
        </w:rPr>
        <w:fldChar w:fldCharType="separate"/>
      </w:r>
      <w:r>
        <w:rPr>
          <w:noProof/>
        </w:rPr>
        <w:t>199</w:t>
      </w:r>
      <w:r>
        <w:rPr>
          <w:noProof/>
        </w:rPr>
        <w:fldChar w:fldCharType="end"/>
      </w:r>
    </w:p>
    <w:p w14:paraId="2362B1EE" w14:textId="6952B31A" w:rsidR="00BB0757" w:rsidRDefault="00BB0757">
      <w:pPr>
        <w:pStyle w:val="TableofFigures"/>
        <w:rPr>
          <w:rFonts w:eastAsiaTheme="minorEastAsia"/>
          <w:noProof/>
          <w:lang w:eastAsia="en-GB"/>
        </w:rPr>
      </w:pPr>
      <w:r>
        <w:rPr>
          <w:noProof/>
        </w:rPr>
        <w:lastRenderedPageBreak/>
        <w:t>Figure 9.1 A path diagram displaying the direct relationship between social support and work engagement (c’), and the indirect relationship between social support and work engagement, mediated by autonomy (ab), when controlling for gender and time</w:t>
      </w:r>
      <w:r>
        <w:rPr>
          <w:noProof/>
        </w:rPr>
        <w:tab/>
      </w:r>
      <w:r>
        <w:rPr>
          <w:noProof/>
        </w:rPr>
        <w:fldChar w:fldCharType="begin"/>
      </w:r>
      <w:r>
        <w:rPr>
          <w:noProof/>
        </w:rPr>
        <w:instrText xml:space="preserve"> PAGEREF _Toc468286113 \h </w:instrText>
      </w:r>
      <w:r>
        <w:rPr>
          <w:noProof/>
        </w:rPr>
      </w:r>
      <w:r>
        <w:rPr>
          <w:noProof/>
        </w:rPr>
        <w:fldChar w:fldCharType="separate"/>
      </w:r>
      <w:r>
        <w:rPr>
          <w:noProof/>
        </w:rPr>
        <w:t>212</w:t>
      </w:r>
      <w:r>
        <w:rPr>
          <w:noProof/>
        </w:rPr>
        <w:fldChar w:fldCharType="end"/>
      </w:r>
    </w:p>
    <w:p w14:paraId="1C50CDB5" w14:textId="3299D8EE" w:rsidR="00BB0757" w:rsidRDefault="00BB0757">
      <w:pPr>
        <w:pStyle w:val="TableofFigures"/>
        <w:rPr>
          <w:rFonts w:eastAsiaTheme="minorEastAsia"/>
          <w:noProof/>
          <w:lang w:eastAsia="en-GB"/>
        </w:rPr>
      </w:pPr>
      <w:r>
        <w:rPr>
          <w:noProof/>
        </w:rPr>
        <w:t>Figure 9.2 A path diagram displaying the direct relationship between influence on decision-making and work engagement (c’), and the indirect relationship between influence on decision-making and work engagement, mediated by autonomy (ab), when controlling for gender and time</w:t>
      </w:r>
      <w:r>
        <w:rPr>
          <w:noProof/>
        </w:rPr>
        <w:tab/>
      </w:r>
      <w:r>
        <w:rPr>
          <w:noProof/>
        </w:rPr>
        <w:fldChar w:fldCharType="begin"/>
      </w:r>
      <w:r>
        <w:rPr>
          <w:noProof/>
        </w:rPr>
        <w:instrText xml:space="preserve"> PAGEREF _Toc468286114 \h </w:instrText>
      </w:r>
      <w:r>
        <w:rPr>
          <w:noProof/>
        </w:rPr>
      </w:r>
      <w:r>
        <w:rPr>
          <w:noProof/>
        </w:rPr>
        <w:fldChar w:fldCharType="separate"/>
      </w:r>
      <w:r>
        <w:rPr>
          <w:noProof/>
        </w:rPr>
        <w:t>213</w:t>
      </w:r>
      <w:r>
        <w:rPr>
          <w:noProof/>
        </w:rPr>
        <w:fldChar w:fldCharType="end"/>
      </w:r>
    </w:p>
    <w:p w14:paraId="62F04EDA" w14:textId="6D690FDD" w:rsidR="00BB0757" w:rsidRDefault="00BB0757">
      <w:pPr>
        <w:pStyle w:val="TableofFigures"/>
        <w:rPr>
          <w:rFonts w:eastAsiaTheme="minorEastAsia"/>
          <w:noProof/>
          <w:lang w:eastAsia="en-GB"/>
        </w:rPr>
      </w:pPr>
      <w:r>
        <w:rPr>
          <w:noProof/>
        </w:rPr>
        <w:t>Figure 9.3 A path diagram displaying the direct relationship between resources and demands and work engagement (c’), and the indirect relationship between resources and demands and work engagement, mediated by autonomy (ab), when controlling for gender and time</w:t>
      </w:r>
      <w:r>
        <w:rPr>
          <w:noProof/>
        </w:rPr>
        <w:tab/>
      </w:r>
      <w:r>
        <w:rPr>
          <w:noProof/>
        </w:rPr>
        <w:fldChar w:fldCharType="begin"/>
      </w:r>
      <w:r>
        <w:rPr>
          <w:noProof/>
        </w:rPr>
        <w:instrText xml:space="preserve"> PAGEREF _Toc468286115 \h </w:instrText>
      </w:r>
      <w:r>
        <w:rPr>
          <w:noProof/>
        </w:rPr>
      </w:r>
      <w:r>
        <w:rPr>
          <w:noProof/>
        </w:rPr>
        <w:fldChar w:fldCharType="separate"/>
      </w:r>
      <w:r>
        <w:rPr>
          <w:noProof/>
        </w:rPr>
        <w:t>214</w:t>
      </w:r>
      <w:r>
        <w:rPr>
          <w:noProof/>
        </w:rPr>
        <w:fldChar w:fldCharType="end"/>
      </w:r>
    </w:p>
    <w:p w14:paraId="380DE094" w14:textId="627B03A4" w:rsidR="00BB0757" w:rsidRDefault="00BB0757">
      <w:pPr>
        <w:pStyle w:val="TableofFigures"/>
        <w:rPr>
          <w:rFonts w:eastAsiaTheme="minorEastAsia"/>
          <w:noProof/>
          <w:lang w:eastAsia="en-GB"/>
        </w:rPr>
      </w:pPr>
      <w:r>
        <w:rPr>
          <w:noProof/>
        </w:rPr>
        <w:t>Figure 9.4 A path diagram displaying the direct relationship between social support and work engagement (c’), and the indirect relationship between social support and work engagement, mediated by competence (ab), when controlling for gender and time</w:t>
      </w:r>
      <w:r>
        <w:rPr>
          <w:noProof/>
        </w:rPr>
        <w:tab/>
      </w:r>
      <w:r>
        <w:rPr>
          <w:noProof/>
        </w:rPr>
        <w:fldChar w:fldCharType="begin"/>
      </w:r>
      <w:r>
        <w:rPr>
          <w:noProof/>
        </w:rPr>
        <w:instrText xml:space="preserve"> PAGEREF _Toc468286116 \h </w:instrText>
      </w:r>
      <w:r>
        <w:rPr>
          <w:noProof/>
        </w:rPr>
      </w:r>
      <w:r>
        <w:rPr>
          <w:noProof/>
        </w:rPr>
        <w:fldChar w:fldCharType="separate"/>
      </w:r>
      <w:r>
        <w:rPr>
          <w:noProof/>
        </w:rPr>
        <w:t>215</w:t>
      </w:r>
      <w:r>
        <w:rPr>
          <w:noProof/>
        </w:rPr>
        <w:fldChar w:fldCharType="end"/>
      </w:r>
    </w:p>
    <w:p w14:paraId="076D7060" w14:textId="28963E05" w:rsidR="00BB0757" w:rsidRDefault="00BB0757">
      <w:pPr>
        <w:pStyle w:val="TableofFigures"/>
        <w:rPr>
          <w:rFonts w:eastAsiaTheme="minorEastAsia"/>
          <w:noProof/>
          <w:lang w:eastAsia="en-GB"/>
        </w:rPr>
      </w:pPr>
      <w:r>
        <w:rPr>
          <w:noProof/>
        </w:rPr>
        <w:t>Figure 9.5 A path diagram displaying the direct relationship between influence on decision-making and work engagement (c’), and the indirect relationship between influence on decision-making and work engagement, mediated by competence (ab), when controlling for gender and time</w:t>
      </w:r>
      <w:r>
        <w:rPr>
          <w:noProof/>
        </w:rPr>
        <w:tab/>
      </w:r>
      <w:r>
        <w:rPr>
          <w:noProof/>
        </w:rPr>
        <w:fldChar w:fldCharType="begin"/>
      </w:r>
      <w:r>
        <w:rPr>
          <w:noProof/>
        </w:rPr>
        <w:instrText xml:space="preserve"> PAGEREF _Toc468286117 \h </w:instrText>
      </w:r>
      <w:r>
        <w:rPr>
          <w:noProof/>
        </w:rPr>
      </w:r>
      <w:r>
        <w:rPr>
          <w:noProof/>
        </w:rPr>
        <w:fldChar w:fldCharType="separate"/>
      </w:r>
      <w:r>
        <w:rPr>
          <w:noProof/>
        </w:rPr>
        <w:t>216</w:t>
      </w:r>
      <w:r>
        <w:rPr>
          <w:noProof/>
        </w:rPr>
        <w:fldChar w:fldCharType="end"/>
      </w:r>
    </w:p>
    <w:p w14:paraId="0C7CC7DA" w14:textId="346E655A" w:rsidR="00BB0757" w:rsidRDefault="00BB0757">
      <w:pPr>
        <w:pStyle w:val="TableofFigures"/>
        <w:rPr>
          <w:rFonts w:eastAsiaTheme="minorEastAsia"/>
          <w:noProof/>
          <w:lang w:eastAsia="en-GB"/>
        </w:rPr>
      </w:pPr>
      <w:r>
        <w:rPr>
          <w:noProof/>
        </w:rPr>
        <w:t>Figure 9.6 A path diagram displaying the direct relationship between resources and demands and work engagement (c’), and the indirect relationship between resources and demands and work engagement, mediated by competence (ab), when controlling for gender and time</w:t>
      </w:r>
      <w:r>
        <w:rPr>
          <w:noProof/>
        </w:rPr>
        <w:tab/>
      </w:r>
      <w:r>
        <w:rPr>
          <w:noProof/>
        </w:rPr>
        <w:fldChar w:fldCharType="begin"/>
      </w:r>
      <w:r>
        <w:rPr>
          <w:noProof/>
        </w:rPr>
        <w:instrText xml:space="preserve"> PAGEREF _Toc468286118 \h </w:instrText>
      </w:r>
      <w:r>
        <w:rPr>
          <w:noProof/>
        </w:rPr>
      </w:r>
      <w:r>
        <w:rPr>
          <w:noProof/>
        </w:rPr>
        <w:fldChar w:fldCharType="separate"/>
      </w:r>
      <w:r>
        <w:rPr>
          <w:noProof/>
        </w:rPr>
        <w:t>217</w:t>
      </w:r>
      <w:r>
        <w:rPr>
          <w:noProof/>
        </w:rPr>
        <w:fldChar w:fldCharType="end"/>
      </w:r>
    </w:p>
    <w:p w14:paraId="2A0BB9C8" w14:textId="7A12AF10" w:rsidR="00BB0757" w:rsidRDefault="00BB0757">
      <w:pPr>
        <w:pStyle w:val="TableofFigures"/>
        <w:rPr>
          <w:rFonts w:eastAsiaTheme="minorEastAsia"/>
          <w:noProof/>
          <w:lang w:eastAsia="en-GB"/>
        </w:rPr>
      </w:pPr>
      <w:r>
        <w:rPr>
          <w:noProof/>
        </w:rPr>
        <w:t>Figure 9.7 A path diagram displaying the direct relationship between social support and work engagement (c’), and the indirect relationship between social support and work engagement, mediated by relatedness (ab), when controlling for gender and time</w:t>
      </w:r>
      <w:r>
        <w:rPr>
          <w:noProof/>
        </w:rPr>
        <w:tab/>
      </w:r>
      <w:r>
        <w:rPr>
          <w:noProof/>
        </w:rPr>
        <w:fldChar w:fldCharType="begin"/>
      </w:r>
      <w:r>
        <w:rPr>
          <w:noProof/>
        </w:rPr>
        <w:instrText xml:space="preserve"> PAGEREF _Toc468286119 \h </w:instrText>
      </w:r>
      <w:r>
        <w:rPr>
          <w:noProof/>
        </w:rPr>
      </w:r>
      <w:r>
        <w:rPr>
          <w:noProof/>
        </w:rPr>
        <w:fldChar w:fldCharType="separate"/>
      </w:r>
      <w:r>
        <w:rPr>
          <w:noProof/>
        </w:rPr>
        <w:t>218</w:t>
      </w:r>
      <w:r>
        <w:rPr>
          <w:noProof/>
        </w:rPr>
        <w:fldChar w:fldCharType="end"/>
      </w:r>
    </w:p>
    <w:p w14:paraId="1EE3015A" w14:textId="66AA4514" w:rsidR="00BB0757" w:rsidRDefault="00BB0757">
      <w:pPr>
        <w:pStyle w:val="TableofFigures"/>
        <w:rPr>
          <w:rFonts w:eastAsiaTheme="minorEastAsia"/>
          <w:noProof/>
          <w:lang w:eastAsia="en-GB"/>
        </w:rPr>
      </w:pPr>
      <w:r>
        <w:rPr>
          <w:noProof/>
        </w:rPr>
        <w:t>Figure 9.8 A path diagram displaying the direct relationship between influence on decision-making and work engagement (c’), and the indirect relationship between influence on decision-making and work engagement, mediated by relatedness (ab), when controlling for gender and time</w:t>
      </w:r>
      <w:r>
        <w:rPr>
          <w:noProof/>
        </w:rPr>
        <w:tab/>
      </w:r>
      <w:r>
        <w:rPr>
          <w:noProof/>
        </w:rPr>
        <w:fldChar w:fldCharType="begin"/>
      </w:r>
      <w:r>
        <w:rPr>
          <w:noProof/>
        </w:rPr>
        <w:instrText xml:space="preserve"> PAGEREF _Toc468286120 \h </w:instrText>
      </w:r>
      <w:r>
        <w:rPr>
          <w:noProof/>
        </w:rPr>
      </w:r>
      <w:r>
        <w:rPr>
          <w:noProof/>
        </w:rPr>
        <w:fldChar w:fldCharType="separate"/>
      </w:r>
      <w:r>
        <w:rPr>
          <w:noProof/>
        </w:rPr>
        <w:t>219</w:t>
      </w:r>
      <w:r>
        <w:rPr>
          <w:noProof/>
        </w:rPr>
        <w:fldChar w:fldCharType="end"/>
      </w:r>
    </w:p>
    <w:p w14:paraId="05B7AF6B" w14:textId="53698E70" w:rsidR="00BB0757" w:rsidRDefault="00BB0757">
      <w:pPr>
        <w:pStyle w:val="TableofFigures"/>
        <w:rPr>
          <w:rFonts w:eastAsiaTheme="minorEastAsia"/>
          <w:noProof/>
          <w:lang w:eastAsia="en-GB"/>
        </w:rPr>
      </w:pPr>
      <w:r>
        <w:rPr>
          <w:noProof/>
        </w:rPr>
        <w:t>Figure 9.9 A path diagram displaying the direct relationship between resources and demands and work engagement (c’), and the indirect relationship between resources and demands and work engagement, mediated by relatedness (ab), when controlling for gender and time</w:t>
      </w:r>
      <w:r>
        <w:rPr>
          <w:noProof/>
        </w:rPr>
        <w:tab/>
      </w:r>
      <w:r>
        <w:rPr>
          <w:noProof/>
        </w:rPr>
        <w:fldChar w:fldCharType="begin"/>
      </w:r>
      <w:r>
        <w:rPr>
          <w:noProof/>
        </w:rPr>
        <w:instrText xml:space="preserve"> PAGEREF _Toc468286121 \h </w:instrText>
      </w:r>
      <w:r>
        <w:rPr>
          <w:noProof/>
        </w:rPr>
      </w:r>
      <w:r>
        <w:rPr>
          <w:noProof/>
        </w:rPr>
        <w:fldChar w:fldCharType="separate"/>
      </w:r>
      <w:r>
        <w:rPr>
          <w:noProof/>
        </w:rPr>
        <w:t>220</w:t>
      </w:r>
      <w:r>
        <w:rPr>
          <w:noProof/>
        </w:rPr>
        <w:fldChar w:fldCharType="end"/>
      </w:r>
    </w:p>
    <w:p w14:paraId="133C7928" w14:textId="1BBBE9D9" w:rsidR="00152F6D" w:rsidRDefault="00B06205" w:rsidP="00E23CF8">
      <w:pPr>
        <w:pStyle w:val="TableofFigures"/>
      </w:pPr>
      <w:r>
        <w:fldChar w:fldCharType="end"/>
      </w:r>
    </w:p>
    <w:p w14:paraId="06A40BEE" w14:textId="77777777" w:rsidR="00152F6D" w:rsidRDefault="00152F6D">
      <w:pPr>
        <w:spacing w:after="160"/>
        <w:rPr>
          <w:rFonts w:asciiTheme="majorHAnsi" w:hAnsiTheme="majorHAnsi"/>
          <w:b/>
          <w:sz w:val="32"/>
          <w:szCs w:val="32"/>
        </w:rPr>
      </w:pPr>
      <w:r>
        <w:rPr>
          <w:rFonts w:asciiTheme="majorHAnsi" w:hAnsiTheme="majorHAnsi"/>
          <w:b/>
          <w:sz w:val="32"/>
          <w:szCs w:val="32"/>
        </w:rPr>
        <w:lastRenderedPageBreak/>
        <w:br w:type="page"/>
      </w:r>
    </w:p>
    <w:p w14:paraId="1B7F3C65" w14:textId="4F659222" w:rsidR="00152F6D" w:rsidRDefault="00152F6D">
      <w:pPr>
        <w:spacing w:after="160"/>
        <w:rPr>
          <w:rFonts w:asciiTheme="majorHAnsi" w:hAnsiTheme="majorHAnsi"/>
          <w:b/>
          <w:sz w:val="32"/>
          <w:szCs w:val="32"/>
        </w:rPr>
      </w:pPr>
      <w:r>
        <w:rPr>
          <w:rFonts w:asciiTheme="majorHAnsi" w:hAnsiTheme="majorHAnsi"/>
          <w:b/>
          <w:sz w:val="32"/>
          <w:szCs w:val="32"/>
        </w:rPr>
        <w:lastRenderedPageBreak/>
        <w:br w:type="page"/>
      </w:r>
    </w:p>
    <w:p w14:paraId="56974D45" w14:textId="77777777" w:rsidR="004D15B9" w:rsidRDefault="004D15B9" w:rsidP="00E23CF8">
      <w:pPr>
        <w:pStyle w:val="TableofFigures"/>
        <w:rPr>
          <w:rFonts w:asciiTheme="majorHAnsi" w:hAnsiTheme="majorHAnsi"/>
          <w:b/>
          <w:sz w:val="32"/>
          <w:szCs w:val="32"/>
        </w:rPr>
        <w:sectPr w:rsidR="004D15B9" w:rsidSect="00C21657">
          <w:pgSz w:w="11906" w:h="16838"/>
          <w:pgMar w:top="1440" w:right="1440" w:bottom="1440" w:left="1440" w:header="709" w:footer="709" w:gutter="0"/>
          <w:pgNumType w:fmt="lowerRoman"/>
          <w:cols w:space="708"/>
          <w:docGrid w:linePitch="360"/>
        </w:sectPr>
      </w:pPr>
    </w:p>
    <w:p w14:paraId="6DDEE241" w14:textId="3D6AEC7F" w:rsidR="008161BF" w:rsidRPr="002D3426" w:rsidRDefault="008161BF" w:rsidP="002D3426">
      <w:pPr>
        <w:pStyle w:val="Heading1"/>
      </w:pPr>
      <w:bookmarkStart w:id="4" w:name="_Ref453592089"/>
      <w:bookmarkStart w:id="5" w:name="_Toc468285911"/>
      <w:r w:rsidRPr="002D3426">
        <w:lastRenderedPageBreak/>
        <w:t>Introduction</w:t>
      </w:r>
      <w:bookmarkEnd w:id="4"/>
      <w:bookmarkEnd w:id="5"/>
    </w:p>
    <w:p w14:paraId="1A9AB726" w14:textId="77777777" w:rsidR="008161BF" w:rsidRDefault="008161BF" w:rsidP="008161BF">
      <w:pPr>
        <w:spacing w:line="360" w:lineRule="auto"/>
        <w:contextualSpacing/>
        <w:jc w:val="center"/>
        <w:rPr>
          <w:b/>
        </w:rPr>
      </w:pPr>
    </w:p>
    <w:p w14:paraId="3C70F70F" w14:textId="12F24372" w:rsidR="008161BF" w:rsidRDefault="008161BF" w:rsidP="008161BF">
      <w:pPr>
        <w:spacing w:line="360" w:lineRule="auto"/>
        <w:contextualSpacing/>
      </w:pPr>
      <w:r>
        <w:t xml:space="preserve">This introductory chapter sets out the theoretical background and research agenda of the two research studies forming this thesis. An overview of the current debates and theory surrounding work engagement is provided before describing the particular relevance of work engagement to healthcare settings, the </w:t>
      </w:r>
      <w:r w:rsidR="003A3FB3">
        <w:t>research context for</w:t>
      </w:r>
      <w:r>
        <w:t xml:space="preserve"> Study 2. The research aims of each study are then stated and each study outlined. The final part of the chapter details the thesis structure, with a short summary of each chapter a</w:t>
      </w:r>
      <w:r w:rsidR="00DD71CD">
        <w:t xml:space="preserve">nd its contribution provided. </w:t>
      </w:r>
    </w:p>
    <w:p w14:paraId="54C2D483" w14:textId="77777777" w:rsidR="008161BF" w:rsidRPr="008A4C76" w:rsidRDefault="008161BF" w:rsidP="008161BF">
      <w:pPr>
        <w:spacing w:line="360" w:lineRule="auto"/>
        <w:contextualSpacing/>
      </w:pPr>
    </w:p>
    <w:p w14:paraId="515F8C2A" w14:textId="6CE2DE65" w:rsidR="008161BF" w:rsidRPr="009B2C50" w:rsidRDefault="008161BF" w:rsidP="00381B7C">
      <w:pPr>
        <w:pStyle w:val="Thesisheading2"/>
      </w:pPr>
      <w:bookmarkStart w:id="6" w:name="_Toc468285912"/>
      <w:r w:rsidRPr="009B2C50">
        <w:t>Work engagement</w:t>
      </w:r>
      <w:bookmarkEnd w:id="6"/>
    </w:p>
    <w:p w14:paraId="59911AA5" w14:textId="77777777" w:rsidR="008161BF" w:rsidRDefault="008161BF" w:rsidP="008161BF">
      <w:pPr>
        <w:spacing w:line="360" w:lineRule="auto"/>
        <w:contextualSpacing/>
        <w:jc w:val="center"/>
        <w:rPr>
          <w:b/>
        </w:rPr>
      </w:pPr>
    </w:p>
    <w:p w14:paraId="2EB821A8" w14:textId="7837F9BA" w:rsidR="008161BF" w:rsidRPr="001B4D83" w:rsidRDefault="008161BF" w:rsidP="008161BF">
      <w:pPr>
        <w:spacing w:before="200" w:line="360" w:lineRule="auto"/>
        <w:contextualSpacing/>
        <w:rPr>
          <w:rFonts w:ascii="Calibri" w:eastAsia="Calibri" w:hAnsi="Calibri" w:cs="Calibri"/>
        </w:rPr>
      </w:pPr>
      <w:r w:rsidRPr="001B4D83">
        <w:rPr>
          <w:rFonts w:ascii="Calibri" w:eastAsia="SimSun" w:hAnsi="Calibri" w:cs="Arial"/>
          <w:lang w:eastAsia="zh-CN"/>
        </w:rPr>
        <w:t>A vast literature on work engagement has emerged from the previous two decades, with b</w:t>
      </w:r>
      <w:r w:rsidRPr="001B4D83">
        <w:rPr>
          <w:rFonts w:ascii="Calibri" w:eastAsia="Calibri" w:hAnsi="Calibri" w:cs="Times New Roman"/>
        </w:rPr>
        <w:t xml:space="preserve">oth academics and practitioners actively investing in the concept (e.g. Halbesleben, 2010; MacLeod &amp; Clarke, 2009). This interest has arisen from numerous theoretical models and empirical studies which have indicated relationships between aspects of the work environment (job and personal resources), the work engagement of employees, and individual and organisational outcomes. For example, </w:t>
      </w:r>
      <w:r w:rsidRPr="001B4D83">
        <w:rPr>
          <w:rFonts w:ascii="Calibri" w:eastAsia="Calibri" w:hAnsi="Calibri" w:cs="Calibri"/>
        </w:rPr>
        <w:t xml:space="preserve">Halbesleben’s (2010) meta-analysis found positive associations between job resources (social support, autonomy and feedback), work engagement, </w:t>
      </w:r>
      <w:r w:rsidR="001D6140">
        <w:rPr>
          <w:rFonts w:ascii="Calibri" w:eastAsia="Calibri" w:hAnsi="Calibri" w:cs="Calibri"/>
        </w:rPr>
        <w:t>well-being</w:t>
      </w:r>
      <w:r w:rsidRPr="001B4D83">
        <w:rPr>
          <w:rFonts w:ascii="Calibri" w:eastAsia="Calibri" w:hAnsi="Calibri" w:cs="Calibri"/>
        </w:rPr>
        <w:t>, organisational commitment, performance and turnover intention</w:t>
      </w:r>
      <w:r w:rsidR="0050600A">
        <w:rPr>
          <w:rFonts w:ascii="Calibri" w:eastAsia="Calibri" w:hAnsi="Calibri" w:cs="Calibri"/>
        </w:rPr>
        <w:t>s</w:t>
      </w:r>
      <w:r w:rsidRPr="001B4D83">
        <w:rPr>
          <w:rFonts w:ascii="Calibri" w:eastAsia="Calibri" w:hAnsi="Calibri" w:cs="Calibri"/>
        </w:rPr>
        <w:t>; Christian</w:t>
      </w:r>
      <w:r w:rsidR="008F064B">
        <w:rPr>
          <w:rFonts w:ascii="Calibri" w:eastAsia="Calibri" w:hAnsi="Calibri" w:cs="Calibri"/>
        </w:rPr>
        <w:t>, Garza and Slaughter</w:t>
      </w:r>
      <w:r w:rsidRPr="001B4D83">
        <w:rPr>
          <w:rFonts w:ascii="Calibri" w:eastAsia="Calibri" w:hAnsi="Calibri" w:cs="Calibri"/>
        </w:rPr>
        <w:t xml:space="preserve">’s (2011) meta-analysis found that work engagement predicted task performance (in-role behaviour) and contextual performance (extra-role / organisational citizenship behaviour) as well as, and indeed over and above, other job attitudes such as job involvement, organisational commitment and job satisfaction; and Nahrgang, Morgeson and Hofman’s (2011) meta-analysis demonstrated a positive link between work engagement and safety outcomes. Taken together, these studies suggest high generalisability and </w:t>
      </w:r>
      <w:r>
        <w:rPr>
          <w:rFonts w:ascii="Calibri" w:eastAsia="Calibri" w:hAnsi="Calibri" w:cs="Calibri"/>
        </w:rPr>
        <w:t xml:space="preserve">thus </w:t>
      </w:r>
      <w:r w:rsidRPr="001B4D83">
        <w:rPr>
          <w:rFonts w:ascii="Calibri" w:eastAsia="Calibri" w:hAnsi="Calibri" w:cs="Calibri"/>
        </w:rPr>
        <w:t xml:space="preserve">the importance of work engagement for individual and organisational outcomes everywhere. </w:t>
      </w:r>
    </w:p>
    <w:p w14:paraId="68EFEB37" w14:textId="77777777" w:rsidR="008161BF" w:rsidRPr="001B4D83" w:rsidRDefault="008161BF" w:rsidP="008161BF">
      <w:pPr>
        <w:spacing w:before="200" w:line="360" w:lineRule="auto"/>
        <w:contextualSpacing/>
        <w:rPr>
          <w:rFonts w:ascii="Calibri" w:eastAsia="Calibri" w:hAnsi="Calibri" w:cs="Calibri"/>
        </w:rPr>
      </w:pPr>
    </w:p>
    <w:p w14:paraId="571F9E3B" w14:textId="6219957F" w:rsidR="008161BF" w:rsidRDefault="008161BF" w:rsidP="008161BF">
      <w:pPr>
        <w:spacing w:before="200" w:line="360" w:lineRule="auto"/>
        <w:contextualSpacing/>
        <w:rPr>
          <w:rFonts w:ascii="Calibri" w:eastAsia="Calibri" w:hAnsi="Calibri" w:cs="Calibri"/>
        </w:rPr>
      </w:pPr>
      <w:r w:rsidRPr="001B4D83">
        <w:rPr>
          <w:rFonts w:ascii="Calibri" w:eastAsia="Calibri" w:hAnsi="Calibri" w:cs="Calibri"/>
        </w:rPr>
        <w:t>However, despi</w:t>
      </w:r>
      <w:r>
        <w:rPr>
          <w:rFonts w:ascii="Calibri" w:eastAsia="Calibri" w:hAnsi="Calibri" w:cs="Calibri"/>
        </w:rPr>
        <w:t>te the vast literature there remains</w:t>
      </w:r>
      <w:r w:rsidRPr="001B4D83">
        <w:rPr>
          <w:rFonts w:ascii="Calibri" w:eastAsia="Calibri" w:hAnsi="Calibri" w:cs="Calibri"/>
        </w:rPr>
        <w:t xml:space="preserve"> </w:t>
      </w:r>
      <w:r>
        <w:rPr>
          <w:rFonts w:ascii="Calibri" w:eastAsia="Calibri" w:hAnsi="Calibri" w:cs="Calibri"/>
        </w:rPr>
        <w:t>debate</w:t>
      </w:r>
      <w:r w:rsidRPr="001B4D83">
        <w:rPr>
          <w:rFonts w:ascii="Calibri" w:eastAsia="Calibri" w:hAnsi="Calibri" w:cs="Calibri"/>
        </w:rPr>
        <w:t xml:space="preserve"> </w:t>
      </w:r>
      <w:r>
        <w:rPr>
          <w:rFonts w:ascii="Calibri" w:eastAsia="Calibri" w:hAnsi="Calibri" w:cs="Calibri"/>
        </w:rPr>
        <w:t>over</w:t>
      </w:r>
      <w:r w:rsidRPr="001B4D83">
        <w:rPr>
          <w:rFonts w:ascii="Calibri" w:eastAsia="Calibri" w:hAnsi="Calibri" w:cs="Calibri"/>
        </w:rPr>
        <w:t xml:space="preserve"> the definition and measurement of engagement</w:t>
      </w:r>
      <w:r w:rsidR="00293F57">
        <w:rPr>
          <w:rFonts w:ascii="Calibri" w:eastAsia="Calibri" w:hAnsi="Calibri" w:cs="Calibri"/>
        </w:rPr>
        <w:t xml:space="preserve">, with some scholars </w:t>
      </w:r>
      <w:r w:rsidR="00E61400">
        <w:rPr>
          <w:rFonts w:ascii="Calibri" w:eastAsia="Calibri" w:hAnsi="Calibri" w:cs="Calibri"/>
        </w:rPr>
        <w:t>questioning whether</w:t>
      </w:r>
      <w:r w:rsidRPr="001B4D83">
        <w:rPr>
          <w:rFonts w:ascii="Calibri" w:eastAsia="Calibri" w:hAnsi="Calibri" w:cs="Calibri"/>
        </w:rPr>
        <w:t xml:space="preserve"> </w:t>
      </w:r>
      <w:r w:rsidR="00E61400">
        <w:rPr>
          <w:rFonts w:ascii="Calibri" w:eastAsia="Calibri" w:hAnsi="Calibri" w:cs="Calibri"/>
        </w:rPr>
        <w:t xml:space="preserve">engagement is a new construct which can be distinguished from other, related concepts such as job satisfaction, organisational commitment and job involvement </w:t>
      </w:r>
      <w:r w:rsidRPr="001B4D83">
        <w:rPr>
          <w:rFonts w:ascii="Calibri" w:eastAsia="Calibri" w:hAnsi="Calibri" w:cs="Calibri"/>
        </w:rPr>
        <w:t>(</w:t>
      </w:r>
      <w:r w:rsidR="00877198">
        <w:rPr>
          <w:rFonts w:ascii="Calibri" w:eastAsia="Calibri" w:hAnsi="Calibri" w:cs="Calibri"/>
        </w:rPr>
        <w:t>e.g.</w:t>
      </w:r>
      <w:r w:rsidR="00F7744F">
        <w:rPr>
          <w:rFonts w:ascii="Calibri" w:eastAsia="Calibri" w:hAnsi="Calibri" w:cs="Calibri"/>
        </w:rPr>
        <w:t xml:space="preserve"> Byrne, Peters &amp; Weston, 2016; </w:t>
      </w:r>
      <w:r w:rsidRPr="001B4D83">
        <w:rPr>
          <w:rFonts w:ascii="Calibri" w:eastAsia="Calibri" w:hAnsi="Calibri" w:cs="Calibri"/>
        </w:rPr>
        <w:t>Macey &amp; Schneider, 2008; Newman &amp; Harrison, 2008; Shuck</w:t>
      </w:r>
      <w:r>
        <w:rPr>
          <w:rFonts w:ascii="Calibri" w:eastAsia="Calibri" w:hAnsi="Calibri" w:cs="Calibri"/>
        </w:rPr>
        <w:t>, Ghosh, Zigarmi, &amp; Nimon,</w:t>
      </w:r>
      <w:r w:rsidRPr="001B4D83">
        <w:rPr>
          <w:rFonts w:ascii="Calibri" w:eastAsia="Calibri" w:hAnsi="Calibri" w:cs="Calibri"/>
        </w:rPr>
        <w:t xml:space="preserve"> 2013)</w:t>
      </w:r>
      <w:r w:rsidR="00F7744F">
        <w:rPr>
          <w:rFonts w:ascii="Calibri" w:eastAsia="Calibri" w:hAnsi="Calibri" w:cs="Calibri"/>
        </w:rPr>
        <w:t xml:space="preserve">. Nevertheless, </w:t>
      </w:r>
      <w:r w:rsidRPr="001B4D83">
        <w:rPr>
          <w:rFonts w:ascii="Calibri" w:eastAsia="Calibri" w:hAnsi="Calibri" w:cs="Calibri"/>
        </w:rPr>
        <w:t xml:space="preserve">one definition and accompanying measure prevails </w:t>
      </w:r>
      <w:r>
        <w:rPr>
          <w:rFonts w:ascii="Calibri" w:eastAsia="Calibri" w:hAnsi="Calibri" w:cs="Calibri"/>
        </w:rPr>
        <w:t xml:space="preserve">in the academic literature </w:t>
      </w:r>
      <w:r w:rsidRPr="001B4D83">
        <w:rPr>
          <w:rFonts w:ascii="Calibri" w:eastAsia="Calibri" w:hAnsi="Calibri" w:cs="Calibri"/>
        </w:rPr>
        <w:t>(</w:t>
      </w:r>
      <w:r w:rsidRPr="001B4D83">
        <w:rPr>
          <w:rFonts w:ascii="Calibri" w:eastAsia="Calibri" w:hAnsi="Calibri" w:cs="Arial"/>
          <w:bCs/>
        </w:rPr>
        <w:t xml:space="preserve">Schaufeli, </w:t>
      </w:r>
      <w:r w:rsidRPr="001B4D83">
        <w:rPr>
          <w:rFonts w:ascii="Calibri" w:eastAsia="Calibri" w:hAnsi="Calibri" w:cs="Calibri"/>
        </w:rPr>
        <w:t>Salanova,</w:t>
      </w:r>
      <w:r>
        <w:rPr>
          <w:rFonts w:ascii="Calibri" w:eastAsia="Calibri" w:hAnsi="Calibri" w:cs="Calibri"/>
        </w:rPr>
        <w:t xml:space="preserve"> González-Romá, &amp; Bakker, 2002)</w:t>
      </w:r>
      <w:r w:rsidR="00E302D6">
        <w:rPr>
          <w:rFonts w:ascii="Calibri" w:eastAsia="Calibri" w:hAnsi="Calibri" w:cs="Calibri"/>
        </w:rPr>
        <w:t>,</w:t>
      </w:r>
      <w:r>
        <w:rPr>
          <w:rFonts w:ascii="Calibri" w:eastAsia="Calibri" w:hAnsi="Calibri" w:cs="Calibri"/>
        </w:rPr>
        <w:t xml:space="preserve"> and is adopted by this thesis. According to this definition, work engagement is a positive state of </w:t>
      </w:r>
      <w:r>
        <w:rPr>
          <w:rFonts w:ascii="Calibri" w:eastAsia="Calibri" w:hAnsi="Calibri" w:cs="Calibri"/>
        </w:rPr>
        <w:lastRenderedPageBreak/>
        <w:t>mind achieved by employees</w:t>
      </w:r>
      <w:r w:rsidRPr="001B4D83">
        <w:rPr>
          <w:rFonts w:ascii="Calibri" w:eastAsia="Calibri" w:hAnsi="Calibri" w:cs="Calibri"/>
        </w:rPr>
        <w:t xml:space="preserve"> </w:t>
      </w:r>
      <w:r>
        <w:rPr>
          <w:rFonts w:ascii="Calibri" w:eastAsia="Calibri" w:hAnsi="Calibri" w:cs="Calibri"/>
        </w:rPr>
        <w:t xml:space="preserve">who experience vigour, or high energy and mental resilience whilst working, dedication, or intense involvement in work tasks providing significance, enthusiasm and challenge, and absorption, or complete concentration in work tasks. </w:t>
      </w:r>
    </w:p>
    <w:p w14:paraId="730623EF" w14:textId="77777777" w:rsidR="008161BF" w:rsidRDefault="008161BF" w:rsidP="008161BF">
      <w:pPr>
        <w:spacing w:before="200" w:line="360" w:lineRule="auto"/>
        <w:contextualSpacing/>
        <w:rPr>
          <w:rFonts w:ascii="Calibri" w:eastAsia="Calibri" w:hAnsi="Calibri" w:cs="Calibri"/>
        </w:rPr>
      </w:pPr>
    </w:p>
    <w:p w14:paraId="4D9D743F" w14:textId="598D106D" w:rsidR="008161BF" w:rsidRDefault="008161BF" w:rsidP="008161BF">
      <w:pPr>
        <w:spacing w:before="200" w:line="360" w:lineRule="auto"/>
        <w:contextualSpacing/>
        <w:rPr>
          <w:rFonts w:ascii="Calibri" w:eastAsia="Calibri" w:hAnsi="Calibri" w:cs="Calibri"/>
        </w:rPr>
      </w:pPr>
      <w:r>
        <w:rPr>
          <w:rFonts w:ascii="Calibri" w:eastAsia="Calibri" w:hAnsi="Calibri" w:cs="Calibri"/>
        </w:rPr>
        <w:t>In addition to the ongoing conceptual debate, t</w:t>
      </w:r>
      <w:r w:rsidRPr="001B4D83">
        <w:rPr>
          <w:rFonts w:ascii="Calibri" w:eastAsia="Calibri" w:hAnsi="Calibri" w:cs="Calibri"/>
        </w:rPr>
        <w:t xml:space="preserve">he </w:t>
      </w:r>
      <w:r w:rsidRPr="00D05AF9">
        <w:rPr>
          <w:rFonts w:ascii="Calibri" w:eastAsia="Calibri" w:hAnsi="Calibri" w:cs="Calibri"/>
          <w:iCs/>
        </w:rPr>
        <w:t xml:space="preserve">causal </w:t>
      </w:r>
      <w:r w:rsidRPr="001B4D83">
        <w:rPr>
          <w:rFonts w:ascii="Calibri" w:eastAsia="Calibri" w:hAnsi="Calibri" w:cs="Calibri"/>
        </w:rPr>
        <w:t xml:space="preserve">pathways between drivers of engagement and outcomes </w:t>
      </w:r>
      <w:r>
        <w:rPr>
          <w:rFonts w:ascii="Calibri" w:eastAsia="Calibri" w:hAnsi="Calibri" w:cs="Calibri"/>
        </w:rPr>
        <w:t xml:space="preserve">have not yet </w:t>
      </w:r>
      <w:r w:rsidRPr="001B4D83">
        <w:rPr>
          <w:rFonts w:ascii="Calibri" w:eastAsia="Calibri" w:hAnsi="Calibri" w:cs="Calibri"/>
        </w:rPr>
        <w:t xml:space="preserve">been </w:t>
      </w:r>
      <w:r>
        <w:rPr>
          <w:rFonts w:ascii="Calibri" w:eastAsia="Calibri" w:hAnsi="Calibri" w:cs="Calibri"/>
        </w:rPr>
        <w:t>clarified</w:t>
      </w:r>
      <w:r w:rsidRPr="001B4D83">
        <w:rPr>
          <w:rFonts w:ascii="Calibri" w:eastAsia="Calibri" w:hAnsi="Calibri" w:cs="Calibri"/>
        </w:rPr>
        <w:t xml:space="preserve"> or explained fully. </w:t>
      </w:r>
      <w:r>
        <w:rPr>
          <w:rFonts w:ascii="Calibri" w:eastAsia="Calibri" w:hAnsi="Calibri" w:cs="Calibri"/>
        </w:rPr>
        <w:t>Neverth</w:t>
      </w:r>
      <w:r w:rsidR="0050600A">
        <w:rPr>
          <w:rFonts w:ascii="Calibri" w:eastAsia="Calibri" w:hAnsi="Calibri" w:cs="Calibri"/>
        </w:rPr>
        <w:t xml:space="preserve">eless, one theoretical model </w:t>
      </w:r>
      <w:r>
        <w:rPr>
          <w:rFonts w:ascii="Calibri" w:eastAsia="Calibri" w:hAnsi="Calibri" w:cs="Calibri"/>
        </w:rPr>
        <w:t>dominates</w:t>
      </w:r>
      <w:r w:rsidR="0050600A">
        <w:rPr>
          <w:rFonts w:ascii="Calibri" w:eastAsia="Calibri" w:hAnsi="Calibri" w:cs="Calibri"/>
        </w:rPr>
        <w:t xml:space="preserve"> the literature</w:t>
      </w:r>
      <w:r>
        <w:rPr>
          <w:rFonts w:ascii="Calibri" w:eastAsia="Calibri" w:hAnsi="Calibri" w:cs="Calibri"/>
        </w:rPr>
        <w:t xml:space="preserve">, the </w:t>
      </w:r>
      <w:r w:rsidR="00A43B59">
        <w:rPr>
          <w:rFonts w:ascii="Calibri" w:eastAsia="Calibri" w:hAnsi="Calibri" w:cs="Calibri"/>
        </w:rPr>
        <w:t>Job Demands-Resources</w:t>
      </w:r>
      <w:r>
        <w:rPr>
          <w:rFonts w:ascii="Calibri" w:eastAsia="Calibri" w:hAnsi="Calibri" w:cs="Calibri"/>
        </w:rPr>
        <w:t xml:space="preserve"> model (</w:t>
      </w:r>
      <w:r w:rsidR="00A43B59">
        <w:rPr>
          <w:rFonts w:ascii="Calibri" w:eastAsia="Calibri" w:hAnsi="Calibri" w:cs="Calibri"/>
        </w:rPr>
        <w:t>JD-R</w:t>
      </w:r>
      <w:r>
        <w:rPr>
          <w:rFonts w:ascii="Calibri" w:eastAsia="Calibri" w:hAnsi="Calibri" w:cs="Calibri"/>
        </w:rPr>
        <w:t xml:space="preserve">; Bakker &amp; Demerouti, 2007; 2008). Broadly, this model proposes that in the presence of job and personal resources, the motivational potential of individuals can be harnessed, leading to increased work engagement and </w:t>
      </w:r>
      <w:r w:rsidR="001D6140">
        <w:rPr>
          <w:rFonts w:ascii="Calibri" w:eastAsia="Calibri" w:hAnsi="Calibri" w:cs="Calibri"/>
        </w:rPr>
        <w:t>well-being</w:t>
      </w:r>
      <w:r>
        <w:rPr>
          <w:rFonts w:ascii="Calibri" w:eastAsia="Calibri" w:hAnsi="Calibri" w:cs="Calibri"/>
        </w:rPr>
        <w:t>. In so doing, individuals</w:t>
      </w:r>
      <w:r w:rsidR="00E302D6">
        <w:rPr>
          <w:rFonts w:ascii="Calibri" w:eastAsia="Calibri" w:hAnsi="Calibri" w:cs="Calibri"/>
        </w:rPr>
        <w:t>’</w:t>
      </w:r>
      <w:r>
        <w:rPr>
          <w:rFonts w:ascii="Calibri" w:eastAsia="Calibri" w:hAnsi="Calibri" w:cs="Calibri"/>
        </w:rPr>
        <w:t xml:space="preserve"> needs for autonomy, competence, and relatedness (a sense of belonging to one’s team, and feeling valued and cared for by them) may be satisfied, in accordance wi</w:t>
      </w:r>
      <w:r w:rsidR="00C17CB1">
        <w:rPr>
          <w:rFonts w:ascii="Calibri" w:eastAsia="Calibri" w:hAnsi="Calibri" w:cs="Calibri"/>
        </w:rPr>
        <w:t>th Self-Determination Theory</w:t>
      </w:r>
      <w:r>
        <w:rPr>
          <w:rFonts w:ascii="Calibri" w:eastAsia="Calibri" w:hAnsi="Calibri" w:cs="Calibri"/>
        </w:rPr>
        <w:t xml:space="preserve"> (SDT; </w:t>
      </w:r>
      <w:r w:rsidR="00D57101">
        <w:rPr>
          <w:rFonts w:ascii="Calibri" w:eastAsia="Calibri" w:hAnsi="Calibri" w:cs="Calibri"/>
        </w:rPr>
        <w:t>Deci et al.</w:t>
      </w:r>
      <w:r w:rsidRPr="001B4D83">
        <w:rPr>
          <w:rFonts w:ascii="Calibri" w:eastAsia="Calibri" w:hAnsi="Calibri" w:cs="Calibri"/>
        </w:rPr>
        <w:t xml:space="preserve"> 2001</w:t>
      </w:r>
      <w:r>
        <w:rPr>
          <w:rFonts w:ascii="Calibri" w:eastAsia="Calibri" w:hAnsi="Calibri" w:cs="Calibri"/>
        </w:rPr>
        <w:t>). Conversely, the model predicts that when levels of resources are low, individuals may experience health impairment, leading to negative outcomes such as burnout, stress, depression and anxiety. The JD-R model is reportedly the most researched and developed in the literature to date (Hakanan &amp; Roodt, 2010)</w:t>
      </w:r>
      <w:r w:rsidR="00E302D6">
        <w:rPr>
          <w:rFonts w:ascii="Calibri" w:eastAsia="Calibri" w:hAnsi="Calibri" w:cs="Calibri"/>
        </w:rPr>
        <w:t>,</w:t>
      </w:r>
      <w:r>
        <w:rPr>
          <w:rFonts w:ascii="Calibri" w:eastAsia="Calibri" w:hAnsi="Calibri" w:cs="Calibri"/>
        </w:rPr>
        <w:t xml:space="preserve"> and </w:t>
      </w:r>
      <w:r w:rsidR="003A3FB3">
        <w:rPr>
          <w:rFonts w:ascii="Calibri" w:eastAsia="Calibri" w:hAnsi="Calibri" w:cs="Calibri"/>
        </w:rPr>
        <w:t>a growing body of evidence supports it</w:t>
      </w:r>
      <w:r w:rsidR="00E302D6">
        <w:rPr>
          <w:rFonts w:ascii="Calibri" w:eastAsia="Calibri" w:hAnsi="Calibri" w:cs="Calibri"/>
        </w:rPr>
        <w:t>,</w:t>
      </w:r>
      <w:r w:rsidR="003A3FB3">
        <w:rPr>
          <w:rFonts w:ascii="Calibri" w:eastAsia="Calibri" w:hAnsi="Calibri" w:cs="Calibri"/>
        </w:rPr>
        <w:t xml:space="preserve"> comprising</w:t>
      </w:r>
      <w:r>
        <w:rPr>
          <w:rFonts w:ascii="Calibri" w:eastAsia="Calibri" w:hAnsi="Calibri" w:cs="Calibri"/>
        </w:rPr>
        <w:t xml:space="preserve"> both individual studies </w:t>
      </w:r>
      <w:r>
        <w:rPr>
          <w:rFonts w:ascii="Calibri" w:hAnsi="Calibri" w:cs="Calibri"/>
        </w:rPr>
        <w:t>(e.g. Hakanan, Bakker &amp; Demerouti, 2005; Simbula, Gugliemi &amp; Schaufeli, 2011; Xanthopoulou, Bakker, Demerouti &amp; Schaufeli, 2009a;</w:t>
      </w:r>
      <w:r w:rsidR="008B096E">
        <w:rPr>
          <w:rFonts w:ascii="Calibri" w:hAnsi="Calibri" w:cs="Calibri"/>
        </w:rPr>
        <w:t xml:space="preserve"> </w:t>
      </w:r>
      <w:r>
        <w:rPr>
          <w:rFonts w:ascii="Calibri" w:hAnsi="Calibri" w:cs="Calibri"/>
        </w:rPr>
        <w:t>2009b)</w:t>
      </w:r>
      <w:r w:rsidR="00E302D6">
        <w:rPr>
          <w:rFonts w:ascii="Calibri" w:hAnsi="Calibri" w:cs="Calibri"/>
        </w:rPr>
        <w:t>,</w:t>
      </w:r>
      <w:r>
        <w:rPr>
          <w:rFonts w:ascii="Calibri" w:eastAsia="Calibri" w:hAnsi="Calibri" w:cs="Calibri"/>
        </w:rPr>
        <w:t xml:space="preserve"> and meta-analyses (e.g. Halbesleben, 2010; Crawford, LePine, &amp; Rich, 2010, </w:t>
      </w:r>
      <w:r>
        <w:rPr>
          <w:rFonts w:ascii="Calibri" w:hAnsi="Calibri" w:cs="Calibri"/>
        </w:rPr>
        <w:t>Nahrgang et al., 2011</w:t>
      </w:r>
      <w:r>
        <w:rPr>
          <w:rFonts w:ascii="Calibri" w:eastAsia="Calibri" w:hAnsi="Calibri" w:cs="Calibri"/>
        </w:rPr>
        <w:t>)</w:t>
      </w:r>
      <w:r w:rsidR="003A3FB3">
        <w:rPr>
          <w:rFonts w:ascii="Calibri" w:eastAsia="Calibri" w:hAnsi="Calibri" w:cs="Calibri"/>
        </w:rPr>
        <w:t>.</w:t>
      </w:r>
    </w:p>
    <w:p w14:paraId="2C81686F" w14:textId="07907E7F" w:rsidR="008161BF" w:rsidRDefault="008161BF" w:rsidP="008161BF">
      <w:pPr>
        <w:spacing w:before="200" w:line="360" w:lineRule="auto"/>
        <w:contextualSpacing/>
        <w:rPr>
          <w:rFonts w:ascii="Calibri" w:eastAsia="Calibri" w:hAnsi="Calibri" w:cs="Calibri"/>
        </w:rPr>
      </w:pPr>
    </w:p>
    <w:p w14:paraId="4D518B94" w14:textId="316E2EB0" w:rsidR="003A3FB3" w:rsidRDefault="003A3FB3" w:rsidP="00397E67">
      <w:pPr>
        <w:pStyle w:val="Thesisheading2"/>
      </w:pPr>
      <w:bookmarkStart w:id="7" w:name="_Toc468285913"/>
      <w:r>
        <w:t>Work engagement interventions</w:t>
      </w:r>
      <w:bookmarkEnd w:id="7"/>
    </w:p>
    <w:p w14:paraId="5671151F" w14:textId="77777777" w:rsidR="003A3FB3" w:rsidRDefault="003A3FB3" w:rsidP="008161BF">
      <w:pPr>
        <w:spacing w:before="200" w:line="360" w:lineRule="auto"/>
        <w:contextualSpacing/>
        <w:rPr>
          <w:rFonts w:ascii="Calibri" w:eastAsia="Calibri" w:hAnsi="Calibri" w:cs="Calibri"/>
        </w:rPr>
      </w:pPr>
    </w:p>
    <w:p w14:paraId="7B90321A" w14:textId="2F562040" w:rsidR="008161BF" w:rsidRDefault="008161BF" w:rsidP="008161BF">
      <w:pPr>
        <w:spacing w:before="200" w:line="360" w:lineRule="auto"/>
        <w:contextualSpacing/>
        <w:rPr>
          <w:rFonts w:ascii="Calibri" w:eastAsia="Calibri" w:hAnsi="Calibri" w:cs="Calibri"/>
        </w:rPr>
      </w:pPr>
      <w:r w:rsidRPr="001B4D83">
        <w:rPr>
          <w:rFonts w:ascii="Calibri" w:eastAsia="Calibri" w:hAnsi="Calibri" w:cs="Calibri"/>
        </w:rPr>
        <w:t>Given th</w:t>
      </w:r>
      <w:r>
        <w:rPr>
          <w:rFonts w:ascii="Calibri" w:eastAsia="Calibri" w:hAnsi="Calibri" w:cs="Calibri"/>
        </w:rPr>
        <w:t xml:space="preserve">e relatively recent development of the </w:t>
      </w:r>
      <w:r w:rsidR="00E302D6">
        <w:rPr>
          <w:rFonts w:ascii="Calibri" w:eastAsia="Calibri" w:hAnsi="Calibri" w:cs="Calibri"/>
        </w:rPr>
        <w:t xml:space="preserve">J-DR </w:t>
      </w:r>
      <w:r>
        <w:rPr>
          <w:rFonts w:ascii="Calibri" w:eastAsia="Calibri" w:hAnsi="Calibri" w:cs="Calibri"/>
        </w:rPr>
        <w:t xml:space="preserve">model, and the questions still to be answered, </w:t>
      </w:r>
      <w:r w:rsidRPr="001B4D83">
        <w:rPr>
          <w:rFonts w:ascii="Calibri" w:eastAsia="Calibri" w:hAnsi="Calibri" w:cs="Calibri"/>
        </w:rPr>
        <w:t>it is unsurprising that intervention research to improve work engagement</w:t>
      </w:r>
      <w:r>
        <w:rPr>
          <w:rFonts w:ascii="Calibri" w:eastAsia="Calibri" w:hAnsi="Calibri" w:cs="Calibri"/>
        </w:rPr>
        <w:t xml:space="preserve"> has only recently emerged. S</w:t>
      </w:r>
      <w:r w:rsidRPr="001B4D83">
        <w:rPr>
          <w:rFonts w:ascii="Calibri" w:eastAsia="Calibri" w:hAnsi="Calibri" w:cs="Calibri"/>
        </w:rPr>
        <w:t xml:space="preserve">ome researchers </w:t>
      </w:r>
      <w:r>
        <w:rPr>
          <w:rFonts w:ascii="Calibri" w:eastAsia="Calibri" w:hAnsi="Calibri" w:cs="Calibri"/>
        </w:rPr>
        <w:t xml:space="preserve">now </w:t>
      </w:r>
      <w:r w:rsidRPr="001B4D83">
        <w:rPr>
          <w:rFonts w:ascii="Calibri" w:eastAsia="Calibri" w:hAnsi="Calibri" w:cs="Calibri"/>
        </w:rPr>
        <w:t>consider the field sufficiently well developed to warrant the development and testing of work engagement interventions (e.g. Leiter &amp; Maslach, 2010)</w:t>
      </w:r>
      <w:r w:rsidR="00E302D6">
        <w:rPr>
          <w:rFonts w:ascii="Calibri" w:eastAsia="Calibri" w:hAnsi="Calibri" w:cs="Calibri"/>
        </w:rPr>
        <w:t>,</w:t>
      </w:r>
      <w:r>
        <w:rPr>
          <w:rFonts w:ascii="Calibri" w:eastAsia="Calibri" w:hAnsi="Calibri" w:cs="Calibri"/>
        </w:rPr>
        <w:t xml:space="preserve"> and a scoping review revealed several that have emerged since 2010 </w:t>
      </w:r>
      <w:r w:rsidRPr="00BE1CF4">
        <w:rPr>
          <w:rFonts w:ascii="Calibri" w:eastAsia="Calibri" w:hAnsi="Calibri" w:cs="Calibri"/>
        </w:rPr>
        <w:t xml:space="preserve">(e.g. </w:t>
      </w:r>
      <w:r>
        <w:t>Ouweneel, Le Blanc,</w:t>
      </w:r>
      <w:r w:rsidR="003F136A">
        <w:t xml:space="preserve"> </w:t>
      </w:r>
      <w:r w:rsidR="00105FAA">
        <w:t>&amp; Schaufeli,</w:t>
      </w:r>
      <w:r>
        <w:t xml:space="preserve"> </w:t>
      </w:r>
      <w:r w:rsidRPr="00BE1CF4">
        <w:t>2013</w:t>
      </w:r>
      <w:r>
        <w:t xml:space="preserve">; </w:t>
      </w:r>
      <w:r>
        <w:rPr>
          <w:rFonts w:ascii="Calibri" w:hAnsi="Calibri" w:cs="Calibri"/>
        </w:rPr>
        <w:t>Coffeng</w:t>
      </w:r>
      <w:r w:rsidR="007719CD">
        <w:rPr>
          <w:rFonts w:ascii="Calibri" w:hAnsi="Calibri" w:cs="Calibri"/>
        </w:rPr>
        <w:t xml:space="preserve"> et al.</w:t>
      </w:r>
      <w:r w:rsidRPr="001E328A">
        <w:rPr>
          <w:rFonts w:ascii="Calibri" w:hAnsi="Calibri" w:cs="Calibri"/>
        </w:rPr>
        <w:t>, 2014</w:t>
      </w:r>
      <w:r>
        <w:rPr>
          <w:rFonts w:ascii="Calibri" w:hAnsi="Calibri" w:cs="Calibri"/>
        </w:rPr>
        <w:t xml:space="preserve">; </w:t>
      </w:r>
      <w:r w:rsidRPr="001E328A">
        <w:rPr>
          <w:rFonts w:ascii="Calibri" w:hAnsi="Calibri" w:cs="Calibri"/>
        </w:rPr>
        <w:t>Strijk</w:t>
      </w:r>
      <w:r>
        <w:rPr>
          <w:rFonts w:ascii="Calibri" w:hAnsi="Calibri" w:cs="Calibri"/>
        </w:rPr>
        <w:t xml:space="preserve">, Proper, </w:t>
      </w:r>
      <w:r w:rsidR="00B64DD5">
        <w:rPr>
          <w:rFonts w:ascii="Calibri" w:hAnsi="Calibri" w:cs="Calibri"/>
        </w:rPr>
        <w:t xml:space="preserve">van </w:t>
      </w:r>
      <w:r>
        <w:rPr>
          <w:rFonts w:ascii="Calibri" w:hAnsi="Calibri" w:cs="Calibri"/>
        </w:rPr>
        <w:t xml:space="preserve">Mechelen &amp; </w:t>
      </w:r>
      <w:r w:rsidR="00B64DD5">
        <w:rPr>
          <w:rFonts w:ascii="Calibri" w:hAnsi="Calibri" w:cs="Calibri"/>
        </w:rPr>
        <w:t>v</w:t>
      </w:r>
      <w:r>
        <w:rPr>
          <w:rFonts w:ascii="Calibri" w:hAnsi="Calibri" w:cs="Calibri"/>
        </w:rPr>
        <w:t>an der Beek,</w:t>
      </w:r>
      <w:r w:rsidRPr="001E328A">
        <w:rPr>
          <w:rFonts w:ascii="Calibri" w:hAnsi="Calibri" w:cs="Calibri"/>
        </w:rPr>
        <w:t xml:space="preserve"> 2013</w:t>
      </w:r>
      <w:r>
        <w:rPr>
          <w:rFonts w:ascii="Calibri" w:hAnsi="Calibri" w:cs="Calibri"/>
        </w:rPr>
        <w:t>; see also Chapter 2, section 2.3</w:t>
      </w:r>
      <w:r w:rsidRPr="00BE1CF4">
        <w:rPr>
          <w:rFonts w:ascii="Calibri" w:eastAsia="Calibri" w:hAnsi="Calibri" w:cs="Calibri"/>
        </w:rPr>
        <w:t xml:space="preserve">). </w:t>
      </w:r>
      <w:r>
        <w:rPr>
          <w:rFonts w:ascii="Calibri" w:eastAsia="Calibri" w:hAnsi="Calibri" w:cs="Calibri"/>
        </w:rPr>
        <w:t>This is exciting, given the implications for research and practice that the results of these interventions may reveal. A central aim of this thesis is to explore the work engagement interventions which have been conducted in an attempt to understand whether they can be effective, those characteristics which might be most important for their effectiveness, and how and why they work. This is novel research, with no other review investigating work engagement intervention research having yet been published. It is hoped that the results will stimulate debate and dialogue and offer researchers and practitioners a means of taking work engagement research forward effectively and efficiently.</w:t>
      </w:r>
    </w:p>
    <w:p w14:paraId="39796447" w14:textId="5B7FED66" w:rsidR="008161BF" w:rsidRPr="009B2C50" w:rsidRDefault="007C1FFA" w:rsidP="00381B7C">
      <w:pPr>
        <w:pStyle w:val="Thesisheading2"/>
      </w:pPr>
      <w:bookmarkStart w:id="8" w:name="_Toc468285914"/>
      <w:r>
        <w:lastRenderedPageBreak/>
        <w:t>A participatory group intervention to increase work engagement</w:t>
      </w:r>
      <w:bookmarkEnd w:id="8"/>
    </w:p>
    <w:p w14:paraId="0108BF6E" w14:textId="77777777" w:rsidR="008161BF" w:rsidRDefault="008161BF" w:rsidP="008161BF">
      <w:pPr>
        <w:spacing w:before="200" w:line="360" w:lineRule="auto"/>
        <w:contextualSpacing/>
        <w:rPr>
          <w:rFonts w:ascii="Calibri" w:eastAsia="Calibri" w:hAnsi="Calibri" w:cs="Calibri"/>
        </w:rPr>
      </w:pPr>
    </w:p>
    <w:p w14:paraId="47A484F3" w14:textId="17B8CA16" w:rsidR="008161BF" w:rsidRDefault="008161BF" w:rsidP="008161BF">
      <w:pPr>
        <w:spacing w:before="200" w:line="360" w:lineRule="auto"/>
        <w:contextualSpacing/>
        <w:rPr>
          <w:rFonts w:ascii="Calibri" w:eastAsia="Calibri" w:hAnsi="Calibri" w:cs="Calibri"/>
        </w:rPr>
      </w:pPr>
      <w:r>
        <w:rPr>
          <w:rFonts w:ascii="Calibri" w:eastAsia="Calibri" w:hAnsi="Calibri" w:cs="Calibri"/>
        </w:rPr>
        <w:t xml:space="preserve">Another central focus of this thesis is on testing a </w:t>
      </w:r>
      <w:r w:rsidR="00597B3B">
        <w:rPr>
          <w:rFonts w:ascii="Calibri" w:eastAsia="Calibri" w:hAnsi="Calibri" w:cs="Calibri"/>
        </w:rPr>
        <w:t>group-level</w:t>
      </w:r>
      <w:r>
        <w:rPr>
          <w:rFonts w:ascii="Calibri" w:eastAsia="Calibri" w:hAnsi="Calibri" w:cs="Calibri"/>
        </w:rPr>
        <w:t xml:space="preserve"> intervention to increase work engagement in hospital nursing staff. Currently, the National Health Service (NHS) in the UK is undergoing a crisis in patient care, with strong media and government focus (e.g. Francis, 2013; </w:t>
      </w:r>
      <w:r w:rsidRPr="001B4D83">
        <w:rPr>
          <w:rFonts w:ascii="Calibri" w:eastAsia="SimSun" w:hAnsi="Calibri" w:cs="Arial"/>
          <w:lang w:eastAsia="zh-CN"/>
        </w:rPr>
        <w:t>Panorama: Behind Closed Doors: Elderly Care Exposed</w:t>
      </w:r>
      <w:r w:rsidRPr="001B4D83">
        <w:rPr>
          <w:rFonts w:ascii="Calibri" w:eastAsia="Calibri" w:hAnsi="Calibri" w:cs="Calibri"/>
        </w:rPr>
        <w:t>, 30</w:t>
      </w:r>
      <w:r w:rsidRPr="001B4D83">
        <w:rPr>
          <w:rFonts w:ascii="Calibri" w:eastAsia="Calibri" w:hAnsi="Calibri" w:cs="Calibri"/>
          <w:vertAlign w:val="superscript"/>
        </w:rPr>
        <w:t>th</w:t>
      </w:r>
      <w:r w:rsidRPr="001B4D83">
        <w:rPr>
          <w:rFonts w:ascii="Calibri" w:eastAsia="Calibri" w:hAnsi="Calibri" w:cs="Calibri"/>
        </w:rPr>
        <w:t xml:space="preserve"> April 2014</w:t>
      </w:r>
      <w:r>
        <w:rPr>
          <w:rFonts w:ascii="Calibri" w:eastAsia="Calibri" w:hAnsi="Calibri" w:cs="Calibri"/>
        </w:rPr>
        <w:t xml:space="preserve">). The Francis report, which detailed the crisis of care in the Mid-Staffordshire Foundation Trust between 2005 and 2009, particularly highlighted how vulnerable, elderly people did not receive basic standards of care, such as adequate food, water, and cleanliness, and were generally treated with a lack of dignity. Similar findings have been revealed by other reports (e.g. </w:t>
      </w:r>
      <w:r w:rsidRPr="00115943">
        <w:t>Mullan</w:t>
      </w:r>
      <w:r>
        <w:t>, 2009;</w:t>
      </w:r>
      <w:r w:rsidRPr="00115943">
        <w:t xml:space="preserve"> Cooper, Selwood and Livingston</w:t>
      </w:r>
      <w:r>
        <w:t xml:space="preserve">, </w:t>
      </w:r>
      <w:r w:rsidRPr="00115943">
        <w:t>2008</w:t>
      </w:r>
      <w:r>
        <w:t>). This poor quality care is embedded within several societal and contextual factors which are likely to have played a significant part, including an ageing population, recession and associated economic downturn and budget cuts (Patterson, Nolan, Rick, Brown, Adams, &amp; Musson, 2011)</w:t>
      </w:r>
      <w:r>
        <w:rPr>
          <w:rFonts w:ascii="Calibri" w:eastAsia="Calibri" w:hAnsi="Calibri" w:cs="Calibri"/>
        </w:rPr>
        <w:t>. With individuals living longer, increasing numbers of elderly need care</w:t>
      </w:r>
      <w:r w:rsidR="005B4E95">
        <w:rPr>
          <w:rFonts w:ascii="Calibri" w:eastAsia="Calibri" w:hAnsi="Calibri" w:cs="Calibri"/>
        </w:rPr>
        <w:t xml:space="preserve"> long-term</w:t>
      </w:r>
      <w:r>
        <w:rPr>
          <w:rFonts w:ascii="Calibri" w:eastAsia="Calibri" w:hAnsi="Calibri" w:cs="Calibri"/>
        </w:rPr>
        <w:t>, putting strain on resources already limited by the financial climate</w:t>
      </w:r>
      <w:r w:rsidR="00E302D6">
        <w:rPr>
          <w:rFonts w:ascii="Calibri" w:eastAsia="Calibri" w:hAnsi="Calibri" w:cs="Calibri"/>
        </w:rPr>
        <w:t>,</w:t>
      </w:r>
      <w:r w:rsidR="005B4E95">
        <w:rPr>
          <w:rFonts w:ascii="Calibri" w:eastAsia="Calibri" w:hAnsi="Calibri" w:cs="Calibri"/>
        </w:rPr>
        <w:t xml:space="preserve"> and encouraging a view that they are ‘incurable’ and ‘bed-blockers’</w:t>
      </w:r>
      <w:r>
        <w:rPr>
          <w:rFonts w:ascii="Calibri" w:eastAsia="Calibri" w:hAnsi="Calibri" w:cs="Calibri"/>
        </w:rPr>
        <w:t xml:space="preserve">. </w:t>
      </w:r>
      <w:r w:rsidR="005B4E95">
        <w:rPr>
          <w:rFonts w:ascii="Calibri" w:eastAsia="Calibri" w:hAnsi="Calibri" w:cs="Calibri"/>
        </w:rPr>
        <w:t>In addition, s</w:t>
      </w:r>
      <w:r w:rsidR="00EE7EAB">
        <w:rPr>
          <w:rFonts w:ascii="Calibri" w:eastAsia="Calibri" w:hAnsi="Calibri" w:cs="Calibri"/>
        </w:rPr>
        <w:t xml:space="preserve">taff working with older patients have reported feeling under-valued, powerless, and lacking support </w:t>
      </w:r>
      <w:r w:rsidR="005B4E95">
        <w:rPr>
          <w:rFonts w:ascii="Calibri" w:eastAsia="Calibri" w:hAnsi="Calibri" w:cs="Calibri"/>
        </w:rPr>
        <w:t xml:space="preserve">(Patterson et al., 2011). </w:t>
      </w:r>
      <w:r>
        <w:rPr>
          <w:rFonts w:ascii="Calibri" w:eastAsia="Calibri" w:hAnsi="Calibri" w:cs="Calibri"/>
        </w:rPr>
        <w:t xml:space="preserve">Against this backdrop, it is not surprising that low motivation and morale </w:t>
      </w:r>
      <w:r w:rsidR="00771847">
        <w:rPr>
          <w:rFonts w:ascii="Calibri" w:eastAsia="Calibri" w:hAnsi="Calibri" w:cs="Calibri"/>
        </w:rPr>
        <w:t xml:space="preserve">particularly </w:t>
      </w:r>
      <w:r>
        <w:rPr>
          <w:rFonts w:ascii="Calibri" w:eastAsia="Calibri" w:hAnsi="Calibri" w:cs="Calibri"/>
        </w:rPr>
        <w:t>prevails amongst nursing staff working with the elderly.</w:t>
      </w:r>
    </w:p>
    <w:p w14:paraId="0D8D3BA4" w14:textId="77777777" w:rsidR="008161BF" w:rsidRDefault="008161BF" w:rsidP="008161BF">
      <w:pPr>
        <w:spacing w:before="200" w:line="360" w:lineRule="auto"/>
        <w:contextualSpacing/>
        <w:rPr>
          <w:rFonts w:ascii="Calibri" w:eastAsia="Calibri" w:hAnsi="Calibri" w:cs="Calibri"/>
        </w:rPr>
      </w:pPr>
    </w:p>
    <w:p w14:paraId="7E35CDF4" w14:textId="05700749" w:rsidR="008161BF" w:rsidRDefault="008161BF" w:rsidP="008161BF">
      <w:pPr>
        <w:spacing w:before="200" w:line="360" w:lineRule="auto"/>
        <w:contextualSpacing/>
        <w:rPr>
          <w:rFonts w:ascii="Calibri" w:hAnsi="Calibri" w:cs="Calibri"/>
          <w:bCs/>
        </w:rPr>
      </w:pPr>
      <w:r>
        <w:rPr>
          <w:rFonts w:ascii="Calibri" w:eastAsia="Calibri" w:hAnsi="Calibri" w:cs="Calibri"/>
        </w:rPr>
        <w:t xml:space="preserve">Given the positive relationship between motivation and work engagement highlighted by the </w:t>
      </w:r>
      <w:r w:rsidR="00A43B59">
        <w:rPr>
          <w:rFonts w:ascii="Calibri" w:eastAsia="Calibri" w:hAnsi="Calibri" w:cs="Calibri"/>
        </w:rPr>
        <w:t>JD-R</w:t>
      </w:r>
      <w:r>
        <w:rPr>
          <w:rFonts w:ascii="Calibri" w:eastAsia="Calibri" w:hAnsi="Calibri" w:cs="Calibri"/>
        </w:rPr>
        <w:t xml:space="preserve"> model</w:t>
      </w:r>
      <w:r w:rsidR="00771847">
        <w:rPr>
          <w:rFonts w:ascii="Calibri" w:eastAsia="Calibri" w:hAnsi="Calibri" w:cs="Calibri"/>
        </w:rPr>
        <w:t>,</w:t>
      </w:r>
      <w:r>
        <w:rPr>
          <w:rFonts w:ascii="Calibri" w:eastAsia="Calibri" w:hAnsi="Calibri" w:cs="Calibri"/>
        </w:rPr>
        <w:t xml:space="preserve"> and evidenced in the literature, one way to improve standards of care on elderly wards is likely to be through increasing the work engagement of nursing staff. Patterson et al. (2011) noted that the job resources, social support, shared values and adequate physical resources to carry out tasks, were prevalent on wards maintaining high standards of care. Therefore, it follows that by increasing these resources on wards which are impoverished in them, the motivational potential of nursing staff may be mobilised, leading to increased work engagement and </w:t>
      </w:r>
      <w:r w:rsidR="001D6140">
        <w:rPr>
          <w:rFonts w:ascii="Calibri" w:eastAsia="Calibri" w:hAnsi="Calibri" w:cs="Calibri"/>
        </w:rPr>
        <w:t>well-being</w:t>
      </w:r>
      <w:r>
        <w:rPr>
          <w:rFonts w:ascii="Calibri" w:eastAsia="Calibri" w:hAnsi="Calibri" w:cs="Calibri"/>
        </w:rPr>
        <w:t>. A group intervention, and particularly a participatory group intervention, in which participants themselves collaborate to problem-solve and bring about positive change (Lewin, 1946), is particularly suited to this environment, given the need for nursing staff to work together and collaborate on ward teams on a daily basis. This intervention method has been effective in reducing burnout in nursing staff (</w:t>
      </w:r>
      <w:r>
        <w:rPr>
          <w:rFonts w:ascii="Calibri" w:hAnsi="Calibri" w:cs="Calibri"/>
          <w:bCs/>
        </w:rPr>
        <w:t xml:space="preserve">Le Blanc, Hox, Schaufeli, Taris &amp; Peeters, 2007), but has not yet been applied to work engagement, hence this study is a novel test of the effectiveness of this type of intervention for increasing work engagement in nursing staff caring for elderly patients. </w:t>
      </w:r>
    </w:p>
    <w:p w14:paraId="1998C711" w14:textId="39660F4C" w:rsidR="008161BF" w:rsidRPr="00CF551C" w:rsidRDefault="004B3ACB" w:rsidP="008161BF">
      <w:pPr>
        <w:spacing w:before="200" w:line="360" w:lineRule="auto"/>
        <w:contextualSpacing/>
        <w:rPr>
          <w:rFonts w:ascii="Calibri" w:eastAsia="Calibri" w:hAnsi="Calibri" w:cs="Calibri"/>
        </w:rPr>
      </w:pPr>
      <w:r>
        <w:rPr>
          <w:rFonts w:ascii="Calibri" w:hAnsi="Calibri" w:cs="Calibri"/>
          <w:bCs/>
        </w:rPr>
        <w:lastRenderedPageBreak/>
        <w:t>A</w:t>
      </w:r>
      <w:r w:rsidR="008161BF">
        <w:rPr>
          <w:rFonts w:ascii="Calibri" w:hAnsi="Calibri" w:cs="Calibri"/>
          <w:bCs/>
        </w:rPr>
        <w:t xml:space="preserve"> central tenet of the model tested is that the participatory nature of the intervention, in which relationships can be developed, problems solved and shared goals worked towards, will increase the job resources, social support, participation in decision-making and perceived balance between practical resources (e.g., equipment, staffing levels, time) and demands, leading to work engagement.</w:t>
      </w:r>
      <w:r w:rsidR="008161BF">
        <w:rPr>
          <w:rFonts w:ascii="Calibri" w:eastAsia="Calibri" w:hAnsi="Calibri" w:cs="Calibri"/>
        </w:rPr>
        <w:t xml:space="preserve"> </w:t>
      </w:r>
      <w:r w:rsidR="008161BF">
        <w:rPr>
          <w:rFonts w:ascii="Calibri" w:hAnsi="Calibri" w:cs="Calibri"/>
          <w:bCs/>
        </w:rPr>
        <w:t xml:space="preserve">This is part of a wider study investigating the ability of this intervention to increase quality of care on acute elderly nursing wards in the NHS and should thus also be of particular interest to the general public, the media and the government. </w:t>
      </w:r>
    </w:p>
    <w:p w14:paraId="15198A81" w14:textId="77777777" w:rsidR="008161BF" w:rsidRDefault="008161BF" w:rsidP="008161BF">
      <w:pPr>
        <w:spacing w:before="200" w:line="360" w:lineRule="auto"/>
        <w:contextualSpacing/>
        <w:rPr>
          <w:rFonts w:ascii="Calibri" w:eastAsia="Calibri" w:hAnsi="Calibri" w:cs="Calibri"/>
        </w:rPr>
      </w:pPr>
    </w:p>
    <w:p w14:paraId="0FE33A9A" w14:textId="1B7FB05D" w:rsidR="008161BF" w:rsidRPr="00FD4F55" w:rsidRDefault="008161BF" w:rsidP="00381B7C">
      <w:pPr>
        <w:pStyle w:val="Thesisheading2"/>
      </w:pPr>
      <w:bookmarkStart w:id="9" w:name="_Toc468285915"/>
      <w:r w:rsidRPr="00FD4F55">
        <w:t>Research aims</w:t>
      </w:r>
      <w:bookmarkEnd w:id="9"/>
    </w:p>
    <w:p w14:paraId="1B4BE137" w14:textId="77777777" w:rsidR="008161BF" w:rsidRDefault="008161BF" w:rsidP="008161BF">
      <w:pPr>
        <w:spacing w:before="200" w:line="360" w:lineRule="auto"/>
        <w:contextualSpacing/>
        <w:rPr>
          <w:rFonts w:ascii="Calibri" w:eastAsia="Calibri" w:hAnsi="Calibri" w:cs="Calibri"/>
        </w:rPr>
      </w:pPr>
    </w:p>
    <w:p w14:paraId="490BC875" w14:textId="77777777" w:rsidR="008161BF" w:rsidRPr="001B4D83" w:rsidRDefault="008161BF" w:rsidP="008161BF">
      <w:pPr>
        <w:spacing w:before="200" w:line="360" w:lineRule="auto"/>
        <w:contextualSpacing/>
        <w:rPr>
          <w:rFonts w:ascii="Calibri" w:eastAsia="Calibri" w:hAnsi="Calibri" w:cs="Calibri"/>
        </w:rPr>
      </w:pPr>
      <w:r>
        <w:rPr>
          <w:rFonts w:ascii="Calibri" w:eastAsia="Calibri" w:hAnsi="Calibri" w:cs="Calibri"/>
        </w:rPr>
        <w:t>Given the theoretical background and context outlined above, this research has two specific aims:</w:t>
      </w:r>
      <w:r w:rsidRPr="001B4D83">
        <w:rPr>
          <w:rFonts w:ascii="Calibri" w:eastAsia="Calibri" w:hAnsi="Calibri" w:cs="Calibri"/>
        </w:rPr>
        <w:t xml:space="preserve"> </w:t>
      </w:r>
    </w:p>
    <w:p w14:paraId="6416034C" w14:textId="77777777" w:rsidR="008161BF" w:rsidRPr="001B4D83" w:rsidRDefault="008161BF" w:rsidP="008161BF">
      <w:pPr>
        <w:spacing w:before="200" w:line="360" w:lineRule="auto"/>
        <w:contextualSpacing/>
        <w:rPr>
          <w:rFonts w:ascii="Calibri" w:eastAsia="Calibri" w:hAnsi="Calibri" w:cs="Calibri"/>
        </w:rPr>
      </w:pPr>
    </w:p>
    <w:p w14:paraId="3B896FCC" w14:textId="381558EE" w:rsidR="008161BF" w:rsidRPr="001B4D83" w:rsidRDefault="008161BF" w:rsidP="008161BF">
      <w:pPr>
        <w:numPr>
          <w:ilvl w:val="0"/>
          <w:numId w:val="1"/>
        </w:numPr>
        <w:spacing w:before="200" w:line="360" w:lineRule="auto"/>
        <w:ind w:left="360"/>
        <w:contextualSpacing/>
        <w:rPr>
          <w:rFonts w:ascii="Calibri" w:eastAsia="Calibri" w:hAnsi="Calibri" w:cs="Calibri"/>
        </w:rPr>
      </w:pPr>
      <w:r>
        <w:rPr>
          <w:rFonts w:ascii="Calibri" w:eastAsia="SimSun" w:hAnsi="Calibri" w:cs="Arial"/>
          <w:lang w:eastAsia="zh-CN"/>
        </w:rPr>
        <w:t xml:space="preserve">to </w:t>
      </w:r>
      <w:r w:rsidRPr="001B4D83">
        <w:rPr>
          <w:rFonts w:ascii="Calibri" w:eastAsia="SimSun" w:hAnsi="Calibri" w:cs="Arial"/>
          <w:lang w:eastAsia="zh-CN"/>
        </w:rPr>
        <w:t xml:space="preserve">systematically identify, </w:t>
      </w:r>
      <w:r>
        <w:rPr>
          <w:rFonts w:ascii="Calibri" w:eastAsia="SimSun" w:hAnsi="Calibri" w:cs="Arial"/>
          <w:lang w:eastAsia="zh-CN"/>
        </w:rPr>
        <w:t xml:space="preserve">narratively </w:t>
      </w:r>
      <w:r w:rsidRPr="001B4D83">
        <w:rPr>
          <w:rFonts w:ascii="Calibri" w:eastAsia="SimSun" w:hAnsi="Calibri" w:cs="Arial"/>
          <w:lang w:eastAsia="zh-CN"/>
        </w:rPr>
        <w:t>review</w:t>
      </w:r>
      <w:r w:rsidR="00771847">
        <w:rPr>
          <w:rFonts w:ascii="Calibri" w:eastAsia="SimSun" w:hAnsi="Calibri" w:cs="Arial"/>
          <w:lang w:eastAsia="zh-CN"/>
        </w:rPr>
        <w:t>,</w:t>
      </w:r>
      <w:r w:rsidRPr="001B4D83">
        <w:rPr>
          <w:rFonts w:ascii="Calibri" w:eastAsia="SimSun" w:hAnsi="Calibri" w:cs="Arial"/>
          <w:lang w:eastAsia="zh-CN"/>
        </w:rPr>
        <w:t xml:space="preserve"> and quantitatively synthesis</w:t>
      </w:r>
      <w:r>
        <w:rPr>
          <w:rFonts w:ascii="Calibri" w:eastAsia="SimSun" w:hAnsi="Calibri" w:cs="Arial"/>
          <w:lang w:eastAsia="zh-CN"/>
        </w:rPr>
        <w:t>e</w:t>
      </w:r>
      <w:r w:rsidRPr="001B4D83">
        <w:rPr>
          <w:rFonts w:ascii="Calibri" w:eastAsia="SimSun" w:hAnsi="Calibri" w:cs="Arial"/>
          <w:lang w:eastAsia="zh-CN"/>
        </w:rPr>
        <w:t xml:space="preserve">, through meta-analytic techniques, the evidence for the effectiveness of </w:t>
      </w:r>
      <w:r w:rsidR="00597B3B">
        <w:rPr>
          <w:rFonts w:ascii="Calibri" w:eastAsia="SimSun" w:hAnsi="Calibri" w:cs="Arial"/>
          <w:lang w:eastAsia="zh-CN"/>
        </w:rPr>
        <w:t>individual-level</w:t>
      </w:r>
      <w:r w:rsidRPr="001B4D83">
        <w:rPr>
          <w:rFonts w:ascii="Calibri" w:eastAsia="SimSun" w:hAnsi="Calibri" w:cs="Arial"/>
          <w:lang w:eastAsia="zh-CN"/>
        </w:rPr>
        <w:t xml:space="preserve"> work eng</w:t>
      </w:r>
      <w:r>
        <w:rPr>
          <w:rFonts w:ascii="Calibri" w:eastAsia="SimSun" w:hAnsi="Calibri" w:cs="Arial"/>
          <w:lang w:eastAsia="zh-CN"/>
        </w:rPr>
        <w:t>agement interventions (Study 1)</w:t>
      </w:r>
    </w:p>
    <w:p w14:paraId="2292C23F" w14:textId="77777777" w:rsidR="008161BF" w:rsidRPr="001B4D83" w:rsidRDefault="008161BF" w:rsidP="008161BF">
      <w:pPr>
        <w:spacing w:before="200" w:line="360" w:lineRule="auto"/>
        <w:ind w:left="360"/>
        <w:contextualSpacing/>
        <w:rPr>
          <w:rFonts w:ascii="Calibri" w:eastAsia="Calibri" w:hAnsi="Calibri" w:cs="Calibri"/>
        </w:rPr>
      </w:pPr>
    </w:p>
    <w:p w14:paraId="7332BC42" w14:textId="6B0FE26C" w:rsidR="008161BF" w:rsidRPr="001B4D83" w:rsidRDefault="008161BF" w:rsidP="008161BF">
      <w:pPr>
        <w:numPr>
          <w:ilvl w:val="0"/>
          <w:numId w:val="1"/>
        </w:numPr>
        <w:spacing w:before="200" w:line="360" w:lineRule="auto"/>
        <w:ind w:left="360"/>
        <w:contextualSpacing/>
        <w:rPr>
          <w:rFonts w:ascii="Calibri" w:eastAsia="Calibri" w:hAnsi="Calibri" w:cs="Calibri"/>
        </w:rPr>
      </w:pPr>
      <w:r>
        <w:rPr>
          <w:rFonts w:ascii="Calibri" w:eastAsia="Calibri" w:hAnsi="Calibri" w:cs="Calibri"/>
        </w:rPr>
        <w:t xml:space="preserve">to </w:t>
      </w:r>
      <w:r w:rsidRPr="001B4D83">
        <w:rPr>
          <w:rFonts w:ascii="Calibri" w:eastAsia="Calibri" w:hAnsi="Calibri" w:cs="Calibri"/>
        </w:rPr>
        <w:t xml:space="preserve">test a participatory action research (PAR; </w:t>
      </w:r>
      <w:r>
        <w:rPr>
          <w:rFonts w:ascii="Calibri" w:eastAsia="SimSun" w:hAnsi="Calibri" w:cs="Arial"/>
          <w:lang w:eastAsia="zh-CN"/>
        </w:rPr>
        <w:t>Lewin, 1946</w:t>
      </w:r>
      <w:r>
        <w:rPr>
          <w:rFonts w:ascii="Calibri" w:eastAsia="Calibri" w:hAnsi="Calibri" w:cs="Calibri"/>
        </w:rPr>
        <w:t>) intervention</w:t>
      </w:r>
      <w:r w:rsidRPr="001B4D83">
        <w:rPr>
          <w:rFonts w:ascii="Calibri" w:eastAsia="SimSun" w:hAnsi="Calibri" w:cs="Arial"/>
          <w:lang w:eastAsia="zh-CN"/>
        </w:rPr>
        <w:t xml:space="preserve"> </w:t>
      </w:r>
      <w:r>
        <w:rPr>
          <w:rFonts w:ascii="Calibri" w:eastAsia="Calibri" w:hAnsi="Calibri" w:cs="Calibri"/>
        </w:rPr>
        <w:t>for</w:t>
      </w:r>
      <w:r w:rsidRPr="001B4D83">
        <w:rPr>
          <w:rFonts w:ascii="Calibri" w:eastAsia="Calibri" w:hAnsi="Calibri" w:cs="Calibri"/>
        </w:rPr>
        <w:t xml:space="preserve"> increasing the work engagement of nurses on acute elderly NHS wards (Study 2). </w:t>
      </w:r>
      <w:r>
        <w:rPr>
          <w:rFonts w:ascii="Calibri" w:eastAsia="Calibri" w:hAnsi="Calibri" w:cs="Calibri"/>
        </w:rPr>
        <w:t xml:space="preserve">A corollary of this study is testing whether three core </w:t>
      </w:r>
      <w:r w:rsidRPr="001B4D83">
        <w:rPr>
          <w:rFonts w:ascii="Calibri" w:eastAsia="Calibri" w:hAnsi="Calibri" w:cs="Calibri"/>
        </w:rPr>
        <w:t>work-related need</w:t>
      </w:r>
      <w:r>
        <w:rPr>
          <w:rFonts w:ascii="Calibri" w:eastAsia="Calibri" w:hAnsi="Calibri" w:cs="Calibri"/>
        </w:rPr>
        <w:t xml:space="preserve">s are able to mediate the relationships between job resources and work engagement, as hypothesised by the </w:t>
      </w:r>
      <w:r w:rsidR="00A43B59">
        <w:rPr>
          <w:rFonts w:ascii="Calibri" w:eastAsia="Calibri" w:hAnsi="Calibri" w:cs="Calibri"/>
        </w:rPr>
        <w:t>JD-R</w:t>
      </w:r>
      <w:r>
        <w:rPr>
          <w:rFonts w:ascii="Calibri" w:eastAsia="Calibri" w:hAnsi="Calibri" w:cs="Calibri"/>
        </w:rPr>
        <w:t xml:space="preserve"> model</w:t>
      </w:r>
      <w:r w:rsidRPr="001B4D83">
        <w:rPr>
          <w:rFonts w:ascii="Calibri" w:eastAsia="Calibri" w:hAnsi="Calibri" w:cs="Calibri"/>
        </w:rPr>
        <w:t xml:space="preserve"> (</w:t>
      </w:r>
      <w:r>
        <w:rPr>
          <w:rFonts w:ascii="Calibri" w:eastAsia="Calibri" w:hAnsi="Calibri" w:cs="Calibri"/>
        </w:rPr>
        <w:t>Bakker &amp; Demerouti, 2007; 2008</w:t>
      </w:r>
      <w:r w:rsidRPr="001B4D83">
        <w:rPr>
          <w:rFonts w:ascii="Calibri" w:eastAsia="Calibri" w:hAnsi="Calibri" w:cs="Calibri"/>
        </w:rPr>
        <w:t>)</w:t>
      </w:r>
      <w:r>
        <w:rPr>
          <w:rFonts w:ascii="Calibri" w:eastAsia="Calibri" w:hAnsi="Calibri" w:cs="Calibri"/>
        </w:rPr>
        <w:t>.</w:t>
      </w:r>
    </w:p>
    <w:p w14:paraId="7C6D13DA" w14:textId="77777777" w:rsidR="008161BF" w:rsidRPr="001B4D83" w:rsidRDefault="008161BF" w:rsidP="008161BF">
      <w:pPr>
        <w:spacing w:after="200" w:line="360" w:lineRule="auto"/>
        <w:contextualSpacing/>
        <w:rPr>
          <w:rFonts w:ascii="Calibri" w:eastAsia="SimSun" w:hAnsi="Calibri" w:cs="Arial"/>
          <w:b/>
          <w:lang w:eastAsia="zh-CN"/>
        </w:rPr>
      </w:pPr>
    </w:p>
    <w:p w14:paraId="7F9F9757" w14:textId="4313836F" w:rsidR="008161BF" w:rsidRPr="001B4D83" w:rsidRDefault="008161BF" w:rsidP="008161BF">
      <w:pPr>
        <w:spacing w:after="200" w:line="360" w:lineRule="auto"/>
        <w:contextualSpacing/>
        <w:rPr>
          <w:rFonts w:ascii="Calibri" w:eastAsia="SimSun" w:hAnsi="Calibri" w:cs="Arial"/>
          <w:bCs/>
          <w:lang w:eastAsia="zh-CN"/>
        </w:rPr>
      </w:pPr>
      <w:r w:rsidRPr="001B4D83">
        <w:rPr>
          <w:rFonts w:ascii="Calibri" w:eastAsia="SimSun" w:hAnsi="Calibri" w:cs="Arial"/>
          <w:bCs/>
          <w:lang w:eastAsia="zh-CN"/>
        </w:rPr>
        <w:t>Study 1 involve</w:t>
      </w:r>
      <w:r>
        <w:rPr>
          <w:rFonts w:ascii="Calibri" w:eastAsia="SimSun" w:hAnsi="Calibri" w:cs="Arial"/>
          <w:bCs/>
          <w:lang w:eastAsia="zh-CN"/>
        </w:rPr>
        <w:t>d</w:t>
      </w:r>
      <w:r w:rsidRPr="001B4D83">
        <w:rPr>
          <w:rFonts w:ascii="Calibri" w:eastAsia="SimSun" w:hAnsi="Calibri" w:cs="Arial"/>
          <w:bCs/>
          <w:lang w:eastAsia="zh-CN"/>
        </w:rPr>
        <w:t xml:space="preserve"> </w:t>
      </w:r>
      <w:r>
        <w:rPr>
          <w:rFonts w:ascii="Calibri" w:eastAsia="SimSun" w:hAnsi="Calibri" w:cs="Arial"/>
          <w:bCs/>
          <w:lang w:eastAsia="zh-CN"/>
        </w:rPr>
        <w:t>systematically identifying, narratively reviewing and quantitatively synthesising the evidence for the effectiveness of work engagement interventions</w:t>
      </w:r>
      <w:r w:rsidRPr="001B4D83">
        <w:rPr>
          <w:rFonts w:ascii="Calibri" w:eastAsia="SimSun" w:hAnsi="Calibri" w:cs="Arial"/>
          <w:bCs/>
          <w:lang w:eastAsia="zh-CN"/>
        </w:rPr>
        <w:t>.</w:t>
      </w:r>
      <w:r>
        <w:rPr>
          <w:rFonts w:ascii="Calibri" w:eastAsia="SimSun" w:hAnsi="Calibri" w:cs="Arial"/>
          <w:bCs/>
          <w:lang w:eastAsia="zh-CN"/>
        </w:rPr>
        <w:t xml:space="preserve"> The literature was systematically searched for work engagement interventions according to specific inclusion criteria and the resulting studies were narratively reviewed to explore the types of interventions which emerged, their quality</w:t>
      </w:r>
      <w:r w:rsidR="00771847">
        <w:rPr>
          <w:rFonts w:ascii="Calibri" w:eastAsia="SimSun" w:hAnsi="Calibri" w:cs="Arial"/>
          <w:bCs/>
          <w:lang w:eastAsia="zh-CN"/>
        </w:rPr>
        <w:t>,</w:t>
      </w:r>
      <w:r>
        <w:rPr>
          <w:rFonts w:ascii="Calibri" w:eastAsia="SimSun" w:hAnsi="Calibri" w:cs="Arial"/>
          <w:bCs/>
          <w:lang w:eastAsia="zh-CN"/>
        </w:rPr>
        <w:t xml:space="preserve"> and their findings. Each study meeting the necessary methodological criteria</w:t>
      </w:r>
      <w:r w:rsidRPr="001B4D83">
        <w:rPr>
          <w:rFonts w:ascii="Calibri" w:eastAsia="SimSun" w:hAnsi="Calibri" w:cs="Arial"/>
          <w:bCs/>
          <w:lang w:eastAsia="zh-CN"/>
        </w:rPr>
        <w:t xml:space="preserve"> w</w:t>
      </w:r>
      <w:r>
        <w:rPr>
          <w:rFonts w:ascii="Calibri" w:eastAsia="SimSun" w:hAnsi="Calibri" w:cs="Arial"/>
          <w:bCs/>
          <w:lang w:eastAsia="zh-CN"/>
        </w:rPr>
        <w:t>as also included in a meta-analysis</w:t>
      </w:r>
      <w:r w:rsidRPr="001B4D83">
        <w:rPr>
          <w:rFonts w:ascii="Calibri" w:eastAsia="SimSun" w:hAnsi="Calibri" w:cs="Arial"/>
          <w:bCs/>
          <w:lang w:eastAsia="zh-CN"/>
        </w:rPr>
        <w:t xml:space="preserve">. </w:t>
      </w:r>
      <w:r>
        <w:rPr>
          <w:rFonts w:ascii="Calibri" w:eastAsia="SimSun" w:hAnsi="Calibri" w:cs="Arial"/>
          <w:bCs/>
          <w:lang w:eastAsia="zh-CN"/>
        </w:rPr>
        <w:t xml:space="preserve">A random effects </w:t>
      </w:r>
      <w:r w:rsidRPr="001B4D83">
        <w:rPr>
          <w:rFonts w:ascii="Calibri" w:eastAsia="SimSun" w:hAnsi="Calibri" w:cs="Arial"/>
          <w:bCs/>
          <w:lang w:eastAsia="zh-CN"/>
        </w:rPr>
        <w:t>meta-analy</w:t>
      </w:r>
      <w:r>
        <w:rPr>
          <w:rFonts w:ascii="Calibri" w:eastAsia="SimSun" w:hAnsi="Calibri" w:cs="Arial"/>
          <w:bCs/>
          <w:lang w:eastAsia="zh-CN"/>
        </w:rPr>
        <w:t xml:space="preserve">sis was performed </w:t>
      </w:r>
      <w:r w:rsidRPr="001B4D83">
        <w:rPr>
          <w:rFonts w:ascii="Calibri" w:eastAsia="SimSun" w:hAnsi="Calibri" w:cs="Arial"/>
          <w:bCs/>
          <w:lang w:eastAsia="zh-CN"/>
        </w:rPr>
        <w:t xml:space="preserve">and </w:t>
      </w:r>
      <w:r>
        <w:rPr>
          <w:rFonts w:ascii="Calibri" w:eastAsia="SimSun" w:hAnsi="Calibri" w:cs="Arial"/>
          <w:bCs/>
          <w:lang w:eastAsia="zh-CN"/>
        </w:rPr>
        <w:t>moderator analyses conducted to investigate the effect of intervention type and design on work engagement.</w:t>
      </w:r>
      <w:r w:rsidRPr="001B4D83">
        <w:rPr>
          <w:rFonts w:ascii="Calibri" w:eastAsia="SimSun" w:hAnsi="Calibri" w:cs="Arial"/>
          <w:bCs/>
          <w:lang w:eastAsia="zh-CN"/>
        </w:rPr>
        <w:t xml:space="preserve"> This </w:t>
      </w:r>
      <w:r>
        <w:rPr>
          <w:rFonts w:ascii="Calibri" w:eastAsia="SimSun" w:hAnsi="Calibri" w:cs="Arial"/>
          <w:bCs/>
          <w:lang w:eastAsia="zh-CN"/>
        </w:rPr>
        <w:t>study is novel in that it is the first</w:t>
      </w:r>
      <w:r w:rsidRPr="001B4D83">
        <w:rPr>
          <w:rFonts w:ascii="Calibri" w:eastAsia="SimSun" w:hAnsi="Calibri" w:cs="Arial"/>
          <w:bCs/>
          <w:lang w:eastAsia="zh-CN"/>
        </w:rPr>
        <w:t xml:space="preserve"> to </w:t>
      </w:r>
      <w:r>
        <w:rPr>
          <w:rFonts w:ascii="Calibri" w:eastAsia="SimSun" w:hAnsi="Calibri" w:cs="Arial"/>
          <w:bCs/>
          <w:lang w:eastAsia="zh-CN"/>
        </w:rPr>
        <w:t xml:space="preserve">narratively and meta-analytically </w:t>
      </w:r>
      <w:r w:rsidRPr="001B4D83">
        <w:rPr>
          <w:rFonts w:ascii="Calibri" w:eastAsia="SimSun" w:hAnsi="Calibri" w:cs="Arial"/>
          <w:bCs/>
          <w:lang w:eastAsia="zh-CN"/>
        </w:rPr>
        <w:t xml:space="preserve">synthesise results from </w:t>
      </w:r>
      <w:r w:rsidR="00597B3B">
        <w:rPr>
          <w:rFonts w:ascii="Calibri" w:eastAsia="SimSun" w:hAnsi="Calibri" w:cs="Arial"/>
          <w:bCs/>
          <w:lang w:eastAsia="zh-CN"/>
        </w:rPr>
        <w:t>individual-level</w:t>
      </w:r>
      <w:r w:rsidRPr="001B4D83">
        <w:rPr>
          <w:rFonts w:ascii="Calibri" w:eastAsia="SimSun" w:hAnsi="Calibri" w:cs="Arial"/>
          <w:bCs/>
          <w:lang w:eastAsia="zh-CN"/>
        </w:rPr>
        <w:t xml:space="preserve"> work engagement intervention studies</w:t>
      </w:r>
      <w:r>
        <w:rPr>
          <w:rFonts w:ascii="Calibri" w:eastAsia="SimSun" w:hAnsi="Calibri" w:cs="Arial"/>
          <w:bCs/>
          <w:lang w:eastAsia="zh-CN"/>
        </w:rPr>
        <w:t>. I</w:t>
      </w:r>
      <w:r w:rsidRPr="001B4D83">
        <w:rPr>
          <w:rFonts w:ascii="Calibri" w:eastAsia="SimSun" w:hAnsi="Calibri" w:cs="Arial"/>
          <w:bCs/>
          <w:lang w:eastAsia="zh-CN"/>
        </w:rPr>
        <w:t xml:space="preserve">t </w:t>
      </w:r>
      <w:r>
        <w:rPr>
          <w:rFonts w:ascii="Calibri" w:eastAsia="SimSun" w:hAnsi="Calibri" w:cs="Arial"/>
          <w:bCs/>
          <w:lang w:eastAsia="zh-CN"/>
        </w:rPr>
        <w:t>therefore contributes substantially to the developing evidence base. In addition, it offers a novel taxonomy for grouping interventions, providing a means of organising research into streams and taking it forward. It is hoped that this research will a</w:t>
      </w:r>
      <w:r w:rsidRPr="001B4D83">
        <w:rPr>
          <w:rFonts w:ascii="Calibri" w:eastAsia="SimSun" w:hAnsi="Calibri" w:cs="Arial"/>
          <w:bCs/>
          <w:lang w:eastAsia="zh-CN"/>
        </w:rPr>
        <w:t xml:space="preserve">dvance </w:t>
      </w:r>
      <w:r w:rsidRPr="001B4D83">
        <w:rPr>
          <w:rFonts w:ascii="Calibri" w:eastAsia="SimSun" w:hAnsi="Calibri" w:cs="Arial"/>
          <w:bCs/>
          <w:lang w:eastAsia="zh-CN"/>
        </w:rPr>
        <w:lastRenderedPageBreak/>
        <w:t>theory and practice by stimulating dialogue concerning the development and implementation of appropriate interventions.</w:t>
      </w:r>
    </w:p>
    <w:p w14:paraId="287DDC45" w14:textId="77777777" w:rsidR="008161BF" w:rsidRPr="001B4D83" w:rsidRDefault="008161BF" w:rsidP="008161BF">
      <w:pPr>
        <w:spacing w:after="200" w:line="360" w:lineRule="auto"/>
        <w:contextualSpacing/>
        <w:rPr>
          <w:rFonts w:ascii="Calibri" w:eastAsia="SimSun" w:hAnsi="Calibri" w:cs="Arial"/>
          <w:b/>
          <w:lang w:eastAsia="zh-CN"/>
        </w:rPr>
      </w:pPr>
    </w:p>
    <w:p w14:paraId="7F77F9B0" w14:textId="0E468C6C" w:rsidR="008161BF" w:rsidRDefault="008161BF" w:rsidP="008161BF">
      <w:pPr>
        <w:spacing w:after="200" w:line="360" w:lineRule="auto"/>
        <w:contextualSpacing/>
        <w:rPr>
          <w:rFonts w:ascii="Calibri" w:eastAsia="SimSun" w:hAnsi="Calibri" w:cs="Arial"/>
          <w:lang w:eastAsia="zh-CN"/>
        </w:rPr>
      </w:pPr>
      <w:r w:rsidRPr="001B4D83">
        <w:rPr>
          <w:rFonts w:ascii="Calibri" w:eastAsia="SimSun" w:hAnsi="Calibri" w:cs="Arial"/>
          <w:lang w:eastAsia="zh-CN"/>
        </w:rPr>
        <w:t>Study 2 employ</w:t>
      </w:r>
      <w:r>
        <w:rPr>
          <w:rFonts w:ascii="Calibri" w:eastAsia="SimSun" w:hAnsi="Calibri" w:cs="Arial"/>
          <w:lang w:eastAsia="zh-CN"/>
        </w:rPr>
        <w:t>ed</w:t>
      </w:r>
      <w:r w:rsidRPr="001B4D83">
        <w:rPr>
          <w:rFonts w:ascii="Calibri" w:eastAsia="SimSun" w:hAnsi="Calibri" w:cs="Arial"/>
          <w:lang w:eastAsia="zh-CN"/>
        </w:rPr>
        <w:t xml:space="preserve"> a longitudinal</w:t>
      </w:r>
      <w:r>
        <w:rPr>
          <w:rFonts w:ascii="Calibri" w:eastAsia="SimSun" w:hAnsi="Calibri" w:cs="Arial"/>
          <w:lang w:eastAsia="zh-CN"/>
        </w:rPr>
        <w:t xml:space="preserve"> (two-wave)</w:t>
      </w:r>
      <w:r w:rsidRPr="001B4D83">
        <w:rPr>
          <w:rFonts w:ascii="Calibri" w:eastAsia="SimSun" w:hAnsi="Calibri" w:cs="Arial"/>
          <w:lang w:eastAsia="zh-CN"/>
        </w:rPr>
        <w:t>, non-randomised, matched control group, pre-test, post-test quasi-</w:t>
      </w:r>
      <w:r>
        <w:rPr>
          <w:rFonts w:ascii="Calibri" w:eastAsia="SimSun" w:hAnsi="Calibri" w:cs="Arial"/>
          <w:lang w:eastAsia="zh-CN"/>
        </w:rPr>
        <w:t>experimental design in which six</w:t>
      </w:r>
      <w:r w:rsidRPr="001B4D83">
        <w:rPr>
          <w:rFonts w:ascii="Calibri" w:eastAsia="SimSun" w:hAnsi="Calibri" w:cs="Arial"/>
          <w:lang w:eastAsia="zh-CN"/>
        </w:rPr>
        <w:t xml:space="preserve"> N</w:t>
      </w:r>
      <w:r>
        <w:rPr>
          <w:rFonts w:ascii="Calibri" w:eastAsia="SimSun" w:hAnsi="Calibri" w:cs="Arial"/>
          <w:lang w:eastAsia="zh-CN"/>
        </w:rPr>
        <w:t>HS acute elderly care wards</w:t>
      </w:r>
      <w:r w:rsidRPr="001B4D83">
        <w:rPr>
          <w:rFonts w:ascii="Calibri" w:eastAsia="SimSun" w:hAnsi="Calibri" w:cs="Arial"/>
          <w:lang w:eastAsia="zh-CN"/>
        </w:rPr>
        <w:t xml:space="preserve"> participate</w:t>
      </w:r>
      <w:r>
        <w:rPr>
          <w:rFonts w:ascii="Calibri" w:eastAsia="SimSun" w:hAnsi="Calibri" w:cs="Arial"/>
          <w:lang w:eastAsia="zh-CN"/>
        </w:rPr>
        <w:t>d</w:t>
      </w:r>
      <w:r w:rsidRPr="001B4D83">
        <w:rPr>
          <w:rFonts w:ascii="Calibri" w:eastAsia="SimSun" w:hAnsi="Calibri" w:cs="Arial"/>
          <w:lang w:eastAsia="zh-CN"/>
        </w:rPr>
        <w:t xml:space="preserve"> in a </w:t>
      </w:r>
      <w:r w:rsidR="00597B3B">
        <w:rPr>
          <w:rFonts w:ascii="Calibri" w:eastAsia="SimSun" w:hAnsi="Calibri" w:cs="Arial"/>
          <w:lang w:eastAsia="zh-CN"/>
        </w:rPr>
        <w:t>group-level</w:t>
      </w:r>
      <w:r w:rsidRPr="001B4D83">
        <w:rPr>
          <w:rFonts w:ascii="Calibri" w:eastAsia="SimSun" w:hAnsi="Calibri" w:cs="Arial"/>
          <w:lang w:eastAsia="zh-CN"/>
        </w:rPr>
        <w:t xml:space="preserve"> work enga</w:t>
      </w:r>
      <w:r>
        <w:rPr>
          <w:rFonts w:ascii="Calibri" w:eastAsia="SimSun" w:hAnsi="Calibri" w:cs="Arial"/>
          <w:lang w:eastAsia="zh-CN"/>
        </w:rPr>
        <w:t>gement intervention adopting a participatory action research</w:t>
      </w:r>
      <w:r w:rsidRPr="001B4D83">
        <w:rPr>
          <w:rFonts w:ascii="Calibri" w:eastAsia="SimSun" w:hAnsi="Calibri" w:cs="Arial"/>
          <w:lang w:eastAsia="zh-CN"/>
        </w:rPr>
        <w:t xml:space="preserve"> approach. </w:t>
      </w:r>
      <w:r w:rsidRPr="0087435A">
        <w:rPr>
          <w:rFonts w:ascii="Calibri" w:eastAsia="SimSun" w:hAnsi="Calibri" w:cs="Arial"/>
          <w:lang w:eastAsia="zh-CN"/>
        </w:rPr>
        <w:t>I</w:t>
      </w:r>
      <w:r>
        <w:rPr>
          <w:rFonts w:ascii="Calibri" w:eastAsia="SimSun" w:hAnsi="Calibri" w:cs="Arial"/>
          <w:lang w:eastAsia="zh-CN"/>
        </w:rPr>
        <w:t>n accordance with the guiding principles of PAR (Lewin, 1946), i</w:t>
      </w:r>
      <w:r w:rsidRPr="0087435A">
        <w:rPr>
          <w:rFonts w:ascii="Calibri" w:eastAsia="SimSun" w:hAnsi="Calibri" w:cs="Arial"/>
          <w:lang w:eastAsia="zh-CN"/>
        </w:rPr>
        <w:t xml:space="preserve">t </w:t>
      </w:r>
      <w:r>
        <w:rPr>
          <w:rFonts w:ascii="Calibri" w:eastAsia="SimSun" w:hAnsi="Calibri" w:cs="Arial"/>
          <w:lang w:eastAsia="zh-CN"/>
        </w:rPr>
        <w:t>was hoped that by involving</w:t>
      </w:r>
      <w:r w:rsidRPr="0087435A">
        <w:rPr>
          <w:rFonts w:ascii="Calibri" w:eastAsia="SimSun" w:hAnsi="Calibri" w:cs="Arial"/>
          <w:lang w:eastAsia="zh-CN"/>
        </w:rPr>
        <w:t xml:space="preserve"> nurs</w:t>
      </w:r>
      <w:r>
        <w:rPr>
          <w:rFonts w:ascii="Calibri" w:eastAsia="SimSun" w:hAnsi="Calibri" w:cs="Arial"/>
          <w:lang w:eastAsia="zh-CN"/>
        </w:rPr>
        <w:t>ing staff</w:t>
      </w:r>
      <w:r w:rsidRPr="0087435A">
        <w:rPr>
          <w:rFonts w:ascii="Calibri" w:eastAsia="SimSun" w:hAnsi="Calibri" w:cs="Arial"/>
          <w:lang w:eastAsia="zh-CN"/>
        </w:rPr>
        <w:t xml:space="preserve"> themselves in the design, development and </w:t>
      </w:r>
      <w:r>
        <w:rPr>
          <w:rFonts w:ascii="Calibri" w:eastAsia="SimSun" w:hAnsi="Calibri" w:cs="Arial"/>
          <w:lang w:eastAsia="zh-CN"/>
        </w:rPr>
        <w:t xml:space="preserve">implementation </w:t>
      </w:r>
      <w:r w:rsidRPr="0087435A">
        <w:rPr>
          <w:rFonts w:ascii="Calibri" w:eastAsia="SimSun" w:hAnsi="Calibri" w:cs="Arial"/>
          <w:lang w:eastAsia="zh-CN"/>
        </w:rPr>
        <w:t xml:space="preserve">of interventions, </w:t>
      </w:r>
      <w:r>
        <w:rPr>
          <w:rFonts w:ascii="Calibri" w:eastAsia="SimSun" w:hAnsi="Calibri" w:cs="Arial"/>
          <w:lang w:eastAsia="zh-CN"/>
        </w:rPr>
        <w:t xml:space="preserve">specific job resources could be increased, </w:t>
      </w:r>
      <w:r w:rsidRPr="0087435A">
        <w:rPr>
          <w:rFonts w:ascii="Calibri" w:eastAsia="SimSun" w:hAnsi="Calibri" w:cs="Arial"/>
          <w:lang w:eastAsia="zh-CN"/>
        </w:rPr>
        <w:t>work-related needs for autonomy, competence and</w:t>
      </w:r>
      <w:r>
        <w:rPr>
          <w:rFonts w:ascii="Calibri" w:eastAsia="SimSun" w:hAnsi="Calibri" w:cs="Arial"/>
          <w:lang w:eastAsia="zh-CN"/>
        </w:rPr>
        <w:t xml:space="preserve"> relatedness</w:t>
      </w:r>
      <w:r w:rsidRPr="0087435A">
        <w:rPr>
          <w:rFonts w:ascii="Calibri" w:eastAsia="SimSun" w:hAnsi="Calibri" w:cs="Arial"/>
          <w:lang w:eastAsia="zh-CN"/>
        </w:rPr>
        <w:t xml:space="preserve"> met, and an increase in work engagement </w:t>
      </w:r>
      <w:r>
        <w:rPr>
          <w:rFonts w:ascii="Calibri" w:eastAsia="SimSun" w:hAnsi="Calibri" w:cs="Arial"/>
          <w:lang w:eastAsia="zh-CN"/>
        </w:rPr>
        <w:t>achieved</w:t>
      </w:r>
      <w:r w:rsidRPr="0087435A">
        <w:rPr>
          <w:rFonts w:ascii="Calibri" w:eastAsia="SimSun" w:hAnsi="Calibri" w:cs="Arial"/>
          <w:lang w:eastAsia="zh-CN"/>
        </w:rPr>
        <w:t>.</w:t>
      </w:r>
      <w:r>
        <w:rPr>
          <w:rFonts w:ascii="Calibri" w:eastAsia="SimSun" w:hAnsi="Calibri" w:cs="Arial"/>
          <w:lang w:eastAsia="zh-CN"/>
        </w:rPr>
        <w:t xml:space="preserve"> Pre- and post- intervention questionnaires were used to collect data and the effectiveness of the intervention was assessed statistically. The data collected was also used to test whether core work-related needs for autonomy, competence and relatedness mediated between job resources and work engagement, in accordance with work engagement theory (Bakker &amp; Demerouti, 2007; 2008). </w:t>
      </w:r>
    </w:p>
    <w:p w14:paraId="38B2BEBD" w14:textId="77777777" w:rsidR="008161BF" w:rsidRDefault="008161BF" w:rsidP="008161BF">
      <w:pPr>
        <w:spacing w:after="200" w:line="360" w:lineRule="auto"/>
        <w:contextualSpacing/>
        <w:rPr>
          <w:rFonts w:ascii="Calibri" w:eastAsia="SimSun" w:hAnsi="Calibri" w:cs="Arial"/>
          <w:lang w:eastAsia="zh-CN"/>
        </w:rPr>
      </w:pPr>
    </w:p>
    <w:p w14:paraId="3C4C1E6B" w14:textId="77777777" w:rsidR="008161BF" w:rsidRDefault="008161BF" w:rsidP="008161BF">
      <w:pPr>
        <w:spacing w:after="200" w:line="360" w:lineRule="auto"/>
        <w:contextualSpacing/>
        <w:rPr>
          <w:rFonts w:ascii="Calibri" w:eastAsia="SimSun" w:hAnsi="Calibri" w:cs="Arial"/>
          <w:lang w:eastAsia="zh-CN"/>
        </w:rPr>
      </w:pPr>
      <w:r w:rsidRPr="001B4D83">
        <w:rPr>
          <w:rFonts w:ascii="Calibri" w:eastAsia="SimSun" w:hAnsi="Calibri" w:cs="Arial"/>
          <w:lang w:eastAsia="zh-CN"/>
        </w:rPr>
        <w:t>Like Study 1,</w:t>
      </w:r>
      <w:r>
        <w:rPr>
          <w:rFonts w:ascii="Calibri" w:eastAsia="SimSun" w:hAnsi="Calibri" w:cs="Arial"/>
          <w:lang w:eastAsia="zh-CN"/>
        </w:rPr>
        <w:t xml:space="preserve"> Study 2</w:t>
      </w:r>
      <w:r w:rsidRPr="001B4D83">
        <w:rPr>
          <w:rFonts w:ascii="Calibri" w:eastAsia="SimSun" w:hAnsi="Calibri" w:cs="Arial"/>
          <w:lang w:eastAsia="zh-CN"/>
        </w:rPr>
        <w:t xml:space="preserve"> contribute</w:t>
      </w:r>
      <w:r>
        <w:rPr>
          <w:rFonts w:ascii="Calibri" w:eastAsia="SimSun" w:hAnsi="Calibri" w:cs="Arial"/>
          <w:lang w:eastAsia="zh-CN"/>
        </w:rPr>
        <w:t>s</w:t>
      </w:r>
      <w:r w:rsidRPr="001B4D83">
        <w:rPr>
          <w:rFonts w:ascii="Calibri" w:eastAsia="SimSun" w:hAnsi="Calibri" w:cs="Arial"/>
          <w:lang w:eastAsia="zh-CN"/>
        </w:rPr>
        <w:t xml:space="preserve"> to the </w:t>
      </w:r>
      <w:r>
        <w:rPr>
          <w:rFonts w:ascii="Calibri" w:eastAsia="SimSun" w:hAnsi="Calibri" w:cs="Arial"/>
          <w:lang w:eastAsia="zh-CN"/>
        </w:rPr>
        <w:t xml:space="preserve">developing </w:t>
      </w:r>
      <w:r w:rsidRPr="001B4D83">
        <w:rPr>
          <w:rFonts w:ascii="Calibri" w:eastAsia="SimSun" w:hAnsi="Calibri" w:cs="Arial"/>
          <w:lang w:eastAsia="zh-CN"/>
        </w:rPr>
        <w:t>evidence base for work eng</w:t>
      </w:r>
      <w:r>
        <w:rPr>
          <w:rFonts w:ascii="Calibri" w:eastAsia="SimSun" w:hAnsi="Calibri" w:cs="Arial"/>
          <w:lang w:eastAsia="zh-CN"/>
        </w:rPr>
        <w:t xml:space="preserve">agement theory and interventions and </w:t>
      </w:r>
      <w:r w:rsidRPr="001B4D83">
        <w:rPr>
          <w:rFonts w:ascii="Calibri" w:eastAsia="SimSun" w:hAnsi="Calibri" w:cs="Arial"/>
          <w:lang w:eastAsia="zh-CN"/>
        </w:rPr>
        <w:t>highlight</w:t>
      </w:r>
      <w:r>
        <w:rPr>
          <w:rFonts w:ascii="Calibri" w:eastAsia="SimSun" w:hAnsi="Calibri" w:cs="Arial"/>
          <w:lang w:eastAsia="zh-CN"/>
        </w:rPr>
        <w:t>s</w:t>
      </w:r>
      <w:r w:rsidRPr="001B4D83">
        <w:rPr>
          <w:rFonts w:ascii="Calibri" w:eastAsia="SimSun" w:hAnsi="Calibri" w:cs="Arial"/>
          <w:lang w:eastAsia="zh-CN"/>
        </w:rPr>
        <w:t xml:space="preserve"> avenues for future research</w:t>
      </w:r>
      <w:r>
        <w:rPr>
          <w:rFonts w:ascii="Calibri" w:eastAsia="SimSun" w:hAnsi="Calibri" w:cs="Arial"/>
          <w:lang w:eastAsia="zh-CN"/>
        </w:rPr>
        <w:t xml:space="preserve">, particularly around the design and implementation of interventions. The challenges faced by researchers conducting organisational intervention research were self-evident and recommendations are made to enable future researchers and practitioners to progress work engagement intervention research more effectively and efficiently. Taken together, it is hoped that the value of these findings will be realised by researchers and practitioners everywhere and stimulate further dialogue about how best to take work engagement research forward.   </w:t>
      </w:r>
    </w:p>
    <w:p w14:paraId="4F37CCD5" w14:textId="77777777" w:rsidR="008161BF" w:rsidRDefault="008161BF" w:rsidP="008161BF">
      <w:pPr>
        <w:spacing w:after="200" w:line="360" w:lineRule="auto"/>
        <w:contextualSpacing/>
        <w:rPr>
          <w:rFonts w:ascii="Calibri" w:eastAsia="SimSun" w:hAnsi="Calibri" w:cs="Arial"/>
          <w:lang w:eastAsia="zh-CN"/>
        </w:rPr>
      </w:pPr>
    </w:p>
    <w:p w14:paraId="2AB9D8AD" w14:textId="31CFDC97" w:rsidR="008161BF" w:rsidRPr="006C59DE" w:rsidRDefault="008161BF" w:rsidP="00381B7C">
      <w:pPr>
        <w:pStyle w:val="Thesisheading2"/>
      </w:pPr>
      <w:bookmarkStart w:id="10" w:name="_Toc468285916"/>
      <w:r w:rsidRPr="006C59DE">
        <w:t>Thesis structure</w:t>
      </w:r>
      <w:bookmarkEnd w:id="10"/>
    </w:p>
    <w:p w14:paraId="36BA41C2" w14:textId="77777777" w:rsidR="008161BF" w:rsidRDefault="008161BF" w:rsidP="008161BF">
      <w:pPr>
        <w:spacing w:after="200" w:line="360" w:lineRule="auto"/>
        <w:contextualSpacing/>
        <w:rPr>
          <w:rFonts w:ascii="Calibri" w:eastAsia="SimSun" w:hAnsi="Calibri" w:cs="Arial"/>
          <w:lang w:eastAsia="zh-CN"/>
        </w:rPr>
      </w:pPr>
    </w:p>
    <w:p w14:paraId="2CEEAA94" w14:textId="7C08D986" w:rsidR="008161BF" w:rsidRDefault="008161BF" w:rsidP="008161BF">
      <w:pPr>
        <w:spacing w:after="200" w:line="360" w:lineRule="auto"/>
        <w:contextualSpacing/>
        <w:rPr>
          <w:rFonts w:ascii="Calibri" w:eastAsia="SimSun" w:hAnsi="Calibri" w:cs="Arial"/>
          <w:lang w:eastAsia="zh-CN"/>
        </w:rPr>
      </w:pPr>
      <w:r>
        <w:rPr>
          <w:rFonts w:ascii="Calibri" w:eastAsia="SimSun" w:hAnsi="Calibri" w:cs="Arial"/>
          <w:lang w:eastAsia="zh-CN"/>
        </w:rPr>
        <w:t>This thesis is formed of ten chapters. Whilst this introductory chapter comprises Chapter 1, Chapters 2, 3 and 4 together comprise a critical literature review and culminate in the rationale for</w:t>
      </w:r>
      <w:r w:rsidR="006A509A">
        <w:rPr>
          <w:rFonts w:ascii="Calibri" w:eastAsia="SimSun" w:hAnsi="Calibri" w:cs="Arial"/>
          <w:lang w:eastAsia="zh-CN"/>
        </w:rPr>
        <w:t>,</w:t>
      </w:r>
      <w:r>
        <w:rPr>
          <w:rFonts w:ascii="Calibri" w:eastAsia="SimSun" w:hAnsi="Calibri" w:cs="Arial"/>
          <w:lang w:eastAsia="zh-CN"/>
        </w:rPr>
        <w:t xml:space="preserve"> and aims of</w:t>
      </w:r>
      <w:r w:rsidR="006A509A">
        <w:rPr>
          <w:rFonts w:ascii="Calibri" w:eastAsia="SimSun" w:hAnsi="Calibri" w:cs="Arial"/>
          <w:lang w:eastAsia="zh-CN"/>
        </w:rPr>
        <w:t>,</w:t>
      </w:r>
      <w:r>
        <w:rPr>
          <w:rFonts w:ascii="Calibri" w:eastAsia="SimSun" w:hAnsi="Calibri" w:cs="Arial"/>
          <w:lang w:eastAsia="zh-CN"/>
        </w:rPr>
        <w:t xml:space="preserve"> Studies 1 and 2. Chapters 4 and 5 detail the method and results of the narrative systematic review and meta-analysis. Chapter 7 presents the method for the participatory action intervention study and mediation analyses. The results of these are presented in Chapters 8 and 9. Chapter 10 forms the core discussion, exploring the findings of both studies in relation to theory</w:t>
      </w:r>
      <w:r w:rsidR="006A509A">
        <w:rPr>
          <w:rFonts w:ascii="Calibri" w:eastAsia="SimSun" w:hAnsi="Calibri" w:cs="Arial"/>
          <w:lang w:eastAsia="zh-CN"/>
        </w:rPr>
        <w:t>,</w:t>
      </w:r>
      <w:r>
        <w:rPr>
          <w:rFonts w:ascii="Calibri" w:eastAsia="SimSun" w:hAnsi="Calibri" w:cs="Arial"/>
          <w:lang w:eastAsia="zh-CN"/>
        </w:rPr>
        <w:t xml:space="preserve"> and draws out important research </w:t>
      </w:r>
      <w:r w:rsidR="000E55AB">
        <w:rPr>
          <w:rFonts w:ascii="Calibri" w:eastAsia="SimSun" w:hAnsi="Calibri" w:cs="Arial"/>
          <w:lang w:eastAsia="zh-CN"/>
        </w:rPr>
        <w:t xml:space="preserve">contributions </w:t>
      </w:r>
      <w:r>
        <w:rPr>
          <w:rFonts w:ascii="Calibri" w:eastAsia="SimSun" w:hAnsi="Calibri" w:cs="Arial"/>
          <w:lang w:eastAsia="zh-CN"/>
        </w:rPr>
        <w:t xml:space="preserve">and practical implications. A final conclusion is presented at the </w:t>
      </w:r>
      <w:r>
        <w:rPr>
          <w:rFonts w:ascii="Calibri" w:eastAsia="SimSun" w:hAnsi="Calibri" w:cs="Arial"/>
          <w:lang w:eastAsia="zh-CN"/>
        </w:rPr>
        <w:lastRenderedPageBreak/>
        <w:t xml:space="preserve">end of this chapter. The purpose, content, and contribution of each chapter is described in more depth below. </w:t>
      </w:r>
    </w:p>
    <w:p w14:paraId="7A8DD892" w14:textId="77777777" w:rsidR="000E55AB" w:rsidRDefault="000E55AB" w:rsidP="008161BF">
      <w:pPr>
        <w:spacing w:after="200" w:line="360" w:lineRule="auto"/>
        <w:contextualSpacing/>
        <w:rPr>
          <w:rFonts w:ascii="Calibri" w:eastAsia="SimSun" w:hAnsi="Calibri" w:cs="Arial"/>
          <w:lang w:eastAsia="zh-CN"/>
        </w:rPr>
      </w:pPr>
    </w:p>
    <w:p w14:paraId="5B12CD5A" w14:textId="07FCFF6D" w:rsidR="008161BF" w:rsidRPr="001B4D83" w:rsidRDefault="008161BF" w:rsidP="008161BF">
      <w:pPr>
        <w:spacing w:after="200" w:line="360" w:lineRule="auto"/>
        <w:contextualSpacing/>
        <w:rPr>
          <w:rFonts w:ascii="Calibri" w:eastAsia="SimSun" w:hAnsi="Calibri" w:cs="Arial"/>
          <w:lang w:eastAsia="zh-CN"/>
        </w:rPr>
      </w:pPr>
      <w:r>
        <w:rPr>
          <w:rFonts w:ascii="Calibri" w:eastAsia="SimSun" w:hAnsi="Calibri" w:cs="Arial"/>
          <w:lang w:eastAsia="zh-CN"/>
        </w:rPr>
        <w:t xml:space="preserve">Chapter 2 critically reviews two related areas: i) work engagement theory; and ii) work engagement intervention research. The first area delves into the meaning and origin of work engagement, before moving on to discuss a key theory of human motivation, </w:t>
      </w:r>
      <w:r w:rsidR="00C17CB1">
        <w:rPr>
          <w:rFonts w:ascii="Calibri" w:eastAsia="SimSun" w:hAnsi="Calibri" w:cs="Arial"/>
          <w:lang w:eastAsia="zh-CN"/>
        </w:rPr>
        <w:t>Self-Determination Theory</w:t>
      </w:r>
      <w:r>
        <w:rPr>
          <w:rFonts w:ascii="Calibri" w:eastAsia="SimSun" w:hAnsi="Calibri" w:cs="Arial"/>
          <w:lang w:eastAsia="zh-CN"/>
        </w:rPr>
        <w:t xml:space="preserve"> (SDT; </w:t>
      </w:r>
      <w:r w:rsidRPr="001B4D83">
        <w:rPr>
          <w:rFonts w:ascii="Calibri" w:eastAsia="Calibri" w:hAnsi="Calibri" w:cs="Calibri"/>
        </w:rPr>
        <w:t>Deci</w:t>
      </w:r>
      <w:r>
        <w:rPr>
          <w:rFonts w:ascii="Calibri" w:eastAsia="Calibri" w:hAnsi="Calibri" w:cs="Calibri"/>
        </w:rPr>
        <w:t xml:space="preserve"> et al., </w:t>
      </w:r>
      <w:r w:rsidRPr="001B4D83">
        <w:rPr>
          <w:rFonts w:ascii="Calibri" w:eastAsia="Calibri" w:hAnsi="Calibri" w:cs="Calibri"/>
        </w:rPr>
        <w:t>2001</w:t>
      </w:r>
      <w:r>
        <w:rPr>
          <w:rFonts w:ascii="Calibri" w:eastAsia="SimSun" w:hAnsi="Calibri" w:cs="Arial"/>
          <w:lang w:eastAsia="zh-CN"/>
        </w:rPr>
        <w:t>), which is the underlyin</w:t>
      </w:r>
      <w:r w:rsidR="0050600A">
        <w:rPr>
          <w:rFonts w:ascii="Calibri" w:eastAsia="SimSun" w:hAnsi="Calibri" w:cs="Arial"/>
          <w:lang w:eastAsia="zh-CN"/>
        </w:rPr>
        <w:t>g explanatory framework for the</w:t>
      </w:r>
      <w:r>
        <w:rPr>
          <w:rFonts w:ascii="Calibri" w:eastAsia="SimSun" w:hAnsi="Calibri" w:cs="Arial"/>
          <w:lang w:eastAsia="zh-CN"/>
        </w:rPr>
        <w:t xml:space="preserve"> </w:t>
      </w:r>
      <w:r w:rsidR="00A43B59">
        <w:rPr>
          <w:rFonts w:ascii="Calibri" w:eastAsia="SimSun" w:hAnsi="Calibri" w:cs="Arial"/>
          <w:lang w:eastAsia="zh-CN"/>
        </w:rPr>
        <w:t>Job Demands-Resources</w:t>
      </w:r>
      <w:r>
        <w:rPr>
          <w:rFonts w:ascii="Calibri" w:eastAsia="SimSun" w:hAnsi="Calibri" w:cs="Arial"/>
          <w:lang w:eastAsia="zh-CN"/>
        </w:rPr>
        <w:t xml:space="preserve"> model </w:t>
      </w:r>
      <w:r w:rsidR="0050600A">
        <w:rPr>
          <w:rFonts w:ascii="Calibri" w:eastAsia="SimSun" w:hAnsi="Calibri" w:cs="Arial"/>
          <w:lang w:eastAsia="zh-CN"/>
        </w:rPr>
        <w:t xml:space="preserve">of work engagement </w:t>
      </w:r>
      <w:r>
        <w:rPr>
          <w:rFonts w:ascii="Calibri" w:eastAsia="SimSun" w:hAnsi="Calibri" w:cs="Arial"/>
          <w:lang w:eastAsia="zh-CN"/>
        </w:rPr>
        <w:t>(</w:t>
      </w:r>
      <w:r w:rsidR="00A43B59">
        <w:rPr>
          <w:rFonts w:ascii="Calibri" w:eastAsia="SimSun" w:hAnsi="Calibri" w:cs="Arial"/>
          <w:lang w:eastAsia="zh-CN"/>
        </w:rPr>
        <w:t>JD-R</w:t>
      </w:r>
      <w:r>
        <w:rPr>
          <w:rFonts w:ascii="Calibri" w:eastAsia="SimSun" w:hAnsi="Calibri" w:cs="Arial"/>
          <w:lang w:eastAsia="zh-CN"/>
        </w:rPr>
        <w:t xml:space="preserve">; Bakker &amp; Demerouti, 2007; 2008). Antecedents and outcomes of work engagement are critically discussed in relation to this model and SDT. The second area presents a scoping review into the type of interventions which have been conducted within organisations to increase work engagement, its antecedents and outcomes. The </w:t>
      </w:r>
      <w:r w:rsidR="00822D31">
        <w:rPr>
          <w:rFonts w:ascii="Calibri" w:eastAsia="SimSun" w:hAnsi="Calibri" w:cs="Arial"/>
          <w:lang w:eastAsia="zh-CN"/>
        </w:rPr>
        <w:t>heterogeneous</w:t>
      </w:r>
      <w:r>
        <w:rPr>
          <w:rFonts w:ascii="Calibri" w:eastAsia="SimSun" w:hAnsi="Calibri" w:cs="Arial"/>
          <w:lang w:eastAsia="zh-CN"/>
        </w:rPr>
        <w:t xml:space="preserve"> mix of interventions and results observed strongly indicated the value in conducting a systematic review of the work engagement intervention literature for moving the field forwards. Together, these two sections serve to provide solid, up-to-date, background theory upon which the rationale for both studies is built.</w:t>
      </w:r>
    </w:p>
    <w:p w14:paraId="7B5CCA83" w14:textId="77777777" w:rsidR="008161BF" w:rsidRDefault="008161BF" w:rsidP="008161BF">
      <w:pPr>
        <w:spacing w:line="360" w:lineRule="auto"/>
        <w:contextualSpacing/>
        <w:rPr>
          <w:b/>
        </w:rPr>
      </w:pPr>
    </w:p>
    <w:p w14:paraId="31D1F51B" w14:textId="47866E4F" w:rsidR="008161BF" w:rsidRDefault="008161BF" w:rsidP="008161BF">
      <w:pPr>
        <w:spacing w:line="360" w:lineRule="auto"/>
        <w:contextualSpacing/>
      </w:pPr>
      <w:r>
        <w:t>Chapter 3 focuses on reviewing the literature pertaining to the design, implementation, and evaluation of organisational interventions. Building on the previous chapter, this chapter reveals the importance of negotiating intervention designs with organisations, moving away from the traditional, ‘gold standard’ randomised controlled trial design towards a design which is appropriate to the research setting. Several recommendations are drawn which are hoped will enable researchers ensure the successful implementation of future interventions. This chapter builds towards a rationale for Study 2, and details the three aims of Study 1, which are to explore whether: i) work engagement interventions are effective ii) intervention type is related to intervention effectiveness; and whether ii) study quality and implementation impacts</w:t>
      </w:r>
      <w:r w:rsidR="004B3ACB">
        <w:t xml:space="preserve"> on intervention effectiveness.</w:t>
      </w:r>
    </w:p>
    <w:p w14:paraId="5EB4EDD7" w14:textId="77777777" w:rsidR="008161BF" w:rsidRDefault="008161BF" w:rsidP="008161BF">
      <w:pPr>
        <w:spacing w:line="360" w:lineRule="auto"/>
        <w:contextualSpacing/>
      </w:pPr>
    </w:p>
    <w:p w14:paraId="5E15338F" w14:textId="2DB238BE" w:rsidR="008161BF" w:rsidRDefault="008161BF" w:rsidP="008161BF">
      <w:pPr>
        <w:spacing w:line="360" w:lineRule="auto"/>
        <w:contextualSpacing/>
      </w:pPr>
      <w:r>
        <w:t xml:space="preserve">Chapter 4 focuses on providing the background to a </w:t>
      </w:r>
      <w:r w:rsidR="00597B3B">
        <w:t>group-level</w:t>
      </w:r>
      <w:r>
        <w:t>, participatory intervention for improving positive outcomes in employees</w:t>
      </w:r>
      <w:r w:rsidR="00E355B1">
        <w:t>,</w:t>
      </w:r>
      <w:r>
        <w:t xml:space="preserve"> such as work engagement and </w:t>
      </w:r>
      <w:r w:rsidR="001D6140">
        <w:t>well-being</w:t>
      </w:r>
      <w:r>
        <w:t xml:space="preserve">. As highlighted in section 1.2, this type of intervention is particularly applicable to organisations in which working in groups is crucial, for example, healthcare settings. The value of this type of intervention for improving patient care and employee </w:t>
      </w:r>
      <w:r w:rsidR="001D6140">
        <w:t>well-being</w:t>
      </w:r>
      <w:r>
        <w:t xml:space="preserve">, and decreasing burnout and sickness absence, is explored. The chapter highlights the lack of evidence for the effectiveness of PAR interventions to increase work engagement, however, it also highlights the suitability of healthcare settings for such </w:t>
      </w:r>
      <w:r>
        <w:lastRenderedPageBreak/>
        <w:t xml:space="preserve">an intervention, and why increasing engagement in nursing staff is of value to both individuals and organisations. The final part of the chapter describes the rationale for the study and the theory upon which it is predicated, that is, how increasing job resources which are particularly important within healthcare settings (social support, influence in decision-making, and a balance between resources and demands) is hypothesised to satisfy individuals’ needs for autonomy, competence and relatedness, ultimately leading to work engagement, in accordance with the </w:t>
      </w:r>
      <w:r w:rsidR="00A43B59">
        <w:t>JD-R</w:t>
      </w:r>
      <w:r>
        <w:t xml:space="preserve"> model. Two aims form the basis of this study: i) to evaluate whether a </w:t>
      </w:r>
      <w:r w:rsidR="00597B3B">
        <w:t>group-level</w:t>
      </w:r>
      <w:r>
        <w:t xml:space="preserve"> PAR intervention with nursing staff on acute elderly NHS wards is effective for increasing work engagement and </w:t>
      </w:r>
      <w:r w:rsidR="001D6140">
        <w:t>well-being</w:t>
      </w:r>
      <w:r>
        <w:t>; and ii) to evaluate whether satisfaction of core work-related needs mediates between job resources and work engagement.</w:t>
      </w:r>
    </w:p>
    <w:p w14:paraId="6E67E8B6" w14:textId="77777777" w:rsidR="008161BF" w:rsidRDefault="008161BF" w:rsidP="008161BF">
      <w:pPr>
        <w:spacing w:line="360" w:lineRule="auto"/>
        <w:contextualSpacing/>
      </w:pPr>
    </w:p>
    <w:p w14:paraId="2357804F" w14:textId="246E33B3" w:rsidR="008161BF" w:rsidRDefault="008161BF" w:rsidP="008161BF">
      <w:pPr>
        <w:spacing w:line="360" w:lineRule="auto"/>
        <w:contextualSpacing/>
      </w:pPr>
      <w:r>
        <w:t xml:space="preserve">Chapter 5 describes in detail the method and results of the narrative systematic review. In particular, the development of a novel taxonomy of work engagement interventions is described and the findings are organised according to this taxonomy. This could offer future researchers a tangible means of organising streams of research, taking the field forwards. Interventions are discussed in terms of characteristics, designs, outcomes measured, and quality, with summaries provided for each subsection as well as </w:t>
      </w:r>
      <w:r w:rsidR="00E355B1">
        <w:t xml:space="preserve">well as </w:t>
      </w:r>
      <w:r>
        <w:t xml:space="preserve">at the end of the chapter. The challenges faced by researchers conducting organisational research is a strong theme, and the overriding value of providing evaluations of intervention implementation is </w:t>
      </w:r>
      <w:r w:rsidR="00E355B1">
        <w:t>emphasised.</w:t>
      </w:r>
    </w:p>
    <w:p w14:paraId="6EE229A4" w14:textId="77777777" w:rsidR="008161BF" w:rsidRDefault="008161BF" w:rsidP="008161BF">
      <w:pPr>
        <w:spacing w:line="360" w:lineRule="auto"/>
        <w:contextualSpacing/>
      </w:pPr>
    </w:p>
    <w:p w14:paraId="75647BB3" w14:textId="1F04F2F4" w:rsidR="008161BF" w:rsidRDefault="008161BF" w:rsidP="008161BF">
      <w:pPr>
        <w:spacing w:line="360" w:lineRule="auto"/>
        <w:contextualSpacing/>
      </w:pPr>
      <w:r>
        <w:t xml:space="preserve">Chapter 6 follows the format of Chapter 5, describing the method and results of the meta-analysis in detail. It was appropriate to split the narrative systematic review and meta-analysis into separate chapters due to the extensive nature of the </w:t>
      </w:r>
      <w:r w:rsidR="00E355B1">
        <w:t xml:space="preserve">narrative review </w:t>
      </w:r>
      <w:r>
        <w:t>findings</w:t>
      </w:r>
      <w:r w:rsidR="00E355B1">
        <w:t>, and the focus of this</w:t>
      </w:r>
      <w:r>
        <w:t xml:space="preserve"> review on qualitatively assessing the evidence. The meta-analytic method required extra explanation and the quantitative nature of the results meant that the results were easier to understand and assimilate when presented separately. The qualitative and quantitative findings are integrated and explored as a whole in the final discussion chapter. This first meta-analysis of work engagement interventions concluded that such interventions are effective, and that group interventions may be particularly effective. Much is still to explore, however, with the evidence-base not yet evolved to an extent allowing detailed investigation into the effect of particular characteristics on the results.</w:t>
      </w:r>
    </w:p>
    <w:p w14:paraId="2AEA7D70" w14:textId="77777777" w:rsidR="008161BF" w:rsidRDefault="008161BF" w:rsidP="008161BF">
      <w:pPr>
        <w:spacing w:line="360" w:lineRule="auto"/>
        <w:contextualSpacing/>
      </w:pPr>
    </w:p>
    <w:p w14:paraId="00DAEB76" w14:textId="03E9D209" w:rsidR="008161BF" w:rsidRDefault="008161BF" w:rsidP="008161BF">
      <w:pPr>
        <w:spacing w:line="360" w:lineRule="auto"/>
        <w:contextualSpacing/>
      </w:pPr>
      <w:r>
        <w:t xml:space="preserve">Chapter 7 describes the method adopted for the participatory action intervention with nursing staff on acute elderly care wards in the NHS. This includes a discussion of the characteristics of wards and participants, the content and timeline of workshops, my role in the study, the measures adopted </w:t>
      </w:r>
      <w:r>
        <w:lastRenderedPageBreak/>
        <w:t>and the statistical procedures followed for evaluating both the effectiveness of the intervention and the ability of work-related needs to mediate between job resources and work engagement.</w:t>
      </w:r>
    </w:p>
    <w:p w14:paraId="6987C310" w14:textId="77777777" w:rsidR="008161BF" w:rsidRDefault="008161BF" w:rsidP="008161BF">
      <w:pPr>
        <w:spacing w:line="360" w:lineRule="auto"/>
        <w:contextualSpacing/>
      </w:pPr>
    </w:p>
    <w:p w14:paraId="18533BAC" w14:textId="440A342A" w:rsidR="008161BF" w:rsidRDefault="008161BF" w:rsidP="008161BF">
      <w:pPr>
        <w:spacing w:line="360" w:lineRule="auto"/>
        <w:contextualSpacing/>
      </w:pPr>
      <w:r>
        <w:t>The results of the first aim of Study 2 are presented in Chapter 8, and the results of the second aim, involving the mediation analyses, are presented in Chapter 9. It was appropriate to split the results for each of these aims into two chapters for practical reasons, given the length of each chapter and the detail with which the results are presented. Chapter 8 analyses the results using both a matched sample (involving participants who had responded at both time points)</w:t>
      </w:r>
      <w:r w:rsidR="00FE713E">
        <w:t>,</w:t>
      </w:r>
      <w:r>
        <w:t xml:space="preserve"> and the complete sample (involving participants who had responded at both time points as well as those who had only responded at a single time point), and presents descriptive statistics, correlations, and the results of repeated measures ANOVAs and multilevel modelling. The chapter ends with a summary, leaving the results to be explored in relation to theory in the final discussion chapter. Chapter 9 follows a similar format to Chapter 8, presenting descriptive statistics before testing each of nine mediation relationships and describing the results. Again, an end of chapter summary is provided, leaving the results to be interpreted in the discussion chapter.</w:t>
      </w:r>
    </w:p>
    <w:p w14:paraId="4C24E1EB" w14:textId="77777777" w:rsidR="008161BF" w:rsidRDefault="008161BF" w:rsidP="008161BF">
      <w:pPr>
        <w:spacing w:line="360" w:lineRule="auto"/>
        <w:contextualSpacing/>
      </w:pPr>
    </w:p>
    <w:p w14:paraId="3DFBC332" w14:textId="507C41D3" w:rsidR="008161BF" w:rsidRPr="001F2027" w:rsidRDefault="008161BF" w:rsidP="008161BF">
      <w:pPr>
        <w:spacing w:line="360" w:lineRule="auto"/>
        <w:contextualSpacing/>
      </w:pPr>
      <w:r>
        <w:t xml:space="preserve">Chapter 10 constitutes the final chapter of the thesis, bringing together the results from both studies and presenting their </w:t>
      </w:r>
      <w:r w:rsidR="00B541D2">
        <w:t xml:space="preserve">theoretical </w:t>
      </w:r>
      <w:r>
        <w:t>contribution</w:t>
      </w:r>
      <w:r w:rsidR="000E55AB">
        <w:t>s</w:t>
      </w:r>
      <w:r>
        <w:t xml:space="preserve"> to the field of work engagement and implications for research and practice. The results for each study are first discussed in detail separately, in order to explain them fully, before an overall conclusion draws links between them and identifies core themes. Key conclusions pertain to the effectiveness of work engagement research, the value of researcher-organisation relationships for intervention effectiveness, and the need to incorporate in-depth evaluations of intervention implementation. It is hoped that the conclusions and implications drawn from both studies will enable the field of work engagement to progress efficiently and effectively, stimulating debate and offering ways to take research forward to better understand how and why interventions may increase work engagement for the benefit of individuals and organisations everywhere.</w:t>
      </w:r>
    </w:p>
    <w:p w14:paraId="5E201DD2" w14:textId="77777777" w:rsidR="005077F1" w:rsidRDefault="005077F1">
      <w:pPr>
        <w:pStyle w:val="Thesisheading1"/>
        <w:sectPr w:rsidR="005077F1" w:rsidSect="002A7BCC">
          <w:footerReference w:type="default" r:id="rId15"/>
          <w:pgSz w:w="11906" w:h="16838"/>
          <w:pgMar w:top="1440" w:right="1440" w:bottom="1440" w:left="1440" w:header="709" w:footer="709" w:gutter="0"/>
          <w:pgNumType w:start="1"/>
          <w:cols w:space="708"/>
          <w:docGrid w:linePitch="360"/>
        </w:sectPr>
      </w:pPr>
      <w:bookmarkStart w:id="11" w:name="_Toc447266078"/>
    </w:p>
    <w:p w14:paraId="7DA28557" w14:textId="34FCF350" w:rsidR="00B60914" w:rsidRPr="00F74110" w:rsidRDefault="00B60914" w:rsidP="002D3426">
      <w:pPr>
        <w:pStyle w:val="Heading1"/>
      </w:pPr>
      <w:bookmarkStart w:id="12" w:name="_Toc468285917"/>
      <w:r w:rsidRPr="00F74110">
        <w:lastRenderedPageBreak/>
        <w:t>Work engagement</w:t>
      </w:r>
      <w:bookmarkEnd w:id="11"/>
      <w:bookmarkEnd w:id="12"/>
    </w:p>
    <w:p w14:paraId="5EE264FF" w14:textId="77777777" w:rsidR="00B60914" w:rsidRPr="00B60914" w:rsidRDefault="00B60914" w:rsidP="00B60914">
      <w:pPr>
        <w:spacing w:after="200" w:line="360" w:lineRule="auto"/>
        <w:rPr>
          <w:rFonts w:ascii="Calibri" w:eastAsia="SimSun" w:hAnsi="Calibri" w:cs="Arial"/>
          <w:lang w:eastAsia="zh-CN"/>
        </w:rPr>
      </w:pPr>
    </w:p>
    <w:p w14:paraId="5374CD67" w14:textId="2B6F8450" w:rsidR="00B60914" w:rsidRDefault="00B60914" w:rsidP="00F30522">
      <w:pPr>
        <w:spacing w:after="200" w:line="360" w:lineRule="auto"/>
        <w:contextualSpacing/>
        <w:rPr>
          <w:rFonts w:ascii="Calibri" w:eastAsia="SimSun" w:hAnsi="Calibri" w:cs="Arial"/>
          <w:lang w:eastAsia="zh-CN"/>
        </w:rPr>
      </w:pPr>
      <w:r w:rsidRPr="00B60914">
        <w:rPr>
          <w:rFonts w:ascii="Calibri" w:eastAsia="SimSun" w:hAnsi="Calibri" w:cs="Arial"/>
          <w:lang w:eastAsia="zh-CN"/>
        </w:rPr>
        <w:t xml:space="preserve">This chapter outlines two related areas of research: 1) work engagement theory; and 2) interventions to increase work engagement in organisations. The first area details background research on work engagement, providing a critical discussion of the different definitions which have emerged, and theory underlying the concept. The second area details various approaches to increasing work engagement and draws on research from related areas such as occupational health psychology. The intention is to provide the context for this thesis, with particular emphasis on reviewing current knowledge and debates underlying work engagement and interventions to increase it within organisations. Chapter 3 builds on this intervention work by considering how the design, implementation, and evaluation of interventions is crucial to their success, leading to the rationale for, and aims of, Study 1. Chapter 4 draws on the work engagement theory </w:t>
      </w:r>
      <w:r w:rsidR="00334B53">
        <w:rPr>
          <w:rFonts w:ascii="Calibri" w:eastAsia="SimSun" w:hAnsi="Calibri" w:cs="Arial"/>
          <w:lang w:eastAsia="zh-CN"/>
        </w:rPr>
        <w:t>presented</w:t>
      </w:r>
      <w:r w:rsidRPr="00B60914">
        <w:rPr>
          <w:rFonts w:ascii="Calibri" w:eastAsia="SimSun" w:hAnsi="Calibri" w:cs="Arial"/>
          <w:lang w:eastAsia="zh-CN"/>
        </w:rPr>
        <w:t xml:space="preserve"> in this chapter in a discussion of a particular type of intervention, a </w:t>
      </w:r>
      <w:r w:rsidR="00597B3B">
        <w:rPr>
          <w:rFonts w:ascii="Calibri" w:eastAsia="SimSun" w:hAnsi="Calibri" w:cs="Arial"/>
          <w:lang w:eastAsia="zh-CN"/>
        </w:rPr>
        <w:t>group-level</w:t>
      </w:r>
      <w:r w:rsidRPr="00B60914">
        <w:rPr>
          <w:rFonts w:ascii="Calibri" w:eastAsia="SimSun" w:hAnsi="Calibri" w:cs="Arial"/>
          <w:lang w:eastAsia="zh-CN"/>
        </w:rPr>
        <w:t>, participatory intervention, and culminates in the ration</w:t>
      </w:r>
      <w:r w:rsidR="00DD71CD">
        <w:rPr>
          <w:rFonts w:ascii="Calibri" w:eastAsia="SimSun" w:hAnsi="Calibri" w:cs="Arial"/>
          <w:lang w:eastAsia="zh-CN"/>
        </w:rPr>
        <w:t xml:space="preserve">ale for, and aims of, Study 2. </w:t>
      </w:r>
    </w:p>
    <w:p w14:paraId="6B5694DD" w14:textId="77777777" w:rsidR="00F30522" w:rsidRDefault="00F30522" w:rsidP="00F30522">
      <w:pPr>
        <w:spacing w:after="200" w:line="360" w:lineRule="auto"/>
        <w:contextualSpacing/>
        <w:rPr>
          <w:rFonts w:ascii="Calibri" w:eastAsia="SimSun" w:hAnsi="Calibri" w:cs="Arial"/>
          <w:lang w:eastAsia="zh-CN"/>
        </w:rPr>
      </w:pPr>
    </w:p>
    <w:p w14:paraId="42F8BF1C" w14:textId="1B5F4030" w:rsidR="00B60914" w:rsidRPr="00B60914" w:rsidRDefault="00B60914" w:rsidP="00F30522">
      <w:pPr>
        <w:pStyle w:val="Thesisheading2"/>
        <w:spacing w:line="360" w:lineRule="auto"/>
        <w:contextualSpacing/>
      </w:pPr>
      <w:bookmarkStart w:id="13" w:name="_Toc447266079"/>
      <w:bookmarkStart w:id="14" w:name="_Toc468285918"/>
      <w:r w:rsidRPr="00B60914">
        <w:t>Introduction</w:t>
      </w:r>
      <w:bookmarkEnd w:id="13"/>
      <w:bookmarkEnd w:id="14"/>
    </w:p>
    <w:p w14:paraId="5BC87514" w14:textId="77777777" w:rsidR="00B60914" w:rsidRPr="00B60914" w:rsidRDefault="00B60914" w:rsidP="00F30522">
      <w:pPr>
        <w:spacing w:after="200" w:line="360" w:lineRule="auto"/>
        <w:contextualSpacing/>
        <w:rPr>
          <w:rFonts w:ascii="Cambria" w:eastAsia="SimSun" w:hAnsi="Cambria" w:cs="Times New Roman"/>
          <w:b/>
          <w:bCs/>
          <w:sz w:val="28"/>
          <w:szCs w:val="28"/>
          <w:lang w:eastAsia="zh-CN"/>
        </w:rPr>
      </w:pPr>
    </w:p>
    <w:p w14:paraId="26AD6E60" w14:textId="20F06023"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Much research on work engagement has accumulated over the previous two decades, with both academics and practitioners actively investing in the concept (e.g. Halbesleben, 2010; MacLeod &amp; Clarke, 2009). This interest has arisen in part from a large body of evidence which suggests that work engagement can predict both positive and negative outcomes for individuals and organisations</w:t>
      </w:r>
      <w:r w:rsidR="00334B53">
        <w:rPr>
          <w:rFonts w:ascii="Calibri" w:eastAsia="SimSun" w:hAnsi="Calibri" w:cs="Arial"/>
          <w:lang w:eastAsia="zh-CN"/>
        </w:rPr>
        <w:t>.</w:t>
      </w:r>
      <w:r w:rsidRPr="00B60914">
        <w:rPr>
          <w:rFonts w:ascii="Calibri" w:eastAsia="SimSun" w:hAnsi="Calibri" w:cs="Arial"/>
          <w:lang w:eastAsia="zh-CN"/>
        </w:rPr>
        <w:t xml:space="preserve"> For example, work engagement has predicted organisational commitment (Hakanan, Schaufeli &amp; Ahola, 2008), burnout (Bakker, Demerouti &amp; Euwema, 2005; </w:t>
      </w:r>
      <w:r w:rsidR="00DA279E">
        <w:rPr>
          <w:rFonts w:ascii="Calibri" w:eastAsia="SimSun" w:hAnsi="Calibri" w:cs="Arial"/>
          <w:lang w:eastAsia="zh-CN"/>
        </w:rPr>
        <w:t>Hakanan et al.,</w:t>
      </w:r>
      <w:r w:rsidR="009A24EB" w:rsidRPr="00B60914">
        <w:rPr>
          <w:rFonts w:ascii="Calibri" w:eastAsia="SimSun" w:hAnsi="Calibri" w:cs="Arial"/>
          <w:lang w:eastAsia="zh-CN"/>
        </w:rPr>
        <w:t xml:space="preserve"> 2008</w:t>
      </w:r>
      <w:r w:rsidRPr="00B60914">
        <w:rPr>
          <w:rFonts w:ascii="Calibri" w:eastAsia="SimSun" w:hAnsi="Calibri" w:cs="Arial"/>
          <w:lang w:eastAsia="zh-CN"/>
        </w:rPr>
        <w:t>; Schaufeli, Bakker &amp; Van Rhenen, 2009), depression (</w:t>
      </w:r>
      <w:r w:rsidR="00DA279E">
        <w:rPr>
          <w:rFonts w:ascii="Calibri" w:eastAsia="SimSun" w:hAnsi="Calibri" w:cs="Arial"/>
          <w:lang w:eastAsia="zh-CN"/>
        </w:rPr>
        <w:t>Hakanan et al.,</w:t>
      </w:r>
      <w:r w:rsidR="009A24EB" w:rsidRPr="00B60914">
        <w:rPr>
          <w:rFonts w:ascii="Calibri" w:eastAsia="SimSun" w:hAnsi="Calibri" w:cs="Arial"/>
          <w:lang w:eastAsia="zh-CN"/>
        </w:rPr>
        <w:t xml:space="preserve"> 2008</w:t>
      </w:r>
      <w:r w:rsidRPr="00B60914">
        <w:rPr>
          <w:rFonts w:ascii="Calibri" w:eastAsia="SimSun" w:hAnsi="Calibri" w:cs="Arial"/>
          <w:lang w:eastAsia="zh-CN"/>
        </w:rPr>
        <w:t>), job performance (Bakker &amp; Demerouti, 2008; Bakker, Demerouti &amp; Verbeke, 2004), financial returns (Xanthopoulou</w:t>
      </w:r>
      <w:r w:rsidR="00DF21FC">
        <w:rPr>
          <w:rFonts w:ascii="Calibri" w:eastAsia="SimSun" w:hAnsi="Calibri" w:cs="Arial"/>
          <w:lang w:eastAsia="zh-CN"/>
        </w:rPr>
        <w:t xml:space="preserve"> et al.</w:t>
      </w:r>
      <w:r w:rsidRPr="00B60914">
        <w:rPr>
          <w:rFonts w:ascii="Calibri" w:eastAsia="SimSun" w:hAnsi="Calibri" w:cs="Arial"/>
          <w:lang w:eastAsia="zh-CN"/>
        </w:rPr>
        <w:t>, 2009b)</w:t>
      </w:r>
      <w:r w:rsidR="00334B53">
        <w:rPr>
          <w:rFonts w:ascii="Calibri" w:eastAsia="SimSun" w:hAnsi="Calibri" w:cs="Arial"/>
          <w:lang w:eastAsia="zh-CN"/>
        </w:rPr>
        <w:t>,</w:t>
      </w:r>
      <w:r w:rsidRPr="00B60914">
        <w:rPr>
          <w:rFonts w:ascii="Calibri" w:eastAsia="SimSun" w:hAnsi="Calibri" w:cs="Arial"/>
          <w:lang w:eastAsia="zh-CN"/>
        </w:rPr>
        <w:t xml:space="preserve"> and sickness absence (Schaufeli</w:t>
      </w:r>
      <w:r w:rsidR="007837A1">
        <w:rPr>
          <w:rFonts w:ascii="Calibri" w:eastAsia="SimSun" w:hAnsi="Calibri" w:cs="Arial"/>
          <w:lang w:eastAsia="zh-CN"/>
        </w:rPr>
        <w:t xml:space="preserve"> et al.</w:t>
      </w:r>
      <w:r w:rsidRPr="00B60914">
        <w:rPr>
          <w:rFonts w:ascii="Calibri" w:eastAsia="SimSun" w:hAnsi="Calibri" w:cs="Arial"/>
          <w:lang w:eastAsia="zh-CN"/>
        </w:rPr>
        <w:t>, 2009). Harnessing the potential of employees by encouraging their engagement with their work is therefore a prime concern of organisations. In addition, numerous theoretical models and empirical studies have indicated relationships between aspects of the work environment (job and personal resources), the work engagement of employees, and individual and organisational outcomes (see the following meta-analyses: Christian</w:t>
      </w:r>
      <w:r w:rsidR="008F064B">
        <w:rPr>
          <w:rFonts w:ascii="Calibri" w:eastAsia="SimSun" w:hAnsi="Calibri" w:cs="Arial"/>
          <w:lang w:eastAsia="zh-CN"/>
        </w:rPr>
        <w:t xml:space="preserve"> et al.</w:t>
      </w:r>
      <w:r w:rsidRPr="00B60914">
        <w:rPr>
          <w:rFonts w:ascii="Calibri" w:eastAsia="SimSun" w:hAnsi="Calibri" w:cs="Arial"/>
          <w:lang w:eastAsia="zh-CN"/>
        </w:rPr>
        <w:t>, 2011; Halbesleben, 2010; Nahrgang</w:t>
      </w:r>
      <w:r w:rsidR="00E067D9">
        <w:rPr>
          <w:rFonts w:ascii="Calibri" w:eastAsia="SimSun" w:hAnsi="Calibri" w:cs="Arial"/>
          <w:lang w:eastAsia="zh-CN"/>
        </w:rPr>
        <w:t xml:space="preserve"> et al.</w:t>
      </w:r>
      <w:r w:rsidRPr="00B60914">
        <w:rPr>
          <w:rFonts w:ascii="Calibri" w:eastAsia="SimSun" w:hAnsi="Calibri" w:cs="Arial"/>
          <w:lang w:eastAsia="zh-CN"/>
        </w:rPr>
        <w:t>, 2011). Together, these studies suggest high generalisability and thus the importance of work engagement for individual</w:t>
      </w:r>
      <w:r w:rsidR="00F30522">
        <w:rPr>
          <w:rFonts w:ascii="Calibri" w:eastAsia="SimSun" w:hAnsi="Calibri" w:cs="Arial"/>
          <w:lang w:eastAsia="zh-CN"/>
        </w:rPr>
        <w:t>s and organisations everywhere.</w:t>
      </w:r>
    </w:p>
    <w:p w14:paraId="66701F15" w14:textId="42C39C81"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lastRenderedPageBreak/>
        <w:t>Currently, debate ensues regarding the definition and measurement of engagement</w:t>
      </w:r>
      <w:r w:rsidR="00442EED">
        <w:rPr>
          <w:rFonts w:ascii="Calibri" w:eastAsia="SimSun" w:hAnsi="Calibri" w:cs="Arial"/>
          <w:lang w:eastAsia="zh-CN"/>
        </w:rPr>
        <w:t>,</w:t>
      </w:r>
      <w:r w:rsidRPr="00B60914">
        <w:rPr>
          <w:rFonts w:ascii="Calibri" w:eastAsia="SimSun" w:hAnsi="Calibri" w:cs="Arial"/>
          <w:lang w:eastAsia="zh-CN"/>
        </w:rPr>
        <w:t xml:space="preserve"> (see Macey &amp; Schneider, 2008; Newman &amp; Harrison, 2008; Shuck </w:t>
      </w:r>
      <w:r w:rsidR="00B64DD5">
        <w:rPr>
          <w:rFonts w:ascii="Calibri" w:eastAsia="SimSun" w:hAnsi="Calibri" w:cs="Arial"/>
          <w:lang w:eastAsia="zh-CN"/>
        </w:rPr>
        <w:t>et al.,</w:t>
      </w:r>
      <w:r w:rsidRPr="00B60914">
        <w:rPr>
          <w:rFonts w:ascii="Calibri" w:eastAsia="SimSun" w:hAnsi="Calibri" w:cs="Arial"/>
          <w:lang w:eastAsia="zh-CN"/>
        </w:rPr>
        <w:t xml:space="preserve"> 2013), however, one definition and accompanying measure prevails in the literature (Schaufeli</w:t>
      </w:r>
      <w:r w:rsidR="007837A1">
        <w:rPr>
          <w:rFonts w:ascii="Calibri" w:eastAsia="SimSun" w:hAnsi="Calibri" w:cs="Arial"/>
          <w:lang w:eastAsia="zh-CN"/>
        </w:rPr>
        <w:t xml:space="preserve"> et al.</w:t>
      </w:r>
      <w:r w:rsidRPr="00B60914">
        <w:rPr>
          <w:rFonts w:ascii="Calibri" w:eastAsia="SimSun" w:hAnsi="Calibri" w:cs="Arial"/>
          <w:lang w:eastAsia="zh-CN"/>
        </w:rPr>
        <w:t xml:space="preserve">, 2002), suggesting some degree of consensus. Nevertheless, the causal pathways between drivers of engagement and outcomes have not yet been ascertained or explained fully. This may have impeded the development of interventions to improve work engagement. Despite this, some researchers now consider the field sufficiently well developed to warrant the development and testing of work engagement interventions (e.g. Leiter &amp; Maslach, 2010). </w:t>
      </w:r>
    </w:p>
    <w:p w14:paraId="76654A08" w14:textId="77777777" w:rsidR="00B60914" w:rsidRPr="00B60914" w:rsidRDefault="00B60914" w:rsidP="00B60914">
      <w:pPr>
        <w:spacing w:after="200" w:line="360" w:lineRule="auto"/>
        <w:contextualSpacing/>
        <w:rPr>
          <w:rFonts w:ascii="Calibri" w:eastAsia="SimSun" w:hAnsi="Calibri" w:cs="Arial"/>
          <w:lang w:eastAsia="zh-CN"/>
        </w:rPr>
      </w:pPr>
    </w:p>
    <w:p w14:paraId="26D61A35" w14:textId="1D61620D" w:rsidR="00B60914" w:rsidRPr="00B60914" w:rsidRDefault="00B60914" w:rsidP="00B60914">
      <w:pPr>
        <w:spacing w:after="200" w:line="360" w:lineRule="auto"/>
        <w:contextualSpacing/>
        <w:rPr>
          <w:rFonts w:ascii="Calibri" w:eastAsia="Calibri" w:hAnsi="Calibri" w:cs="Calibri"/>
        </w:rPr>
      </w:pPr>
      <w:r w:rsidRPr="00B60914">
        <w:rPr>
          <w:rFonts w:ascii="Calibri" w:eastAsia="Calibri" w:hAnsi="Calibri" w:cs="Calibri"/>
        </w:rPr>
        <w:t>The following narrative literature review provides an overview of the theoretical underpinnings of work engagement before exploring the types of interventions which have been conducted to increase work engagement and related constructs. First, key approaches to the conceptualisation of work engagement (</w:t>
      </w:r>
      <w:r w:rsidR="004B3ACB">
        <w:rPr>
          <w:rFonts w:ascii="Calibri" w:eastAsia="Calibri" w:hAnsi="Calibri" w:cs="Calibri"/>
        </w:rPr>
        <w:t xml:space="preserve">Section </w:t>
      </w:r>
      <w:r w:rsidR="004B3ACB">
        <w:rPr>
          <w:rFonts w:ascii="Calibri" w:eastAsia="Calibri" w:hAnsi="Calibri" w:cs="Calibri"/>
        </w:rPr>
        <w:fldChar w:fldCharType="begin"/>
      </w:r>
      <w:r w:rsidR="004B3ACB">
        <w:rPr>
          <w:rFonts w:ascii="Calibri" w:eastAsia="Calibri" w:hAnsi="Calibri" w:cs="Calibri"/>
        </w:rPr>
        <w:instrText xml:space="preserve"> REF _Ref453248396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2.2.1</w:t>
      </w:r>
      <w:r w:rsidR="004B3ACB">
        <w:rPr>
          <w:rFonts w:ascii="Calibri" w:eastAsia="Calibri" w:hAnsi="Calibri" w:cs="Calibri"/>
        </w:rPr>
        <w:fldChar w:fldCharType="end"/>
      </w:r>
      <w:r w:rsidRPr="00B60914">
        <w:rPr>
          <w:rFonts w:ascii="Calibri" w:eastAsia="Calibri" w:hAnsi="Calibri" w:cs="Calibri"/>
        </w:rPr>
        <w:t xml:space="preserve">) are outlined before critically discussing the origins of work engagement theory (Section </w:t>
      </w:r>
      <w:r w:rsidR="004B3ACB">
        <w:rPr>
          <w:rFonts w:ascii="Calibri" w:eastAsia="Calibri" w:hAnsi="Calibri" w:cs="Calibri"/>
        </w:rPr>
        <w:fldChar w:fldCharType="begin"/>
      </w:r>
      <w:r w:rsidR="004B3ACB">
        <w:rPr>
          <w:rFonts w:ascii="Calibri" w:eastAsia="Calibri" w:hAnsi="Calibri" w:cs="Calibri"/>
        </w:rPr>
        <w:instrText xml:space="preserve"> REF _Ref453248483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2.2.2</w:t>
      </w:r>
      <w:r w:rsidR="004B3ACB">
        <w:rPr>
          <w:rFonts w:ascii="Calibri" w:eastAsia="Calibri" w:hAnsi="Calibri" w:cs="Calibri"/>
        </w:rPr>
        <w:fldChar w:fldCharType="end"/>
      </w:r>
      <w:r w:rsidRPr="00B60914">
        <w:rPr>
          <w:rFonts w:ascii="Calibri" w:eastAsia="Calibri" w:hAnsi="Calibri" w:cs="Calibri"/>
        </w:rPr>
        <w:t xml:space="preserve">). The focus then turns towards </w:t>
      </w:r>
      <w:r w:rsidR="00C17CB1">
        <w:rPr>
          <w:rFonts w:ascii="Calibri" w:eastAsia="Calibri" w:hAnsi="Calibri" w:cs="Calibri"/>
        </w:rPr>
        <w:t>Self-Determination Theory</w:t>
      </w:r>
      <w:r w:rsidRPr="00B60914">
        <w:rPr>
          <w:rFonts w:ascii="Calibri" w:eastAsia="Calibri" w:hAnsi="Calibri" w:cs="Calibri"/>
        </w:rPr>
        <w:t xml:space="preserve"> (SDT; Deci </w:t>
      </w:r>
      <w:r w:rsidR="00B64DD5">
        <w:rPr>
          <w:rFonts w:ascii="Calibri" w:eastAsia="Calibri" w:hAnsi="Calibri" w:cs="Calibri"/>
        </w:rPr>
        <w:t>et al.,</w:t>
      </w:r>
      <w:r w:rsidRPr="00B60914">
        <w:rPr>
          <w:rFonts w:ascii="Calibri" w:eastAsia="Calibri" w:hAnsi="Calibri" w:cs="Calibri"/>
        </w:rPr>
        <w:t xml:space="preserve"> 2001; Section </w:t>
      </w:r>
      <w:r w:rsidR="004B3ACB">
        <w:rPr>
          <w:rFonts w:ascii="Calibri" w:eastAsia="Calibri" w:hAnsi="Calibri" w:cs="Calibri"/>
        </w:rPr>
        <w:fldChar w:fldCharType="begin"/>
      </w:r>
      <w:r w:rsidR="004B3ACB">
        <w:rPr>
          <w:rFonts w:ascii="Calibri" w:eastAsia="Calibri" w:hAnsi="Calibri" w:cs="Calibri"/>
        </w:rPr>
        <w:instrText xml:space="preserve"> REF _Ref453248498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2.2.3</w:t>
      </w:r>
      <w:r w:rsidR="004B3ACB">
        <w:rPr>
          <w:rFonts w:ascii="Calibri" w:eastAsia="Calibri" w:hAnsi="Calibri" w:cs="Calibri"/>
        </w:rPr>
        <w:fldChar w:fldCharType="end"/>
      </w:r>
      <w:r w:rsidRPr="00B60914">
        <w:rPr>
          <w:rFonts w:ascii="Calibri" w:eastAsia="Calibri" w:hAnsi="Calibri" w:cs="Calibri"/>
        </w:rPr>
        <w:t>), a needs theory which over</w:t>
      </w:r>
      <w:r w:rsidR="00334B53">
        <w:rPr>
          <w:rFonts w:ascii="Calibri" w:eastAsia="Calibri" w:hAnsi="Calibri" w:cs="Calibri"/>
        </w:rPr>
        <w:t>arches the most commonly researched</w:t>
      </w:r>
      <w:r w:rsidRPr="00B60914">
        <w:rPr>
          <w:rFonts w:ascii="Calibri" w:eastAsia="Calibri" w:hAnsi="Calibri" w:cs="Calibri"/>
        </w:rPr>
        <w:t xml:space="preserve"> model of work engagement, the </w:t>
      </w:r>
      <w:r w:rsidR="00A43B59">
        <w:rPr>
          <w:rFonts w:ascii="Calibri" w:eastAsia="Calibri" w:hAnsi="Calibri" w:cs="Calibri"/>
        </w:rPr>
        <w:t>Job Demands-Resources</w:t>
      </w:r>
      <w:r w:rsidRPr="00B60914">
        <w:rPr>
          <w:rFonts w:ascii="Calibri" w:eastAsia="Calibri" w:hAnsi="Calibri" w:cs="Calibri"/>
        </w:rPr>
        <w:t xml:space="preserve"> model (JD-R; Bakker &amp; Demerouti, 2008; Sections </w:t>
      </w:r>
      <w:r w:rsidR="004B3ACB">
        <w:rPr>
          <w:rFonts w:ascii="Calibri" w:eastAsia="Calibri" w:hAnsi="Calibri" w:cs="Calibri"/>
        </w:rPr>
        <w:fldChar w:fldCharType="begin"/>
      </w:r>
      <w:r w:rsidR="004B3ACB">
        <w:rPr>
          <w:rFonts w:ascii="Calibri" w:eastAsia="Calibri" w:hAnsi="Calibri" w:cs="Calibri"/>
        </w:rPr>
        <w:instrText xml:space="preserve"> REF _Ref453248517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2.2.4</w:t>
      </w:r>
      <w:r w:rsidR="004B3ACB">
        <w:rPr>
          <w:rFonts w:ascii="Calibri" w:eastAsia="Calibri" w:hAnsi="Calibri" w:cs="Calibri"/>
        </w:rPr>
        <w:fldChar w:fldCharType="end"/>
      </w:r>
      <w:r w:rsidR="004B3ACB">
        <w:rPr>
          <w:rFonts w:ascii="Calibri" w:eastAsia="Calibri" w:hAnsi="Calibri" w:cs="Calibri"/>
        </w:rPr>
        <w:t xml:space="preserve"> </w:t>
      </w:r>
      <w:r w:rsidRPr="00B60914">
        <w:rPr>
          <w:rFonts w:ascii="Calibri" w:eastAsia="Calibri" w:hAnsi="Calibri" w:cs="Calibri"/>
        </w:rPr>
        <w:t xml:space="preserve">&amp; </w:t>
      </w:r>
      <w:r w:rsidR="004B3ACB">
        <w:rPr>
          <w:rFonts w:ascii="Calibri" w:eastAsia="Calibri" w:hAnsi="Calibri" w:cs="Calibri"/>
        </w:rPr>
        <w:fldChar w:fldCharType="begin"/>
      </w:r>
      <w:r w:rsidR="004B3ACB">
        <w:rPr>
          <w:rFonts w:ascii="Calibri" w:eastAsia="Calibri" w:hAnsi="Calibri" w:cs="Calibri"/>
        </w:rPr>
        <w:instrText xml:space="preserve"> REF _Ref453248529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2.2.5</w:t>
      </w:r>
      <w:r w:rsidR="004B3ACB">
        <w:rPr>
          <w:rFonts w:ascii="Calibri" w:eastAsia="Calibri" w:hAnsi="Calibri" w:cs="Calibri"/>
        </w:rPr>
        <w:fldChar w:fldCharType="end"/>
      </w:r>
      <w:r w:rsidRPr="00B60914">
        <w:rPr>
          <w:rFonts w:ascii="Calibri" w:eastAsia="Calibri" w:hAnsi="Calibri" w:cs="Calibri"/>
        </w:rPr>
        <w:t xml:space="preserve">). Specific psychological processes proposed to underlie the JD-R model are then introduced (Sections </w:t>
      </w:r>
      <w:r w:rsidR="004B3ACB">
        <w:rPr>
          <w:rFonts w:ascii="Calibri" w:eastAsia="Calibri" w:hAnsi="Calibri" w:cs="Calibri"/>
        </w:rPr>
        <w:fldChar w:fldCharType="begin"/>
      </w:r>
      <w:r w:rsidR="004B3ACB">
        <w:rPr>
          <w:rFonts w:ascii="Calibri" w:eastAsia="Calibri" w:hAnsi="Calibri" w:cs="Calibri"/>
        </w:rPr>
        <w:instrText xml:space="preserve"> REF _Ref453248545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2.2.6</w:t>
      </w:r>
      <w:r w:rsidR="004B3ACB">
        <w:rPr>
          <w:rFonts w:ascii="Calibri" w:eastAsia="Calibri" w:hAnsi="Calibri" w:cs="Calibri"/>
        </w:rPr>
        <w:fldChar w:fldCharType="end"/>
      </w:r>
      <w:r w:rsidR="004B3ACB">
        <w:rPr>
          <w:rFonts w:ascii="Calibri" w:eastAsia="Calibri" w:hAnsi="Calibri" w:cs="Calibri"/>
        </w:rPr>
        <w:t xml:space="preserve"> </w:t>
      </w:r>
      <w:r w:rsidRPr="00B60914">
        <w:rPr>
          <w:rFonts w:ascii="Calibri" w:eastAsia="Calibri" w:hAnsi="Calibri" w:cs="Calibri"/>
        </w:rPr>
        <w:t xml:space="preserve">&amp; </w:t>
      </w:r>
      <w:r w:rsidR="004B3ACB">
        <w:rPr>
          <w:rFonts w:ascii="Calibri" w:eastAsia="Calibri" w:hAnsi="Calibri" w:cs="Calibri"/>
        </w:rPr>
        <w:fldChar w:fldCharType="begin"/>
      </w:r>
      <w:r w:rsidR="004B3ACB">
        <w:rPr>
          <w:rFonts w:ascii="Calibri" w:eastAsia="Calibri" w:hAnsi="Calibri" w:cs="Calibri"/>
        </w:rPr>
        <w:instrText xml:space="preserve"> REF _Ref453248557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2.2.7</w:t>
      </w:r>
      <w:r w:rsidR="004B3ACB">
        <w:rPr>
          <w:rFonts w:ascii="Calibri" w:eastAsia="Calibri" w:hAnsi="Calibri" w:cs="Calibri"/>
        </w:rPr>
        <w:fldChar w:fldCharType="end"/>
      </w:r>
      <w:r w:rsidRPr="00B60914">
        <w:rPr>
          <w:rFonts w:ascii="Calibri" w:eastAsia="Calibri" w:hAnsi="Calibri" w:cs="Calibri"/>
        </w:rPr>
        <w:t xml:space="preserve">). An overview of </w:t>
      </w:r>
      <w:r w:rsidR="00597B3B">
        <w:rPr>
          <w:rFonts w:ascii="Calibri" w:eastAsia="Calibri" w:hAnsi="Calibri" w:cs="Calibri"/>
        </w:rPr>
        <w:t>individual-level</w:t>
      </w:r>
      <w:r w:rsidRPr="00B60914">
        <w:rPr>
          <w:rFonts w:ascii="Calibri" w:eastAsia="Calibri" w:hAnsi="Calibri" w:cs="Calibri"/>
        </w:rPr>
        <w:t xml:space="preserve"> interventions which have been conducted in the field of work engagement and related areas of organisational psychology (e.g. occupational health, positive psychology) then follows (Section </w:t>
      </w:r>
      <w:r w:rsidR="004B3ACB">
        <w:rPr>
          <w:rFonts w:ascii="Calibri" w:eastAsia="Calibri" w:hAnsi="Calibri" w:cs="Calibri"/>
        </w:rPr>
        <w:fldChar w:fldCharType="begin"/>
      </w:r>
      <w:r w:rsidR="004B3ACB">
        <w:rPr>
          <w:rFonts w:ascii="Calibri" w:eastAsia="Calibri" w:hAnsi="Calibri" w:cs="Calibri"/>
        </w:rPr>
        <w:instrText xml:space="preserve"> REF _Ref453248590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2.3</w:t>
      </w:r>
      <w:r w:rsidR="004B3ACB">
        <w:rPr>
          <w:rFonts w:ascii="Calibri" w:eastAsia="Calibri" w:hAnsi="Calibri" w:cs="Calibri"/>
        </w:rPr>
        <w:fldChar w:fldCharType="end"/>
      </w:r>
      <w:r w:rsidRPr="00B60914">
        <w:rPr>
          <w:rFonts w:ascii="Calibri" w:eastAsia="Calibri" w:hAnsi="Calibri" w:cs="Calibri"/>
        </w:rPr>
        <w:t xml:space="preserve">). The chapter concludes with a summary of the findings from this literature review.   </w:t>
      </w:r>
    </w:p>
    <w:p w14:paraId="7EB81C1F" w14:textId="77777777" w:rsidR="00B60914" w:rsidRPr="00B60914" w:rsidRDefault="00B60914" w:rsidP="00B60914">
      <w:pPr>
        <w:spacing w:after="200" w:line="360" w:lineRule="auto"/>
        <w:contextualSpacing/>
        <w:rPr>
          <w:rFonts w:ascii="Calibri" w:eastAsia="Calibri" w:hAnsi="Calibri" w:cs="Calibri"/>
        </w:rPr>
      </w:pPr>
    </w:p>
    <w:p w14:paraId="781BCC4A" w14:textId="77777777" w:rsidR="00B60914" w:rsidRPr="00B60914" w:rsidRDefault="00B60914" w:rsidP="00B7614E">
      <w:pPr>
        <w:pStyle w:val="Thesisheading2"/>
      </w:pPr>
      <w:bookmarkStart w:id="15" w:name="_Toc447266080"/>
      <w:bookmarkStart w:id="16" w:name="_Toc468285919"/>
      <w:r w:rsidRPr="00B60914">
        <w:t>Work engagement theory</w:t>
      </w:r>
      <w:bookmarkEnd w:id="15"/>
      <w:bookmarkEnd w:id="16"/>
    </w:p>
    <w:p w14:paraId="5D793CF9" w14:textId="77777777" w:rsidR="00B60914" w:rsidRPr="00B60914" w:rsidRDefault="00B60914" w:rsidP="00B60914">
      <w:pPr>
        <w:spacing w:after="200" w:line="360" w:lineRule="auto"/>
        <w:rPr>
          <w:rFonts w:ascii="Calibri" w:eastAsia="SimSun" w:hAnsi="Calibri" w:cs="Arial"/>
          <w:lang w:eastAsia="zh-CN"/>
        </w:rPr>
      </w:pPr>
    </w:p>
    <w:p w14:paraId="0F2513AC" w14:textId="77777777" w:rsidR="00B60914" w:rsidRPr="004B3ACB" w:rsidRDefault="00B60914" w:rsidP="0009618B">
      <w:pPr>
        <w:pStyle w:val="Heading3"/>
      </w:pPr>
      <w:bookmarkStart w:id="17" w:name="_Toc447266081"/>
      <w:bookmarkStart w:id="18" w:name="_Ref453248396"/>
      <w:bookmarkStart w:id="19" w:name="_Toc468285920"/>
      <w:r w:rsidRPr="004B3ACB">
        <w:t>What is work engagement?</w:t>
      </w:r>
      <w:bookmarkEnd w:id="17"/>
      <w:bookmarkEnd w:id="18"/>
      <w:bookmarkEnd w:id="19"/>
    </w:p>
    <w:p w14:paraId="1C706097" w14:textId="77777777" w:rsidR="00B60914" w:rsidRPr="00B60914" w:rsidRDefault="00B60914" w:rsidP="00B60914">
      <w:pPr>
        <w:spacing w:after="200" w:line="360" w:lineRule="auto"/>
        <w:contextualSpacing/>
        <w:rPr>
          <w:rFonts w:ascii="Calibri" w:eastAsia="SimSun" w:hAnsi="Calibri" w:cs="Arial"/>
          <w:lang w:eastAsia="zh-CN"/>
        </w:rPr>
      </w:pPr>
    </w:p>
    <w:p w14:paraId="1E362FB0" w14:textId="5B95827E"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Arial"/>
          <w:bCs/>
        </w:rPr>
        <w:t>In the academic literature, three key definitions of engagement exist. The most cited of these defines work engagement as</w:t>
      </w:r>
      <w:r w:rsidRPr="00B60914">
        <w:rPr>
          <w:rFonts w:ascii="Calibri" w:eastAsia="Calibri" w:hAnsi="Calibri" w:cs="Calibri"/>
        </w:rPr>
        <w:t xml:space="preserve"> ‘a positive, fulfilling, work-related state of mind that is characterised by vigor, dedication, and absorption’ (</w:t>
      </w:r>
      <w:r w:rsidRPr="00B60914">
        <w:rPr>
          <w:rFonts w:ascii="Calibri" w:eastAsia="Calibri" w:hAnsi="Calibri" w:cs="Arial"/>
          <w:bCs/>
        </w:rPr>
        <w:t>Schaufeli et al.</w:t>
      </w:r>
      <w:r w:rsidRPr="00B60914">
        <w:rPr>
          <w:rFonts w:ascii="Calibri" w:eastAsia="Calibri" w:hAnsi="Calibri" w:cs="Calibri"/>
        </w:rPr>
        <w:t xml:space="preserve">, 2002, p.74). According to this perspective, vigour is characterised by high energy and mental resilience while working, dedication by being intensely involved in work tasks and experiencing an associated sense of significance, enthusiasm and challenge, and absorption by a state of full concentration on work and positive engrossment in it. Schaufeli and colleagues thus conceptualise work engagement as involving a behavioural (vigour) component, a cognitive (dedication) component and an emotional (absorption) component. This is </w:t>
      </w:r>
      <w:r w:rsidRPr="00B60914">
        <w:rPr>
          <w:rFonts w:ascii="Calibri" w:eastAsia="Calibri" w:hAnsi="Calibri" w:cs="Calibri"/>
        </w:rPr>
        <w:lastRenderedPageBreak/>
        <w:t xml:space="preserve">not unlike other key definitions of engagement. For example, the concept of engagement was originally pioneered by Kahn (1990), who proposed that engaged employees are able to ‘express themselves physically, cognitively, and emotionally’ (p.694) in their work roles and regarded three psychological factors necessary to facilitate this: i) meaningfulness, a sense of reward for investing the self in role performance, making the individual feel worthwhile and valued, ii) safety, a sense of trust, security and predictability in the work environment, and iii) availability, a sense of having the physical, emotional and psychological resources necessary for the job. Despite this broad </w:t>
      </w:r>
      <w:r w:rsidR="00334B53">
        <w:rPr>
          <w:rFonts w:ascii="Calibri" w:eastAsia="Calibri" w:hAnsi="Calibri" w:cs="Calibri"/>
        </w:rPr>
        <w:t>c</w:t>
      </w:r>
      <w:r w:rsidRPr="00B60914">
        <w:rPr>
          <w:rFonts w:ascii="Calibri" w:eastAsia="Calibri" w:hAnsi="Calibri" w:cs="Calibri"/>
        </w:rPr>
        <w:t>oncordance, Schaufeli and colleagues (2002) focus only on the relationship between the employee and his or her work, whereas Kahn suggests that the relationship</w:t>
      </w:r>
      <w:r w:rsidRPr="00B60914">
        <w:rPr>
          <w:rFonts w:ascii="Calibri" w:eastAsia="Calibri" w:hAnsi="Calibri" w:cs="Calibri"/>
          <w:i/>
        </w:rPr>
        <w:t xml:space="preserve"> </w:t>
      </w:r>
      <w:r w:rsidRPr="00B60914">
        <w:rPr>
          <w:rFonts w:ascii="Calibri" w:eastAsia="Calibri" w:hAnsi="Calibri" w:cs="Calibri"/>
        </w:rPr>
        <w:t>between the individual and his or her organisation as a whole is also</w:t>
      </w:r>
      <w:r w:rsidRPr="00B60914">
        <w:rPr>
          <w:rFonts w:ascii="Calibri" w:eastAsia="Calibri" w:hAnsi="Calibri" w:cs="Calibri"/>
          <w:i/>
        </w:rPr>
        <w:t xml:space="preserve"> </w:t>
      </w:r>
      <w:r w:rsidRPr="00B60914">
        <w:rPr>
          <w:rFonts w:ascii="Calibri" w:eastAsia="Calibri" w:hAnsi="Calibri" w:cs="Calibri"/>
        </w:rPr>
        <w:t xml:space="preserve">important. Saks (2006) developed Kahn’s view of engagement as role related, distinguishing between job and organisational engagement to reflect the different roles of employees with their work and their organisation. </w:t>
      </w:r>
    </w:p>
    <w:p w14:paraId="1FD03A92" w14:textId="77777777" w:rsidR="00B60914" w:rsidRPr="00B60914" w:rsidRDefault="00B60914" w:rsidP="00B60914">
      <w:pPr>
        <w:spacing w:before="200" w:line="360" w:lineRule="auto"/>
        <w:contextualSpacing/>
        <w:rPr>
          <w:rFonts w:ascii="Calibri" w:eastAsia="Calibri" w:hAnsi="Calibri" w:cs="Calibri"/>
        </w:rPr>
      </w:pPr>
    </w:p>
    <w:p w14:paraId="1263BF65" w14:textId="1116D228"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The third key perspective was introduced </w:t>
      </w:r>
      <w:r w:rsidRPr="00E067D9">
        <w:rPr>
          <w:rFonts w:ascii="Calibri" w:eastAsia="Calibri" w:hAnsi="Calibri" w:cs="Calibri"/>
        </w:rPr>
        <w:t>by Maslach</w:t>
      </w:r>
      <w:r w:rsidR="00E067D9" w:rsidRPr="00E067D9">
        <w:rPr>
          <w:rFonts w:ascii="Calibri" w:eastAsia="Calibri" w:hAnsi="Calibri" w:cs="Calibri"/>
        </w:rPr>
        <w:t xml:space="preserve"> and Leiter</w:t>
      </w:r>
      <w:r w:rsidRPr="00E067D9">
        <w:rPr>
          <w:rFonts w:ascii="Calibri" w:eastAsia="Calibri" w:hAnsi="Calibri" w:cs="Calibri"/>
        </w:rPr>
        <w:t xml:space="preserve"> (1997).</w:t>
      </w:r>
      <w:r w:rsidRPr="00B60914">
        <w:rPr>
          <w:rFonts w:ascii="Calibri" w:eastAsia="Calibri" w:hAnsi="Calibri" w:cs="Calibri"/>
        </w:rPr>
        <w:t xml:space="preserve"> They also considered engagement to comprise behavioural, emotional and cognitive components, characterising it in terms of high energy, involvement and efficacy. Unlike their peers, however, they viewed engagement as the polar opposite of burnout (exhaustion, cynicis</w:t>
      </w:r>
      <w:r w:rsidR="00634D11">
        <w:rPr>
          <w:rFonts w:ascii="Calibri" w:eastAsia="Calibri" w:hAnsi="Calibri" w:cs="Calibri"/>
        </w:rPr>
        <w:t>m &amp; inefficacy) and thus measur</w:t>
      </w:r>
      <w:r w:rsidRPr="00B60914">
        <w:rPr>
          <w:rFonts w:ascii="Calibri" w:eastAsia="Calibri" w:hAnsi="Calibri" w:cs="Calibri"/>
        </w:rPr>
        <w:t>able using one scale for both concepts</w:t>
      </w:r>
      <w:r w:rsidR="00334B53">
        <w:rPr>
          <w:rFonts w:ascii="Calibri" w:eastAsia="Calibri" w:hAnsi="Calibri" w:cs="Calibri"/>
        </w:rPr>
        <w:t xml:space="preserve"> (The Maslach Burnout inventory; MBI;</w:t>
      </w:r>
      <w:r w:rsidRPr="00B60914">
        <w:rPr>
          <w:rFonts w:ascii="Calibri" w:eastAsia="Calibri" w:hAnsi="Calibri" w:cs="Calibri"/>
        </w:rPr>
        <w:t xml:space="preserve"> Maslach &amp; Jackson, 1981). Schaufeli et al. (2002) refute this as they argue that absorption is not the positive antipode of inefficacy, although they consider that exhaustion and cynicism can be conceptualised as the opposite of vigour and dedication, respectively. Furthermore, they do not consider a lack of burnout, as measured by the MBI, as indicative of engagement, arguing that it is possible to be neither burned out nor engaged. Thus, they view burnout and engagement as distinct concepts which should be measured independently using different measures. </w:t>
      </w:r>
    </w:p>
    <w:p w14:paraId="17B23CB1" w14:textId="77777777" w:rsidR="00B60914" w:rsidRPr="00B60914" w:rsidRDefault="00B60914" w:rsidP="00B60914">
      <w:pPr>
        <w:spacing w:before="200" w:line="360" w:lineRule="auto"/>
        <w:contextualSpacing/>
        <w:rPr>
          <w:rFonts w:ascii="Calibri" w:eastAsia="Calibri" w:hAnsi="Calibri" w:cs="Calibri"/>
        </w:rPr>
      </w:pPr>
    </w:p>
    <w:p w14:paraId="4B029611" w14:textId="46731317" w:rsidR="00DD533F" w:rsidRDefault="00B60914" w:rsidP="00DD533F">
      <w:pPr>
        <w:spacing w:before="200" w:line="360" w:lineRule="auto"/>
        <w:contextualSpacing/>
        <w:rPr>
          <w:rFonts w:ascii="Calibri" w:eastAsia="Calibri" w:hAnsi="Calibri" w:cs="Calibri"/>
        </w:rPr>
      </w:pPr>
      <w:r w:rsidRPr="00B60914">
        <w:rPr>
          <w:rFonts w:ascii="Calibri" w:eastAsia="Calibri" w:hAnsi="Calibri" w:cs="Calibri"/>
        </w:rPr>
        <w:t xml:space="preserve">Besides these three core perspectives, other academic definitions have evolved (e.g. </w:t>
      </w:r>
      <w:r w:rsidR="00634D11">
        <w:rPr>
          <w:rFonts w:ascii="Calibri" w:eastAsia="Calibri" w:hAnsi="Calibri" w:cs="Calibri"/>
        </w:rPr>
        <w:t>Rich</w:t>
      </w:r>
      <w:r w:rsidR="001057E2">
        <w:rPr>
          <w:rFonts w:ascii="Calibri" w:eastAsia="Calibri" w:hAnsi="Calibri" w:cs="Calibri"/>
        </w:rPr>
        <w:t>, LeP</w:t>
      </w:r>
      <w:r w:rsidR="00634D11">
        <w:rPr>
          <w:rFonts w:ascii="Calibri" w:eastAsia="Calibri" w:hAnsi="Calibri" w:cs="Calibri"/>
        </w:rPr>
        <w:t xml:space="preserve">ine &amp; Crawford, </w:t>
      </w:r>
      <w:r w:rsidR="006D7117" w:rsidRPr="00B60914">
        <w:rPr>
          <w:rFonts w:ascii="Calibri" w:eastAsia="Calibri" w:hAnsi="Calibri" w:cs="Calibri"/>
        </w:rPr>
        <w:t>2010</w:t>
      </w:r>
      <w:r w:rsidR="006D7117">
        <w:rPr>
          <w:rFonts w:ascii="Calibri" w:eastAsia="Calibri" w:hAnsi="Calibri" w:cs="Calibri"/>
        </w:rPr>
        <w:t xml:space="preserve">; </w:t>
      </w:r>
      <w:r w:rsidR="00634D11">
        <w:rPr>
          <w:rFonts w:ascii="Calibri" w:eastAsia="Calibri" w:hAnsi="Calibri" w:cs="Calibri"/>
        </w:rPr>
        <w:t>May, Gilson</w:t>
      </w:r>
      <w:r w:rsidRPr="00B60914">
        <w:rPr>
          <w:rFonts w:ascii="Calibri" w:eastAsia="Calibri" w:hAnsi="Calibri" w:cs="Calibri"/>
        </w:rPr>
        <w:t xml:space="preserve"> &amp; Harter, 2004; Rothbard 2010;). In addition, lay and practitioner perceptions of what it means to be engaged at work are prolific (e.g. MacLeod &amp; Clark, 2009; Robertson-Smith &amp; Markwick, 2009; West &amp; Dawson, 2012). Furthermore, each academic definition tends to be operationalized using a specially constructed scale (e.g. </w:t>
      </w:r>
      <w:r w:rsidR="001057E2">
        <w:rPr>
          <w:rFonts w:ascii="Calibri" w:eastAsia="Calibri" w:hAnsi="Calibri" w:cs="Calibri"/>
        </w:rPr>
        <w:t>Job Engagement Scale;</w:t>
      </w:r>
      <w:r w:rsidR="006D7117">
        <w:rPr>
          <w:rFonts w:ascii="Calibri" w:eastAsia="Calibri" w:hAnsi="Calibri" w:cs="Calibri"/>
        </w:rPr>
        <w:t xml:space="preserve"> </w:t>
      </w:r>
      <w:r w:rsidR="00634D11">
        <w:rPr>
          <w:rFonts w:ascii="Calibri" w:eastAsia="Calibri" w:hAnsi="Calibri" w:cs="Calibri"/>
        </w:rPr>
        <w:t>Rich et al.,</w:t>
      </w:r>
      <w:r w:rsidR="006D7117">
        <w:rPr>
          <w:rFonts w:ascii="Calibri" w:eastAsia="Calibri" w:hAnsi="Calibri" w:cs="Calibri"/>
        </w:rPr>
        <w:t xml:space="preserve"> 2010; </w:t>
      </w:r>
      <w:r w:rsidRPr="00B60914">
        <w:rPr>
          <w:rFonts w:ascii="Calibri" w:eastAsia="Calibri" w:hAnsi="Calibri" w:cs="Calibri"/>
        </w:rPr>
        <w:t xml:space="preserve">MBI, Maslach &amp; Jackson, 1981; Utrecht Work Engagement Scale (UWES), Schaufeli </w:t>
      </w:r>
      <w:r w:rsidR="00B64DD5">
        <w:rPr>
          <w:rFonts w:ascii="Calibri" w:eastAsia="Calibri" w:hAnsi="Calibri" w:cs="Calibri"/>
        </w:rPr>
        <w:t>et al.,</w:t>
      </w:r>
      <w:r w:rsidRPr="00B60914">
        <w:rPr>
          <w:rFonts w:ascii="Calibri" w:eastAsia="Calibri" w:hAnsi="Calibri" w:cs="Calibri"/>
        </w:rPr>
        <w:t xml:space="preserve"> 2002; Oldenburg Burnout Inventory (OLBI), Bakker &amp; Demerouti, 2007), increasing the number of engagement scales, as well as the number of engagement definitions, in the literature. </w:t>
      </w:r>
      <w:r w:rsidR="00DD533F" w:rsidRPr="00B60914">
        <w:rPr>
          <w:rFonts w:ascii="Calibri" w:eastAsia="Calibri" w:hAnsi="Calibri" w:cs="Calibri"/>
        </w:rPr>
        <w:t xml:space="preserve">Unsurprisingly, this has also increased the confusion surrounding the concept of engagement and its </w:t>
      </w:r>
      <w:r w:rsidR="00DD533F" w:rsidRPr="00B60914">
        <w:rPr>
          <w:rFonts w:ascii="Calibri" w:eastAsia="Calibri" w:hAnsi="Calibri" w:cs="Calibri"/>
        </w:rPr>
        <w:lastRenderedPageBreak/>
        <w:t>utility, as the ability to generalise results from studies using different definitions and different measures is severely limited.</w:t>
      </w:r>
    </w:p>
    <w:p w14:paraId="63E1AC63" w14:textId="77777777" w:rsidR="00DD533F" w:rsidRDefault="00DD533F" w:rsidP="00B60914">
      <w:pPr>
        <w:spacing w:before="200" w:line="360" w:lineRule="auto"/>
        <w:contextualSpacing/>
        <w:rPr>
          <w:rFonts w:ascii="Calibri" w:eastAsia="Calibri" w:hAnsi="Calibri" w:cs="Calibri"/>
        </w:rPr>
      </w:pPr>
    </w:p>
    <w:p w14:paraId="31FF9E15" w14:textId="5167DE24" w:rsidR="00DD533F" w:rsidRDefault="00B60914" w:rsidP="00DD533F">
      <w:pPr>
        <w:spacing w:before="200" w:line="360" w:lineRule="auto"/>
        <w:contextualSpacing/>
        <w:rPr>
          <w:rFonts w:ascii="Calibri" w:eastAsia="Calibri" w:hAnsi="Calibri" w:cs="Calibri"/>
        </w:rPr>
      </w:pPr>
      <w:r w:rsidRPr="00B60914">
        <w:rPr>
          <w:rFonts w:ascii="Calibri" w:eastAsia="Calibri" w:hAnsi="Calibri" w:cs="Calibri"/>
        </w:rPr>
        <w:t xml:space="preserve">Additional confusion has arisen due to the conceptualisation of engagement as a stable state by some, (e.g. Schaufeli </w:t>
      </w:r>
      <w:r w:rsidR="00B64DD5">
        <w:rPr>
          <w:rFonts w:ascii="Calibri" w:eastAsia="Calibri" w:hAnsi="Calibri" w:cs="Calibri"/>
        </w:rPr>
        <w:t>et al.,</w:t>
      </w:r>
      <w:r w:rsidRPr="00B60914">
        <w:rPr>
          <w:rFonts w:ascii="Calibri" w:eastAsia="Calibri" w:hAnsi="Calibri" w:cs="Calibri"/>
        </w:rPr>
        <w:t xml:space="preserve"> 2002), a transient, fluctuating state within and between individuals by others (e.g. Sonnentag, 2011), and a type of observable behaviour by yet others (e.g. organisational citizenship behaviour, performance). Research into individual differences in engagement has also suggested a trait component (e.g. positive affect; Macey &amp; Schneider, 2008). In reality, many researchers view the concept as comprising a combination of two or more of the above (Macey &amp; Schneider, 2008). Clearly, this lack of conceptual clarity has neither aided the ability to generalise between studies nor apply findings to practice. Furthermore, another stream of research has questioned the very existence of engagement as a new or useful construct, arguing that it is redundant with established job attitudes such as job satisfaction, organisational commitment</w:t>
      </w:r>
      <w:r w:rsidR="008039CD">
        <w:rPr>
          <w:rFonts w:ascii="Calibri" w:eastAsia="Calibri" w:hAnsi="Calibri" w:cs="Calibri"/>
        </w:rPr>
        <w:t>,</w:t>
      </w:r>
      <w:r w:rsidRPr="00B60914">
        <w:rPr>
          <w:rFonts w:ascii="Calibri" w:eastAsia="Calibri" w:hAnsi="Calibri" w:cs="Calibri"/>
        </w:rPr>
        <w:t xml:space="preserve"> and job involvement</w:t>
      </w:r>
      <w:r w:rsidR="00DD533F">
        <w:rPr>
          <w:rFonts w:ascii="Calibri" w:eastAsia="Calibri" w:hAnsi="Calibri" w:cs="Calibri"/>
        </w:rPr>
        <w:t xml:space="preserve"> (for a good review, see Macey &amp; Schneider, 2008)</w:t>
      </w:r>
      <w:r w:rsidRPr="00B60914">
        <w:rPr>
          <w:rFonts w:ascii="Calibri" w:eastAsia="Calibri" w:hAnsi="Calibri" w:cs="Calibri"/>
        </w:rPr>
        <w:t xml:space="preserve">. </w:t>
      </w:r>
    </w:p>
    <w:p w14:paraId="03EF1F06" w14:textId="77777777" w:rsidR="00DD533F" w:rsidRDefault="00DD533F" w:rsidP="00DD533F">
      <w:pPr>
        <w:spacing w:before="200" w:line="360" w:lineRule="auto"/>
        <w:contextualSpacing/>
        <w:rPr>
          <w:rFonts w:ascii="Calibri" w:eastAsia="Calibri" w:hAnsi="Calibri" w:cs="Calibri"/>
        </w:rPr>
      </w:pPr>
    </w:p>
    <w:p w14:paraId="7EBC7E7E" w14:textId="49F62B98" w:rsidR="00021873" w:rsidRDefault="00DD533F" w:rsidP="00B60914">
      <w:pPr>
        <w:spacing w:before="200" w:line="360" w:lineRule="auto"/>
        <w:contextualSpacing/>
        <w:rPr>
          <w:rFonts w:ascii="Calibri" w:eastAsia="Calibri" w:hAnsi="Calibri" w:cs="Calibri"/>
        </w:rPr>
      </w:pPr>
      <w:r>
        <w:rPr>
          <w:rFonts w:ascii="Calibri" w:eastAsia="Calibri" w:hAnsi="Calibri" w:cs="Calibri"/>
        </w:rPr>
        <w:t>In an attempt to bring some clarity to these issues, some scholars have attempted to empirically test the factorial validity of a scale, assess whether one scale is better able to predict engagement than another, and assess whether one scale can predict engagement over and above other, related job attitudes (e.g. Byrne et al., 2016; Christian et al., 2011). Results have been mixed with</w:t>
      </w:r>
      <w:r w:rsidR="000B0432">
        <w:rPr>
          <w:rFonts w:ascii="Calibri" w:eastAsia="Calibri" w:hAnsi="Calibri" w:cs="Calibri"/>
        </w:rPr>
        <w:t>, for example,</w:t>
      </w:r>
      <w:r>
        <w:rPr>
          <w:rFonts w:ascii="Calibri" w:eastAsia="Calibri" w:hAnsi="Calibri" w:cs="Calibri"/>
        </w:rPr>
        <w:t xml:space="preserve"> some scholars raising questions about the factorial and discriminant validity of the UWES in comparis</w:t>
      </w:r>
      <w:r w:rsidR="000B0432">
        <w:rPr>
          <w:rFonts w:ascii="Calibri" w:eastAsia="Calibri" w:hAnsi="Calibri" w:cs="Calibri"/>
        </w:rPr>
        <w:t>on to the Job Engagement Scale</w:t>
      </w:r>
      <w:r>
        <w:rPr>
          <w:rFonts w:ascii="Calibri" w:eastAsia="Calibri" w:hAnsi="Calibri" w:cs="Calibri"/>
        </w:rPr>
        <w:t xml:space="preserve"> (e.g. Byrne et al</w:t>
      </w:r>
      <w:r w:rsidR="004E1C30">
        <w:rPr>
          <w:rFonts w:ascii="Calibri" w:eastAsia="Calibri" w:hAnsi="Calibri" w:cs="Calibri"/>
        </w:rPr>
        <w:t>.</w:t>
      </w:r>
      <w:r>
        <w:rPr>
          <w:rFonts w:ascii="Calibri" w:eastAsia="Calibri" w:hAnsi="Calibri" w:cs="Calibri"/>
        </w:rPr>
        <w:t>, 2016)</w:t>
      </w:r>
      <w:r w:rsidR="00334B53">
        <w:rPr>
          <w:rFonts w:ascii="Calibri" w:eastAsia="Calibri" w:hAnsi="Calibri" w:cs="Calibri"/>
        </w:rPr>
        <w:t>,</w:t>
      </w:r>
      <w:r>
        <w:rPr>
          <w:rFonts w:ascii="Calibri" w:eastAsia="Calibri" w:hAnsi="Calibri" w:cs="Calibri"/>
        </w:rPr>
        <w:t xml:space="preserve"> and suggesting that these scales </w:t>
      </w:r>
      <w:r w:rsidR="000B0432">
        <w:rPr>
          <w:rFonts w:ascii="Calibri" w:eastAsia="Calibri" w:hAnsi="Calibri" w:cs="Calibri"/>
        </w:rPr>
        <w:t xml:space="preserve">should </w:t>
      </w:r>
      <w:r>
        <w:rPr>
          <w:rFonts w:ascii="Calibri" w:eastAsia="Calibri" w:hAnsi="Calibri" w:cs="Calibri"/>
        </w:rPr>
        <w:t>be used in different circumstances (e.g. the Job Engagement Scale in practitioner contexts an</w:t>
      </w:r>
      <w:r w:rsidR="005C1D7B">
        <w:rPr>
          <w:rFonts w:ascii="Calibri" w:eastAsia="Calibri" w:hAnsi="Calibri" w:cs="Calibri"/>
        </w:rPr>
        <w:t>d the UWES in research contexts;</w:t>
      </w:r>
      <w:r>
        <w:rPr>
          <w:rFonts w:ascii="Calibri" w:eastAsia="Calibri" w:hAnsi="Calibri" w:cs="Calibri"/>
        </w:rPr>
        <w:t xml:space="preserve"> Byrne et al., 2016) and others suggesting that engagement can be adequately discriminated from other job attitudes (Christian et al., 2011). Christian and colleagues did not investigate the ability of individual scales to predict engagement over and above other scales</w:t>
      </w:r>
      <w:r w:rsidR="005C1D7B">
        <w:rPr>
          <w:rFonts w:ascii="Calibri" w:eastAsia="Calibri" w:hAnsi="Calibri" w:cs="Calibri"/>
        </w:rPr>
        <w:t>,</w:t>
      </w:r>
      <w:r>
        <w:rPr>
          <w:rFonts w:ascii="Calibri" w:eastAsia="Calibri" w:hAnsi="Calibri" w:cs="Calibri"/>
        </w:rPr>
        <w:t xml:space="preserve"> rather, they included studies employing a range of different engagement scales together in a meta-analysis investigating the relationships between antecedents and outcomes of engagement. </w:t>
      </w:r>
      <w:r w:rsidR="000B0432">
        <w:rPr>
          <w:rFonts w:ascii="Calibri" w:eastAsia="Calibri" w:hAnsi="Calibri" w:cs="Calibri"/>
        </w:rPr>
        <w:t xml:space="preserve">It is therefore not possible to determine from their results whether one scale is more adequate than another for assessing engagement. </w:t>
      </w:r>
      <w:r w:rsidR="002274FA">
        <w:rPr>
          <w:rFonts w:ascii="Calibri" w:eastAsia="Calibri" w:hAnsi="Calibri" w:cs="Calibri"/>
        </w:rPr>
        <w:t>Nevertheless, t</w:t>
      </w:r>
      <w:r w:rsidR="000B0432">
        <w:rPr>
          <w:rFonts w:ascii="Calibri" w:eastAsia="Calibri" w:hAnsi="Calibri" w:cs="Calibri"/>
        </w:rPr>
        <w:t xml:space="preserve">aken together, these mixed results suggest that the debate over the meaning of engagement and whether it can be adequately assessed is </w:t>
      </w:r>
      <w:r w:rsidR="005C1D7B">
        <w:rPr>
          <w:rFonts w:ascii="Calibri" w:eastAsia="Calibri" w:hAnsi="Calibri" w:cs="Calibri"/>
        </w:rPr>
        <w:t>far from resolved.</w:t>
      </w:r>
    </w:p>
    <w:p w14:paraId="04D387B3" w14:textId="77777777" w:rsidR="001270A5" w:rsidRDefault="001270A5" w:rsidP="00B60914">
      <w:pPr>
        <w:spacing w:before="200" w:line="360" w:lineRule="auto"/>
        <w:contextualSpacing/>
        <w:rPr>
          <w:rFonts w:ascii="Calibri" w:eastAsia="Calibri" w:hAnsi="Calibri" w:cs="Calibri"/>
        </w:rPr>
      </w:pPr>
    </w:p>
    <w:p w14:paraId="122826F1" w14:textId="63310E7F" w:rsidR="00F30522" w:rsidRDefault="00021873" w:rsidP="001270A5">
      <w:pPr>
        <w:spacing w:before="200" w:line="360" w:lineRule="auto"/>
        <w:contextualSpacing/>
        <w:rPr>
          <w:rFonts w:ascii="Calibri" w:eastAsia="Calibri" w:hAnsi="Calibri" w:cs="Calibri"/>
        </w:rPr>
      </w:pPr>
      <w:r>
        <w:rPr>
          <w:rFonts w:ascii="Calibri" w:eastAsia="Calibri" w:hAnsi="Calibri" w:cs="Calibri"/>
        </w:rPr>
        <w:t xml:space="preserve">Despite these debates, </w:t>
      </w:r>
      <w:r w:rsidR="001270A5">
        <w:rPr>
          <w:rFonts w:ascii="Calibri" w:eastAsia="Calibri" w:hAnsi="Calibri" w:cs="Calibri"/>
        </w:rPr>
        <w:t xml:space="preserve">the </w:t>
      </w:r>
      <w:r w:rsidR="00FE1AFB">
        <w:rPr>
          <w:rFonts w:ascii="Calibri" w:eastAsia="Calibri" w:hAnsi="Calibri" w:cs="Calibri"/>
        </w:rPr>
        <w:t>definition</w:t>
      </w:r>
      <w:r w:rsidR="002843A4">
        <w:rPr>
          <w:rFonts w:ascii="Calibri" w:eastAsia="Calibri" w:hAnsi="Calibri" w:cs="Calibri"/>
        </w:rPr>
        <w:t xml:space="preserve"> </w:t>
      </w:r>
      <w:r w:rsidR="001270A5">
        <w:rPr>
          <w:rFonts w:ascii="Calibri" w:eastAsia="Calibri" w:hAnsi="Calibri" w:cs="Calibri"/>
        </w:rPr>
        <w:t>of work engagement proposed by Schaufeli et al. (2002) currently dominates the literature</w:t>
      </w:r>
      <w:r w:rsidR="00365FDD">
        <w:rPr>
          <w:rFonts w:ascii="Calibri" w:eastAsia="Calibri" w:hAnsi="Calibri" w:cs="Calibri"/>
        </w:rPr>
        <w:t>,</w:t>
      </w:r>
      <w:r w:rsidR="001270A5">
        <w:rPr>
          <w:rFonts w:ascii="Calibri" w:eastAsia="Calibri" w:hAnsi="Calibri" w:cs="Calibri"/>
        </w:rPr>
        <w:t xml:space="preserve"> and </w:t>
      </w:r>
      <w:r w:rsidR="00FE1AFB">
        <w:rPr>
          <w:rFonts w:ascii="Calibri" w:eastAsia="Calibri" w:hAnsi="Calibri" w:cs="Calibri"/>
        </w:rPr>
        <w:t xml:space="preserve">the model and metric associated with it </w:t>
      </w:r>
      <w:r w:rsidR="001270A5">
        <w:rPr>
          <w:rFonts w:ascii="Calibri" w:eastAsia="Calibri" w:hAnsi="Calibri" w:cs="Calibri"/>
        </w:rPr>
        <w:t xml:space="preserve">has received the </w:t>
      </w:r>
      <w:r w:rsidR="001270A5">
        <w:rPr>
          <w:rFonts w:ascii="Calibri" w:eastAsia="Calibri" w:hAnsi="Calibri" w:cs="Calibri"/>
        </w:rPr>
        <w:lastRenderedPageBreak/>
        <w:t xml:space="preserve">most support </w:t>
      </w:r>
      <w:r w:rsidR="00FE1AFB">
        <w:rPr>
          <w:rFonts w:ascii="Calibri" w:eastAsia="Calibri" w:hAnsi="Calibri" w:cs="Calibri"/>
        </w:rPr>
        <w:t>to date</w:t>
      </w:r>
      <w:r w:rsidR="001270A5">
        <w:rPr>
          <w:rFonts w:ascii="Calibri" w:eastAsia="Calibri" w:hAnsi="Calibri" w:cs="Calibri"/>
        </w:rPr>
        <w:t xml:space="preserve"> (Hakanan &amp; Roodt, 2010). </w:t>
      </w:r>
      <w:r w:rsidR="002843A4">
        <w:rPr>
          <w:rFonts w:ascii="Calibri" w:eastAsia="Calibri" w:hAnsi="Calibri" w:cs="Calibri"/>
        </w:rPr>
        <w:t xml:space="preserve">Given </w:t>
      </w:r>
      <w:r w:rsidR="00FE1AFB">
        <w:rPr>
          <w:rFonts w:ascii="Calibri" w:eastAsia="Calibri" w:hAnsi="Calibri" w:cs="Calibri"/>
        </w:rPr>
        <w:t>the dominance of this approach, a</w:t>
      </w:r>
      <w:r w:rsidR="002843A4">
        <w:rPr>
          <w:rFonts w:ascii="Calibri" w:eastAsia="Calibri" w:hAnsi="Calibri" w:cs="Calibri"/>
        </w:rPr>
        <w:t xml:space="preserve">nd </w:t>
      </w:r>
      <w:r w:rsidR="00FE1AFB">
        <w:rPr>
          <w:rFonts w:ascii="Calibri" w:eastAsia="Calibri" w:hAnsi="Calibri" w:cs="Calibri"/>
        </w:rPr>
        <w:t>the</w:t>
      </w:r>
      <w:r w:rsidR="002843A4">
        <w:rPr>
          <w:rFonts w:ascii="Calibri" w:eastAsia="Calibri" w:hAnsi="Calibri" w:cs="Calibri"/>
        </w:rPr>
        <w:t xml:space="preserve"> almost exclusive application </w:t>
      </w:r>
      <w:r w:rsidR="00FE1AFB">
        <w:rPr>
          <w:rFonts w:ascii="Calibri" w:eastAsia="Calibri" w:hAnsi="Calibri" w:cs="Calibri"/>
        </w:rPr>
        <w:t xml:space="preserve">of it </w:t>
      </w:r>
      <w:r w:rsidR="002843A4">
        <w:rPr>
          <w:rFonts w:ascii="Calibri" w:eastAsia="Calibri" w:hAnsi="Calibri" w:cs="Calibri"/>
        </w:rPr>
        <w:t>to the field of engagement interventions</w:t>
      </w:r>
      <w:r w:rsidR="007967EE">
        <w:rPr>
          <w:rFonts w:ascii="Calibri" w:eastAsia="Calibri" w:hAnsi="Calibri" w:cs="Calibri"/>
        </w:rPr>
        <w:t xml:space="preserve"> (see Chapters 5 &amp; 6 in particular), this approach is</w:t>
      </w:r>
      <w:r w:rsidR="00631A33">
        <w:rPr>
          <w:rFonts w:ascii="Calibri" w:eastAsia="Calibri" w:hAnsi="Calibri" w:cs="Calibri"/>
        </w:rPr>
        <w:t xml:space="preserve"> particularly </w:t>
      </w:r>
      <w:r w:rsidR="007967EE">
        <w:rPr>
          <w:rFonts w:ascii="Calibri" w:eastAsia="Calibri" w:hAnsi="Calibri" w:cs="Calibri"/>
        </w:rPr>
        <w:t>importan</w:t>
      </w:r>
      <w:r w:rsidR="00631A33">
        <w:rPr>
          <w:rFonts w:ascii="Calibri" w:eastAsia="Calibri" w:hAnsi="Calibri" w:cs="Calibri"/>
        </w:rPr>
        <w:t>t</w:t>
      </w:r>
      <w:r w:rsidR="007967EE">
        <w:rPr>
          <w:rFonts w:ascii="Calibri" w:eastAsia="Calibri" w:hAnsi="Calibri" w:cs="Calibri"/>
        </w:rPr>
        <w:t xml:space="preserve"> and relevan</w:t>
      </w:r>
      <w:r w:rsidR="00631A33">
        <w:rPr>
          <w:rFonts w:ascii="Calibri" w:eastAsia="Calibri" w:hAnsi="Calibri" w:cs="Calibri"/>
        </w:rPr>
        <w:t>t for this</w:t>
      </w:r>
      <w:r w:rsidR="007967EE">
        <w:rPr>
          <w:rFonts w:ascii="Calibri" w:eastAsia="Calibri" w:hAnsi="Calibri" w:cs="Calibri"/>
        </w:rPr>
        <w:t xml:space="preserve"> thesis</w:t>
      </w:r>
      <w:r w:rsidR="00631A33">
        <w:rPr>
          <w:rFonts w:ascii="Calibri" w:eastAsia="Calibri" w:hAnsi="Calibri" w:cs="Calibri"/>
        </w:rPr>
        <w:t>. I</w:t>
      </w:r>
      <w:r w:rsidR="00FE1AFB">
        <w:rPr>
          <w:rFonts w:ascii="Calibri" w:eastAsia="Calibri" w:hAnsi="Calibri" w:cs="Calibri"/>
        </w:rPr>
        <w:t xml:space="preserve">t is </w:t>
      </w:r>
      <w:r w:rsidR="00631A33">
        <w:rPr>
          <w:rFonts w:ascii="Calibri" w:eastAsia="Calibri" w:hAnsi="Calibri" w:cs="Calibri"/>
        </w:rPr>
        <w:t xml:space="preserve">therefore </w:t>
      </w:r>
      <w:r w:rsidR="00FE1AFB">
        <w:rPr>
          <w:rFonts w:ascii="Calibri" w:eastAsia="Calibri" w:hAnsi="Calibri" w:cs="Calibri"/>
        </w:rPr>
        <w:t xml:space="preserve">pertinent to discuss </w:t>
      </w:r>
      <w:r w:rsidR="00631A33">
        <w:rPr>
          <w:rFonts w:ascii="Calibri" w:eastAsia="Calibri" w:hAnsi="Calibri" w:cs="Calibri"/>
        </w:rPr>
        <w:t xml:space="preserve">this </w:t>
      </w:r>
      <w:r w:rsidR="006E21C9">
        <w:rPr>
          <w:rFonts w:ascii="Calibri" w:eastAsia="Calibri" w:hAnsi="Calibri" w:cs="Calibri"/>
        </w:rPr>
        <w:t xml:space="preserve">particular </w:t>
      </w:r>
      <w:r w:rsidR="00631A33">
        <w:rPr>
          <w:rFonts w:ascii="Calibri" w:eastAsia="Calibri" w:hAnsi="Calibri" w:cs="Calibri"/>
        </w:rPr>
        <w:t>theory in-depth, beginning with an outline of its</w:t>
      </w:r>
      <w:r w:rsidR="00FE1AFB">
        <w:rPr>
          <w:rFonts w:ascii="Calibri" w:eastAsia="Calibri" w:hAnsi="Calibri" w:cs="Calibri"/>
        </w:rPr>
        <w:t xml:space="preserve"> origins</w:t>
      </w:r>
      <w:r w:rsidR="00631A33">
        <w:rPr>
          <w:rFonts w:ascii="Calibri" w:eastAsia="Calibri" w:hAnsi="Calibri" w:cs="Calibri"/>
        </w:rPr>
        <w:t xml:space="preserve"> </w:t>
      </w:r>
      <w:r w:rsidR="00FE1AFB">
        <w:rPr>
          <w:rFonts w:ascii="Calibri" w:eastAsia="Calibri" w:hAnsi="Calibri" w:cs="Calibri"/>
        </w:rPr>
        <w:t xml:space="preserve">before focusing on research related to the approach itself.  </w:t>
      </w:r>
    </w:p>
    <w:p w14:paraId="4AF6BF81" w14:textId="77777777" w:rsidR="001270A5" w:rsidRDefault="001270A5" w:rsidP="001270A5">
      <w:pPr>
        <w:spacing w:before="200" w:line="360" w:lineRule="auto"/>
        <w:contextualSpacing/>
        <w:rPr>
          <w:rFonts w:ascii="Calibri" w:eastAsia="Calibri" w:hAnsi="Calibri" w:cs="Calibri"/>
        </w:rPr>
      </w:pPr>
    </w:p>
    <w:p w14:paraId="4056BE6B" w14:textId="77777777" w:rsidR="00B60914" w:rsidRPr="00B60914" w:rsidRDefault="00B60914" w:rsidP="0009618B">
      <w:pPr>
        <w:pStyle w:val="Heading3"/>
      </w:pPr>
      <w:bookmarkStart w:id="20" w:name="_Toc447266082"/>
      <w:bookmarkStart w:id="21" w:name="_Ref453248483"/>
      <w:bookmarkStart w:id="22" w:name="_Toc468285921"/>
      <w:r w:rsidRPr="00B60914">
        <w:t>Origins of work engagement theory</w:t>
      </w:r>
      <w:bookmarkEnd w:id="20"/>
      <w:bookmarkEnd w:id="21"/>
      <w:bookmarkEnd w:id="22"/>
    </w:p>
    <w:p w14:paraId="5AD3D4B4" w14:textId="77777777" w:rsidR="00B60914" w:rsidRPr="00B60914" w:rsidRDefault="00B60914" w:rsidP="00B60914">
      <w:pPr>
        <w:spacing w:before="200" w:line="360" w:lineRule="auto"/>
        <w:contextualSpacing/>
        <w:rPr>
          <w:rFonts w:ascii="Calibri" w:eastAsia="Calibri" w:hAnsi="Calibri" w:cs="Calibri"/>
        </w:rPr>
      </w:pPr>
    </w:p>
    <w:p w14:paraId="0B93E253" w14:textId="341970D3" w:rsidR="00B60914" w:rsidRPr="00B60914" w:rsidRDefault="005C5977" w:rsidP="00B60914">
      <w:pPr>
        <w:spacing w:before="200" w:line="360" w:lineRule="auto"/>
        <w:contextualSpacing/>
        <w:rPr>
          <w:rFonts w:ascii="Calibri" w:eastAsia="Calibri" w:hAnsi="Calibri" w:cs="Calibri"/>
        </w:rPr>
      </w:pPr>
      <w:r>
        <w:rPr>
          <w:rFonts w:ascii="Calibri" w:eastAsia="Calibri" w:hAnsi="Calibri" w:cs="Calibri"/>
        </w:rPr>
        <w:t>Whilst the general concept of engagement emerged from Kahn’s pioneering work (1990), t</w:t>
      </w:r>
      <w:r w:rsidR="00B60914" w:rsidRPr="00B60914">
        <w:rPr>
          <w:rFonts w:ascii="Calibri" w:eastAsia="Calibri" w:hAnsi="Calibri" w:cs="Calibri"/>
        </w:rPr>
        <w:t xml:space="preserve">he concept of </w:t>
      </w:r>
      <w:r>
        <w:rPr>
          <w:rFonts w:ascii="Calibri" w:eastAsia="Calibri" w:hAnsi="Calibri" w:cs="Calibri"/>
        </w:rPr>
        <w:t xml:space="preserve">work </w:t>
      </w:r>
      <w:r w:rsidR="00B60914" w:rsidRPr="00B60914">
        <w:rPr>
          <w:rFonts w:ascii="Calibri" w:eastAsia="Calibri" w:hAnsi="Calibri" w:cs="Calibri"/>
        </w:rPr>
        <w:t xml:space="preserve">engagement </w:t>
      </w:r>
      <w:r>
        <w:rPr>
          <w:rFonts w:ascii="Calibri" w:eastAsia="Calibri" w:hAnsi="Calibri" w:cs="Calibri"/>
        </w:rPr>
        <w:t>specifically, as defined by Schaufeli et al. (2002), e</w:t>
      </w:r>
      <w:r w:rsidR="00B60914" w:rsidRPr="00B60914">
        <w:rPr>
          <w:rFonts w:ascii="Calibri" w:eastAsia="Calibri" w:hAnsi="Calibri" w:cs="Calibri"/>
        </w:rPr>
        <w:t>merged from a long tradition of work motivation and job stress research which aimed to identify how to maximise positive individual and organisational outcomes such as performance, productivity, job satisfaction</w:t>
      </w:r>
      <w:r w:rsidR="005C1D7B">
        <w:rPr>
          <w:rFonts w:ascii="Calibri" w:eastAsia="Calibri" w:hAnsi="Calibri" w:cs="Calibri"/>
        </w:rPr>
        <w:t>,</w:t>
      </w:r>
      <w:r w:rsidR="00B60914" w:rsidRPr="00B60914">
        <w:rPr>
          <w:rFonts w:ascii="Calibri" w:eastAsia="Calibri" w:hAnsi="Calibri" w:cs="Calibri"/>
        </w:rPr>
        <w:t xml:space="preserve"> and </w:t>
      </w:r>
      <w:r w:rsidR="001D6140">
        <w:rPr>
          <w:rFonts w:ascii="Calibri" w:eastAsia="Calibri" w:hAnsi="Calibri" w:cs="Calibri"/>
        </w:rPr>
        <w:t>well-being</w:t>
      </w:r>
      <w:r w:rsidR="00B60914" w:rsidRPr="00B60914">
        <w:rPr>
          <w:rFonts w:ascii="Calibri" w:eastAsia="Calibri" w:hAnsi="Calibri" w:cs="Calibri"/>
        </w:rPr>
        <w:t xml:space="preserve"> (for a review</w:t>
      </w:r>
      <w:r w:rsidR="005C1D7B">
        <w:rPr>
          <w:rFonts w:ascii="Calibri" w:eastAsia="Calibri" w:hAnsi="Calibri" w:cs="Calibri"/>
        </w:rPr>
        <w:t>,</w:t>
      </w:r>
      <w:r w:rsidR="00B60914" w:rsidRPr="00B60914">
        <w:rPr>
          <w:rFonts w:ascii="Calibri" w:eastAsia="Calibri" w:hAnsi="Calibri" w:cs="Calibri"/>
        </w:rPr>
        <w:t xml:space="preserve"> see Ambrose &amp; Kulik, 1999). Early motivation theories include needs approaches (Maslow, 1943; 1954; McClelland, 1961), job design approaches (e.g. Herzberg, 1966; Hackman &amp; Oldham, 1980), cognitive theories of motivation (e.g. Vroom, 1964) and organisational justice theories (e.g. Harder 1992; Moorman 1991). Early job stress theories include the Demand-Control Model (DCM; Karasek, 1979) and the Effort-Reward Imbalance Model (ERI; Siegrist, 1996). Typically, however, these two literatures have not informed each other, with work motivation theories largely ignoring the influence of job demands and stressors and job stress theories largely ignoring the motivational potential of job resources (Bakker &amp; Demerouti, 2014). Furthermore, these early models were criticised for being too simplistic and static, with a minimal number of variables expected to explain all work environments, and the dynamic nature of the relationships between variables in different work environments being ignored. In addition, they were considered inflexible, being unable to adapt to the changing nature of j</w:t>
      </w:r>
      <w:r w:rsidR="005C1D7B">
        <w:rPr>
          <w:rFonts w:ascii="Calibri" w:eastAsia="Calibri" w:hAnsi="Calibri" w:cs="Calibri"/>
        </w:rPr>
        <w:t>obs (Bakker &amp; Demerouti, 2014).</w:t>
      </w:r>
      <w:r w:rsidR="00B60914" w:rsidRPr="00B60914">
        <w:rPr>
          <w:rFonts w:ascii="Calibri" w:eastAsia="Calibri" w:hAnsi="Calibri" w:cs="Calibri"/>
        </w:rPr>
        <w:t xml:space="preserve"> The Job Demands-Resources model (JD-R; Bakker &amp; Demerouti, 2007; 2008) was developed in response to these criticisms</w:t>
      </w:r>
      <w:r w:rsidR="005C1D7B">
        <w:rPr>
          <w:rFonts w:ascii="Calibri" w:eastAsia="Calibri" w:hAnsi="Calibri" w:cs="Calibri"/>
        </w:rPr>
        <w:t>,</w:t>
      </w:r>
      <w:r w:rsidR="00B60914" w:rsidRPr="00B60914">
        <w:rPr>
          <w:rFonts w:ascii="Calibri" w:eastAsia="Calibri" w:hAnsi="Calibri" w:cs="Calibri"/>
        </w:rPr>
        <w:t xml:space="preserve"> and brings work motivation and job stress research together. This model proposes that both positive (e.g. work engagement, organisational commitment, </w:t>
      </w:r>
      <w:r w:rsidR="001D6140">
        <w:rPr>
          <w:rFonts w:ascii="Calibri" w:eastAsia="Calibri" w:hAnsi="Calibri" w:cs="Calibri"/>
        </w:rPr>
        <w:t>well-being</w:t>
      </w:r>
      <w:r w:rsidR="00B60914" w:rsidRPr="00B60914">
        <w:rPr>
          <w:rFonts w:ascii="Calibri" w:eastAsia="Calibri" w:hAnsi="Calibri" w:cs="Calibri"/>
        </w:rPr>
        <w:t xml:space="preserve">, performance) and negative (e.g. burnout, sickness absence, turnover) outcomes result from the presence of job and personal resources. Bakker and Demerouti (2007) locate this model within </w:t>
      </w:r>
      <w:r w:rsidR="00C17CB1">
        <w:rPr>
          <w:rFonts w:ascii="Calibri" w:eastAsia="Calibri" w:hAnsi="Calibri" w:cs="Calibri"/>
        </w:rPr>
        <w:t>Self-Determination Theory</w:t>
      </w:r>
      <w:r w:rsidR="00B60914" w:rsidRPr="00B60914">
        <w:rPr>
          <w:rFonts w:ascii="Calibri" w:eastAsia="Calibri" w:hAnsi="Calibri" w:cs="Calibri"/>
        </w:rPr>
        <w:t xml:space="preserve"> (SDT; Deci et al., 2001)</w:t>
      </w:r>
      <w:r w:rsidR="005C1D7B">
        <w:rPr>
          <w:rFonts w:ascii="Calibri" w:eastAsia="Calibri" w:hAnsi="Calibri" w:cs="Calibri"/>
        </w:rPr>
        <w:t>,</w:t>
      </w:r>
      <w:r w:rsidR="00B60914" w:rsidRPr="00B60914">
        <w:rPr>
          <w:rFonts w:ascii="Calibri" w:eastAsia="Calibri" w:hAnsi="Calibri" w:cs="Calibri"/>
        </w:rPr>
        <w:t xml:space="preserve"> and suggest several other psychological processes which may underlie these relationships (see section </w:t>
      </w:r>
      <w:r w:rsidR="004B3ACB">
        <w:rPr>
          <w:rFonts w:ascii="Calibri" w:eastAsia="Calibri" w:hAnsi="Calibri" w:cs="Calibri"/>
        </w:rPr>
        <w:fldChar w:fldCharType="begin"/>
      </w:r>
      <w:r w:rsidR="004B3ACB">
        <w:rPr>
          <w:rFonts w:ascii="Calibri" w:eastAsia="Calibri" w:hAnsi="Calibri" w:cs="Calibri"/>
        </w:rPr>
        <w:instrText xml:space="preserve"> REF _Ref453248706 \r \h </w:instrText>
      </w:r>
      <w:r w:rsidR="004B3ACB">
        <w:rPr>
          <w:rFonts w:ascii="Calibri" w:eastAsia="Calibri" w:hAnsi="Calibri" w:cs="Calibri"/>
        </w:rPr>
      </w:r>
      <w:r w:rsidR="004B3ACB">
        <w:rPr>
          <w:rFonts w:ascii="Calibri" w:eastAsia="Calibri" w:hAnsi="Calibri" w:cs="Calibri"/>
        </w:rPr>
        <w:fldChar w:fldCharType="separate"/>
      </w:r>
      <w:r w:rsidR="00152F6D">
        <w:rPr>
          <w:rFonts w:ascii="Calibri" w:eastAsia="Calibri" w:hAnsi="Calibri" w:cs="Calibri"/>
        </w:rPr>
        <w:t>2.2.6</w:t>
      </w:r>
      <w:r w:rsidR="004B3ACB">
        <w:rPr>
          <w:rFonts w:ascii="Calibri" w:eastAsia="Calibri" w:hAnsi="Calibri" w:cs="Calibri"/>
        </w:rPr>
        <w:fldChar w:fldCharType="end"/>
      </w:r>
      <w:r w:rsidR="00B60914" w:rsidRPr="00B60914">
        <w:rPr>
          <w:rFonts w:ascii="Calibri" w:eastAsia="Calibri" w:hAnsi="Calibri" w:cs="Calibri"/>
        </w:rPr>
        <w:t xml:space="preserve">). SDT will first be outlined before considering the JD-R model and work engagement theory in more detail.  </w:t>
      </w:r>
    </w:p>
    <w:p w14:paraId="435E30F7" w14:textId="77777777" w:rsidR="00B60914" w:rsidRPr="00B60914" w:rsidRDefault="00B60914" w:rsidP="00B60914">
      <w:pPr>
        <w:spacing w:after="200" w:line="360" w:lineRule="auto"/>
        <w:rPr>
          <w:rFonts w:ascii="Calibri" w:eastAsia="SimSun" w:hAnsi="Calibri" w:cs="Arial"/>
          <w:lang w:eastAsia="zh-CN"/>
        </w:rPr>
      </w:pPr>
    </w:p>
    <w:p w14:paraId="0F895105" w14:textId="2BFE9373" w:rsidR="00B60914" w:rsidRPr="00B60914" w:rsidRDefault="00C17CB1" w:rsidP="0009618B">
      <w:pPr>
        <w:pStyle w:val="Heading3"/>
      </w:pPr>
      <w:bookmarkStart w:id="23" w:name="_Toc447266083"/>
      <w:bookmarkStart w:id="24" w:name="_Ref453248498"/>
      <w:bookmarkStart w:id="25" w:name="_Toc468285922"/>
      <w:r>
        <w:lastRenderedPageBreak/>
        <w:t>Self-Determination Theory</w:t>
      </w:r>
      <w:r w:rsidR="00B60914" w:rsidRPr="00B60914">
        <w:t xml:space="preserve"> (SDT)</w:t>
      </w:r>
      <w:bookmarkEnd w:id="23"/>
      <w:bookmarkEnd w:id="24"/>
      <w:bookmarkEnd w:id="25"/>
    </w:p>
    <w:p w14:paraId="21F5E5C4" w14:textId="77777777" w:rsidR="00B60914" w:rsidRPr="00B60914" w:rsidRDefault="00B60914" w:rsidP="00B60914">
      <w:pPr>
        <w:spacing w:after="200" w:line="360" w:lineRule="auto"/>
        <w:contextualSpacing/>
        <w:rPr>
          <w:rFonts w:ascii="Calibri" w:eastAsia="SimSun" w:hAnsi="Calibri" w:cs="Arial"/>
          <w:lang w:eastAsia="zh-CN"/>
        </w:rPr>
      </w:pPr>
    </w:p>
    <w:p w14:paraId="717C4579" w14:textId="03F34E4C" w:rsidR="00B60914" w:rsidRPr="00B60914" w:rsidRDefault="00C17CB1" w:rsidP="00B60914">
      <w:pPr>
        <w:spacing w:after="200" w:line="360" w:lineRule="auto"/>
        <w:contextualSpacing/>
        <w:rPr>
          <w:rFonts w:ascii="Calibri" w:eastAsia="SimSun" w:hAnsi="Calibri" w:cs="Arial"/>
          <w:bCs/>
          <w:lang w:eastAsia="zh-CN"/>
        </w:rPr>
      </w:pPr>
      <w:r>
        <w:rPr>
          <w:rFonts w:ascii="Calibri" w:eastAsia="SimSun" w:hAnsi="Calibri" w:cs="Arial"/>
          <w:lang w:eastAsia="zh-CN"/>
        </w:rPr>
        <w:t>Self-Determination Theory</w:t>
      </w:r>
      <w:r w:rsidR="00B60914" w:rsidRPr="00B60914">
        <w:rPr>
          <w:rFonts w:ascii="Calibri" w:eastAsia="SimSun" w:hAnsi="Calibri" w:cs="Arial"/>
          <w:lang w:eastAsia="zh-CN"/>
        </w:rPr>
        <w:t xml:space="preserve"> (SDT; Deci &amp; Ryan, 2000; </w:t>
      </w:r>
      <w:r w:rsidR="00B60914" w:rsidRPr="00B60914">
        <w:rPr>
          <w:rFonts w:ascii="Calibri" w:eastAsia="Calibri" w:hAnsi="Calibri" w:cs="Arial"/>
          <w:bCs/>
        </w:rPr>
        <w:t xml:space="preserve">Deci </w:t>
      </w:r>
      <w:r w:rsidR="00B64DD5">
        <w:rPr>
          <w:rFonts w:ascii="Calibri" w:eastAsia="Calibri" w:hAnsi="Calibri" w:cs="Arial"/>
          <w:bCs/>
        </w:rPr>
        <w:t>et al.,</w:t>
      </w:r>
      <w:r w:rsidR="00B60914" w:rsidRPr="00B60914">
        <w:rPr>
          <w:rFonts w:ascii="Calibri" w:eastAsia="Calibri" w:hAnsi="Calibri" w:cs="Arial"/>
          <w:bCs/>
        </w:rPr>
        <w:t xml:space="preserve"> 2001</w:t>
      </w:r>
      <w:r w:rsidR="00B60914" w:rsidRPr="00B60914">
        <w:rPr>
          <w:rFonts w:ascii="Calibri" w:eastAsia="SimSun" w:hAnsi="Calibri" w:cs="Arial"/>
          <w:lang w:eastAsia="zh-CN"/>
        </w:rPr>
        <w:t xml:space="preserve">) is a theory of human motivation which proposes </w:t>
      </w:r>
      <w:r w:rsidR="00B60914" w:rsidRPr="00B60914">
        <w:rPr>
          <w:rFonts w:ascii="Calibri" w:eastAsia="Calibri" w:hAnsi="Calibri" w:cs="Arial"/>
          <w:bCs/>
        </w:rPr>
        <w:t xml:space="preserve">that all humans are born with three core needs: 1) the need for competence (succeeding at challenging tasks and achieving one’s goals); 2) the need for autonomy (experiencing choice); and 3) the need for relatedness (experiencing a sense of belonging with others). This theory posits that the extent to which individuals </w:t>
      </w:r>
      <w:r w:rsidR="00B60914" w:rsidRPr="00B60914">
        <w:rPr>
          <w:rFonts w:ascii="Calibri" w:eastAsia="Calibri" w:hAnsi="Calibri" w:cs="Arial"/>
          <w:bCs/>
          <w:iCs/>
        </w:rPr>
        <w:t xml:space="preserve">satisfy each of </w:t>
      </w:r>
      <w:r w:rsidR="00B60914" w:rsidRPr="00B60914">
        <w:rPr>
          <w:rFonts w:ascii="Calibri" w:eastAsia="Calibri" w:hAnsi="Calibri" w:cs="Arial"/>
          <w:bCs/>
        </w:rPr>
        <w:t xml:space="preserve">these core needs is important for </w:t>
      </w:r>
      <w:r w:rsidR="001D6140">
        <w:rPr>
          <w:rFonts w:ascii="Calibri" w:eastAsia="Calibri" w:hAnsi="Calibri" w:cs="Arial"/>
          <w:bCs/>
        </w:rPr>
        <w:t>well-being</w:t>
      </w:r>
      <w:r w:rsidR="00B60914" w:rsidRPr="00B60914">
        <w:rPr>
          <w:rFonts w:ascii="Calibri" w:eastAsia="Calibri" w:hAnsi="Calibri" w:cs="Arial"/>
          <w:bCs/>
        </w:rPr>
        <w:t>. This proposition has been supported by many studies (for a review</w:t>
      </w:r>
      <w:r w:rsidR="005C1D7B">
        <w:rPr>
          <w:rFonts w:ascii="Calibri" w:eastAsia="Calibri" w:hAnsi="Calibri" w:cs="Arial"/>
          <w:bCs/>
        </w:rPr>
        <w:t>,</w:t>
      </w:r>
      <w:r w:rsidR="00B60914" w:rsidRPr="00B60914">
        <w:rPr>
          <w:rFonts w:ascii="Calibri" w:eastAsia="Calibri" w:hAnsi="Calibri" w:cs="Arial"/>
          <w:bCs/>
        </w:rPr>
        <w:t xml:space="preserve"> see </w:t>
      </w:r>
      <w:r w:rsidR="005C1D7B">
        <w:rPr>
          <w:rFonts w:ascii="Calibri" w:eastAsia="Calibri" w:hAnsi="Calibri" w:cs="Arial"/>
          <w:bCs/>
        </w:rPr>
        <w:t>Deci &amp; Ryan, 2000;</w:t>
      </w:r>
      <w:r w:rsidR="00B60914" w:rsidRPr="00B60914">
        <w:rPr>
          <w:rFonts w:ascii="Calibri" w:eastAsia="Calibri" w:hAnsi="Calibri" w:cs="Arial"/>
          <w:bCs/>
        </w:rPr>
        <w:t xml:space="preserve"> see also a very recent meta-analysis by </w:t>
      </w:r>
      <w:r w:rsidR="00B60914" w:rsidRPr="00B60914">
        <w:rPr>
          <w:rFonts w:ascii="Calibri" w:eastAsia="Calibri" w:hAnsi="Calibri" w:cs="Calibri"/>
        </w:rPr>
        <w:t>Van den Broeck, Ferris, Chang &amp; Rosen, 2016</w:t>
      </w:r>
      <w:r w:rsidR="00B60914" w:rsidRPr="00B60914">
        <w:rPr>
          <w:rFonts w:ascii="Calibri" w:eastAsia="Calibri" w:hAnsi="Calibri" w:cs="Arial"/>
          <w:bCs/>
        </w:rPr>
        <w:t xml:space="preserve">), including several longitudinal, daily diary studies which revealed that each of the three needs contributed independently to </w:t>
      </w:r>
      <w:r w:rsidR="001D6140">
        <w:rPr>
          <w:rFonts w:ascii="Calibri" w:eastAsia="Calibri" w:hAnsi="Calibri" w:cs="Arial"/>
          <w:bCs/>
        </w:rPr>
        <w:t>well-being</w:t>
      </w:r>
      <w:r w:rsidR="00B60914" w:rsidRPr="00B60914">
        <w:rPr>
          <w:rFonts w:ascii="Calibri" w:eastAsia="Calibri" w:hAnsi="Calibri" w:cs="Arial"/>
          <w:bCs/>
        </w:rPr>
        <w:t xml:space="preserve"> on a daily (e.g. Reis, Sheldon, Gable, Roscoe &amp; Ryan 2000), and a longer term (e.g. Gagné and Deci, 2005), basis. These needs have also been related to a wider range of outcomes, as well as precursors of work engagement</w:t>
      </w:r>
      <w:r w:rsidR="005C1D7B">
        <w:rPr>
          <w:rFonts w:ascii="Calibri" w:eastAsia="Calibri" w:hAnsi="Calibri" w:cs="Arial"/>
          <w:bCs/>
        </w:rPr>
        <w:t>. F</w:t>
      </w:r>
      <w:r w:rsidR="00B60914" w:rsidRPr="00B60914">
        <w:rPr>
          <w:rFonts w:ascii="Calibri" w:eastAsia="Calibri" w:hAnsi="Calibri" w:cs="Arial"/>
          <w:bCs/>
        </w:rPr>
        <w:t>or example, competence and relatedness have been found to mediate between transformational leadership and work engagement and performance (</w:t>
      </w:r>
      <w:r w:rsidR="00B60914" w:rsidRPr="00B60914">
        <w:rPr>
          <w:rFonts w:ascii="Calibri" w:eastAsia="SimSun" w:hAnsi="Calibri" w:cs="Arial"/>
          <w:bCs/>
          <w:lang w:eastAsia="zh-CN"/>
        </w:rPr>
        <w:t xml:space="preserve">Kovjanic, Schuh &amp; Jonas, 2013), and in both a state-owned company in Bulgaria and a comparison US organisation, the satisfaction of all three needs was found to mediate between perceived autonomy support and work engagement and </w:t>
      </w:r>
      <w:r w:rsidR="001D6140">
        <w:rPr>
          <w:rFonts w:ascii="Calibri" w:eastAsia="SimSun" w:hAnsi="Calibri" w:cs="Arial"/>
          <w:bCs/>
          <w:lang w:eastAsia="zh-CN"/>
        </w:rPr>
        <w:t>well-being</w:t>
      </w:r>
      <w:r w:rsidR="00B60914" w:rsidRPr="00B60914">
        <w:rPr>
          <w:rFonts w:ascii="Calibri" w:eastAsia="SimSun" w:hAnsi="Calibri" w:cs="Arial"/>
          <w:bCs/>
          <w:lang w:eastAsia="zh-CN"/>
        </w:rPr>
        <w:t xml:space="preserve"> (Deci </w:t>
      </w:r>
      <w:r w:rsidR="004E1C30">
        <w:rPr>
          <w:rFonts w:ascii="Calibri" w:eastAsia="SimSun" w:hAnsi="Calibri" w:cs="Arial"/>
          <w:bCs/>
          <w:lang w:eastAsia="zh-CN"/>
        </w:rPr>
        <w:t>et al.,</w:t>
      </w:r>
      <w:r w:rsidR="00B60914" w:rsidRPr="00B60914">
        <w:rPr>
          <w:rFonts w:ascii="Calibri" w:eastAsia="SimSun" w:hAnsi="Calibri" w:cs="Arial"/>
          <w:bCs/>
          <w:lang w:eastAsia="zh-CN"/>
        </w:rPr>
        <w:t xml:space="preserve"> 2001). </w:t>
      </w:r>
    </w:p>
    <w:p w14:paraId="478238C7" w14:textId="77777777" w:rsidR="00B60914" w:rsidRPr="00B60914" w:rsidRDefault="00B60914" w:rsidP="00B60914">
      <w:pPr>
        <w:spacing w:after="200" w:line="360" w:lineRule="auto"/>
        <w:contextualSpacing/>
        <w:rPr>
          <w:rFonts w:ascii="Calibri" w:eastAsia="SimSun" w:hAnsi="Calibri" w:cs="Arial"/>
          <w:bCs/>
          <w:lang w:eastAsia="zh-CN"/>
        </w:rPr>
      </w:pPr>
    </w:p>
    <w:p w14:paraId="69C91404" w14:textId="287F2CF9" w:rsidR="00B60914" w:rsidRPr="00B60914" w:rsidRDefault="00B60914" w:rsidP="00B60914">
      <w:pPr>
        <w:spacing w:after="200" w:line="360" w:lineRule="auto"/>
        <w:contextualSpacing/>
        <w:rPr>
          <w:rFonts w:ascii="Calibri" w:eastAsia="Calibri" w:hAnsi="Calibri" w:cs="Arial"/>
          <w:bCs/>
        </w:rPr>
      </w:pPr>
      <w:r w:rsidRPr="00B60914">
        <w:rPr>
          <w:rFonts w:ascii="Calibri" w:eastAsia="SimSun" w:hAnsi="Calibri" w:cs="Arial"/>
          <w:bCs/>
          <w:lang w:eastAsia="zh-CN"/>
        </w:rPr>
        <w:t>SDT distinguishes between autonomous (intrinsic) and controlled (extrinsic) motivation, viewing the former as motivation to engage volitionally in a task due to the inherent interest and / or enjoyment that the task provides for an individual, and the latter as motivation to engage in a task due to having to, for example</w:t>
      </w:r>
      <w:r w:rsidR="005C1D7B">
        <w:rPr>
          <w:rFonts w:ascii="Calibri" w:eastAsia="SimSun" w:hAnsi="Calibri" w:cs="Arial"/>
          <w:bCs/>
          <w:lang w:eastAsia="zh-CN"/>
        </w:rPr>
        <w:t>,</w:t>
      </w:r>
      <w:r w:rsidRPr="00B60914">
        <w:rPr>
          <w:rFonts w:ascii="Calibri" w:eastAsia="SimSun" w:hAnsi="Calibri" w:cs="Arial"/>
          <w:bCs/>
          <w:lang w:eastAsia="zh-CN"/>
        </w:rPr>
        <w:t xml:space="preserve"> because it has been requested of an individual to do so (Gagné &amp; Deci, 2005). Thus, while both forms are intentional, and both are in contrast to ‘amotivation’ (a lack of intention and motivation</w:t>
      </w:r>
      <w:r w:rsidR="005C1D7B">
        <w:rPr>
          <w:rFonts w:ascii="Calibri" w:eastAsia="SimSun" w:hAnsi="Calibri" w:cs="Arial"/>
          <w:bCs/>
          <w:lang w:eastAsia="zh-CN"/>
        </w:rPr>
        <w:t>;</w:t>
      </w:r>
      <w:r w:rsidRPr="00B60914">
        <w:rPr>
          <w:rFonts w:ascii="Calibri" w:eastAsia="SimSun" w:hAnsi="Calibri" w:cs="Arial"/>
          <w:bCs/>
          <w:lang w:eastAsia="zh-CN"/>
        </w:rPr>
        <w:t xml:space="preserve"> Gagné &amp; Deci, 2005), one proces</w:t>
      </w:r>
      <w:r w:rsidR="005C1D7B">
        <w:rPr>
          <w:rFonts w:ascii="Calibri" w:eastAsia="SimSun" w:hAnsi="Calibri" w:cs="Arial"/>
          <w:bCs/>
          <w:lang w:eastAsia="zh-CN"/>
        </w:rPr>
        <w:t>s is initiated and maintained, that is, regulated</w:t>
      </w:r>
      <w:r w:rsidRPr="00B60914">
        <w:rPr>
          <w:rFonts w:ascii="Calibri" w:eastAsia="SimSun" w:hAnsi="Calibri" w:cs="Arial"/>
          <w:bCs/>
          <w:lang w:eastAsia="zh-CN"/>
        </w:rPr>
        <w:t xml:space="preserve"> by internal factors, whereas the other is initiated and maintained by external factors. However, Gagné and Deci depart from similar theories of motivation (e.g. Hackman &amp; Oldham, 1980; Karasek &amp; Theorell, 1990) by proposing that a continuum exists between purely intrinsic motivation and purely extrinsic motivation, such that factors which are initially considered as extrinsic motivators may become internalised and thus intrinsic motivators.</w:t>
      </w:r>
      <w:r w:rsidRPr="00B60914">
        <w:rPr>
          <w:rFonts w:ascii="Calibri" w:eastAsia="Calibri" w:hAnsi="Calibri" w:cs="Arial"/>
          <w:bCs/>
        </w:rPr>
        <w:t xml:space="preserve"> Both lab and field experiments have provided support for these processes, finding that all three needs facilitate the internalisation and integration of extrinsic motivation, with autonomy satisfaction being most important (e.g. Black &amp; Deci, 2000; Williams &amp; Deci, 1996). In particular, choice, meaningful positive feedback, work climate, and managers’ interpersonal styles were found to promote the satisfaction of autonomy in these studies. These factors have also been found to relate positively to work engagement (e.g. see </w:t>
      </w:r>
      <w:r w:rsidRPr="00B60914">
        <w:rPr>
          <w:rFonts w:ascii="Calibri" w:eastAsia="Calibri" w:hAnsi="Calibri" w:cs="Arial"/>
          <w:bCs/>
        </w:rPr>
        <w:lastRenderedPageBreak/>
        <w:t xml:space="preserve">Halbesleben, 2010 for a meta-analytic review), suggesting that the three needs may indeed mediate between antecedents of work engagement and work engagement itself, as espoused by Bakker and Demerouti (2007).  </w:t>
      </w:r>
    </w:p>
    <w:p w14:paraId="6211C29B" w14:textId="77777777" w:rsidR="00B60914" w:rsidRPr="00B60914" w:rsidRDefault="00B60914" w:rsidP="00B60914">
      <w:pPr>
        <w:spacing w:after="200" w:line="360" w:lineRule="auto"/>
        <w:contextualSpacing/>
        <w:rPr>
          <w:rFonts w:ascii="Calibri" w:eastAsia="Calibri" w:hAnsi="Calibri" w:cs="Arial"/>
          <w:bCs/>
        </w:rPr>
      </w:pPr>
    </w:p>
    <w:p w14:paraId="5E639663" w14:textId="170E7A62" w:rsidR="00B60914" w:rsidRPr="00B60914" w:rsidRDefault="00B60914" w:rsidP="00B60914">
      <w:pPr>
        <w:spacing w:after="200" w:line="360" w:lineRule="auto"/>
        <w:contextualSpacing/>
        <w:rPr>
          <w:rFonts w:ascii="Calibri" w:eastAsia="Calibri" w:hAnsi="Calibri" w:cs="Arial"/>
          <w:bCs/>
        </w:rPr>
      </w:pPr>
      <w:r w:rsidRPr="00B60914">
        <w:rPr>
          <w:rFonts w:ascii="Calibri" w:eastAsia="SimSun" w:hAnsi="Calibri" w:cs="Arial"/>
          <w:bCs/>
          <w:lang w:eastAsia="zh-CN"/>
        </w:rPr>
        <w:t xml:space="preserve">Some studies have revealed inconsistencies within SDT. In both a lab and a field study, Eisenberger, Rhoades and Cameron (1999) found that extrinsic motivators (e.g. pay) led to the satisfaction of the needs for autonomy and competence, </w:t>
      </w:r>
      <w:r w:rsidR="002824AB">
        <w:rPr>
          <w:rFonts w:ascii="Calibri" w:eastAsia="SimSun" w:hAnsi="Calibri" w:cs="Arial"/>
          <w:bCs/>
          <w:lang w:eastAsia="zh-CN"/>
        </w:rPr>
        <w:t xml:space="preserve">which is in contrast with SDT. </w:t>
      </w:r>
      <w:r w:rsidRPr="00B60914">
        <w:rPr>
          <w:rFonts w:ascii="Calibri" w:eastAsia="SimSun" w:hAnsi="Calibri" w:cs="Arial"/>
          <w:bCs/>
          <w:lang w:eastAsia="zh-CN"/>
        </w:rPr>
        <w:t xml:space="preserve">It is possible that participants experienced the freedom to decide whether or not to pursue the monetary reward utilised in Eisenberger </w:t>
      </w:r>
      <w:r w:rsidR="00D57101">
        <w:rPr>
          <w:rFonts w:ascii="Calibri" w:eastAsia="SimSun" w:hAnsi="Calibri" w:cs="Arial"/>
          <w:bCs/>
          <w:lang w:eastAsia="zh-CN"/>
        </w:rPr>
        <w:t>and colleagues’</w:t>
      </w:r>
      <w:r w:rsidRPr="00B60914">
        <w:rPr>
          <w:rFonts w:ascii="Calibri" w:eastAsia="SimSun" w:hAnsi="Calibri" w:cs="Arial"/>
          <w:bCs/>
          <w:lang w:eastAsia="zh-CN"/>
        </w:rPr>
        <w:t xml:space="preserve"> studies, fulfilling their need for autonomy, and, if the performance standard was met, their need for competence. However, single items were used to measure perceived autonomy and competence, and thus the reliability and validity of these measures cannot be assessed. A third field study (Eisenberger </w:t>
      </w:r>
      <w:r w:rsidR="00B64DD5">
        <w:rPr>
          <w:rFonts w:ascii="Calibri" w:eastAsia="SimSun" w:hAnsi="Calibri" w:cs="Arial"/>
          <w:bCs/>
          <w:lang w:eastAsia="zh-CN"/>
        </w:rPr>
        <w:t>et al.,</w:t>
      </w:r>
      <w:r w:rsidRPr="00B60914">
        <w:rPr>
          <w:rFonts w:ascii="Calibri" w:eastAsia="SimSun" w:hAnsi="Calibri" w:cs="Arial"/>
          <w:bCs/>
          <w:lang w:eastAsia="zh-CN"/>
        </w:rPr>
        <w:t xml:space="preserve"> 1999) revealed that the relationship between reward expectancy and ongoing interest in work activities was higher for employees with a high desire for control. This is also inconsistent with SDT, which predicts that performance reward expectancy and intrinsic motivation should be inversely related (Eisenberger </w:t>
      </w:r>
      <w:r w:rsidR="00B64DD5">
        <w:rPr>
          <w:rFonts w:ascii="Calibri" w:eastAsia="SimSun" w:hAnsi="Calibri" w:cs="Arial"/>
          <w:bCs/>
          <w:lang w:eastAsia="zh-CN"/>
        </w:rPr>
        <w:t>et al.,</w:t>
      </w:r>
      <w:r w:rsidRPr="00B60914">
        <w:rPr>
          <w:rFonts w:ascii="Calibri" w:eastAsia="SimSun" w:hAnsi="Calibri" w:cs="Arial"/>
          <w:bCs/>
          <w:lang w:eastAsia="zh-CN"/>
        </w:rPr>
        <w:t xml:space="preserve"> 1999). However, it is possible that the </w:t>
      </w:r>
      <w:r w:rsidRPr="00B60914">
        <w:rPr>
          <w:rFonts w:ascii="Calibri" w:eastAsia="SimSun" w:hAnsi="Calibri" w:cs="Arial"/>
          <w:bCs/>
          <w:i/>
          <w:lang w:eastAsia="zh-CN"/>
        </w:rPr>
        <w:t xml:space="preserve">degree </w:t>
      </w:r>
      <w:r w:rsidRPr="00B60914">
        <w:rPr>
          <w:rFonts w:ascii="Calibri" w:eastAsia="SimSun" w:hAnsi="Calibri" w:cs="Arial"/>
          <w:bCs/>
          <w:lang w:eastAsia="zh-CN"/>
        </w:rPr>
        <w:t xml:space="preserve">of internalisation of the extrinsic reward may explain their findings, which </w:t>
      </w:r>
      <w:r w:rsidRPr="00B60914">
        <w:rPr>
          <w:rFonts w:ascii="Calibri" w:eastAsia="SimSun" w:hAnsi="Calibri" w:cs="Arial"/>
          <w:bCs/>
          <w:i/>
          <w:iCs/>
          <w:lang w:eastAsia="zh-CN"/>
        </w:rPr>
        <w:t xml:space="preserve">is </w:t>
      </w:r>
      <w:r w:rsidRPr="00B60914">
        <w:rPr>
          <w:rFonts w:ascii="Calibri" w:eastAsia="SimSun" w:hAnsi="Calibri" w:cs="Arial"/>
          <w:bCs/>
          <w:lang w:eastAsia="zh-CN"/>
        </w:rPr>
        <w:t>in accordance with Deci and Ryan’s (2000) theory of self-determination. It should be noted that all of these studies were cross-sectional, and thus causality cannot be determined. One of the aims of study 2 is to overcome this limitation by investigating causality using a longitudinal design. The</w:t>
      </w:r>
      <w:r w:rsidR="002824AB">
        <w:rPr>
          <w:rFonts w:ascii="Calibri" w:eastAsia="SimSun" w:hAnsi="Calibri" w:cs="Arial"/>
          <w:bCs/>
          <w:lang w:eastAsia="zh-CN"/>
        </w:rPr>
        <w:t xml:space="preserve"> Job Demands-Resources</w:t>
      </w:r>
      <w:r w:rsidRPr="00B60914">
        <w:rPr>
          <w:rFonts w:ascii="Calibri" w:eastAsia="SimSun" w:hAnsi="Calibri" w:cs="Arial"/>
          <w:bCs/>
          <w:lang w:eastAsia="zh-CN"/>
        </w:rPr>
        <w:t xml:space="preserve"> </w:t>
      </w:r>
      <w:r w:rsidR="002824AB">
        <w:rPr>
          <w:rFonts w:ascii="Calibri" w:eastAsia="SimSun" w:hAnsi="Calibri" w:cs="Arial"/>
          <w:bCs/>
          <w:lang w:eastAsia="zh-CN"/>
        </w:rPr>
        <w:t xml:space="preserve">model </w:t>
      </w:r>
      <w:r w:rsidR="002824AB" w:rsidRPr="00B60914">
        <w:rPr>
          <w:rFonts w:ascii="Calibri" w:eastAsia="Calibri" w:hAnsi="Calibri" w:cs="Calibri"/>
        </w:rPr>
        <w:t>(JD-R; Bakker and Demerouti, 2007; 2008)</w:t>
      </w:r>
      <w:r w:rsidR="002824AB">
        <w:rPr>
          <w:rFonts w:ascii="Calibri" w:eastAsia="Calibri" w:hAnsi="Calibri" w:cs="Calibri"/>
        </w:rPr>
        <w:t>,</w:t>
      </w:r>
      <w:r w:rsidR="002824AB" w:rsidRPr="00B60914">
        <w:rPr>
          <w:rFonts w:ascii="Calibri" w:eastAsia="Calibri" w:hAnsi="Calibri" w:cs="Calibri"/>
        </w:rPr>
        <w:t xml:space="preserve"> </w:t>
      </w:r>
      <w:r w:rsidRPr="00B60914">
        <w:rPr>
          <w:rFonts w:ascii="Calibri" w:eastAsia="SimSun" w:hAnsi="Calibri" w:cs="Arial"/>
          <w:bCs/>
          <w:lang w:eastAsia="zh-CN"/>
        </w:rPr>
        <w:t xml:space="preserve">and its relationship with SDT will now be considered in more detail. </w:t>
      </w:r>
    </w:p>
    <w:p w14:paraId="2D8D4B41" w14:textId="6FBD8D27" w:rsidR="0094641F" w:rsidRDefault="0094641F">
      <w:pPr>
        <w:spacing w:after="160"/>
        <w:rPr>
          <w:rFonts w:ascii="Calibri" w:eastAsia="SimSun" w:hAnsi="Calibri" w:cs="Arial"/>
        </w:rPr>
      </w:pPr>
    </w:p>
    <w:p w14:paraId="208CB6AF" w14:textId="5E551E2F" w:rsidR="00B60914" w:rsidRPr="00B60914" w:rsidRDefault="00B60914" w:rsidP="0009618B">
      <w:pPr>
        <w:pStyle w:val="Heading3"/>
      </w:pPr>
      <w:bookmarkStart w:id="26" w:name="_Toc447266084"/>
      <w:bookmarkStart w:id="27" w:name="_Ref453248517"/>
      <w:bookmarkStart w:id="28" w:name="_Ref453249994"/>
      <w:bookmarkStart w:id="29" w:name="_Toc468285923"/>
      <w:r w:rsidRPr="00B60914">
        <w:t xml:space="preserve">The </w:t>
      </w:r>
      <w:r w:rsidR="00A43B59">
        <w:t>Job Demands-Resources</w:t>
      </w:r>
      <w:r w:rsidRPr="00B60914">
        <w:t xml:space="preserve"> model (JD-R)</w:t>
      </w:r>
      <w:bookmarkEnd w:id="26"/>
      <w:bookmarkEnd w:id="27"/>
      <w:bookmarkEnd w:id="28"/>
      <w:bookmarkEnd w:id="29"/>
      <w:r w:rsidRPr="00B60914">
        <w:t xml:space="preserve"> </w:t>
      </w:r>
    </w:p>
    <w:p w14:paraId="514928A5" w14:textId="77777777" w:rsidR="00B60914" w:rsidRPr="00B60914" w:rsidRDefault="00B60914" w:rsidP="00B60914">
      <w:pPr>
        <w:spacing w:before="200" w:line="360" w:lineRule="auto"/>
        <w:contextualSpacing/>
        <w:rPr>
          <w:rFonts w:ascii="Calibri" w:eastAsia="Calibri" w:hAnsi="Calibri" w:cs="Calibri"/>
        </w:rPr>
      </w:pPr>
    </w:p>
    <w:p w14:paraId="7EA9304F" w14:textId="3B6F1FBD"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The </w:t>
      </w:r>
      <w:r w:rsidR="00A43B59">
        <w:rPr>
          <w:rFonts w:ascii="Calibri" w:eastAsia="Calibri" w:hAnsi="Calibri" w:cs="Calibri"/>
        </w:rPr>
        <w:t>Job Demands-Resources</w:t>
      </w:r>
      <w:r w:rsidRPr="00B60914">
        <w:rPr>
          <w:rFonts w:ascii="Calibri" w:eastAsia="Calibri" w:hAnsi="Calibri" w:cs="Calibri"/>
        </w:rPr>
        <w:t xml:space="preserve"> model </w:t>
      </w:r>
      <w:r w:rsidR="002824AB" w:rsidRPr="00B60914">
        <w:rPr>
          <w:rFonts w:ascii="Calibri" w:eastAsia="Calibri" w:hAnsi="Calibri" w:cs="Calibri"/>
        </w:rPr>
        <w:t xml:space="preserve">(JD-R; Bakker and Demerouti, 2007; 2008) </w:t>
      </w:r>
      <w:r w:rsidRPr="00B60914">
        <w:rPr>
          <w:rFonts w:ascii="Calibri" w:eastAsia="Calibri" w:hAnsi="Calibri" w:cs="Calibri"/>
        </w:rPr>
        <w:t>proposes that work engagement is driven, either independently or together, by both job and personal resources (see Figure 1). Job resources refer to physical, social or organisational aspects of the job (e.g. feedback, social support, development opportunities) that can reduce job demands (e.g. workload, emotional and cognitive demands), help employees to achieve work goals and stimulate personal learning and development. Personal resources refer to ‘positive self-evaluations that are linked to resiliency and refer to individuals’ sense of their ability to control and impact upon their environment successfully’ (Bakker &amp; Demerouti, 2008 p.5). These include self-esteem, self-efficacy, resilience</w:t>
      </w:r>
      <w:r w:rsidR="002824AB">
        <w:rPr>
          <w:rFonts w:ascii="Calibri" w:eastAsia="Calibri" w:hAnsi="Calibri" w:cs="Calibri"/>
        </w:rPr>
        <w:t>,</w:t>
      </w:r>
      <w:r w:rsidRPr="00B60914">
        <w:rPr>
          <w:rFonts w:ascii="Calibri" w:eastAsia="Calibri" w:hAnsi="Calibri" w:cs="Calibri"/>
        </w:rPr>
        <w:t xml:space="preserve"> and optimism. The JD-R model has been supported by numerous studies (e.g. Hakanan</w:t>
      </w:r>
      <w:r w:rsidR="009A24EB">
        <w:rPr>
          <w:rFonts w:ascii="Calibri" w:eastAsia="Calibri" w:hAnsi="Calibri" w:cs="Calibri"/>
        </w:rPr>
        <w:t xml:space="preserve"> </w:t>
      </w:r>
      <w:r w:rsidR="00395453">
        <w:rPr>
          <w:rFonts w:ascii="Calibri" w:eastAsia="Calibri" w:hAnsi="Calibri" w:cs="Calibri"/>
        </w:rPr>
        <w:t>et al.,</w:t>
      </w:r>
      <w:r w:rsidRPr="00B60914">
        <w:rPr>
          <w:rFonts w:ascii="Calibri" w:eastAsia="Calibri" w:hAnsi="Calibri" w:cs="Calibri"/>
        </w:rPr>
        <w:t>2005; Simbula</w:t>
      </w:r>
      <w:r w:rsidR="000D4C05">
        <w:rPr>
          <w:rFonts w:ascii="Calibri" w:eastAsia="Calibri" w:hAnsi="Calibri" w:cs="Calibri"/>
        </w:rPr>
        <w:t xml:space="preserve"> et al.</w:t>
      </w:r>
      <w:r w:rsidRPr="00B60914">
        <w:rPr>
          <w:rFonts w:ascii="Calibri" w:eastAsia="Calibri" w:hAnsi="Calibri" w:cs="Calibri"/>
        </w:rPr>
        <w:t>, 2011; Xanthopoulou</w:t>
      </w:r>
      <w:r w:rsidR="00DF21FC">
        <w:rPr>
          <w:rFonts w:ascii="Calibri" w:eastAsia="Calibri" w:hAnsi="Calibri" w:cs="Calibri"/>
        </w:rPr>
        <w:t xml:space="preserve"> et al., </w:t>
      </w:r>
      <w:r w:rsidRPr="00B60914">
        <w:rPr>
          <w:rFonts w:ascii="Calibri" w:eastAsia="Calibri" w:hAnsi="Calibri" w:cs="Calibri"/>
        </w:rPr>
        <w:t>2009a;</w:t>
      </w:r>
      <w:r w:rsidR="00262D2D">
        <w:rPr>
          <w:rFonts w:ascii="Calibri" w:eastAsia="Calibri" w:hAnsi="Calibri" w:cs="Calibri"/>
        </w:rPr>
        <w:t xml:space="preserve"> </w:t>
      </w:r>
      <w:r w:rsidRPr="00B60914">
        <w:rPr>
          <w:rFonts w:ascii="Calibri" w:eastAsia="Calibri" w:hAnsi="Calibri" w:cs="Calibri"/>
        </w:rPr>
        <w:t>2009b), including meta-analyses (Crawford</w:t>
      </w:r>
      <w:r w:rsidR="00EB73D7">
        <w:rPr>
          <w:rFonts w:ascii="Calibri" w:eastAsia="Calibri" w:hAnsi="Calibri" w:cs="Calibri"/>
        </w:rPr>
        <w:t xml:space="preserve"> et al.,</w:t>
      </w:r>
      <w:r w:rsidRPr="00B60914">
        <w:rPr>
          <w:rFonts w:ascii="Calibri" w:eastAsia="Calibri" w:hAnsi="Calibri" w:cs="Calibri"/>
        </w:rPr>
        <w:t xml:space="preserve"> 2010; </w:t>
      </w:r>
      <w:r w:rsidRPr="00B60914">
        <w:rPr>
          <w:rFonts w:ascii="Calibri" w:eastAsia="Calibri" w:hAnsi="Calibri" w:cs="Calibri"/>
        </w:rPr>
        <w:lastRenderedPageBreak/>
        <w:t>Halbesleben, 2010; Nahrgang et al., 2011), all of which have served to advance the mod</w:t>
      </w:r>
      <w:r w:rsidR="002824AB">
        <w:rPr>
          <w:rFonts w:ascii="Calibri" w:eastAsia="Calibri" w:hAnsi="Calibri" w:cs="Calibri"/>
        </w:rPr>
        <w:t xml:space="preserve">el and work engagement theory. </w:t>
      </w:r>
      <w:r w:rsidRPr="00B60914">
        <w:rPr>
          <w:rFonts w:ascii="Calibri" w:eastAsia="Calibri" w:hAnsi="Calibri" w:cs="Calibri"/>
        </w:rPr>
        <w:t xml:space="preserve">Indeed, </w:t>
      </w:r>
      <w:r w:rsidR="004A0E4B">
        <w:rPr>
          <w:rFonts w:ascii="Calibri" w:eastAsia="Calibri" w:hAnsi="Calibri" w:cs="Calibri"/>
        </w:rPr>
        <w:t xml:space="preserve">and to reiterate an earlier statement, </w:t>
      </w:r>
      <w:r w:rsidRPr="00B60914">
        <w:rPr>
          <w:rFonts w:ascii="Calibri" w:eastAsia="Calibri" w:hAnsi="Calibri" w:cs="Calibri"/>
        </w:rPr>
        <w:t>the JD-R model is the most researched and supported engagement model in the academic literature</w:t>
      </w:r>
      <w:r w:rsidR="004A0E4B">
        <w:rPr>
          <w:rFonts w:ascii="Calibri" w:eastAsia="Calibri" w:hAnsi="Calibri" w:cs="Calibri"/>
        </w:rPr>
        <w:t xml:space="preserve"> to date</w:t>
      </w:r>
      <w:r w:rsidRPr="00B60914">
        <w:rPr>
          <w:rFonts w:ascii="Calibri" w:eastAsia="Calibri" w:hAnsi="Calibri" w:cs="Calibri"/>
        </w:rPr>
        <w:t xml:space="preserve"> (Hakanan &amp; Roodt, 2010). </w:t>
      </w:r>
    </w:p>
    <w:p w14:paraId="3BAF35E5" w14:textId="77777777" w:rsidR="00B60914" w:rsidRPr="00B60914" w:rsidRDefault="00B60914" w:rsidP="00B60914">
      <w:pPr>
        <w:spacing w:before="200" w:line="360" w:lineRule="auto"/>
        <w:contextualSpacing/>
        <w:rPr>
          <w:rFonts w:ascii="Calibri" w:eastAsia="Calibri" w:hAnsi="Calibri" w:cs="Calibri"/>
        </w:rPr>
      </w:pPr>
    </w:p>
    <w:p w14:paraId="4BB35AF2" w14:textId="4016FE93" w:rsidR="00B60914" w:rsidRPr="00B60914" w:rsidRDefault="00B60914" w:rsidP="00B60914">
      <w:pPr>
        <w:spacing w:after="200" w:line="360" w:lineRule="auto"/>
        <w:contextualSpacing/>
        <w:rPr>
          <w:rFonts w:ascii="Calibri" w:eastAsia="Calibri" w:hAnsi="Calibri" w:cs="Calibri"/>
        </w:rPr>
      </w:pPr>
      <w:r w:rsidRPr="00B60914">
        <w:rPr>
          <w:rFonts w:ascii="Calibri" w:eastAsia="Calibri" w:hAnsi="Calibri" w:cs="Calibri"/>
        </w:rPr>
        <w:t>Two independent processes underlie the JD-R model: a motivational process</w:t>
      </w:r>
      <w:r w:rsidR="002824AB">
        <w:rPr>
          <w:rFonts w:ascii="Calibri" w:eastAsia="Calibri" w:hAnsi="Calibri" w:cs="Calibri"/>
        </w:rPr>
        <w:t>,</w:t>
      </w:r>
      <w:r w:rsidRPr="00B60914">
        <w:rPr>
          <w:rFonts w:ascii="Calibri" w:eastAsia="Calibri" w:hAnsi="Calibri" w:cs="Calibri"/>
        </w:rPr>
        <w:t xml:space="preserve"> and a health impairment process (Bakker &amp; Demerouti, 2007). The motivational process assumes that individuals are either intrinsically or extrinsically motivated by job resources, leading to high work engagement, </w:t>
      </w:r>
      <w:r w:rsidR="001D6140">
        <w:rPr>
          <w:rFonts w:ascii="Calibri" w:eastAsia="Calibri" w:hAnsi="Calibri" w:cs="Calibri"/>
        </w:rPr>
        <w:t>well-being</w:t>
      </w:r>
      <w:r w:rsidR="002824AB">
        <w:rPr>
          <w:rFonts w:ascii="Calibri" w:eastAsia="Calibri" w:hAnsi="Calibri" w:cs="Calibri"/>
        </w:rPr>
        <w:t>,</w:t>
      </w:r>
      <w:r w:rsidRPr="00B60914">
        <w:rPr>
          <w:rFonts w:ascii="Calibri" w:eastAsia="Calibri" w:hAnsi="Calibri" w:cs="Calibri"/>
        </w:rPr>
        <w:t xml:space="preserve"> and performance (</w:t>
      </w:r>
      <w:r w:rsidR="002824AB">
        <w:rPr>
          <w:rFonts w:ascii="Calibri" w:eastAsia="Calibri" w:hAnsi="Calibri" w:cs="Calibri"/>
        </w:rPr>
        <w:t xml:space="preserve">see </w:t>
      </w:r>
      <w:r w:rsidR="002824AB">
        <w:rPr>
          <w:rFonts w:ascii="Calibri" w:eastAsia="Calibri" w:hAnsi="Calibri" w:cs="Calibri"/>
        </w:rPr>
        <w:fldChar w:fldCharType="begin"/>
      </w:r>
      <w:r w:rsidR="002824AB">
        <w:rPr>
          <w:rFonts w:ascii="Calibri" w:eastAsia="Calibri" w:hAnsi="Calibri" w:cs="Calibri"/>
        </w:rPr>
        <w:instrText xml:space="preserve"> REF _Ref453248937 \h </w:instrText>
      </w:r>
      <w:r w:rsidR="002824AB">
        <w:rPr>
          <w:rFonts w:ascii="Calibri" w:eastAsia="Calibri" w:hAnsi="Calibri" w:cs="Calibri"/>
        </w:rPr>
      </w:r>
      <w:r w:rsidR="002824AB">
        <w:rPr>
          <w:rFonts w:ascii="Calibri" w:eastAsia="Calibri" w:hAnsi="Calibri" w:cs="Calibri"/>
        </w:rPr>
        <w:fldChar w:fldCharType="separate"/>
      </w:r>
      <w:r w:rsidR="00152F6D">
        <w:t xml:space="preserve">Figure </w:t>
      </w:r>
      <w:r w:rsidR="00152F6D">
        <w:rPr>
          <w:noProof/>
        </w:rPr>
        <w:t>2</w:t>
      </w:r>
      <w:r w:rsidR="00152F6D">
        <w:t>.</w:t>
      </w:r>
      <w:r w:rsidR="00152F6D">
        <w:rPr>
          <w:noProof/>
        </w:rPr>
        <w:t>1</w:t>
      </w:r>
      <w:r w:rsidR="002824AB">
        <w:rPr>
          <w:rFonts w:ascii="Calibri" w:eastAsia="Calibri" w:hAnsi="Calibri" w:cs="Calibri"/>
        </w:rPr>
        <w:fldChar w:fldCharType="end"/>
      </w:r>
      <w:r w:rsidRPr="00B60914">
        <w:rPr>
          <w:rFonts w:ascii="Calibri" w:eastAsia="Calibri" w:hAnsi="Calibri" w:cs="Calibri"/>
        </w:rPr>
        <w:t>). Bakker &amp; Demerouti (2007) draw on SDT to help explain this process, arguing that job resources which fulfil basic psychological needs are intrinsically motivating whereas those which enable an individual to meet work goals are extrinsically motivating. The health process assumes that high levels of job demands, such as workload and emotional demands, deplete employees’ mental and physical resources leading to the depletion of energy, exhaustion and burnout (Bakker &amp; Demerouti, 2007). The dual process has been supported by numerous studies. For example, in a longitudinal study involving a sample of employees from a Dutch telecom company, increased job demands (e.g. overload, work-home interference) and decreased job resources (e.g. social support, autonomy</w:t>
      </w:r>
      <w:r w:rsidR="0090279F">
        <w:rPr>
          <w:rFonts w:ascii="Calibri" w:eastAsia="Calibri" w:hAnsi="Calibri" w:cs="Calibri"/>
        </w:rPr>
        <w:t>,</w:t>
      </w:r>
      <w:r w:rsidRPr="00B60914">
        <w:rPr>
          <w:rFonts w:ascii="Calibri" w:eastAsia="Calibri" w:hAnsi="Calibri" w:cs="Calibri"/>
        </w:rPr>
        <w:t xml:space="preserve"> and feedback), predicted burnout and increased sickness duration (health impairment process)</w:t>
      </w:r>
      <w:r w:rsidR="0090279F">
        <w:rPr>
          <w:rFonts w:ascii="Calibri" w:eastAsia="Calibri" w:hAnsi="Calibri" w:cs="Calibri"/>
        </w:rPr>
        <w:t>,</w:t>
      </w:r>
      <w:r w:rsidRPr="00B60914">
        <w:rPr>
          <w:rFonts w:ascii="Calibri" w:eastAsia="Calibri" w:hAnsi="Calibri" w:cs="Calibri"/>
        </w:rPr>
        <w:t xml:space="preserve"> and increased job resources predicted work e</w:t>
      </w:r>
      <w:r w:rsidR="0090279F">
        <w:rPr>
          <w:rFonts w:ascii="Calibri" w:eastAsia="Calibri" w:hAnsi="Calibri" w:cs="Calibri"/>
        </w:rPr>
        <w:t>ngagement (motivational process;</w:t>
      </w:r>
      <w:r w:rsidRPr="00B60914">
        <w:rPr>
          <w:rFonts w:ascii="Calibri" w:eastAsia="Calibri" w:hAnsi="Calibri" w:cs="Calibri"/>
        </w:rPr>
        <w:t xml:space="preserve"> Schaufeli</w:t>
      </w:r>
      <w:r w:rsidR="007837A1">
        <w:rPr>
          <w:rFonts w:ascii="Calibri" w:eastAsia="Calibri" w:hAnsi="Calibri" w:cs="Calibri"/>
        </w:rPr>
        <w:t xml:space="preserve"> et al.</w:t>
      </w:r>
      <w:r w:rsidRPr="00B60914">
        <w:rPr>
          <w:rFonts w:ascii="Calibri" w:eastAsia="Calibri" w:hAnsi="Calibri" w:cs="Calibri"/>
        </w:rPr>
        <w:t>, 2009). Similar results were found in a seven year, three wave study involving a l</w:t>
      </w:r>
      <w:r w:rsidR="0090279F">
        <w:rPr>
          <w:rFonts w:ascii="Calibri" w:eastAsia="Calibri" w:hAnsi="Calibri" w:cs="Calibri"/>
        </w:rPr>
        <w:t>arge sample of Finnish dentists:</w:t>
      </w:r>
      <w:r w:rsidRPr="00B60914">
        <w:rPr>
          <w:rFonts w:ascii="Calibri" w:eastAsia="Calibri" w:hAnsi="Calibri" w:cs="Calibri"/>
        </w:rPr>
        <w:t xml:space="preserve"> job demands predicted burnout, which then predicted future depression and decreased life satisfaction (health impairment process), whereas job resources predicted work engagement and increased life satisfaction (motivational process; Hakanan &amp; Schaufeli, 2012). </w:t>
      </w:r>
    </w:p>
    <w:p w14:paraId="3AB4DE11" w14:textId="77777777" w:rsidR="00B60914" w:rsidRPr="00B60914" w:rsidRDefault="00B60914" w:rsidP="00B60914">
      <w:pPr>
        <w:spacing w:after="200" w:line="360" w:lineRule="auto"/>
        <w:contextualSpacing/>
        <w:rPr>
          <w:rFonts w:ascii="Calibri" w:eastAsia="Calibri" w:hAnsi="Calibri" w:cs="Calibri"/>
        </w:rPr>
      </w:pPr>
    </w:p>
    <w:p w14:paraId="72884E8D" w14:textId="77777777" w:rsidR="002D3426" w:rsidRDefault="00B60914" w:rsidP="002D3426">
      <w:pPr>
        <w:keepNext/>
        <w:spacing w:after="200" w:line="360" w:lineRule="auto"/>
        <w:contextualSpacing/>
      </w:pPr>
      <w:r w:rsidRPr="00B60914">
        <w:rPr>
          <w:rFonts w:ascii="Calibri" w:eastAsia="Calibri" w:hAnsi="Calibri" w:cs="Calibri"/>
          <w:noProof/>
          <w:lang w:eastAsia="en-GB"/>
        </w:rPr>
        <w:lastRenderedPageBreak/>
        <w:drawing>
          <wp:inline distT="0" distB="0" distL="0" distR="0" wp14:anchorId="225788A4" wp14:editId="1321B1AE">
            <wp:extent cx="5672022" cy="339634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JD-R for Conf. Rev.jpg"/>
                    <pic:cNvPicPr/>
                  </pic:nvPicPr>
                  <pic:blipFill rotWithShape="1">
                    <a:blip r:embed="rId16">
                      <a:extLst>
                        <a:ext uri="{28A0092B-C50C-407E-A947-70E740481C1C}">
                          <a14:useLocalDpi xmlns:a14="http://schemas.microsoft.com/office/drawing/2010/main" val="0"/>
                        </a:ext>
                      </a:extLst>
                    </a:blip>
                    <a:srcRect l="1036" t="10221" b="10774"/>
                    <a:stretch/>
                  </pic:blipFill>
                  <pic:spPr bwMode="auto">
                    <a:xfrm>
                      <a:off x="0" y="0"/>
                      <a:ext cx="5672132" cy="33964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2C96CAB2" w14:textId="4F8E655E" w:rsidR="002D3426" w:rsidRPr="00B838FB" w:rsidRDefault="002D3426" w:rsidP="005852AD">
      <w:pPr>
        <w:pStyle w:val="Figurestyle"/>
        <w:rPr>
          <w:vanish/>
          <w:specVanish/>
        </w:rPr>
      </w:pPr>
      <w:bookmarkStart w:id="30" w:name="_Ref453248937"/>
      <w:bookmarkStart w:id="31" w:name="_Toc453238910"/>
      <w:bookmarkStart w:id="32" w:name="_Ref453248920"/>
      <w:bookmarkStart w:id="33" w:name="_Toc468286100"/>
      <w:r>
        <w:t xml:space="preserve">Figure </w:t>
      </w:r>
      <w:r w:rsidR="00245D68">
        <w:fldChar w:fldCharType="begin"/>
      </w:r>
      <w:r w:rsidR="00245D68">
        <w:instrText xml:space="preserve"> STYLEREF 1 \s </w:instrText>
      </w:r>
      <w:r w:rsidR="00245D68">
        <w:fldChar w:fldCharType="separate"/>
      </w:r>
      <w:r w:rsidR="00152F6D">
        <w:rPr>
          <w:noProof/>
        </w:rPr>
        <w:t>2</w:t>
      </w:r>
      <w:r w:rsidR="00245D68">
        <w:rPr>
          <w:noProof/>
        </w:rPr>
        <w:fldChar w:fldCharType="end"/>
      </w:r>
      <w:r w:rsidR="00392B2E">
        <w:t>.</w:t>
      </w:r>
      <w:r w:rsidR="00245D68">
        <w:fldChar w:fldCharType="begin"/>
      </w:r>
      <w:r w:rsidR="00245D68">
        <w:instrText xml:space="preserve"> SEQ Fi</w:instrText>
      </w:r>
      <w:r w:rsidR="00245D68">
        <w:instrText xml:space="preserve">gure \* ARABIC \s 1 </w:instrText>
      </w:r>
      <w:r w:rsidR="00245D68">
        <w:fldChar w:fldCharType="separate"/>
      </w:r>
      <w:r w:rsidR="00152F6D">
        <w:rPr>
          <w:noProof/>
        </w:rPr>
        <w:t>1</w:t>
      </w:r>
      <w:r w:rsidR="00245D68">
        <w:rPr>
          <w:noProof/>
        </w:rPr>
        <w:fldChar w:fldCharType="end"/>
      </w:r>
      <w:bookmarkEnd w:id="30"/>
      <w:r w:rsidR="00F4794D">
        <w:t xml:space="preserve"> </w:t>
      </w:r>
      <w:r w:rsidRPr="00486D17">
        <w:t xml:space="preserve">An overview of the </w:t>
      </w:r>
      <w:r w:rsidR="00A43B59">
        <w:t>Job Demands-Resources</w:t>
      </w:r>
      <w:r w:rsidRPr="00486D17">
        <w:t xml:space="preserve"> model</w:t>
      </w:r>
      <w:bookmarkEnd w:id="31"/>
      <w:bookmarkEnd w:id="32"/>
      <w:bookmarkEnd w:id="33"/>
    </w:p>
    <w:p w14:paraId="6383647F" w14:textId="2ED7F480" w:rsidR="00B838FB" w:rsidRDefault="005E10C7" w:rsidP="005852AD">
      <w:pPr>
        <w:pStyle w:val="Figurestyle"/>
      </w:pPr>
      <w:r>
        <w:t xml:space="preserve"> </w:t>
      </w:r>
      <w:r w:rsidR="00F7619A" w:rsidRPr="00F7619A">
        <w:t>(</w:t>
      </w:r>
      <w:r w:rsidR="00A43B59">
        <w:t>JD-R</w:t>
      </w:r>
      <w:r w:rsidR="00F7619A" w:rsidRPr="00F7619A">
        <w:t xml:space="preserve">; adapted from Bakker, 2011) displaying the potential buffering effect of job and personal resources on work engagement (see section </w:t>
      </w:r>
      <w:r w:rsidR="0094641F">
        <w:fldChar w:fldCharType="begin"/>
      </w:r>
      <w:r w:rsidR="0094641F">
        <w:instrText xml:space="preserve"> REF _Ref453249078 \r \h </w:instrText>
      </w:r>
      <w:r w:rsidR="0090279F">
        <w:instrText xml:space="preserve"> \* MERGEFORMAT </w:instrText>
      </w:r>
      <w:r w:rsidR="0094641F">
        <w:fldChar w:fldCharType="separate"/>
      </w:r>
      <w:r w:rsidR="00152F6D">
        <w:t>2.2.5</w:t>
      </w:r>
      <w:r w:rsidR="0094641F">
        <w:fldChar w:fldCharType="end"/>
      </w:r>
      <w:r w:rsidR="00F7619A" w:rsidRPr="00F7619A">
        <w:t xml:space="preserve">) and the hypothesised positive feedback loop between work engagement, job performance and resources, mediated by job crafting (see section </w:t>
      </w:r>
      <w:r w:rsidR="0094641F">
        <w:fldChar w:fldCharType="begin"/>
      </w:r>
      <w:r w:rsidR="0094641F">
        <w:instrText xml:space="preserve"> REF _Ref453249125 \r \h </w:instrText>
      </w:r>
      <w:r w:rsidR="0090279F">
        <w:instrText xml:space="preserve"> \* MERGEFORMAT </w:instrText>
      </w:r>
      <w:r w:rsidR="0094641F">
        <w:fldChar w:fldCharType="separate"/>
      </w:r>
      <w:r w:rsidR="00152F6D">
        <w:t>2.2.7</w:t>
      </w:r>
      <w:r w:rsidR="0094641F">
        <w:fldChar w:fldCharType="end"/>
      </w:r>
      <w:r w:rsidR="0094641F">
        <w:t>)</w:t>
      </w:r>
    </w:p>
    <w:p w14:paraId="34E484CA" w14:textId="77777777" w:rsidR="003F379B" w:rsidRDefault="003F379B" w:rsidP="005852AD">
      <w:pPr>
        <w:pStyle w:val="Figurestyle"/>
      </w:pPr>
    </w:p>
    <w:p w14:paraId="302941D2" w14:textId="52AF63F3" w:rsidR="00B60914" w:rsidRPr="00B60914" w:rsidRDefault="00B60914" w:rsidP="0009618B">
      <w:pPr>
        <w:pStyle w:val="Heading3"/>
      </w:pPr>
      <w:bookmarkStart w:id="34" w:name="_Toc447266085"/>
      <w:bookmarkStart w:id="35" w:name="_Ref453248529"/>
      <w:bookmarkStart w:id="36" w:name="_Ref453249078"/>
      <w:bookmarkStart w:id="37" w:name="_Toc468285924"/>
      <w:r w:rsidRPr="00B60914">
        <w:t>The buffering effect of job resources on job demands</w:t>
      </w:r>
      <w:bookmarkEnd w:id="34"/>
      <w:bookmarkEnd w:id="35"/>
      <w:bookmarkEnd w:id="36"/>
      <w:bookmarkEnd w:id="37"/>
    </w:p>
    <w:p w14:paraId="39CED1C2" w14:textId="77777777" w:rsidR="00B60914" w:rsidRPr="00B60914" w:rsidRDefault="00B60914" w:rsidP="00B60914">
      <w:pPr>
        <w:spacing w:before="200" w:line="360" w:lineRule="auto"/>
        <w:contextualSpacing/>
        <w:rPr>
          <w:rFonts w:ascii="Calibri" w:eastAsia="Calibri" w:hAnsi="Calibri" w:cs="Calibri"/>
        </w:rPr>
      </w:pPr>
    </w:p>
    <w:p w14:paraId="4E51C95B" w14:textId="1BBBB83F" w:rsidR="00B60914" w:rsidRPr="00B60914" w:rsidRDefault="0090279F" w:rsidP="00B60914">
      <w:pPr>
        <w:spacing w:before="200" w:line="360" w:lineRule="auto"/>
        <w:contextualSpacing/>
        <w:rPr>
          <w:rFonts w:ascii="Calibri" w:eastAsia="Calibri" w:hAnsi="Calibri" w:cs="Calibri"/>
        </w:rPr>
      </w:pPr>
      <w:r>
        <w:rPr>
          <w:rFonts w:ascii="Calibri" w:eastAsia="Calibri" w:hAnsi="Calibri" w:cs="Calibri"/>
        </w:rPr>
        <w:t>T</w:t>
      </w:r>
      <w:r w:rsidR="00B60914" w:rsidRPr="00B60914">
        <w:rPr>
          <w:rFonts w:ascii="Calibri" w:eastAsia="Calibri" w:hAnsi="Calibri" w:cs="Calibri"/>
        </w:rPr>
        <w:t xml:space="preserve">he JD-R model </w:t>
      </w:r>
      <w:r>
        <w:rPr>
          <w:rFonts w:ascii="Calibri" w:eastAsia="Calibri" w:hAnsi="Calibri" w:cs="Calibri"/>
        </w:rPr>
        <w:t xml:space="preserve">additionally </w:t>
      </w:r>
      <w:r w:rsidR="00B60914" w:rsidRPr="00B60914">
        <w:rPr>
          <w:rFonts w:ascii="Calibri" w:eastAsia="Calibri" w:hAnsi="Calibri" w:cs="Calibri"/>
        </w:rPr>
        <w:t xml:space="preserve">proposes that job resources may buffer the impact of job demands and thus protect individuals from burnout and poor </w:t>
      </w:r>
      <w:r w:rsidR="001D6140">
        <w:rPr>
          <w:rFonts w:ascii="Calibri" w:eastAsia="Calibri" w:hAnsi="Calibri" w:cs="Calibri"/>
        </w:rPr>
        <w:t>well-being</w:t>
      </w:r>
      <w:r w:rsidR="00B60914" w:rsidRPr="00B60914">
        <w:rPr>
          <w:rFonts w:ascii="Calibri" w:eastAsia="Calibri" w:hAnsi="Calibri" w:cs="Calibri"/>
        </w:rPr>
        <w:t xml:space="preserve"> (</w:t>
      </w:r>
      <w:r w:rsidR="0094641F">
        <w:rPr>
          <w:rFonts w:ascii="Calibri" w:eastAsia="Calibri" w:hAnsi="Calibri" w:cs="Calibri"/>
        </w:rPr>
        <w:fldChar w:fldCharType="begin"/>
      </w:r>
      <w:r w:rsidR="0094641F">
        <w:rPr>
          <w:rFonts w:ascii="Calibri" w:eastAsia="Calibri" w:hAnsi="Calibri" w:cs="Calibri"/>
        </w:rPr>
        <w:instrText xml:space="preserve"> REF _Ref453248937 \h </w:instrText>
      </w:r>
      <w:r w:rsidR="0094641F">
        <w:rPr>
          <w:rFonts w:ascii="Calibri" w:eastAsia="Calibri" w:hAnsi="Calibri" w:cs="Calibri"/>
        </w:rPr>
      </w:r>
      <w:r w:rsidR="0094641F">
        <w:rPr>
          <w:rFonts w:ascii="Calibri" w:eastAsia="Calibri" w:hAnsi="Calibri" w:cs="Calibri"/>
        </w:rPr>
        <w:fldChar w:fldCharType="separate"/>
      </w:r>
      <w:r w:rsidR="00152F6D">
        <w:t xml:space="preserve">Figure </w:t>
      </w:r>
      <w:r w:rsidR="00152F6D">
        <w:rPr>
          <w:noProof/>
        </w:rPr>
        <w:t>2</w:t>
      </w:r>
      <w:r w:rsidR="00152F6D">
        <w:t>.</w:t>
      </w:r>
      <w:r w:rsidR="00152F6D">
        <w:rPr>
          <w:noProof/>
        </w:rPr>
        <w:t>1</w:t>
      </w:r>
      <w:r w:rsidR="0094641F">
        <w:rPr>
          <w:rFonts w:ascii="Calibri" w:eastAsia="Calibri" w:hAnsi="Calibri" w:cs="Calibri"/>
        </w:rPr>
        <w:fldChar w:fldCharType="end"/>
      </w:r>
      <w:r w:rsidR="00B60914" w:rsidRPr="00B60914">
        <w:rPr>
          <w:rFonts w:ascii="Calibri" w:eastAsia="Calibri" w:hAnsi="Calibri" w:cs="Calibri"/>
        </w:rPr>
        <w:t xml:space="preserve">). This expands the Demand-Control Model (DCM; Karasek, 1979) by suggesting that several different job resources may buffer against several different job demands, rather than a single job resource, autonomy, buffering against the effect of a single job demand, workload. The interaction effects of job demands and resources have received strong support. For example, Bakker et al. (2005) found that job resources such as autonomy, social support and feedback buffered against the negative impact of job demands such as work pressure and emotional demands. Hakanan et al. (2005) found that skill variety and contact with peers were beneficial in maintaining work engagement when job demands were high and Bakker, Hakanan, Demerouti &amp; Xanthopoulou (2007) found that job resources such as supervisor support, innovativeness and appreciation reduced the negative impact of pupil misbehaviour on Finnish teachers’ work engagement. These results can be explained by Conservation of Resources theory (COR; Hobfoll, 2002) which hypothesises that employees try to acquire and protect job and </w:t>
      </w:r>
      <w:r w:rsidR="00B60914" w:rsidRPr="00B60914">
        <w:rPr>
          <w:rFonts w:ascii="Calibri" w:eastAsia="Calibri" w:hAnsi="Calibri" w:cs="Calibri"/>
        </w:rPr>
        <w:lastRenderedPageBreak/>
        <w:t>personal resources in order to cope with job demands and prevent burnout. Indeed, evidence is also emerging for an interaction between personal resources and job demands. For example, in a sample of nurses,</w:t>
      </w:r>
      <w:r w:rsidR="0094641F">
        <w:rPr>
          <w:rFonts w:ascii="Calibri" w:eastAsia="Calibri" w:hAnsi="Calibri" w:cs="Calibri"/>
        </w:rPr>
        <w:t xml:space="preserve"> Bakker and Sanz-Vergel (2013; S</w:t>
      </w:r>
      <w:r w:rsidR="00B60914" w:rsidRPr="00B60914">
        <w:rPr>
          <w:rFonts w:ascii="Calibri" w:eastAsia="Calibri" w:hAnsi="Calibri" w:cs="Calibri"/>
        </w:rPr>
        <w:t xml:space="preserve">tudy 2) found that the relationship between weekly personal resources, such as self-efficacy and optimism, and weekly work engagement, were strengthened by weekly emotional demands. The longitudinal nature of this study increases the robustness of these results. </w:t>
      </w:r>
    </w:p>
    <w:p w14:paraId="32A685A5" w14:textId="77777777" w:rsidR="00B60914" w:rsidRPr="00B60914" w:rsidRDefault="00B60914" w:rsidP="00B60914">
      <w:pPr>
        <w:spacing w:before="200" w:line="360" w:lineRule="auto"/>
        <w:contextualSpacing/>
        <w:rPr>
          <w:rFonts w:ascii="Calibri" w:eastAsia="Calibri" w:hAnsi="Calibri" w:cs="Calibri"/>
        </w:rPr>
      </w:pPr>
    </w:p>
    <w:p w14:paraId="3961DFC3" w14:textId="2DBC4682" w:rsidR="00B60914" w:rsidRPr="00B60914" w:rsidRDefault="00B60914" w:rsidP="0009618B">
      <w:pPr>
        <w:pStyle w:val="Heading3"/>
      </w:pPr>
      <w:bookmarkStart w:id="38" w:name="_Ref453248545"/>
      <w:bookmarkStart w:id="39" w:name="_Ref453248706"/>
      <w:bookmarkStart w:id="40" w:name="_Toc468285925"/>
      <w:r w:rsidRPr="00B60914">
        <w:t>Evidence for the role of SDT in work engagement theory</w:t>
      </w:r>
      <w:bookmarkEnd w:id="38"/>
      <w:bookmarkEnd w:id="39"/>
      <w:bookmarkEnd w:id="40"/>
    </w:p>
    <w:p w14:paraId="7AD206FD" w14:textId="77777777" w:rsidR="00B60914" w:rsidRPr="00B60914" w:rsidRDefault="00B60914" w:rsidP="00B60914">
      <w:pPr>
        <w:spacing w:before="200" w:line="360" w:lineRule="auto"/>
        <w:contextualSpacing/>
        <w:rPr>
          <w:rFonts w:ascii="Calibri" w:eastAsia="Calibri" w:hAnsi="Calibri" w:cs="Calibri"/>
        </w:rPr>
      </w:pPr>
    </w:p>
    <w:p w14:paraId="66631F3B" w14:textId="2FE26018" w:rsidR="00B60914" w:rsidRPr="00B60914" w:rsidRDefault="00B60914" w:rsidP="00B60914">
      <w:pPr>
        <w:spacing w:after="200" w:line="360" w:lineRule="auto"/>
        <w:contextualSpacing/>
        <w:rPr>
          <w:rFonts w:ascii="Calibri" w:eastAsia="SimSun" w:hAnsi="Calibri" w:cs="Arial"/>
          <w:bCs/>
          <w:lang w:eastAsia="zh-CN"/>
        </w:rPr>
      </w:pPr>
      <w:r w:rsidRPr="00B60914">
        <w:rPr>
          <w:rFonts w:ascii="Calibri" w:eastAsia="Calibri" w:hAnsi="Calibri" w:cs="Calibri"/>
        </w:rPr>
        <w:t xml:space="preserve">Some cross-sectional empirical evidence exists for the relationships between the three needs of SDT, antecedents of work engagement, and work engagement itself. For instance, one study </w:t>
      </w:r>
      <w:r w:rsidRPr="00B60914">
        <w:rPr>
          <w:rFonts w:ascii="Calibri" w:eastAsia="SimSun" w:hAnsi="Calibri" w:cs="Arial"/>
          <w:bCs/>
          <w:lang w:eastAsia="zh-CN"/>
        </w:rPr>
        <w:t>suggested that satisfaction of the three needs explained the</w:t>
      </w:r>
      <w:r w:rsidRPr="00B60914">
        <w:rPr>
          <w:rFonts w:ascii="Calibri" w:eastAsia="Calibri" w:hAnsi="Calibri" w:cs="Calibri"/>
        </w:rPr>
        <w:t xml:space="preserve"> positive relationships between </w:t>
      </w:r>
      <w:r w:rsidRPr="00B60914">
        <w:rPr>
          <w:rFonts w:ascii="Calibri" w:eastAsia="SimSun" w:hAnsi="Calibri" w:cs="Arial"/>
          <w:bCs/>
          <w:lang w:eastAsia="zh-CN"/>
        </w:rPr>
        <w:t xml:space="preserve">autonomous motivation (as defined by SDT, Deci &amp; Ryan, 2000) and the vigour and dedication components of work engagement (Van den Broeck, Lens, de Witte &amp; van Coillie, 2013). Another study found that need satisfaction could fully account for the relationship between job resources and exhaustion, and could partially account for the relationship between job resources and vigour, providing support for </w:t>
      </w:r>
      <w:r w:rsidRPr="00B60914">
        <w:rPr>
          <w:rFonts w:ascii="Calibri" w:eastAsia="SimSun" w:hAnsi="Calibri" w:cs="Arial"/>
          <w:bCs/>
          <w:i/>
          <w:iCs/>
          <w:lang w:eastAsia="zh-CN"/>
        </w:rPr>
        <w:t xml:space="preserve">both </w:t>
      </w:r>
      <w:r w:rsidRPr="00B60914">
        <w:rPr>
          <w:rFonts w:ascii="Calibri" w:eastAsia="SimSun" w:hAnsi="Calibri" w:cs="Arial"/>
          <w:bCs/>
          <w:lang w:eastAsia="zh-CN"/>
        </w:rPr>
        <w:t xml:space="preserve">the motivational </w:t>
      </w:r>
      <w:r w:rsidRPr="00B60914">
        <w:rPr>
          <w:rFonts w:ascii="Calibri" w:eastAsia="SimSun" w:hAnsi="Calibri" w:cs="Arial"/>
          <w:bCs/>
          <w:i/>
          <w:iCs/>
          <w:lang w:eastAsia="zh-CN"/>
        </w:rPr>
        <w:t>and</w:t>
      </w:r>
      <w:r w:rsidRPr="00B60914">
        <w:rPr>
          <w:rFonts w:ascii="Calibri" w:eastAsia="SimSun" w:hAnsi="Calibri" w:cs="Arial"/>
          <w:bCs/>
          <w:lang w:eastAsia="zh-CN"/>
        </w:rPr>
        <w:t xml:space="preserve"> the health-impairment processes o</w:t>
      </w:r>
      <w:r w:rsidR="00EC6E7A">
        <w:rPr>
          <w:rFonts w:ascii="Calibri" w:eastAsia="SimSun" w:hAnsi="Calibri" w:cs="Arial"/>
          <w:bCs/>
          <w:lang w:eastAsia="zh-CN"/>
        </w:rPr>
        <w:t xml:space="preserve">f the JD-R model (Vansteenkiste et al., </w:t>
      </w:r>
      <w:r w:rsidRPr="00B60914">
        <w:rPr>
          <w:rFonts w:ascii="Calibri" w:eastAsia="SimSun" w:hAnsi="Calibri" w:cs="Arial"/>
          <w:bCs/>
          <w:lang w:eastAsia="zh-CN"/>
        </w:rPr>
        <w:t xml:space="preserve">2007). However, besides being cross-sectional, which limits inferences about causality and prevents an assessment of whether the three needs can mediate between antecedents and work engagement, both studies measured a limited number of job demands and resources, reducing generalisability, and employed self-report methods, which are subject to common method variance. Longitudinal studies which measure changes in a variety of job and personal resources and demands over time, as well as concurrently assessing need satisfaction and work engagement at each time point, are therefore much needed to investigate the causal relations underlying the correlational relationships found. </w:t>
      </w:r>
    </w:p>
    <w:p w14:paraId="03B1F613" w14:textId="77777777" w:rsidR="00B60914" w:rsidRPr="00B60914" w:rsidRDefault="00B60914" w:rsidP="00B60914">
      <w:pPr>
        <w:spacing w:after="200" w:line="360" w:lineRule="auto"/>
        <w:contextualSpacing/>
        <w:rPr>
          <w:rFonts w:ascii="Calibri" w:eastAsia="SimSun" w:hAnsi="Calibri" w:cs="Arial"/>
          <w:bCs/>
          <w:lang w:eastAsia="zh-CN"/>
        </w:rPr>
      </w:pPr>
    </w:p>
    <w:p w14:paraId="5D39EFFF" w14:textId="6809B74C" w:rsidR="00B60914" w:rsidRPr="00B60914" w:rsidRDefault="00B60914" w:rsidP="00B60914">
      <w:pPr>
        <w:spacing w:after="200" w:line="360" w:lineRule="auto"/>
        <w:contextualSpacing/>
        <w:rPr>
          <w:rFonts w:ascii="Calibri" w:eastAsia="Calibri" w:hAnsi="Calibri" w:cs="Calibri"/>
        </w:rPr>
      </w:pPr>
      <w:r w:rsidRPr="00B60914">
        <w:rPr>
          <w:rFonts w:ascii="Calibri" w:eastAsia="SimSun" w:hAnsi="Calibri" w:cs="Arial"/>
          <w:bCs/>
          <w:lang w:eastAsia="zh-CN"/>
        </w:rPr>
        <w:t xml:space="preserve">Despite the mixed findings from individual studies, </w:t>
      </w:r>
      <w:r w:rsidRPr="00B60914">
        <w:rPr>
          <w:rFonts w:ascii="Calibri" w:eastAsia="Calibri" w:hAnsi="Calibri" w:cs="Calibri"/>
        </w:rPr>
        <w:t>the role of SDT in work engagement theory has been supported by a very recent meta-analysis involving 99 studies (Van den Broeck et al., 2016). In particular, this meta-analysis highlighted the positive relationships between numerous personal resources, including self-esteem and optimism, job resources, including social support, job autonomy, and feedback, each of the three needs, and positive outcomes, including positive affect, work engagement, well-being and job satisfaction. Specifically,</w:t>
      </w:r>
      <w:r w:rsidR="0090279F">
        <w:rPr>
          <w:rFonts w:ascii="Calibri" w:eastAsia="Calibri" w:hAnsi="Calibri" w:cs="Calibri"/>
        </w:rPr>
        <w:t xml:space="preserve"> </w:t>
      </w:r>
      <w:r w:rsidRPr="00B60914">
        <w:rPr>
          <w:rFonts w:ascii="Calibri" w:eastAsia="Calibri" w:hAnsi="Calibri" w:cs="Calibri"/>
        </w:rPr>
        <w:t xml:space="preserve">the job resource, job autonomy, was most strongly related to the satisfaction of the need for autonomy, and </w:t>
      </w:r>
      <w:r w:rsidR="0090279F">
        <w:rPr>
          <w:rFonts w:ascii="Calibri" w:eastAsia="Calibri" w:hAnsi="Calibri" w:cs="Calibri"/>
        </w:rPr>
        <w:t xml:space="preserve">the job resource, </w:t>
      </w:r>
      <w:r w:rsidRPr="00B60914">
        <w:rPr>
          <w:rFonts w:ascii="Calibri" w:eastAsia="Calibri" w:hAnsi="Calibri" w:cs="Calibri"/>
        </w:rPr>
        <w:t>social support</w:t>
      </w:r>
      <w:r w:rsidR="0090279F">
        <w:rPr>
          <w:rFonts w:ascii="Calibri" w:eastAsia="Calibri" w:hAnsi="Calibri" w:cs="Calibri"/>
        </w:rPr>
        <w:t>,</w:t>
      </w:r>
      <w:r w:rsidRPr="00B60914">
        <w:rPr>
          <w:rFonts w:ascii="Calibri" w:eastAsia="Calibri" w:hAnsi="Calibri" w:cs="Calibri"/>
        </w:rPr>
        <w:t xml:space="preserve"> was most strongly related to relatedness. While the results were largely based on cross-</w:t>
      </w:r>
      <w:r w:rsidRPr="00B60914">
        <w:rPr>
          <w:rFonts w:ascii="Calibri" w:eastAsia="Calibri" w:hAnsi="Calibri" w:cs="Calibri"/>
        </w:rPr>
        <w:lastRenderedPageBreak/>
        <w:t xml:space="preserve">sectional data, preventing a conclusion about the ability of the needs to mediate between antecedents and outcomes of engagement, they still support the existence of the role of the three needs in the motivational process of the </w:t>
      </w:r>
      <w:r w:rsidR="00A43B59">
        <w:rPr>
          <w:rFonts w:ascii="Calibri" w:eastAsia="Calibri" w:hAnsi="Calibri" w:cs="Calibri"/>
        </w:rPr>
        <w:t>JD-R</w:t>
      </w:r>
      <w:r w:rsidRPr="00B60914">
        <w:rPr>
          <w:rFonts w:ascii="Calibri" w:eastAsia="Calibri" w:hAnsi="Calibri" w:cs="Calibri"/>
        </w:rPr>
        <w:t xml:space="preserve"> model, indicating that autonomy, competence, and relatedness are indeed related to job and personal reso</w:t>
      </w:r>
      <w:r w:rsidR="0090279F">
        <w:rPr>
          <w:rFonts w:ascii="Calibri" w:eastAsia="Calibri" w:hAnsi="Calibri" w:cs="Calibri"/>
        </w:rPr>
        <w:t xml:space="preserve">urces, work engagement and </w:t>
      </w:r>
      <w:r w:rsidR="001D6140">
        <w:rPr>
          <w:rFonts w:ascii="Calibri" w:eastAsia="Calibri" w:hAnsi="Calibri" w:cs="Calibri"/>
        </w:rPr>
        <w:t>well-being</w:t>
      </w:r>
      <w:r w:rsidRPr="00B60914">
        <w:rPr>
          <w:rFonts w:ascii="Calibri" w:eastAsia="Calibri" w:hAnsi="Calibri" w:cs="Calibri"/>
        </w:rPr>
        <w:t xml:space="preserve">, as suggested by Bakker &amp; Demerouti (2007).  </w:t>
      </w:r>
    </w:p>
    <w:p w14:paraId="12B8F337" w14:textId="77777777" w:rsidR="00B60914" w:rsidRPr="00B60914" w:rsidRDefault="00B60914" w:rsidP="00B60914">
      <w:pPr>
        <w:spacing w:after="200" w:line="360" w:lineRule="auto"/>
        <w:contextualSpacing/>
        <w:rPr>
          <w:rFonts w:ascii="Calibri" w:eastAsia="Calibri" w:hAnsi="Calibri" w:cs="Calibri"/>
        </w:rPr>
      </w:pPr>
    </w:p>
    <w:p w14:paraId="5C5735D5" w14:textId="258F58CC" w:rsidR="00B60914" w:rsidRPr="00B60914" w:rsidRDefault="00B60914" w:rsidP="00B60914">
      <w:pPr>
        <w:spacing w:after="200" w:line="360" w:lineRule="auto"/>
        <w:contextualSpacing/>
        <w:rPr>
          <w:rFonts w:ascii="Calibri" w:eastAsia="Calibri" w:hAnsi="Calibri" w:cs="Calibri"/>
        </w:rPr>
      </w:pPr>
      <w:r w:rsidRPr="00B60914">
        <w:rPr>
          <w:rFonts w:ascii="Calibri" w:eastAsia="Calibri" w:hAnsi="Calibri" w:cs="Calibri"/>
        </w:rPr>
        <w:t>In addition, this meta-analysis noted a negative relationship between the need for autonomy and competence</w:t>
      </w:r>
      <w:r w:rsidR="0090279F">
        <w:rPr>
          <w:rFonts w:ascii="Calibri" w:eastAsia="Calibri" w:hAnsi="Calibri" w:cs="Calibri"/>
        </w:rPr>
        <w:t>,</w:t>
      </w:r>
      <w:r w:rsidRPr="00B60914">
        <w:rPr>
          <w:rFonts w:ascii="Calibri" w:eastAsia="Calibri" w:hAnsi="Calibri" w:cs="Calibri"/>
        </w:rPr>
        <w:t xml:space="preserve"> and workload and emotional demands, but relatedness was unrelated to either of these </w:t>
      </w:r>
      <w:r w:rsidR="0090279F">
        <w:rPr>
          <w:rFonts w:ascii="Calibri" w:eastAsia="Calibri" w:hAnsi="Calibri" w:cs="Calibri"/>
        </w:rPr>
        <w:t>latter two factors</w:t>
      </w:r>
      <w:r w:rsidRPr="00B60914">
        <w:rPr>
          <w:rFonts w:ascii="Calibri" w:eastAsia="Calibri" w:hAnsi="Calibri" w:cs="Calibri"/>
        </w:rPr>
        <w:t xml:space="preserve">. Surprisingly, both competence and relatedness were positively related to cognitive demands. In terms of competence, the authors speculate that this may be due to cognitive demands being perceived as a challenge stressor (Crawford </w:t>
      </w:r>
      <w:r w:rsidR="00B64DD5">
        <w:rPr>
          <w:rFonts w:ascii="Calibri" w:eastAsia="Calibri" w:hAnsi="Calibri" w:cs="Calibri"/>
        </w:rPr>
        <w:t>et al.,</w:t>
      </w:r>
      <w:r w:rsidRPr="00B60914">
        <w:rPr>
          <w:rFonts w:ascii="Calibri" w:eastAsia="Calibri" w:hAnsi="Calibri" w:cs="Calibri"/>
        </w:rPr>
        <w:t xml:space="preserve"> 2010), and thus that overcoming these challenges may be associated with an increased sense of competence. It is possible that this could lead to a positive gain spiral of competence, and potentially work engagement, as increased competence could lead to individuals actively seeking out or accepting more complex jobs. </w:t>
      </w:r>
    </w:p>
    <w:p w14:paraId="18B916B4" w14:textId="77777777" w:rsidR="00B60914" w:rsidRPr="00B60914" w:rsidRDefault="00B60914" w:rsidP="00B60914">
      <w:pPr>
        <w:spacing w:after="200" w:line="360" w:lineRule="auto"/>
        <w:contextualSpacing/>
        <w:rPr>
          <w:rFonts w:ascii="Calibri" w:eastAsia="Calibri" w:hAnsi="Calibri" w:cs="Calibri"/>
        </w:rPr>
      </w:pPr>
    </w:p>
    <w:p w14:paraId="0FA8C791" w14:textId="34819554" w:rsidR="00B60914" w:rsidRDefault="00B60914" w:rsidP="00B60914">
      <w:pPr>
        <w:spacing w:after="200" w:line="360" w:lineRule="auto"/>
        <w:contextualSpacing/>
        <w:rPr>
          <w:rFonts w:ascii="Calibri" w:eastAsia="SimSun" w:hAnsi="Calibri" w:cs="Arial"/>
          <w:bCs/>
          <w:lang w:eastAsia="zh-CN"/>
        </w:rPr>
      </w:pPr>
      <w:r w:rsidRPr="00B60914">
        <w:rPr>
          <w:rFonts w:ascii="Calibri" w:eastAsia="Calibri" w:hAnsi="Calibri" w:cs="Calibri"/>
        </w:rPr>
        <w:t xml:space="preserve">In terms of relatedness, the authors suggest that the existence of cognitive demands may require teams to address these demands, increasing a sense of relatedness. Alternatively, these results may be due to low statistical power, with only six studies being included in the meta-analysis between the three needs and cognitive demands.  As expected, all three needs were negatively related to negative outcomes such as burnout, negative affect, and turnover intentions, supporting the role of the three needs in the health impairment process of the </w:t>
      </w:r>
      <w:r w:rsidR="00A43B59">
        <w:rPr>
          <w:rFonts w:ascii="Calibri" w:eastAsia="Calibri" w:hAnsi="Calibri" w:cs="Calibri"/>
        </w:rPr>
        <w:t>JD-R</w:t>
      </w:r>
      <w:r w:rsidRPr="00B60914">
        <w:rPr>
          <w:rFonts w:ascii="Calibri" w:eastAsia="Calibri" w:hAnsi="Calibri" w:cs="Calibri"/>
        </w:rPr>
        <w:t xml:space="preserve"> model. Notably, the satisfaction of each need incrementally predicted psychological growth and well-being, suggesting that each can be considered a distinct concept and is important for the experience of general goo</w:t>
      </w:r>
      <w:r w:rsidR="0038045F">
        <w:rPr>
          <w:rFonts w:ascii="Calibri" w:eastAsia="Calibri" w:hAnsi="Calibri" w:cs="Calibri"/>
        </w:rPr>
        <w:t xml:space="preserve">d health and </w:t>
      </w:r>
      <w:r w:rsidR="001D6140">
        <w:rPr>
          <w:rFonts w:ascii="Calibri" w:eastAsia="Calibri" w:hAnsi="Calibri" w:cs="Calibri"/>
        </w:rPr>
        <w:t>well-being</w:t>
      </w:r>
      <w:r w:rsidRPr="00B60914">
        <w:rPr>
          <w:rFonts w:ascii="Calibri" w:eastAsia="Calibri" w:hAnsi="Calibri" w:cs="Calibri"/>
        </w:rPr>
        <w:t xml:space="preserve">. The differential relationships observed between the resources, demands, needs, and outcomes, also suggests that each need is a distinct concept. It should be noted, however, that many of the studies included in the meta-analysis were cross-sectional, limiting the ability to infer causality, and some of the meta-analyses involved a small number of studies, sometimes as low as three, decreasing the robustness of the results. The results presented here should therefore not be over-interpreted. </w:t>
      </w:r>
      <w:r w:rsidRPr="00B60914">
        <w:rPr>
          <w:rFonts w:ascii="Calibri" w:eastAsia="SimSun" w:hAnsi="Calibri" w:cs="Arial"/>
          <w:bCs/>
          <w:lang w:eastAsia="zh-CN"/>
        </w:rPr>
        <w:t xml:space="preserve">Study 2 aims to address the cross-sectional nature of much of the research to date by investigating the longitudinal relationships between resources, the three needs, and work engagement. </w:t>
      </w:r>
    </w:p>
    <w:p w14:paraId="6A4A8D3B" w14:textId="77777777" w:rsidR="00E65EBD" w:rsidRPr="00B60914" w:rsidRDefault="00E65EBD" w:rsidP="00B60914">
      <w:pPr>
        <w:spacing w:after="200" w:line="360" w:lineRule="auto"/>
        <w:contextualSpacing/>
        <w:rPr>
          <w:rFonts w:ascii="Calibri" w:eastAsia="Calibri" w:hAnsi="Calibri" w:cs="Calibri"/>
        </w:rPr>
      </w:pPr>
    </w:p>
    <w:p w14:paraId="58FCC6CA" w14:textId="77777777" w:rsidR="00B60914" w:rsidRPr="0094641F" w:rsidRDefault="00B60914" w:rsidP="00B60914">
      <w:pPr>
        <w:spacing w:after="200" w:line="360" w:lineRule="auto"/>
        <w:contextualSpacing/>
        <w:rPr>
          <w:rFonts w:ascii="Cambria" w:eastAsia="SimSun" w:hAnsi="Cambria" w:cs="Times New Roman"/>
          <w:bCs/>
        </w:rPr>
      </w:pPr>
    </w:p>
    <w:p w14:paraId="7463074D" w14:textId="7CC12BF5" w:rsidR="00B60914" w:rsidRPr="00B60914" w:rsidRDefault="00B60914" w:rsidP="0009618B">
      <w:pPr>
        <w:pStyle w:val="Heading3"/>
      </w:pPr>
      <w:bookmarkStart w:id="41" w:name="_Toc447266086"/>
      <w:bookmarkStart w:id="42" w:name="_Ref453248557"/>
      <w:bookmarkStart w:id="43" w:name="_Ref453249125"/>
      <w:bookmarkStart w:id="44" w:name="_Ref457206114"/>
      <w:bookmarkStart w:id="45" w:name="_Toc468285926"/>
      <w:r w:rsidRPr="00B60914">
        <w:lastRenderedPageBreak/>
        <w:t>Psychological processes underlying the motivational hypothesis of the JD-R model</w:t>
      </w:r>
      <w:bookmarkEnd w:id="41"/>
      <w:bookmarkEnd w:id="42"/>
      <w:bookmarkEnd w:id="43"/>
      <w:bookmarkEnd w:id="44"/>
      <w:bookmarkEnd w:id="45"/>
    </w:p>
    <w:p w14:paraId="161BFF99" w14:textId="77777777" w:rsidR="00B60914" w:rsidRPr="00B60914" w:rsidRDefault="00B60914" w:rsidP="00B60914">
      <w:pPr>
        <w:spacing w:before="200" w:line="360" w:lineRule="auto"/>
        <w:contextualSpacing/>
        <w:rPr>
          <w:rFonts w:ascii="Calibri" w:eastAsia="Calibri" w:hAnsi="Calibri" w:cs="Calibri"/>
        </w:rPr>
      </w:pPr>
    </w:p>
    <w:p w14:paraId="4B295657" w14:textId="42F7E680"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Although Bakker and Demerouti (2007) posit that SDT provides a broad theory of motivation underpinning the JD-R model, Bakker (2011) also delineates four specific processes which may be seen as complementary to this overarching need theory. These processes attempt to explain in more detail the motivational mechanisms underlying the relationships between job resources and positive outcomes and are: 1) broaden-and-build theory (Fredrickson, 2001) which proposes that positive emotions enable employees to work on their personal resources by widening the spectrum of thoughts and actions that come to mind; 2) the experience of better health which is proposed to enable employees to focus all their resources on the job; 3) job crafting, which refers to employees creating their own job and personal resources (</w:t>
      </w:r>
      <w:r w:rsidR="007A46AB">
        <w:rPr>
          <w:rFonts w:ascii="Calibri" w:eastAsia="Calibri" w:hAnsi="Calibri" w:cs="Calibri"/>
        </w:rPr>
        <w:fldChar w:fldCharType="begin"/>
      </w:r>
      <w:r w:rsidR="007A46AB">
        <w:rPr>
          <w:rFonts w:ascii="Calibri" w:eastAsia="Calibri" w:hAnsi="Calibri" w:cs="Calibri"/>
        </w:rPr>
        <w:instrText xml:space="preserve"> REF _Ref453248937 \h </w:instrText>
      </w:r>
      <w:r w:rsidR="007A46AB">
        <w:rPr>
          <w:rFonts w:ascii="Calibri" w:eastAsia="Calibri" w:hAnsi="Calibri" w:cs="Calibri"/>
        </w:rPr>
      </w:r>
      <w:r w:rsidR="007A46AB">
        <w:rPr>
          <w:rFonts w:ascii="Calibri" w:eastAsia="Calibri" w:hAnsi="Calibri" w:cs="Calibri"/>
        </w:rPr>
        <w:fldChar w:fldCharType="separate"/>
      </w:r>
      <w:r w:rsidR="00152F6D">
        <w:t xml:space="preserve">Figure </w:t>
      </w:r>
      <w:r w:rsidR="00152F6D">
        <w:rPr>
          <w:noProof/>
        </w:rPr>
        <w:t>2</w:t>
      </w:r>
      <w:r w:rsidR="00152F6D">
        <w:t>.</w:t>
      </w:r>
      <w:r w:rsidR="00152F6D">
        <w:rPr>
          <w:noProof/>
        </w:rPr>
        <w:t>1</w:t>
      </w:r>
      <w:r w:rsidR="007A46AB">
        <w:rPr>
          <w:rFonts w:ascii="Calibri" w:eastAsia="Calibri" w:hAnsi="Calibri" w:cs="Calibri"/>
        </w:rPr>
        <w:fldChar w:fldCharType="end"/>
      </w:r>
      <w:r w:rsidRPr="00B60914">
        <w:rPr>
          <w:rFonts w:ascii="Calibri" w:eastAsia="Calibri" w:hAnsi="Calibri" w:cs="Calibri"/>
        </w:rPr>
        <w:t xml:space="preserve">); and 4) emotional contagion theory, which suggests that employees transfer engagement to others, indirectly improving team engagement and performance (Bakker, Van Emmerik &amp; Euwema, 2006). According to Bakker (2011), these processes create a positive gain spiral of engagement over time. They are by no means exhaustive and several others have been applied to explain the relationships between antecedents, outcomes and work engagement. Evidence also exists for reversed causal relationships; De Lange, Taris, Kompier, Houtman and Bongers (2005) found positive mental health to positively affect supervisory support, and Salanova, Bakker and Llorens (2006) found engagement to be associated with job resources such as autonomy and skill variety, and the personal resource, self-efficacy, over time. This suggests that </w:t>
      </w:r>
      <w:r w:rsidR="001D6140">
        <w:rPr>
          <w:rFonts w:ascii="Calibri" w:eastAsia="Calibri" w:hAnsi="Calibri" w:cs="Calibri"/>
        </w:rPr>
        <w:t>well-being</w:t>
      </w:r>
      <w:r w:rsidRPr="00B60914">
        <w:rPr>
          <w:rFonts w:ascii="Calibri" w:eastAsia="Calibri" w:hAnsi="Calibri" w:cs="Calibri"/>
        </w:rPr>
        <w:t xml:space="preserve"> and work engagement encourages employees to mobilise job resources and create their own opportunities and resources, in accordance with broaden-and-build theory and job crafting (Bakker &amp; Demerouti, 2014). </w:t>
      </w:r>
    </w:p>
    <w:p w14:paraId="0BE22592" w14:textId="77777777" w:rsidR="00B60914" w:rsidRPr="00B60914" w:rsidRDefault="00B60914" w:rsidP="00B60914">
      <w:pPr>
        <w:spacing w:before="200" w:line="360" w:lineRule="auto"/>
        <w:contextualSpacing/>
        <w:rPr>
          <w:rFonts w:ascii="Calibri" w:eastAsia="Calibri" w:hAnsi="Calibri" w:cs="Calibri"/>
        </w:rPr>
      </w:pPr>
    </w:p>
    <w:p w14:paraId="3AD782B5" w14:textId="1CB44043" w:rsidR="00221505"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Evidence, albeit limited, has also been found for reversed causal relationships between negative outcomes and job demands. For example, depersonalisation was related to the quality of the doctor-patient relationship in Bakker, Schaufeli, Sixma, Bosveld and Van Dierendonck’s (2000) study, and exhaustion was negatively related to work pressure in Demerouti, Bakker and Butlers’ (2004) study. These results may be explained by employees appraising their working environment more negatively the more they experience negative effects, leading to negative behaviours (e.g. complaining) which then impact negatively on work climate (Bakker et al., 2000). In sum, while these </w:t>
      </w:r>
      <w:r w:rsidR="0038045F">
        <w:rPr>
          <w:rFonts w:ascii="Calibri" w:eastAsia="Calibri" w:hAnsi="Calibri" w:cs="Calibri"/>
        </w:rPr>
        <w:t>four</w:t>
      </w:r>
      <w:r w:rsidRPr="00B60914">
        <w:rPr>
          <w:rFonts w:ascii="Calibri" w:eastAsia="Calibri" w:hAnsi="Calibri" w:cs="Calibri"/>
        </w:rPr>
        <w:t xml:space="preserve"> key processes are purported to underlie the JD-R model in addition to SDT, the exact relationships involved are still hotly debated. Understanding these further may have important implications for the design of work engagement interventions. Before concluding this section it is worth highlighting several criticisms </w:t>
      </w:r>
      <w:r w:rsidRPr="00B60914">
        <w:rPr>
          <w:rFonts w:ascii="Calibri" w:eastAsia="Calibri" w:hAnsi="Calibri" w:cs="Calibri"/>
        </w:rPr>
        <w:lastRenderedPageBreak/>
        <w:t xml:space="preserve">which have been raised in association with the </w:t>
      </w:r>
      <w:r w:rsidR="00A43B59">
        <w:rPr>
          <w:rFonts w:ascii="Calibri" w:eastAsia="Calibri" w:hAnsi="Calibri" w:cs="Calibri"/>
        </w:rPr>
        <w:t>JD-R</w:t>
      </w:r>
      <w:r w:rsidRPr="00B60914">
        <w:rPr>
          <w:rFonts w:ascii="Calibri" w:eastAsia="Calibri" w:hAnsi="Calibri" w:cs="Calibri"/>
        </w:rPr>
        <w:t xml:space="preserve"> model, despite its wide acceptance as a theory of work engagement. These criticisms are discussed in the following subsection.</w:t>
      </w:r>
    </w:p>
    <w:p w14:paraId="7C40B95D" w14:textId="77777777" w:rsidR="00B60914" w:rsidRPr="00B60914" w:rsidRDefault="00B60914" w:rsidP="00B60914">
      <w:pPr>
        <w:spacing w:before="200" w:line="360" w:lineRule="auto"/>
        <w:contextualSpacing/>
        <w:rPr>
          <w:rFonts w:ascii="Calibri" w:eastAsia="Calibri" w:hAnsi="Calibri" w:cs="Calibri"/>
        </w:rPr>
      </w:pPr>
    </w:p>
    <w:p w14:paraId="5A142DFA" w14:textId="4A8AAEE7" w:rsidR="00B60914" w:rsidRPr="00B60914" w:rsidRDefault="00B60914" w:rsidP="0009618B">
      <w:pPr>
        <w:pStyle w:val="Heading3"/>
      </w:pPr>
      <w:bookmarkStart w:id="46" w:name="_Toc447266087"/>
      <w:bookmarkStart w:id="47" w:name="_Toc468285927"/>
      <w:r w:rsidRPr="00B60914">
        <w:t>Some critical comments about the JD-R model</w:t>
      </w:r>
      <w:bookmarkEnd w:id="46"/>
      <w:bookmarkEnd w:id="47"/>
    </w:p>
    <w:p w14:paraId="5334C023" w14:textId="77777777" w:rsidR="00B60914" w:rsidRPr="00B60914" w:rsidRDefault="00B60914" w:rsidP="00B60914">
      <w:pPr>
        <w:spacing w:before="200" w:line="360" w:lineRule="auto"/>
        <w:contextualSpacing/>
        <w:rPr>
          <w:rFonts w:ascii="Calibri" w:eastAsia="Calibri" w:hAnsi="Calibri" w:cs="Calibri"/>
        </w:rPr>
      </w:pPr>
    </w:p>
    <w:p w14:paraId="29BBE345" w14:textId="0E344394"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Six key criticisms surround the JD-R model. First, it</w:t>
      </w:r>
      <w:r w:rsidRPr="00B60914">
        <w:rPr>
          <w:rFonts w:ascii="Calibri" w:eastAsia="SimSun" w:hAnsi="Calibri" w:cs="Arial"/>
          <w:bCs/>
          <w:lang w:eastAsia="zh-CN"/>
        </w:rPr>
        <w:t xml:space="preserve"> is argued to be a heuristic model which suggests a long list of job and personal resources which are associated with certain kinds of psychological states and outcomes, but which cannot explain </w:t>
      </w:r>
      <w:r w:rsidRPr="00B60914">
        <w:rPr>
          <w:rFonts w:ascii="Calibri" w:eastAsia="SimSun" w:hAnsi="Calibri" w:cs="Arial"/>
          <w:bCs/>
          <w:i/>
          <w:iCs/>
          <w:lang w:eastAsia="zh-CN"/>
        </w:rPr>
        <w:t>why</w:t>
      </w:r>
      <w:r w:rsidRPr="00B60914">
        <w:rPr>
          <w:rFonts w:ascii="Calibri" w:eastAsia="SimSun" w:hAnsi="Calibri" w:cs="Arial"/>
          <w:bCs/>
          <w:lang w:eastAsia="zh-CN"/>
        </w:rPr>
        <w:t xml:space="preserve"> these variables are related to each other (Schaufeli &amp; Taris, 2014). However, this could be considered </w:t>
      </w:r>
      <w:r w:rsidRPr="00B60914">
        <w:rPr>
          <w:rFonts w:ascii="Calibri" w:eastAsia="Calibri" w:hAnsi="Calibri" w:cs="Calibri"/>
        </w:rPr>
        <w:t xml:space="preserve">both an advantage and a disadvantage as the model’s high flexibility lends itself to a variety of different study contexts while at the same time limiting generalisability. For example, a relationship found between one job resource and one job demand cannot necessarily be generalised to relationships between </w:t>
      </w:r>
      <w:r w:rsidRPr="00B60914">
        <w:rPr>
          <w:rFonts w:ascii="Calibri" w:eastAsia="Calibri" w:hAnsi="Calibri" w:cs="Calibri"/>
          <w:i/>
          <w:iCs/>
        </w:rPr>
        <w:t>all</w:t>
      </w:r>
      <w:r w:rsidRPr="00B60914">
        <w:rPr>
          <w:rFonts w:ascii="Calibri" w:eastAsia="Calibri" w:hAnsi="Calibri" w:cs="Calibri"/>
        </w:rPr>
        <w:t xml:space="preserve"> job resources and </w:t>
      </w:r>
      <w:r w:rsidRPr="00B60914">
        <w:rPr>
          <w:rFonts w:ascii="Calibri" w:eastAsia="Calibri" w:hAnsi="Calibri" w:cs="Calibri"/>
          <w:i/>
          <w:iCs/>
        </w:rPr>
        <w:t>all</w:t>
      </w:r>
      <w:r w:rsidRPr="00B60914">
        <w:rPr>
          <w:rFonts w:ascii="Calibri" w:eastAsia="Calibri" w:hAnsi="Calibri" w:cs="Calibri"/>
        </w:rPr>
        <w:t xml:space="preserve"> job demands. Indeed, Schaufeli and Taris (2014) argue that the JD-R model draws on alternative frameworks to examine the underlying psychological mechanisms involved (e.g. SDT, COR theory, broaden-and-build theory, job crafting; Schaufeli &amp; Taris, 2014)</w:t>
      </w:r>
      <w:r w:rsidR="0038045F">
        <w:rPr>
          <w:rFonts w:ascii="Calibri" w:eastAsia="Calibri" w:hAnsi="Calibri" w:cs="Calibri"/>
        </w:rPr>
        <w:t>,</w:t>
      </w:r>
      <w:r w:rsidRPr="00B60914">
        <w:rPr>
          <w:rFonts w:ascii="Calibri" w:eastAsia="Calibri" w:hAnsi="Calibri" w:cs="Calibri"/>
        </w:rPr>
        <w:t xml:space="preserve"> rather than being underpinned by any one theory. </w:t>
      </w:r>
    </w:p>
    <w:p w14:paraId="280A9EC4" w14:textId="77777777" w:rsidR="00B60914" w:rsidRPr="00B60914" w:rsidRDefault="00B60914" w:rsidP="00B60914">
      <w:pPr>
        <w:spacing w:before="200" w:line="360" w:lineRule="auto"/>
        <w:contextualSpacing/>
        <w:rPr>
          <w:rFonts w:ascii="Calibri" w:eastAsia="Calibri" w:hAnsi="Calibri" w:cs="Calibri"/>
        </w:rPr>
      </w:pPr>
    </w:p>
    <w:p w14:paraId="3A7990BB" w14:textId="56BCA1A5"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Second, the conceptual difference between job resources and job demands is not always clear</w:t>
      </w:r>
      <w:r w:rsidR="0038045F">
        <w:rPr>
          <w:rFonts w:ascii="Calibri" w:eastAsia="Calibri" w:hAnsi="Calibri" w:cs="Calibri"/>
        </w:rPr>
        <w:t>. F</w:t>
      </w:r>
      <w:r w:rsidRPr="00B60914">
        <w:rPr>
          <w:rFonts w:ascii="Calibri" w:eastAsia="Calibri" w:hAnsi="Calibri" w:cs="Calibri"/>
        </w:rPr>
        <w:t xml:space="preserve">or instance, a lack of job resources may be perceived as a job demand. To overcome this problem, Crawford et al. (2010) re-conceptualised job demands, viewing factors appraised positively by employees as challenges (i.e. job resources), and viewing factors appraised negatively by employees as hindrances (i.e. job demands). Indeed, their meta-analysis found that both ‘traditional’ job resources, and job demands appraised as challenges, were positively related to work engagement and negatively related to burnout. This remains in accordance with the principles of the JD-R model. </w:t>
      </w:r>
    </w:p>
    <w:p w14:paraId="64B2335E" w14:textId="77777777" w:rsidR="00B60914" w:rsidRPr="00B60914" w:rsidRDefault="00B60914" w:rsidP="00B60914">
      <w:pPr>
        <w:spacing w:before="200" w:line="360" w:lineRule="auto"/>
        <w:contextualSpacing/>
        <w:rPr>
          <w:rFonts w:ascii="Calibri" w:eastAsia="Calibri" w:hAnsi="Calibri" w:cs="Calibri"/>
        </w:rPr>
      </w:pPr>
    </w:p>
    <w:p w14:paraId="23698A65" w14:textId="6F9C5B3B"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Third, it is not yet clear how personal resources should be i</w:t>
      </w:r>
      <w:r w:rsidR="0038045F">
        <w:rPr>
          <w:rFonts w:ascii="Calibri" w:eastAsia="Calibri" w:hAnsi="Calibri" w:cs="Calibri"/>
        </w:rPr>
        <w:t>ncorporated into the JD-R model. F</w:t>
      </w:r>
      <w:r w:rsidRPr="00B60914">
        <w:rPr>
          <w:rFonts w:ascii="Calibri" w:eastAsia="Calibri" w:hAnsi="Calibri" w:cs="Calibri"/>
        </w:rPr>
        <w:t>or example, they could be conceptualised as antecedents, mediators, or moderators, or any combination of these (Schaufeli &amp; Taris, 2014). Furthermore, it has been suggested that personal resources other than those commonly studied (i.e. self-efficacy, optimism, resilience, hope), should be incorporated, such as neuroticism, workaholism and pessimism. However, the role of these additional variables in the JD-R model is again unclear.</w:t>
      </w:r>
    </w:p>
    <w:p w14:paraId="22EF1817" w14:textId="77777777" w:rsidR="00B60914" w:rsidRPr="00B60914" w:rsidRDefault="00B60914" w:rsidP="00B60914">
      <w:pPr>
        <w:spacing w:before="200" w:line="360" w:lineRule="auto"/>
        <w:contextualSpacing/>
        <w:rPr>
          <w:rFonts w:ascii="Calibri" w:eastAsia="Calibri" w:hAnsi="Calibri" w:cs="Calibri"/>
        </w:rPr>
      </w:pPr>
    </w:p>
    <w:p w14:paraId="497BE433" w14:textId="1DB4E5C8"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Fourth, it has been argued that the dual processes underlying the JD-R </w:t>
      </w:r>
      <w:r w:rsidR="0038045F">
        <w:rPr>
          <w:rFonts w:ascii="Calibri" w:eastAsia="Calibri" w:hAnsi="Calibri" w:cs="Calibri"/>
        </w:rPr>
        <w:t xml:space="preserve">model </w:t>
      </w:r>
      <w:r w:rsidRPr="00B60914">
        <w:rPr>
          <w:rFonts w:ascii="Calibri" w:eastAsia="Calibri" w:hAnsi="Calibri" w:cs="Calibri"/>
        </w:rPr>
        <w:t xml:space="preserve">are not independent of each other as the deleterious effects of poor health have been noted to reduce motivation and </w:t>
      </w:r>
      <w:r w:rsidRPr="00B60914">
        <w:rPr>
          <w:rFonts w:ascii="Calibri" w:eastAsia="Calibri" w:hAnsi="Calibri" w:cs="Calibri"/>
        </w:rPr>
        <w:lastRenderedPageBreak/>
        <w:t>vice versa (Schaufeli &amp; Taris, 2014). As identified above, job demands also have an effect on both work engagement and burnout</w:t>
      </w:r>
      <w:r w:rsidR="0038045F">
        <w:rPr>
          <w:rFonts w:ascii="Calibri" w:eastAsia="Calibri" w:hAnsi="Calibri" w:cs="Calibri"/>
        </w:rPr>
        <w:t>,</w:t>
      </w:r>
      <w:r w:rsidRPr="00B60914">
        <w:rPr>
          <w:rFonts w:ascii="Calibri" w:eastAsia="Calibri" w:hAnsi="Calibri" w:cs="Calibri"/>
        </w:rPr>
        <w:t xml:space="preserve"> further suggesting that the health impairment process and the motivational process are not independent and shoul</w:t>
      </w:r>
      <w:r w:rsidR="007A46AB">
        <w:rPr>
          <w:rFonts w:ascii="Calibri" w:eastAsia="Calibri" w:hAnsi="Calibri" w:cs="Calibri"/>
        </w:rPr>
        <w:t>d thus be studied together.</w:t>
      </w:r>
    </w:p>
    <w:p w14:paraId="30EE5B0F" w14:textId="77777777" w:rsidR="00B60914" w:rsidRPr="00B60914" w:rsidRDefault="00B60914" w:rsidP="00B60914">
      <w:pPr>
        <w:spacing w:before="200" w:line="360" w:lineRule="auto"/>
        <w:contextualSpacing/>
        <w:rPr>
          <w:rFonts w:ascii="Calibri" w:eastAsia="Calibri" w:hAnsi="Calibri" w:cs="Calibri"/>
        </w:rPr>
      </w:pPr>
    </w:p>
    <w:p w14:paraId="432822D2" w14:textId="7476F641"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Fifth, the JD-R model does not specify reversed causal relationships between variables, despite the amounting evidence for them (see above), and nor does it specify gain cycles, in which one variable increases the level of another variable and vice versa (Schaufeli &amp; Taris, 2014). Given that the positive gain cycle of engagement is touted as a mechanism by which engagement is increased, future research could investigate the nature of these dynamic relationships further. As noted above, the flexible nature of the model lends itself to adaptation and advancement, suggesting that the lack of specification of specific relationships within this model may actually be an adv</w:t>
      </w:r>
      <w:r w:rsidR="007A46AB">
        <w:rPr>
          <w:rFonts w:ascii="Calibri" w:eastAsia="Calibri" w:hAnsi="Calibri" w:cs="Calibri"/>
        </w:rPr>
        <w:t>antage for developing theory.</w:t>
      </w:r>
    </w:p>
    <w:p w14:paraId="75CC99FE" w14:textId="3C1FEC71" w:rsidR="00B60914" w:rsidRPr="00B60914" w:rsidRDefault="00B60914" w:rsidP="00B60914">
      <w:pPr>
        <w:spacing w:before="200" w:line="360" w:lineRule="auto"/>
        <w:contextualSpacing/>
        <w:rPr>
          <w:rFonts w:ascii="Calibri" w:eastAsia="Calibri" w:hAnsi="Calibri" w:cs="Calibri"/>
        </w:rPr>
      </w:pPr>
    </w:p>
    <w:p w14:paraId="453C9EF5" w14:textId="1B907622" w:rsid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Sixth, the JD-R is presented at an </w:t>
      </w:r>
      <w:r w:rsidR="00597B3B">
        <w:rPr>
          <w:rFonts w:ascii="Calibri" w:eastAsia="Calibri" w:hAnsi="Calibri" w:cs="Calibri"/>
        </w:rPr>
        <w:t>individual-level</w:t>
      </w:r>
      <w:r w:rsidRPr="00B60914">
        <w:rPr>
          <w:rFonts w:ascii="Calibri" w:eastAsia="Calibri" w:hAnsi="Calibri" w:cs="Calibri"/>
        </w:rPr>
        <w:t xml:space="preserve">, however, it has been applied at the team level (Torrente, Salanova, Llorens &amp; Schaufeli, 2012; Costa, Passos &amp; Bakker, 2014a; 2014b) and may be applied at even higher levels, such as that of the department or organisation. Some have argued that this raises validity issues if the compatibility principle (Ajzen, 2005), which states that all variables in a model must be specified at the same level, is not applied. This means that, for example, </w:t>
      </w:r>
      <w:r w:rsidR="00597B3B">
        <w:rPr>
          <w:rFonts w:ascii="Calibri" w:eastAsia="Calibri" w:hAnsi="Calibri" w:cs="Calibri"/>
        </w:rPr>
        <w:t>individual-level</w:t>
      </w:r>
      <w:r w:rsidRPr="00B60914">
        <w:rPr>
          <w:rFonts w:ascii="Calibri" w:eastAsia="Calibri" w:hAnsi="Calibri" w:cs="Calibri"/>
        </w:rPr>
        <w:t xml:space="preserve"> constructs operationalised via questionnaires should all refer to ‘I’ whereas team level constructs should all refer to ‘my team’. In relation to work engagement, this principle assumes that shared perceptions of job and personal resources, job demands and outcomes exist between team members. Torrente et al.</w:t>
      </w:r>
      <w:r w:rsidR="00515E1D">
        <w:rPr>
          <w:rFonts w:ascii="Calibri" w:eastAsia="Calibri" w:hAnsi="Calibri" w:cs="Calibri"/>
        </w:rPr>
        <w:t xml:space="preserve"> (2012)</w:t>
      </w:r>
      <w:r w:rsidRPr="00B60914">
        <w:rPr>
          <w:rFonts w:ascii="Calibri" w:eastAsia="Calibri" w:hAnsi="Calibri" w:cs="Calibri"/>
        </w:rPr>
        <w:t xml:space="preserve"> and Costa</w:t>
      </w:r>
      <w:r w:rsidR="00515E1D">
        <w:rPr>
          <w:rFonts w:ascii="Calibri" w:eastAsia="Calibri" w:hAnsi="Calibri" w:cs="Calibri"/>
        </w:rPr>
        <w:t xml:space="preserve"> et al. (2014b)</w:t>
      </w:r>
      <w:r w:rsidRPr="00B60914">
        <w:rPr>
          <w:rFonts w:ascii="Calibri" w:eastAsia="Calibri" w:hAnsi="Calibri" w:cs="Calibri"/>
        </w:rPr>
        <w:t xml:space="preserve"> both followed this principle, studying team engagement in relation to perceived team resources and perceived team performance. Indeed, in so doing, Costa</w:t>
      </w:r>
      <w:r w:rsidR="00515E1D">
        <w:rPr>
          <w:rFonts w:ascii="Calibri" w:eastAsia="Calibri" w:hAnsi="Calibri" w:cs="Calibri"/>
        </w:rPr>
        <w:t xml:space="preserve"> et al. (2014a)</w:t>
      </w:r>
      <w:r w:rsidRPr="00B60914">
        <w:rPr>
          <w:rFonts w:ascii="Calibri" w:eastAsia="Calibri" w:hAnsi="Calibri" w:cs="Calibri"/>
        </w:rPr>
        <w:t xml:space="preserve"> validated the first measure of team work engagement, based on the UWES-9. The presence of shared perceptions may also explain how emotional contagion may enable engagement, or exhaustion, to spread throughout teams (Schaufeli &amp; Taris, 2014). </w:t>
      </w:r>
    </w:p>
    <w:p w14:paraId="4E3F8F77" w14:textId="77777777" w:rsidR="001B697E" w:rsidRPr="00B60914" w:rsidRDefault="001B697E" w:rsidP="00B60914">
      <w:pPr>
        <w:spacing w:before="200" w:line="360" w:lineRule="auto"/>
        <w:contextualSpacing/>
        <w:rPr>
          <w:rFonts w:ascii="Calibri" w:eastAsia="Calibri" w:hAnsi="Calibri" w:cs="Calibri"/>
        </w:rPr>
      </w:pPr>
    </w:p>
    <w:p w14:paraId="56B58F2D" w14:textId="593DB921" w:rsidR="00B60914" w:rsidRDefault="00B60914" w:rsidP="0009618B">
      <w:pPr>
        <w:pStyle w:val="Heading3"/>
      </w:pPr>
      <w:bookmarkStart w:id="48" w:name="_Toc447266088"/>
      <w:bookmarkStart w:id="49" w:name="_Toc468285928"/>
      <w:r w:rsidRPr="00B60914">
        <w:t>Section conclusion</w:t>
      </w:r>
      <w:bookmarkEnd w:id="48"/>
      <w:bookmarkEnd w:id="49"/>
      <w:r w:rsidRPr="00B60914">
        <w:t xml:space="preserve"> </w:t>
      </w:r>
    </w:p>
    <w:p w14:paraId="7DEE9ADD" w14:textId="77777777" w:rsidR="00221505" w:rsidRPr="00B60914" w:rsidRDefault="00221505" w:rsidP="00DD71CD"/>
    <w:p w14:paraId="68460CAB" w14:textId="77777777" w:rsidR="00F2294A"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Critical discussion of the JD-R model demonstrates that many criticisms can be countered. Furthermore, the overview of work engagement theory presented in the preceding sections suggests support for the relationships between a variety of antecedents, needs, outcomes and work engagement. Much of this research has adopted the JD-R model as a research model, suggesting that it has been invaluable in progressing knowledge in this area. Although the causal relationships involved are not yet ascertained, the amounting evidence suggests that designing interventions to </w:t>
      </w:r>
      <w:r w:rsidRPr="00B60914">
        <w:rPr>
          <w:rFonts w:ascii="Calibri" w:eastAsia="Calibri" w:hAnsi="Calibri" w:cs="Calibri"/>
        </w:rPr>
        <w:lastRenderedPageBreak/>
        <w:t xml:space="preserve">improve work engagement may be profitable for individuals and organisations, and doing so could be one way of assessing the temporal nature of these relationships. </w:t>
      </w:r>
    </w:p>
    <w:p w14:paraId="5249AC55" w14:textId="77777777" w:rsidR="00F2294A" w:rsidRDefault="00F2294A" w:rsidP="00B60914">
      <w:pPr>
        <w:spacing w:before="200" w:line="360" w:lineRule="auto"/>
        <w:contextualSpacing/>
        <w:rPr>
          <w:rFonts w:ascii="Calibri" w:eastAsia="Calibri" w:hAnsi="Calibri" w:cs="Calibri"/>
        </w:rPr>
      </w:pPr>
    </w:p>
    <w:p w14:paraId="1628426C" w14:textId="4703CB71" w:rsidR="00221505"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This review will now describe and evaluate a variety of different </w:t>
      </w:r>
      <w:r w:rsidR="00597B3B">
        <w:rPr>
          <w:rFonts w:ascii="Calibri" w:eastAsia="Calibri" w:hAnsi="Calibri" w:cs="Calibri"/>
        </w:rPr>
        <w:t>individual-level</w:t>
      </w:r>
      <w:r w:rsidR="00FA2B44">
        <w:rPr>
          <w:rFonts w:ascii="Calibri" w:eastAsia="Calibri" w:hAnsi="Calibri" w:cs="Calibri"/>
        </w:rPr>
        <w:t xml:space="preserve"> </w:t>
      </w:r>
      <w:r w:rsidRPr="00B60914">
        <w:rPr>
          <w:rFonts w:ascii="Calibri" w:eastAsia="Calibri" w:hAnsi="Calibri" w:cs="Calibri"/>
        </w:rPr>
        <w:t>approaches to interventions</w:t>
      </w:r>
      <w:r w:rsidR="001057E2">
        <w:rPr>
          <w:rFonts w:ascii="Calibri" w:eastAsia="Calibri" w:hAnsi="Calibri" w:cs="Calibri"/>
        </w:rPr>
        <w:t xml:space="preserve"> which have occurred within organisations</w:t>
      </w:r>
      <w:r w:rsidRPr="00B60914">
        <w:rPr>
          <w:rFonts w:ascii="Calibri" w:eastAsia="Calibri" w:hAnsi="Calibri" w:cs="Calibri"/>
        </w:rPr>
        <w:t xml:space="preserve">. </w:t>
      </w:r>
      <w:r w:rsidR="009B06BE">
        <w:rPr>
          <w:rFonts w:ascii="Calibri" w:eastAsia="Calibri" w:hAnsi="Calibri" w:cs="Calibri"/>
        </w:rPr>
        <w:t>The i</w:t>
      </w:r>
      <w:r w:rsidRPr="00B60914">
        <w:rPr>
          <w:rFonts w:ascii="Calibri" w:eastAsia="Calibri" w:hAnsi="Calibri" w:cs="Calibri"/>
        </w:rPr>
        <w:t xml:space="preserve">nterventions </w:t>
      </w:r>
      <w:r w:rsidR="009B06BE">
        <w:rPr>
          <w:rFonts w:ascii="Calibri" w:eastAsia="Calibri" w:hAnsi="Calibri" w:cs="Calibri"/>
        </w:rPr>
        <w:t>which are discussed relate</w:t>
      </w:r>
      <w:r w:rsidRPr="00B60914">
        <w:rPr>
          <w:rFonts w:ascii="Calibri" w:eastAsia="Calibri" w:hAnsi="Calibri" w:cs="Calibri"/>
        </w:rPr>
        <w:t xml:space="preserve"> specifically to work engagement as well as </w:t>
      </w:r>
      <w:r w:rsidR="009B06BE">
        <w:rPr>
          <w:rFonts w:ascii="Calibri" w:eastAsia="Calibri" w:hAnsi="Calibri" w:cs="Calibri"/>
        </w:rPr>
        <w:t>overlapping</w:t>
      </w:r>
      <w:r w:rsidRPr="00B60914">
        <w:rPr>
          <w:rFonts w:ascii="Calibri" w:eastAsia="Calibri" w:hAnsi="Calibri" w:cs="Calibri"/>
        </w:rPr>
        <w:t xml:space="preserve"> areas (e.g. occupational health, positive psychology). </w:t>
      </w:r>
      <w:r w:rsidR="009B06BE">
        <w:rPr>
          <w:rFonts w:ascii="Calibri" w:eastAsia="Calibri" w:hAnsi="Calibri" w:cs="Calibri"/>
        </w:rPr>
        <w:t>Interventions within these related areas</w:t>
      </w:r>
      <w:r w:rsidRPr="00B60914">
        <w:rPr>
          <w:rFonts w:ascii="Calibri" w:eastAsia="Calibri" w:hAnsi="Calibri" w:cs="Calibri"/>
        </w:rPr>
        <w:t xml:space="preserve"> </w:t>
      </w:r>
      <w:r w:rsidR="00133AE6">
        <w:rPr>
          <w:rFonts w:ascii="Calibri" w:eastAsia="Calibri" w:hAnsi="Calibri" w:cs="Calibri"/>
        </w:rPr>
        <w:t xml:space="preserve">have not </w:t>
      </w:r>
      <w:r w:rsidR="006F1861">
        <w:rPr>
          <w:rFonts w:ascii="Calibri" w:eastAsia="Calibri" w:hAnsi="Calibri" w:cs="Calibri"/>
        </w:rPr>
        <w:t xml:space="preserve">always </w:t>
      </w:r>
      <w:r w:rsidR="00133AE6">
        <w:rPr>
          <w:rFonts w:ascii="Calibri" w:eastAsia="Calibri" w:hAnsi="Calibri" w:cs="Calibri"/>
        </w:rPr>
        <w:t xml:space="preserve">directly measured work engagement, however, they have </w:t>
      </w:r>
      <w:r w:rsidRPr="00B60914">
        <w:rPr>
          <w:rFonts w:ascii="Calibri" w:eastAsia="Calibri" w:hAnsi="Calibri" w:cs="Calibri"/>
        </w:rPr>
        <w:t>aim</w:t>
      </w:r>
      <w:r w:rsidR="00133AE6">
        <w:rPr>
          <w:rFonts w:ascii="Calibri" w:eastAsia="Calibri" w:hAnsi="Calibri" w:cs="Calibri"/>
        </w:rPr>
        <w:t>ed</w:t>
      </w:r>
      <w:r w:rsidRPr="00B60914">
        <w:rPr>
          <w:rFonts w:ascii="Calibri" w:eastAsia="Calibri" w:hAnsi="Calibri" w:cs="Calibri"/>
        </w:rPr>
        <w:t xml:space="preserve"> to improve concepts </w:t>
      </w:r>
      <w:r w:rsidR="00F2294A">
        <w:rPr>
          <w:rFonts w:ascii="Calibri" w:eastAsia="Calibri" w:hAnsi="Calibri" w:cs="Calibri"/>
        </w:rPr>
        <w:t>(e.g. well</w:t>
      </w:r>
      <w:r w:rsidR="006F1861">
        <w:rPr>
          <w:rFonts w:ascii="Calibri" w:eastAsia="Calibri" w:hAnsi="Calibri" w:cs="Calibri"/>
        </w:rPr>
        <w:t>-</w:t>
      </w:r>
      <w:r w:rsidR="00F2294A">
        <w:rPr>
          <w:rFonts w:ascii="Calibri" w:eastAsia="Calibri" w:hAnsi="Calibri" w:cs="Calibri"/>
        </w:rPr>
        <w:t xml:space="preserve">being, and job and personal resources) </w:t>
      </w:r>
      <w:r w:rsidRPr="00B60914">
        <w:rPr>
          <w:rFonts w:ascii="Calibri" w:eastAsia="Calibri" w:hAnsi="Calibri" w:cs="Calibri"/>
        </w:rPr>
        <w:t xml:space="preserve">which </w:t>
      </w:r>
      <w:r w:rsidR="00F2294A">
        <w:rPr>
          <w:rFonts w:ascii="Calibri" w:eastAsia="Calibri" w:hAnsi="Calibri" w:cs="Calibri"/>
        </w:rPr>
        <w:t>are</w:t>
      </w:r>
      <w:r w:rsidRPr="00B60914">
        <w:rPr>
          <w:rFonts w:ascii="Calibri" w:eastAsia="Calibri" w:hAnsi="Calibri" w:cs="Calibri"/>
        </w:rPr>
        <w:t xml:space="preserve"> associated with engagement and are arguably more developed and prolific in the literature. They may therefore offer important insights for work engagement intervention research.</w:t>
      </w:r>
      <w:r w:rsidR="009B06BE">
        <w:rPr>
          <w:rFonts w:ascii="Calibri" w:eastAsia="Calibri" w:hAnsi="Calibri" w:cs="Calibri"/>
        </w:rPr>
        <w:t xml:space="preserve"> </w:t>
      </w:r>
      <w:r w:rsidR="00F2294A">
        <w:rPr>
          <w:rFonts w:ascii="Calibri" w:eastAsia="Calibri" w:hAnsi="Calibri" w:cs="Calibri"/>
        </w:rPr>
        <w:t>The ways in which these related outcomes may improve work engagement are described briefly in the introduction to the following section, and in more detail</w:t>
      </w:r>
      <w:r w:rsidR="008C2F0A">
        <w:rPr>
          <w:rFonts w:ascii="Calibri" w:eastAsia="Calibri" w:hAnsi="Calibri" w:cs="Calibri"/>
        </w:rPr>
        <w:t xml:space="preserve"> in relation</w:t>
      </w:r>
      <w:r w:rsidR="00755E91">
        <w:rPr>
          <w:rFonts w:ascii="Calibri" w:eastAsia="Calibri" w:hAnsi="Calibri" w:cs="Calibri"/>
        </w:rPr>
        <w:t xml:space="preserve"> to each type of </w:t>
      </w:r>
      <w:r w:rsidR="00597B3B">
        <w:rPr>
          <w:rFonts w:ascii="Calibri" w:eastAsia="Calibri" w:hAnsi="Calibri" w:cs="Calibri"/>
        </w:rPr>
        <w:t>individual-level</w:t>
      </w:r>
      <w:r w:rsidR="00F2294A">
        <w:rPr>
          <w:rFonts w:ascii="Calibri" w:eastAsia="Calibri" w:hAnsi="Calibri" w:cs="Calibri"/>
        </w:rPr>
        <w:t xml:space="preserve"> intervention discussed thereafter. </w:t>
      </w:r>
      <w:r w:rsidR="00755E91">
        <w:rPr>
          <w:rFonts w:ascii="Calibri" w:eastAsia="Calibri" w:hAnsi="Calibri" w:cs="Calibri"/>
        </w:rPr>
        <w:t xml:space="preserve">Interventions at the organisational level which relate </w:t>
      </w:r>
      <w:r w:rsidR="004E1C30">
        <w:rPr>
          <w:rFonts w:ascii="Calibri" w:eastAsia="Calibri" w:hAnsi="Calibri" w:cs="Calibri"/>
        </w:rPr>
        <w:t xml:space="preserve">specifically </w:t>
      </w:r>
      <w:r w:rsidR="00755E91">
        <w:rPr>
          <w:rFonts w:ascii="Calibri" w:eastAsia="Calibri" w:hAnsi="Calibri" w:cs="Calibri"/>
        </w:rPr>
        <w:t>to work engagement are not discussed as none were found.</w:t>
      </w:r>
    </w:p>
    <w:p w14:paraId="475EE5EA" w14:textId="77777777" w:rsidR="001B697E" w:rsidRDefault="001B697E" w:rsidP="00B60914">
      <w:pPr>
        <w:spacing w:before="200" w:line="360" w:lineRule="auto"/>
        <w:contextualSpacing/>
        <w:rPr>
          <w:rFonts w:ascii="Calibri" w:eastAsia="Calibri" w:hAnsi="Calibri" w:cs="Calibri"/>
        </w:rPr>
      </w:pPr>
    </w:p>
    <w:p w14:paraId="58320217" w14:textId="74BD6C8F" w:rsidR="00B60914" w:rsidRPr="00B60914" w:rsidRDefault="00597B3B" w:rsidP="00B7614E">
      <w:pPr>
        <w:pStyle w:val="Thesisheading2"/>
      </w:pPr>
      <w:bookmarkStart w:id="50" w:name="_Toc447266089"/>
      <w:bookmarkStart w:id="51" w:name="_Ref453248590"/>
      <w:bookmarkStart w:id="52" w:name="_Toc468285929"/>
      <w:r>
        <w:t>Individual-level</w:t>
      </w:r>
      <w:r w:rsidR="00B60914" w:rsidRPr="00B60914">
        <w:t xml:space="preserve"> interventions</w:t>
      </w:r>
      <w:bookmarkEnd w:id="50"/>
      <w:r w:rsidR="00B60914" w:rsidRPr="00B60914">
        <w:t xml:space="preserve"> within organisations</w:t>
      </w:r>
      <w:bookmarkEnd w:id="51"/>
      <w:bookmarkEnd w:id="52"/>
    </w:p>
    <w:p w14:paraId="118703BA" w14:textId="77777777" w:rsidR="00B60914" w:rsidRPr="00B60914" w:rsidRDefault="00B60914" w:rsidP="00B60914">
      <w:pPr>
        <w:spacing w:after="200" w:line="360" w:lineRule="auto"/>
        <w:rPr>
          <w:rFonts w:ascii="Calibri" w:eastAsia="SimSun" w:hAnsi="Calibri" w:cs="Arial"/>
          <w:lang w:eastAsia="zh-CN"/>
        </w:rPr>
      </w:pPr>
    </w:p>
    <w:p w14:paraId="03A6A21C" w14:textId="2986694B"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 xml:space="preserve">With the advent of positive psychology, interventions aimed at increasing positive outcomes such as individuals’ general </w:t>
      </w:r>
      <w:r w:rsidR="001D6140">
        <w:rPr>
          <w:rFonts w:ascii="Calibri" w:eastAsia="SimSun" w:hAnsi="Calibri" w:cs="Arial"/>
          <w:lang w:eastAsia="zh-CN"/>
        </w:rPr>
        <w:t>well-being</w:t>
      </w:r>
      <w:r w:rsidRPr="00B60914">
        <w:rPr>
          <w:rFonts w:ascii="Calibri" w:eastAsia="SimSun" w:hAnsi="Calibri" w:cs="Arial"/>
          <w:lang w:eastAsia="zh-CN"/>
        </w:rPr>
        <w:t xml:space="preserve"> and happiness have been forthcoming and offer promising results (e.g. Seligman, Steen, Park &amp; Peterson, 2005). This research has been applied in the workplace with interventions focusing on strategies to improve positive aspects, or strengths, of the individual and / or aspects of the work environment which are purported to lead to work engagement. Four particular types of interventions have emerged, and are presented in turn below. The first type, strengths based training, focuses on developing positive individual traits (e.g. kindness &amp; gratitude) which could be regarded as personal resources within the JD-R model and could therefore lead to increased work engagement. </w:t>
      </w:r>
      <w:r w:rsidR="006F1861">
        <w:rPr>
          <w:rFonts w:ascii="Calibri" w:eastAsia="SimSun" w:hAnsi="Calibri" w:cs="Arial"/>
          <w:lang w:eastAsia="zh-CN"/>
        </w:rPr>
        <w:t>Well-being</w:t>
      </w:r>
      <w:r w:rsidR="00B61B1C">
        <w:rPr>
          <w:rFonts w:ascii="Calibri" w:eastAsia="SimSun" w:hAnsi="Calibri" w:cs="Arial"/>
          <w:lang w:eastAsia="zh-CN"/>
        </w:rPr>
        <w:t xml:space="preserve"> (e.g. happiness, mental health) </w:t>
      </w:r>
      <w:r w:rsidR="006F1861">
        <w:rPr>
          <w:rFonts w:ascii="Calibri" w:eastAsia="SimSun" w:hAnsi="Calibri" w:cs="Arial"/>
          <w:lang w:eastAsia="zh-CN"/>
        </w:rPr>
        <w:t xml:space="preserve">is also an outcome measured by strengths based training, which is positively </w:t>
      </w:r>
      <w:r w:rsidR="00B61B1C">
        <w:rPr>
          <w:rFonts w:ascii="Calibri" w:eastAsia="SimSun" w:hAnsi="Calibri" w:cs="Arial"/>
          <w:lang w:eastAsia="zh-CN"/>
        </w:rPr>
        <w:t>associated with work engagement.</w:t>
      </w:r>
      <w:r w:rsidR="006F1861">
        <w:rPr>
          <w:rFonts w:ascii="Calibri" w:eastAsia="SimSun" w:hAnsi="Calibri" w:cs="Arial"/>
          <w:lang w:eastAsia="zh-CN"/>
        </w:rPr>
        <w:t xml:space="preserve"> </w:t>
      </w:r>
      <w:r w:rsidRPr="00B60914">
        <w:rPr>
          <w:rFonts w:ascii="Calibri" w:eastAsia="SimSun" w:hAnsi="Calibri" w:cs="Arial"/>
          <w:lang w:eastAsia="zh-CN"/>
        </w:rPr>
        <w:t xml:space="preserve">The second type, Psychological Capital (PsyCAP) interventions, focus on developing four particular types of personal resources, self-esteem, hope, optimism and resilience, which are commonly regarded within the JD-R model as key antecedents of work engagement. The third type, job crafting interventions, may increase both job and personal resources through the individual seeking out more challenging tasks. </w:t>
      </w:r>
      <w:r w:rsidR="006F1861">
        <w:rPr>
          <w:rFonts w:ascii="Calibri" w:eastAsia="SimSun" w:hAnsi="Calibri" w:cs="Arial"/>
          <w:lang w:eastAsia="zh-CN"/>
        </w:rPr>
        <w:t xml:space="preserve">The increase in resources may then lead to work engagement, in accordance with the JD-R model. </w:t>
      </w:r>
      <w:r w:rsidRPr="00B60914">
        <w:rPr>
          <w:rFonts w:ascii="Calibri" w:eastAsia="SimSun" w:hAnsi="Calibri" w:cs="Arial"/>
          <w:lang w:eastAsia="zh-CN"/>
        </w:rPr>
        <w:t xml:space="preserve">The fourth type, health prevention interventions, could increase work engagement by increasing factors which are positively associated with engagement, such as </w:t>
      </w:r>
      <w:r w:rsidR="001D6140">
        <w:rPr>
          <w:rFonts w:ascii="Calibri" w:eastAsia="SimSun" w:hAnsi="Calibri" w:cs="Arial"/>
          <w:lang w:eastAsia="zh-CN"/>
        </w:rPr>
        <w:t>well-</w:t>
      </w:r>
      <w:r w:rsidR="001D6140">
        <w:rPr>
          <w:rFonts w:ascii="Calibri" w:eastAsia="SimSun" w:hAnsi="Calibri" w:cs="Arial"/>
          <w:lang w:eastAsia="zh-CN"/>
        </w:rPr>
        <w:lastRenderedPageBreak/>
        <w:t>being</w:t>
      </w:r>
      <w:r w:rsidRPr="00B60914">
        <w:rPr>
          <w:rFonts w:ascii="Calibri" w:eastAsia="SimSun" w:hAnsi="Calibri" w:cs="Arial"/>
          <w:lang w:eastAsia="zh-CN"/>
        </w:rPr>
        <w:t>, and decreasing factors which are negatively related to engagement, such as stress and burno</w:t>
      </w:r>
      <w:r w:rsidR="00341CB1">
        <w:rPr>
          <w:rFonts w:ascii="Calibri" w:eastAsia="SimSun" w:hAnsi="Calibri" w:cs="Arial"/>
          <w:lang w:eastAsia="zh-CN"/>
        </w:rPr>
        <w:t xml:space="preserve">ut. Each of the following four </w:t>
      </w:r>
      <w:r w:rsidRPr="00B60914">
        <w:rPr>
          <w:rFonts w:ascii="Calibri" w:eastAsia="SimSun" w:hAnsi="Calibri" w:cs="Arial"/>
          <w:lang w:eastAsia="zh-CN"/>
        </w:rPr>
        <w:t xml:space="preserve">subsections critically discusses some of the key intervention methods applied to, and findings observed from, these four strands of research.    </w:t>
      </w:r>
    </w:p>
    <w:p w14:paraId="2AA5ADBE" w14:textId="77777777" w:rsidR="00B60914" w:rsidRPr="00B60914" w:rsidRDefault="00B60914" w:rsidP="00B60914">
      <w:pPr>
        <w:spacing w:after="200" w:line="360" w:lineRule="auto"/>
        <w:contextualSpacing/>
        <w:rPr>
          <w:rFonts w:ascii="Calibri" w:eastAsia="SimSun" w:hAnsi="Calibri" w:cs="Arial"/>
          <w:b/>
          <w:bCs/>
          <w:lang w:eastAsia="zh-CN"/>
        </w:rPr>
      </w:pPr>
    </w:p>
    <w:p w14:paraId="310713E3" w14:textId="77777777" w:rsidR="00B60914" w:rsidRPr="00B60914" w:rsidRDefault="00B60914" w:rsidP="0009618B">
      <w:pPr>
        <w:pStyle w:val="Heading3"/>
      </w:pPr>
      <w:bookmarkStart w:id="53" w:name="_Toc447266090"/>
      <w:bookmarkStart w:id="54" w:name="_Ref457205132"/>
      <w:bookmarkStart w:id="55" w:name="_Toc468285930"/>
      <w:r w:rsidRPr="00B60914">
        <w:t>Positive Psychology and strengths based training</w:t>
      </w:r>
      <w:bookmarkEnd w:id="53"/>
      <w:bookmarkEnd w:id="54"/>
      <w:bookmarkEnd w:id="55"/>
    </w:p>
    <w:p w14:paraId="7792B857" w14:textId="77777777" w:rsidR="00B60914" w:rsidRPr="00B60914" w:rsidRDefault="00B60914" w:rsidP="00B60914">
      <w:pPr>
        <w:spacing w:after="200" w:line="360" w:lineRule="auto"/>
        <w:contextualSpacing/>
        <w:rPr>
          <w:rFonts w:ascii="Calibri" w:eastAsia="SimSun" w:hAnsi="Calibri" w:cs="Arial"/>
          <w:lang w:eastAsia="zh-CN"/>
        </w:rPr>
      </w:pPr>
    </w:p>
    <w:p w14:paraId="52B6C961" w14:textId="0F9D6E77"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The match between an employee’s strengths and the degree to which he</w:t>
      </w:r>
      <w:r w:rsidR="004913FB">
        <w:rPr>
          <w:rFonts w:ascii="Calibri" w:eastAsia="SimSun" w:hAnsi="Calibri" w:cs="Arial"/>
          <w:lang w:eastAsia="zh-CN"/>
        </w:rPr>
        <w:t xml:space="preserve"> </w:t>
      </w:r>
      <w:r w:rsidRPr="00B60914">
        <w:rPr>
          <w:rFonts w:ascii="Calibri" w:eastAsia="SimSun" w:hAnsi="Calibri" w:cs="Arial"/>
          <w:lang w:eastAsia="zh-CN"/>
        </w:rPr>
        <w:t>/</w:t>
      </w:r>
      <w:r w:rsidR="004913FB">
        <w:rPr>
          <w:rFonts w:ascii="Calibri" w:eastAsia="SimSun" w:hAnsi="Calibri" w:cs="Arial"/>
          <w:lang w:eastAsia="zh-CN"/>
        </w:rPr>
        <w:t xml:space="preserve"> </w:t>
      </w:r>
      <w:r w:rsidRPr="00B60914">
        <w:rPr>
          <w:rFonts w:ascii="Calibri" w:eastAsia="SimSun" w:hAnsi="Calibri" w:cs="Arial"/>
          <w:lang w:eastAsia="zh-CN"/>
        </w:rPr>
        <w:t>she can draw on these in his</w:t>
      </w:r>
      <w:r w:rsidR="004913FB">
        <w:rPr>
          <w:rFonts w:ascii="Calibri" w:eastAsia="SimSun" w:hAnsi="Calibri" w:cs="Arial"/>
          <w:lang w:eastAsia="zh-CN"/>
        </w:rPr>
        <w:t xml:space="preserve"> </w:t>
      </w:r>
      <w:r w:rsidRPr="00B60914">
        <w:rPr>
          <w:rFonts w:ascii="Calibri" w:eastAsia="SimSun" w:hAnsi="Calibri" w:cs="Arial"/>
          <w:lang w:eastAsia="zh-CN"/>
        </w:rPr>
        <w:t>/</w:t>
      </w:r>
      <w:r w:rsidR="004913FB">
        <w:rPr>
          <w:rFonts w:ascii="Calibri" w:eastAsia="SimSun" w:hAnsi="Calibri" w:cs="Arial"/>
          <w:lang w:eastAsia="zh-CN"/>
        </w:rPr>
        <w:t xml:space="preserve"> </w:t>
      </w:r>
      <w:r w:rsidRPr="00B60914">
        <w:rPr>
          <w:rFonts w:ascii="Calibri" w:eastAsia="SimSun" w:hAnsi="Calibri" w:cs="Arial"/>
          <w:lang w:eastAsia="zh-CN"/>
        </w:rPr>
        <w:t xml:space="preserve">her everyday work activities (i.e. the ‘fit’ between a person’s skills and competencies and the requirements of his or her job) is likely to have a substantial impact on work engagement (Bakker &amp; Demerouti, 2014). Strengths have been defined as positive traits such as curiosity, kindness and gratitude (Peterson &amp; Seligman, 2004; Seligman et al., 2005), and developing them is argued to produce a sense of fulfilment, self-efficacy and work engagement (Bakker &amp; Demerouti, 2014). This type of intervention can therefore be considered as an individual-level intervention aimed at increasing personal resources. </w:t>
      </w:r>
    </w:p>
    <w:p w14:paraId="49587E1B" w14:textId="77777777" w:rsidR="00B60914" w:rsidRPr="00B60914" w:rsidRDefault="00B60914" w:rsidP="00B60914">
      <w:pPr>
        <w:spacing w:after="200" w:line="360" w:lineRule="auto"/>
        <w:contextualSpacing/>
        <w:rPr>
          <w:rFonts w:ascii="Calibri" w:eastAsia="SimSun" w:hAnsi="Calibri" w:cs="Arial"/>
          <w:lang w:eastAsia="zh-CN"/>
        </w:rPr>
      </w:pPr>
    </w:p>
    <w:p w14:paraId="62EAB2EA" w14:textId="77777777"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 xml:space="preserve">One of the early strengths-based interventions emerged from the positive psychology movement and involved a longitudinal, placebo-controlled trial delivered online. Seligman et al. (2005) randomly assigned participants to one of five tasks or a placebo task, which were completed over the following week. Compared to a control group, they found that using strengths in new ways, and </w:t>
      </w:r>
    </w:p>
    <w:p w14:paraId="60DEA46E" w14:textId="7868D8A5"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writing down three positive things each day, increased participants’ happiness (defined as ‘positive emotion and pleasure’, ‘engagement’</w:t>
      </w:r>
      <w:r w:rsidRPr="00B60914">
        <w:rPr>
          <w:rFonts w:ascii="Calibri" w:eastAsia="SimSun" w:hAnsi="Calibri" w:cs="Arial"/>
          <w:vertAlign w:val="superscript"/>
          <w:lang w:eastAsia="zh-CN"/>
        </w:rPr>
        <w:footnoteReference w:id="1"/>
      </w:r>
      <w:r w:rsidR="00341CB1">
        <w:rPr>
          <w:rFonts w:ascii="Calibri" w:eastAsia="SimSun" w:hAnsi="Calibri" w:cs="Arial"/>
          <w:lang w:eastAsia="zh-CN"/>
        </w:rPr>
        <w:t>,</w:t>
      </w:r>
      <w:r w:rsidRPr="00B60914">
        <w:rPr>
          <w:rFonts w:ascii="Calibri" w:eastAsia="SimSun" w:hAnsi="Calibri" w:cs="Arial"/>
          <w:lang w:eastAsia="zh-CN"/>
        </w:rPr>
        <w:t xml:space="preserve"> and ‘meaning’ (Seligman et al., 2005) and dec</w:t>
      </w:r>
      <w:r w:rsidR="00341CB1">
        <w:rPr>
          <w:rFonts w:ascii="Calibri" w:eastAsia="SimSun" w:hAnsi="Calibri" w:cs="Arial"/>
          <w:lang w:eastAsia="zh-CN"/>
        </w:rPr>
        <w:t>reased depressive symptoms for six</w:t>
      </w:r>
      <w:r w:rsidRPr="00B60914">
        <w:rPr>
          <w:rFonts w:ascii="Calibri" w:eastAsia="SimSun" w:hAnsi="Calibri" w:cs="Arial"/>
          <w:lang w:eastAsia="zh-CN"/>
        </w:rPr>
        <w:t xml:space="preserve"> months, and the effect sizes were moderate. The sustainability of effects was observed in participants actively continuing these tasks beyond the official one week period, suggesting that longer trials than a week are needed to capture the potential of exercises which did not demonstrate benefits in this study. Despite this, and some potential limitations such as limited generalisability due to the use of a self-selected convenience sample, this seminal study was the first to attempt to rigorously evaluate the positive effects of strengths based interventions and stimulated much interest in the field. </w:t>
      </w:r>
    </w:p>
    <w:p w14:paraId="5856FF9A" w14:textId="77777777" w:rsidR="00B60914" w:rsidRPr="00B60914" w:rsidRDefault="00B60914" w:rsidP="00B60914">
      <w:pPr>
        <w:spacing w:after="200" w:line="360" w:lineRule="auto"/>
        <w:contextualSpacing/>
        <w:rPr>
          <w:rFonts w:ascii="Calibri" w:eastAsia="SimSun" w:hAnsi="Calibri" w:cs="Arial"/>
          <w:lang w:eastAsia="zh-CN"/>
        </w:rPr>
      </w:pPr>
    </w:p>
    <w:p w14:paraId="1C98A983" w14:textId="77777777"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lastRenderedPageBreak/>
        <w:t xml:space="preserve">Indeed, work psychology literature suggests that strengths based training could have positive effects in organisational settings. For example, Clifton and Harter (2003) found that activities aimed at </w:t>
      </w:r>
    </w:p>
    <w:p w14:paraId="27ABD604" w14:textId="4916E15A"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developing strengths, identified via a ‘Strengths-Finder’ questionnaire (Buckingham &amp; Clifton, 2001), significantly increased engagement. Although they used the Gallup Q</w:t>
      </w:r>
      <w:r w:rsidRPr="00B60914">
        <w:rPr>
          <w:rFonts w:ascii="Calibri" w:eastAsia="SimSun" w:hAnsi="Calibri" w:cs="Arial"/>
          <w:vertAlign w:val="superscript"/>
          <w:lang w:eastAsia="zh-CN"/>
        </w:rPr>
        <w:t>12</w:t>
      </w:r>
      <w:r w:rsidRPr="00B60914">
        <w:rPr>
          <w:rFonts w:ascii="Calibri" w:eastAsia="SimSun" w:hAnsi="Calibri" w:cs="Arial"/>
          <w:lang w:eastAsia="zh-CN"/>
        </w:rPr>
        <w:t xml:space="preserve"> to measure engagement, a scale which has been criticised for confounding engagement with the concept of job satisfaction (Halbesleben, 2010), the results indicate that positive effects may result from strengths based training. These findings can be explained by broaden-and-build theory (Fredrickson, 1998), which posits that positive emotions may ‘build’ personal resources and enable individuals to think more ‘broadly’, allowing them to be open to, and integrate, new information (Fredrickson, 2001). This may stimulate individuals to act on these ideas, perhaps by taking on a new challenge at work, or finding the resources necessary to complete a task. In accordance with JD-R theory, the ability to have autonomy over one’s job, and accumulate resources, is purported to lead to work engagement (Bakker, 2011). It is also likely that the needs for autonomy and competence would be fulfilled by this process, however, this has not yet been tested in a strengths-based intervention study. Nevertheless, these studies suggest that strengths based training may increase positive emotions, strengthen personal resources and lead to increased work engagement, in accordance with the </w:t>
      </w:r>
      <w:r w:rsidR="00A43B59">
        <w:rPr>
          <w:rFonts w:ascii="Calibri" w:eastAsia="SimSun" w:hAnsi="Calibri" w:cs="Arial"/>
          <w:lang w:eastAsia="zh-CN"/>
        </w:rPr>
        <w:t>JD-R</w:t>
      </w:r>
      <w:r w:rsidRPr="00B60914">
        <w:rPr>
          <w:rFonts w:ascii="Calibri" w:eastAsia="SimSun" w:hAnsi="Calibri" w:cs="Arial"/>
          <w:lang w:eastAsia="zh-CN"/>
        </w:rPr>
        <w:t xml:space="preserve"> (Bakker &amp; Demerouti, 2007), and thus this type of training is a worthy focus for interventions in the workplace.</w:t>
      </w:r>
    </w:p>
    <w:p w14:paraId="063E1F9D" w14:textId="77777777" w:rsidR="00B60914" w:rsidRPr="00B60914" w:rsidRDefault="00B60914" w:rsidP="00B60914">
      <w:pPr>
        <w:spacing w:after="200" w:line="360" w:lineRule="auto"/>
        <w:contextualSpacing/>
        <w:rPr>
          <w:rFonts w:ascii="Cambria" w:eastAsia="SimSun" w:hAnsi="Cambria" w:cs="Times New Roman"/>
          <w:b/>
          <w:bCs/>
          <w:i/>
          <w:lang w:eastAsia="zh-CN"/>
        </w:rPr>
      </w:pPr>
    </w:p>
    <w:p w14:paraId="184F7A71" w14:textId="77777777" w:rsidR="00B60914" w:rsidRPr="00B60914" w:rsidRDefault="00B60914" w:rsidP="0009618B">
      <w:pPr>
        <w:pStyle w:val="Heading3"/>
      </w:pPr>
      <w:bookmarkStart w:id="56" w:name="_Toc447266091"/>
      <w:bookmarkStart w:id="57" w:name="_Ref457205666"/>
      <w:bookmarkStart w:id="58" w:name="_Toc468285931"/>
      <w:r w:rsidRPr="00B60914">
        <w:t>Positive psychology and PsyCap interventions</w:t>
      </w:r>
      <w:bookmarkEnd w:id="56"/>
      <w:bookmarkEnd w:id="57"/>
      <w:bookmarkEnd w:id="58"/>
    </w:p>
    <w:p w14:paraId="3C190191" w14:textId="77777777" w:rsidR="00B60914" w:rsidRPr="00B60914" w:rsidRDefault="00B60914" w:rsidP="00B60914">
      <w:pPr>
        <w:spacing w:after="200" w:line="360" w:lineRule="auto"/>
        <w:contextualSpacing/>
        <w:rPr>
          <w:rFonts w:ascii="Calibri" w:eastAsia="SimSun" w:hAnsi="Calibri" w:cs="Arial"/>
          <w:lang w:eastAsia="zh-CN"/>
        </w:rPr>
      </w:pPr>
    </w:p>
    <w:p w14:paraId="265DDA37" w14:textId="25247352"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 xml:space="preserve">A more specific area of strengths-based training focuses on improving one or more of the four elements of a concept termed Psychological Capital (PsyCap; Luthans, 2002; Luthans, Avolio, Avey &amp; Norman, 2007). These four elements have been positively associated with work engagement, </w:t>
      </w:r>
      <w:r w:rsidR="001D6140">
        <w:rPr>
          <w:rFonts w:ascii="Calibri" w:eastAsia="SimSun" w:hAnsi="Calibri" w:cs="Arial"/>
          <w:lang w:eastAsia="zh-CN"/>
        </w:rPr>
        <w:t>well-being</w:t>
      </w:r>
      <w:r w:rsidRPr="00B60914">
        <w:rPr>
          <w:rFonts w:ascii="Calibri" w:eastAsia="SimSun" w:hAnsi="Calibri" w:cs="Arial"/>
          <w:lang w:eastAsia="zh-CN"/>
        </w:rPr>
        <w:t xml:space="preserve"> and performance (for a meta-analysis see Avey, Reichard, Luthans &amp; Mhatre, 2011) and, like strengths, are also termed personal resources. Indeed, they have been widely accepted as personal resources within the JD-R model (Bakker &amp; Demerouti, 2007). PsyCap consists of: self-efficacy (the confidence to get involved in challenging tasks); optimism (the belief in one’s ability to achieve current and future goals); hope (being able to persevere towards goals); and resilience (being able to bounce back from adversity). Furthermore, Luthans et al. (2007) consider these resources to be states, as opposed to traits, and therefore able to be developed, making them ideal foci for interventions (Luthans et al., 2007). </w:t>
      </w:r>
    </w:p>
    <w:p w14:paraId="79892ED8" w14:textId="77777777" w:rsidR="00B60914" w:rsidRPr="00B60914" w:rsidRDefault="00B60914" w:rsidP="00B60914">
      <w:pPr>
        <w:spacing w:after="200" w:line="360" w:lineRule="auto"/>
        <w:contextualSpacing/>
        <w:rPr>
          <w:rFonts w:ascii="Calibri" w:eastAsia="SimSun" w:hAnsi="Calibri" w:cs="Arial"/>
          <w:lang w:eastAsia="zh-CN"/>
        </w:rPr>
      </w:pPr>
    </w:p>
    <w:p w14:paraId="1ED6FD85" w14:textId="2B195170"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lastRenderedPageBreak/>
        <w:t>Several studies have demonstrated the success of interventions aimed at increasing PsyCap (e.g. Luthans,</w:t>
      </w:r>
      <w:r w:rsidR="00441EBE">
        <w:rPr>
          <w:rFonts w:ascii="Calibri" w:eastAsia="SimSun" w:hAnsi="Calibri" w:cs="Arial"/>
          <w:lang w:eastAsia="zh-CN"/>
        </w:rPr>
        <w:t xml:space="preserve"> Avey,</w:t>
      </w:r>
      <w:r w:rsidRPr="00B60914">
        <w:rPr>
          <w:rFonts w:ascii="Calibri" w:eastAsia="SimSun" w:hAnsi="Calibri" w:cs="Arial"/>
          <w:lang w:eastAsia="zh-CN"/>
        </w:rPr>
        <w:t xml:space="preserve"> Avolio, Norman &amp; Combs, 2006; Demerouti, </w:t>
      </w:r>
      <w:r w:rsidR="00D57101">
        <w:rPr>
          <w:rFonts w:ascii="Calibri" w:eastAsia="SimSun" w:hAnsi="Calibri" w:cs="Arial"/>
          <w:lang w:eastAsia="zh-CN"/>
        </w:rPr>
        <w:t xml:space="preserve">van </w:t>
      </w:r>
      <w:r w:rsidRPr="00B60914">
        <w:rPr>
          <w:rFonts w:ascii="Calibri" w:eastAsia="SimSun" w:hAnsi="Calibri" w:cs="Arial"/>
          <w:lang w:eastAsia="zh-CN"/>
        </w:rPr>
        <w:t>Eeuwijk, Sne</w:t>
      </w:r>
      <w:r w:rsidR="00D57101">
        <w:rPr>
          <w:rFonts w:ascii="Calibri" w:eastAsia="SimSun" w:hAnsi="Calibri" w:cs="Arial"/>
          <w:lang w:eastAsia="zh-CN"/>
        </w:rPr>
        <w:t>lder &amp; Wild, 2011</w:t>
      </w:r>
      <w:r w:rsidRPr="00B60914">
        <w:rPr>
          <w:rFonts w:ascii="Calibri" w:eastAsia="SimSun" w:hAnsi="Calibri" w:cs="Arial"/>
          <w:lang w:eastAsia="zh-CN"/>
        </w:rPr>
        <w:t>; Ouweneel</w:t>
      </w:r>
      <w:r w:rsidR="00105FAA">
        <w:rPr>
          <w:rFonts w:ascii="Calibri" w:eastAsia="SimSun" w:hAnsi="Calibri" w:cs="Arial"/>
          <w:lang w:eastAsia="zh-CN"/>
        </w:rPr>
        <w:t xml:space="preserve"> et al.</w:t>
      </w:r>
      <w:r w:rsidRPr="00B60914">
        <w:rPr>
          <w:rFonts w:ascii="Calibri" w:eastAsia="SimSun" w:hAnsi="Calibri" w:cs="Arial"/>
          <w:lang w:eastAsia="zh-CN"/>
        </w:rPr>
        <w:t>, 2013). Luthans et al. (2006) also confirmed the synergistic effect of the PsyCap components, with all four of them predicting performance and satisfaction over and above any one of them individually. For example, a random-assignment, pre-test, post-test experimental design tested an intervention to increase all four PsyCap components in participant samples including management students and practising managers (Luthans et al., 2006). The intervention consisted of various tasks: hope was developed through the identification of personal goals and exploring ways in which these could be met and obstacles overcome; both hope and optimism were developed through a task involving imagining a successful experience, purportedly eliciting positive emotions and triggering the motivational processes associated with broaden-and-build-theory (Fredrickson, 1998); self-efficacy was encouraged through training techniques identified by Bandura (2001), such as task mastery, modelling, and positive feedback which he proposed elicits self-efficacy and confidence beliefs and feeds into both optimism an</w:t>
      </w:r>
      <w:r w:rsidR="00341CB1">
        <w:rPr>
          <w:rFonts w:ascii="Calibri" w:eastAsia="SimSun" w:hAnsi="Calibri" w:cs="Arial"/>
          <w:lang w:eastAsia="zh-CN"/>
        </w:rPr>
        <w:t>d hope (Social-Cognitive theory;</w:t>
      </w:r>
      <w:r w:rsidRPr="00B60914">
        <w:rPr>
          <w:rFonts w:ascii="Calibri" w:eastAsia="SimSun" w:hAnsi="Calibri" w:cs="Arial"/>
          <w:lang w:eastAsia="zh-CN"/>
        </w:rPr>
        <w:t xml:space="preserve"> Bandura, 2001); and resiliency was tackled through cognitive strategies aimed at positively reframing negative attributions of setbacks at work / university, with emphasis on practicing these techniques in daily life. The results revealed that the PsyCap of the experimental groups increased significantly (3%) in comparison to the control groups. Effect sizes were not reported, however, a utility analysis indicated that even this small increase could potentially have </w:t>
      </w:r>
      <w:r w:rsidR="00341CB1">
        <w:rPr>
          <w:rFonts w:ascii="Calibri" w:eastAsia="SimSun" w:hAnsi="Calibri" w:cs="Arial"/>
          <w:lang w:eastAsia="zh-CN"/>
        </w:rPr>
        <w:t>a large long term cost saving for</w:t>
      </w:r>
      <w:r w:rsidRPr="00B60914">
        <w:rPr>
          <w:rFonts w:ascii="Calibri" w:eastAsia="SimSun" w:hAnsi="Calibri" w:cs="Arial"/>
          <w:lang w:eastAsia="zh-CN"/>
        </w:rPr>
        <w:t xml:space="preserve"> organisations (Luthans </w:t>
      </w:r>
      <w:r w:rsidR="00B64DD5">
        <w:rPr>
          <w:rFonts w:ascii="Calibri" w:eastAsia="SimSun" w:hAnsi="Calibri" w:cs="Arial"/>
          <w:lang w:eastAsia="zh-CN"/>
        </w:rPr>
        <w:t>et al.,</w:t>
      </w:r>
      <w:r w:rsidRPr="00B60914">
        <w:rPr>
          <w:rFonts w:ascii="Calibri" w:eastAsia="SimSun" w:hAnsi="Calibri" w:cs="Arial"/>
          <w:lang w:eastAsia="zh-CN"/>
        </w:rPr>
        <w:t xml:space="preserve"> 2006). A later online version of this intervention with employees across industrial settings also demonstrated positive results (Luthans, Avey &amp; Patera, 2008). These seminal intervention studies suggest the importance of PsyCap for positive individual and organisational outcomes, including job attitudes such as job satisfaction. However, they did not measure need fulfilment or work engagement, preventing inferences about the effect of PsyCap interventions on these outcomes from being formed.</w:t>
      </w:r>
    </w:p>
    <w:p w14:paraId="38C8A445" w14:textId="77777777" w:rsidR="00B60914" w:rsidRPr="00B60914" w:rsidRDefault="00B60914" w:rsidP="00B60914">
      <w:pPr>
        <w:spacing w:after="200" w:line="360" w:lineRule="auto"/>
        <w:contextualSpacing/>
        <w:rPr>
          <w:rFonts w:ascii="Calibri" w:eastAsia="SimSun" w:hAnsi="Calibri" w:cs="Arial"/>
          <w:lang w:eastAsia="zh-CN"/>
        </w:rPr>
      </w:pPr>
    </w:p>
    <w:p w14:paraId="0452B373" w14:textId="4C6C8C6B"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Later studies, however, have begun to measure work engagement in relation to PsyCap interventions. For instance, Ouweneel et al. (2013) measured work engagement in relation to one PsyCap component, self-efficacy, via an online self-enhancement intervention study. Following the principles of positive psychology and previous studies (e.g. Seligman et al., 2005), participants in the self-enhancement group completed 25 tasks over a period of 8 weeks; 10 aimed at increasing positive experiences at work, 10 focused on goal setting, and 5 on building resources. In comparison to a control group, participants in the self-enhancement group showed a greater increase in positive emotions (small effect) and self-effica</w:t>
      </w:r>
      <w:r w:rsidR="00341CB1">
        <w:rPr>
          <w:rFonts w:ascii="Calibri" w:eastAsia="SimSun" w:hAnsi="Calibri" w:cs="Arial"/>
          <w:lang w:eastAsia="zh-CN"/>
        </w:rPr>
        <w:t>cy (moderate effect) over time.</w:t>
      </w:r>
      <w:r w:rsidRPr="00B60914">
        <w:rPr>
          <w:rFonts w:ascii="Calibri" w:eastAsia="SimSun" w:hAnsi="Calibri" w:cs="Arial"/>
          <w:lang w:eastAsia="zh-CN"/>
        </w:rPr>
        <w:t xml:space="preserve"> However, only those who were </w:t>
      </w:r>
      <w:r w:rsidRPr="00B60914">
        <w:rPr>
          <w:rFonts w:ascii="Calibri" w:eastAsia="SimSun" w:hAnsi="Calibri" w:cs="Arial"/>
          <w:lang w:eastAsia="zh-CN"/>
        </w:rPr>
        <w:lastRenderedPageBreak/>
        <w:t xml:space="preserve">initially low in work engagement in the self-enhancement group showed a greater increase than those in the control group. These results suggest that those who had the most to gain benefitted most from the intervention, however, it is not known whether a particular aspect of the intervention was most effective or whether all three aspects worked synergistically to create the effects observed. In addition, the attrition rate was high (82-83%), with those most likely to benefit from the intervention most likely to dropout. Organisations could try engaging those who have the most to gain by encouraging supervisor and colleague support, a factor which was not measured or encouraged in this online study but which has been identified as an important predictor of engagement (e.g. Bakker, Demerouti, Hakanan &amp; Xanthopoulou, 2007).  </w:t>
      </w:r>
    </w:p>
    <w:p w14:paraId="73BB0815" w14:textId="77777777" w:rsidR="00B60914" w:rsidRPr="00B60914" w:rsidRDefault="00B60914" w:rsidP="00B60914">
      <w:pPr>
        <w:spacing w:after="200" w:line="360" w:lineRule="auto"/>
        <w:contextualSpacing/>
        <w:rPr>
          <w:rFonts w:ascii="Calibri" w:eastAsia="SimSun" w:hAnsi="Calibri" w:cs="Arial"/>
          <w:lang w:eastAsia="zh-CN"/>
        </w:rPr>
      </w:pPr>
    </w:p>
    <w:p w14:paraId="69320E81" w14:textId="282E193C" w:rsidR="00B60914" w:rsidRPr="00B60914" w:rsidRDefault="00341CB1" w:rsidP="00B60914">
      <w:pPr>
        <w:spacing w:after="200" w:line="360" w:lineRule="auto"/>
        <w:contextualSpacing/>
        <w:rPr>
          <w:rFonts w:ascii="Calibri" w:eastAsia="SimSun" w:hAnsi="Calibri" w:cs="Arial"/>
          <w:lang w:eastAsia="zh-CN"/>
        </w:rPr>
      </w:pPr>
      <w:r>
        <w:rPr>
          <w:rFonts w:ascii="Calibri" w:eastAsia="SimSun" w:hAnsi="Calibri" w:cs="Arial"/>
          <w:lang w:eastAsia="zh-CN"/>
        </w:rPr>
        <w:t>Most recently, a study in a health i</w:t>
      </w:r>
      <w:r w:rsidR="00B60914" w:rsidRPr="00B60914">
        <w:rPr>
          <w:rFonts w:ascii="Calibri" w:eastAsia="SimSun" w:hAnsi="Calibri" w:cs="Arial"/>
          <w:lang w:eastAsia="zh-CN"/>
        </w:rPr>
        <w:t xml:space="preserve">nsurance company in The Netherlands blended face-to-face coaching in the four elements of PsyCap with online methods in an attempt to maximise positive effects (Ijntema et al., 2013). This study also investigated whether employees’ sense of competence, autonomy and relatedness changed in association with the intervention, given the relationship between SDT and work engagement theory (e.g. Bakker &amp; Demerouti, 2007). Initial results are promising and suggest that these blended intervention methods may indeed increase work engagement, hope, resilience, efficacy and optimism in employees. Furthermore, these </w:t>
      </w:r>
      <w:r>
        <w:rPr>
          <w:rFonts w:ascii="Calibri" w:eastAsia="SimSun" w:hAnsi="Calibri" w:cs="Arial"/>
          <w:lang w:eastAsia="zh-CN"/>
        </w:rPr>
        <w:t>effects were still observed at three</w:t>
      </w:r>
      <w:r w:rsidR="00B60914" w:rsidRPr="00B60914">
        <w:rPr>
          <w:rFonts w:ascii="Calibri" w:eastAsia="SimSun" w:hAnsi="Calibri" w:cs="Arial"/>
          <w:lang w:eastAsia="zh-CN"/>
        </w:rPr>
        <w:t xml:space="preserve"> months, although they were smaller in size (Ijntema et al., </w:t>
      </w:r>
      <w:r w:rsidR="00B60914" w:rsidRPr="00B60914">
        <w:rPr>
          <w:rFonts w:ascii="Calibri" w:eastAsia="SimSun" w:hAnsi="Calibri" w:cs="Arial"/>
          <w:iCs/>
          <w:lang w:eastAsia="zh-CN"/>
        </w:rPr>
        <w:t>2013</w:t>
      </w:r>
      <w:r w:rsidR="00B60914" w:rsidRPr="00B60914">
        <w:rPr>
          <w:rFonts w:ascii="Calibri" w:eastAsia="SimSun" w:hAnsi="Calibri" w:cs="Arial"/>
          <w:lang w:eastAsia="zh-CN"/>
        </w:rPr>
        <w:t xml:space="preserve">). An increase in competence was also observed following the intervention, </w:t>
      </w:r>
      <w:r w:rsidR="00B60914" w:rsidRPr="00B60914">
        <w:rPr>
          <w:rFonts w:ascii="Calibri" w:eastAsia="SimSun" w:hAnsi="Calibri" w:cs="Arial"/>
          <w:bCs/>
          <w:lang w:eastAsia="zh-CN"/>
        </w:rPr>
        <w:t>however, an increase in autonomy and relatedness was not observed.</w:t>
      </w:r>
      <w:r w:rsidR="00B60914" w:rsidRPr="00B60914">
        <w:rPr>
          <w:rFonts w:ascii="Calibri" w:eastAsia="SimSun" w:hAnsi="Calibri" w:cs="Arial"/>
          <w:color w:val="FF0000"/>
          <w:lang w:eastAsia="zh-CN"/>
        </w:rPr>
        <w:t xml:space="preserve"> </w:t>
      </w:r>
      <w:r w:rsidR="00B60914" w:rsidRPr="00B60914">
        <w:rPr>
          <w:rFonts w:ascii="Calibri" w:eastAsia="SimSun" w:hAnsi="Calibri" w:cs="Arial"/>
          <w:lang w:eastAsia="zh-CN"/>
        </w:rPr>
        <w:t>Further research is needed to investigate how these effects may be maintained long term. In addition, preliminary results suggest that investigation into the quality of the employee – coach relationship</w:t>
      </w:r>
      <w:r>
        <w:rPr>
          <w:rFonts w:ascii="Calibri" w:eastAsia="SimSun" w:hAnsi="Calibri" w:cs="Arial"/>
          <w:lang w:eastAsia="zh-CN"/>
        </w:rPr>
        <w:t>,</w:t>
      </w:r>
      <w:r w:rsidR="00B60914" w:rsidRPr="00B60914">
        <w:rPr>
          <w:rFonts w:ascii="Calibri" w:eastAsia="SimSun" w:hAnsi="Calibri" w:cs="Arial"/>
          <w:lang w:eastAsia="zh-CN"/>
        </w:rPr>
        <w:t xml:space="preserve"> and the amount of effort each individual expends on an intervention, could inform the theory and design of interventions. </w:t>
      </w:r>
    </w:p>
    <w:p w14:paraId="406354E3" w14:textId="77777777" w:rsidR="00B60914" w:rsidRPr="00B60914" w:rsidRDefault="00B60914" w:rsidP="00B60914">
      <w:pPr>
        <w:spacing w:after="200" w:line="360" w:lineRule="auto"/>
        <w:contextualSpacing/>
        <w:rPr>
          <w:rFonts w:ascii="Calibri" w:eastAsia="SimSun" w:hAnsi="Calibri" w:cs="Arial"/>
          <w:lang w:eastAsia="zh-CN"/>
        </w:rPr>
      </w:pPr>
    </w:p>
    <w:p w14:paraId="3DBC6321" w14:textId="1C46357C"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Despite these promising results, PsyCap has received criticism from researchers concerned by the lack of a synthesised critical analysis surrounding its conceptualisation and operationalization (Dawkins, Mar</w:t>
      </w:r>
      <w:r w:rsidR="00341CB1">
        <w:rPr>
          <w:rFonts w:ascii="Calibri" w:eastAsia="SimSun" w:hAnsi="Calibri" w:cs="Arial"/>
          <w:lang w:eastAsia="zh-CN"/>
        </w:rPr>
        <w:t xml:space="preserve">tin, Scott &amp; Sanderson, 2013). </w:t>
      </w:r>
      <w:r w:rsidRPr="00B60914">
        <w:rPr>
          <w:rFonts w:ascii="Calibri" w:eastAsia="SimSun" w:hAnsi="Calibri" w:cs="Arial"/>
          <w:lang w:eastAsia="zh-CN"/>
        </w:rPr>
        <w:t xml:space="preserve">One argument is that the collective acceptance of a concept, and strong reliance on </w:t>
      </w:r>
      <w:r w:rsidRPr="00616F47">
        <w:rPr>
          <w:rFonts w:ascii="Calibri" w:eastAsia="SimSun" w:hAnsi="Calibri" w:cs="Arial"/>
          <w:shd w:val="clear" w:color="auto" w:fill="FFFFFF" w:themeFill="background1"/>
          <w:lang w:eastAsia="zh-CN"/>
        </w:rPr>
        <w:t>research from a concept’s founding research team, can result in alternative approaches being overlooked (Hackman, 2009). Another</w:t>
      </w:r>
      <w:r w:rsidRPr="00B60914">
        <w:rPr>
          <w:rFonts w:ascii="Calibri" w:eastAsia="SimSun" w:hAnsi="Calibri" w:cs="Arial"/>
          <w:lang w:eastAsia="zh-CN"/>
        </w:rPr>
        <w:t xml:space="preserve"> argument centres on the state-like nature of the PsyCap components, which has received limited empirical support in the literature, and the nature of their relationship with both states and traits (Dawkins et al., 2013). Dawkins et al. also argue that other personal resources could be included in the concept, such as creativity, wisdom, gratitude and forgiveness. These resemble the strengths identified by Seligman et al. (2005) and could be important additional targets for interventions. Furthermore, although a specifically </w:t>
      </w:r>
      <w:r w:rsidRPr="00B60914">
        <w:rPr>
          <w:rFonts w:ascii="Calibri" w:eastAsia="SimSun" w:hAnsi="Calibri" w:cs="Arial"/>
          <w:lang w:eastAsia="zh-CN"/>
        </w:rPr>
        <w:lastRenderedPageBreak/>
        <w:t xml:space="preserve">designed PsyCap Questionnaire exists (PCQ; Luthans et al., 2007), in practice, a multitude of scales have been used to measure each of the PsyCap components (Dawkins </w:t>
      </w:r>
      <w:r w:rsidR="00B64DD5">
        <w:rPr>
          <w:rFonts w:ascii="Calibri" w:eastAsia="SimSun" w:hAnsi="Calibri" w:cs="Arial"/>
          <w:lang w:eastAsia="zh-CN"/>
        </w:rPr>
        <w:t>et al.,</w:t>
      </w:r>
      <w:r w:rsidRPr="00B60914">
        <w:rPr>
          <w:rFonts w:ascii="Calibri" w:eastAsia="SimSun" w:hAnsi="Calibri" w:cs="Arial"/>
          <w:lang w:eastAsia="zh-CN"/>
        </w:rPr>
        <w:t xml:space="preserve"> 2013), adding to the conceptual ambiguity and making it difficult to generalise findings across studies. The dubious construct validity of the PCQ has added to this confusion (Little, Gooty &amp; Nelson, 2007)</w:t>
      </w:r>
      <w:r w:rsidR="00F87BBF">
        <w:rPr>
          <w:rFonts w:ascii="Calibri" w:eastAsia="SimSun" w:hAnsi="Calibri" w:cs="Arial"/>
          <w:lang w:eastAsia="zh-CN"/>
        </w:rPr>
        <w:t>,</w:t>
      </w:r>
      <w:r w:rsidRPr="00B60914">
        <w:rPr>
          <w:rFonts w:ascii="Calibri" w:eastAsia="SimSun" w:hAnsi="Calibri" w:cs="Arial"/>
          <w:lang w:eastAsia="zh-CN"/>
        </w:rPr>
        <w:t xml:space="preserve"> and thus Dawkins et al. propose that longitudinal studies are much needed to thoroughly assess the reliability and validity of the concept. Finally, Dawkins et al. suggest that profiling each component of an employee’s PsyCap may be more useful than a single composite measure as interventions could be more specifically targeted towards individuals or groups of individuals. From this discussion, it would seem that PsyCap interventions are perhaps premature, and focus should return to clarifying the conceptualisation and operationalization of the concept. Indeed, the insignificant, or complete lack of, effects on work engagement as a result of PsyCap interventions (e.g. Ouweneel, Le Blanc, Schaufeli &amp; Van Wijhe, 2012; Vuori, Toppinen-Tanner and Mutanen, 2012) may be a result of a poorly conceptualised and operationalised concept. </w:t>
      </w:r>
    </w:p>
    <w:p w14:paraId="7F33BA95" w14:textId="77777777" w:rsidR="00B60914" w:rsidRPr="00B60914" w:rsidRDefault="00B60914" w:rsidP="00B60914">
      <w:pPr>
        <w:spacing w:after="200" w:line="360" w:lineRule="auto"/>
        <w:contextualSpacing/>
        <w:rPr>
          <w:rFonts w:ascii="Calibri" w:eastAsia="SimSun" w:hAnsi="Calibri" w:cs="Arial"/>
          <w:lang w:eastAsia="zh-CN"/>
        </w:rPr>
      </w:pPr>
    </w:p>
    <w:p w14:paraId="7E89DEE9" w14:textId="77777777" w:rsidR="00B60914" w:rsidRPr="00B60914" w:rsidRDefault="00B60914" w:rsidP="0009618B">
      <w:pPr>
        <w:pStyle w:val="Heading3"/>
      </w:pPr>
      <w:bookmarkStart w:id="59" w:name="_Toc447266092"/>
      <w:bookmarkStart w:id="60" w:name="_Toc468285932"/>
      <w:r w:rsidRPr="00B60914">
        <w:t>Positive psychology and job crafting interventions</w:t>
      </w:r>
      <w:bookmarkEnd w:id="59"/>
      <w:bookmarkEnd w:id="60"/>
    </w:p>
    <w:p w14:paraId="0A39895C" w14:textId="77777777" w:rsidR="00B60914" w:rsidRPr="00B7614E" w:rsidRDefault="00B60914" w:rsidP="00B60914">
      <w:pPr>
        <w:spacing w:after="200" w:line="360" w:lineRule="auto"/>
        <w:contextualSpacing/>
        <w:rPr>
          <w:rFonts w:ascii="Calibri" w:eastAsia="SimSun" w:hAnsi="Calibri" w:cs="Arial"/>
          <w:iCs/>
          <w:lang w:eastAsia="zh-CN"/>
        </w:rPr>
      </w:pPr>
    </w:p>
    <w:p w14:paraId="5C573383" w14:textId="04676AFA"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 xml:space="preserve">Given its motivational potential, (Bakker, 2011), job crafting is likely to have a substantial role in mediating the relationships between factors driving work engagement and the experience of work engagement itself. Furthermore, Wrzesniewski and Dutton (2001) argued that the basic human needs for autonomy, competence and relatedness (SDT, Deci et al., 2001) can be satisfied through job crafting. For example, employees may actively choose tasks which they enjoy and are good at, and negotiate different job content in order to reflect this, enabling them to satisfy these three work-related needs. The positive emotions and self-efficacy beliefs elicited are proposed to stimulate the building of personal and job resources, leading to increases in PsyCap and work engagement, in accordance with the </w:t>
      </w:r>
      <w:r w:rsidR="00A43B59">
        <w:rPr>
          <w:rFonts w:ascii="Calibri" w:eastAsia="SimSun" w:hAnsi="Calibri" w:cs="Arial"/>
          <w:lang w:eastAsia="zh-CN"/>
        </w:rPr>
        <w:t>JD-R</w:t>
      </w:r>
      <w:r w:rsidRPr="00B60914">
        <w:rPr>
          <w:rFonts w:ascii="Calibri" w:eastAsia="SimSun" w:hAnsi="Calibri" w:cs="Arial"/>
          <w:lang w:eastAsia="zh-CN"/>
        </w:rPr>
        <w:t xml:space="preserve"> model (Bakker &amp; Demerouti, 2007). </w:t>
      </w:r>
    </w:p>
    <w:p w14:paraId="185FFF0F" w14:textId="77777777" w:rsidR="00B60914" w:rsidRPr="00B60914" w:rsidRDefault="00B60914" w:rsidP="00B60914">
      <w:pPr>
        <w:spacing w:after="200" w:line="360" w:lineRule="auto"/>
        <w:contextualSpacing/>
        <w:rPr>
          <w:rFonts w:ascii="Calibri" w:eastAsia="SimSun" w:hAnsi="Calibri" w:cs="Arial"/>
          <w:lang w:eastAsia="zh-CN"/>
        </w:rPr>
      </w:pPr>
    </w:p>
    <w:p w14:paraId="35C8AD74" w14:textId="09EA831C" w:rsidR="00B60914" w:rsidRPr="00B60914" w:rsidRDefault="00B60914" w:rsidP="00B60914">
      <w:pPr>
        <w:spacing w:after="200" w:line="360" w:lineRule="auto"/>
        <w:contextualSpacing/>
        <w:rPr>
          <w:rFonts w:ascii="Calibri" w:eastAsia="SimSun" w:hAnsi="Calibri" w:cs="Arial"/>
          <w:lang w:eastAsia="zh-CN"/>
        </w:rPr>
      </w:pPr>
      <w:r w:rsidRPr="00B60914">
        <w:rPr>
          <w:rFonts w:ascii="Calibri" w:eastAsia="SimSun" w:hAnsi="Calibri" w:cs="Arial"/>
          <w:lang w:eastAsia="zh-CN"/>
        </w:rPr>
        <w:t>Organisations can encourage job crafting through providing training. For example, Van den Heuvel, Demerouti and Peeters (2012) tested an intervention in police officers in which employees were instructed to develop their own Personal Crafting Plan (PCP) by identifying specific tasks th</w:t>
      </w:r>
      <w:r w:rsidR="00F87BBF">
        <w:rPr>
          <w:rFonts w:ascii="Calibri" w:eastAsia="SimSun" w:hAnsi="Calibri" w:cs="Arial"/>
          <w:lang w:eastAsia="zh-CN"/>
        </w:rPr>
        <w:t>at they had to undertake. Over four</w:t>
      </w:r>
      <w:r w:rsidRPr="00B60914">
        <w:rPr>
          <w:rFonts w:ascii="Calibri" w:eastAsia="SimSun" w:hAnsi="Calibri" w:cs="Arial"/>
          <w:lang w:eastAsia="zh-CN"/>
        </w:rPr>
        <w:t xml:space="preserve"> weeks, employees increased their job resources and challenges, and decreased their hindrance job demands, that is, those activities which they least enjoyed about their work. In particular, supervisor contact, opportunities for professional development, self-efficacy and positive affect (</w:t>
      </w:r>
      <w:r w:rsidR="001D6140">
        <w:rPr>
          <w:rFonts w:ascii="Calibri" w:eastAsia="SimSun" w:hAnsi="Calibri" w:cs="Arial"/>
          <w:lang w:eastAsia="zh-CN"/>
        </w:rPr>
        <w:t>well-being</w:t>
      </w:r>
      <w:r w:rsidRPr="00B60914">
        <w:rPr>
          <w:rFonts w:ascii="Calibri" w:eastAsia="SimSun" w:hAnsi="Calibri" w:cs="Arial"/>
          <w:lang w:eastAsia="zh-CN"/>
        </w:rPr>
        <w:t xml:space="preserve">) were increased. Although not measured in this study, it is likely that work engagement would </w:t>
      </w:r>
      <w:r w:rsidR="00F87BBF">
        <w:rPr>
          <w:rFonts w:ascii="Calibri" w:eastAsia="SimSun" w:hAnsi="Calibri" w:cs="Arial"/>
          <w:lang w:eastAsia="zh-CN"/>
        </w:rPr>
        <w:t xml:space="preserve">also </w:t>
      </w:r>
      <w:r w:rsidRPr="00B60914">
        <w:rPr>
          <w:rFonts w:ascii="Calibri" w:eastAsia="SimSun" w:hAnsi="Calibri" w:cs="Arial"/>
          <w:lang w:eastAsia="zh-CN"/>
        </w:rPr>
        <w:t xml:space="preserve">have increased, mediated by increases in personal resources and the </w:t>
      </w:r>
      <w:r w:rsidRPr="00B60914">
        <w:rPr>
          <w:rFonts w:ascii="Calibri" w:eastAsia="SimSun" w:hAnsi="Calibri" w:cs="Arial"/>
          <w:lang w:eastAsia="zh-CN"/>
        </w:rPr>
        <w:lastRenderedPageBreak/>
        <w:t xml:space="preserve">intrinsic motivational potential of job crafting for satisfying the three work-related needs. This study was initially published in Dutch (the English version is in press); currently, there are no published studies based in the UK which have evaluated an intervention designed to increase work engagement through encouraging job crafting. However, it is possible that strengths-based and PsyCap interventions, such as those described in the previous section, may indirectly stimulate job crafting, in accordance with broaden-and-build theory (Fredrickson, 2001). Further research is needed to investigate this possibility.       </w:t>
      </w:r>
    </w:p>
    <w:p w14:paraId="6EB30E29" w14:textId="77777777" w:rsidR="00B60914" w:rsidRPr="00B60914" w:rsidRDefault="00B60914" w:rsidP="00B60914">
      <w:pPr>
        <w:spacing w:after="200" w:line="360" w:lineRule="auto"/>
        <w:contextualSpacing/>
        <w:rPr>
          <w:rFonts w:ascii="Calibri" w:eastAsia="SimSun" w:hAnsi="Calibri" w:cs="Arial"/>
          <w:lang w:eastAsia="zh-CN"/>
        </w:rPr>
      </w:pPr>
    </w:p>
    <w:p w14:paraId="66331E9F" w14:textId="77777777" w:rsidR="00B60914" w:rsidRPr="00B60914" w:rsidRDefault="00B60914" w:rsidP="0009618B">
      <w:pPr>
        <w:pStyle w:val="Heading3"/>
      </w:pPr>
      <w:bookmarkStart w:id="61" w:name="_Toc447266093"/>
      <w:bookmarkStart w:id="62" w:name="_Toc468285933"/>
      <w:r w:rsidRPr="00B60914">
        <w:t>Positive psychology and health promotion interventions</w:t>
      </w:r>
      <w:bookmarkEnd w:id="61"/>
      <w:bookmarkEnd w:id="62"/>
      <w:r w:rsidRPr="00B60914">
        <w:t xml:space="preserve"> </w:t>
      </w:r>
    </w:p>
    <w:p w14:paraId="522AB0F9" w14:textId="77777777" w:rsidR="00B60914" w:rsidRPr="00B60914" w:rsidRDefault="00B60914" w:rsidP="00B60914">
      <w:pPr>
        <w:spacing w:before="200" w:line="360" w:lineRule="auto"/>
        <w:contextualSpacing/>
        <w:rPr>
          <w:rFonts w:ascii="Calibri" w:eastAsia="Calibri" w:hAnsi="Calibri" w:cs="Calibri"/>
          <w:b/>
        </w:rPr>
      </w:pPr>
    </w:p>
    <w:p w14:paraId="4AD419EC" w14:textId="5FA77C09"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Novel research emerging from The Netherlands describes how worksite health promotion (WHP) interventions have been applied to organisational settings in an attempt to reduce high levels of absenteeism and presenteeism (employees turning up for work but being less pr</w:t>
      </w:r>
      <w:r w:rsidR="00F87BBF">
        <w:rPr>
          <w:rFonts w:ascii="Calibri" w:eastAsia="Calibri" w:hAnsi="Calibri" w:cs="Calibri"/>
        </w:rPr>
        <w:t>oductive due to health problems;</w:t>
      </w:r>
      <w:r w:rsidRPr="00B60914">
        <w:rPr>
          <w:rFonts w:ascii="Calibri" w:eastAsia="Calibri" w:hAnsi="Calibri" w:cs="Calibri"/>
        </w:rPr>
        <w:t xml:space="preserve"> Coffeng</w:t>
      </w:r>
      <w:r w:rsidR="00C93652">
        <w:rPr>
          <w:rFonts w:ascii="Calibri" w:eastAsia="Calibri" w:hAnsi="Calibri" w:cs="Calibri"/>
        </w:rPr>
        <w:t xml:space="preserve"> et al.,</w:t>
      </w:r>
      <w:r w:rsidRPr="00B60914">
        <w:rPr>
          <w:rFonts w:ascii="Calibri" w:eastAsia="Calibri" w:hAnsi="Calibri" w:cs="Calibri"/>
        </w:rPr>
        <w:t xml:space="preserve"> 2014) and promote positive outcomes such as work engagement, work-related </w:t>
      </w:r>
      <w:r w:rsidR="001D6140">
        <w:rPr>
          <w:rFonts w:ascii="Calibri" w:eastAsia="Calibri" w:hAnsi="Calibri" w:cs="Calibri"/>
        </w:rPr>
        <w:t>well-being</w:t>
      </w:r>
      <w:r w:rsidRPr="00B60914">
        <w:rPr>
          <w:rFonts w:ascii="Calibri" w:eastAsia="Calibri" w:hAnsi="Calibri" w:cs="Calibri"/>
        </w:rPr>
        <w:t>, and employee performance and productivity (e.g. Strijk, Proper, van Mechelen &amp; van der Beek, 2013; van Berkel, Boot, Proper, Bongers &amp; Van der Beek, 2014).</w:t>
      </w:r>
      <w:r w:rsidR="00F87BBF">
        <w:rPr>
          <w:rFonts w:ascii="Calibri" w:eastAsia="Calibri" w:hAnsi="Calibri" w:cs="Calibri"/>
        </w:rPr>
        <w:t xml:space="preserve"> </w:t>
      </w:r>
      <w:r w:rsidRPr="00B60914">
        <w:rPr>
          <w:rFonts w:ascii="Calibri" w:eastAsia="Calibri" w:hAnsi="Calibri" w:cs="Calibri"/>
        </w:rPr>
        <w:t>Indeed, several meta-analyses report positive associations between WHP interventions, absenteeism and presenteeism, and general lifestyle behaviours such as physical activity and nutrition, supporting the use of such interventions in organisations (e.g. Conn, Hafdahl, Co</w:t>
      </w:r>
      <w:r w:rsidR="00441EBE">
        <w:rPr>
          <w:rFonts w:ascii="Calibri" w:eastAsia="Calibri" w:hAnsi="Calibri" w:cs="Calibri"/>
        </w:rPr>
        <w:t>oper, Brown &amp; Lusk, 2009; Kuoppa</w:t>
      </w:r>
      <w:r w:rsidRPr="00B60914">
        <w:rPr>
          <w:rFonts w:ascii="Calibri" w:eastAsia="Calibri" w:hAnsi="Calibri" w:cs="Calibri"/>
        </w:rPr>
        <w:t xml:space="preserve">la, </w:t>
      </w:r>
      <w:r w:rsidR="00441EBE" w:rsidRPr="00C53B72">
        <w:rPr>
          <w:rFonts w:cs="Times New Roman"/>
          <w:lang w:eastAsia="en-GB"/>
        </w:rPr>
        <w:t>Lamminpää</w:t>
      </w:r>
      <w:r w:rsidRPr="00B60914">
        <w:rPr>
          <w:rFonts w:ascii="Calibri" w:eastAsia="Calibri" w:hAnsi="Calibri" w:cs="Calibri"/>
        </w:rPr>
        <w:t xml:space="preserve"> &amp; Husman, 2008). A</w:t>
      </w:r>
      <w:r w:rsidR="004E1C30">
        <w:rPr>
          <w:rFonts w:ascii="Calibri" w:eastAsia="Calibri" w:hAnsi="Calibri" w:cs="Calibri"/>
        </w:rPr>
        <w:t>t</w:t>
      </w:r>
      <w:r w:rsidRPr="00B60914">
        <w:rPr>
          <w:rFonts w:ascii="Calibri" w:eastAsia="Calibri" w:hAnsi="Calibri" w:cs="Calibri"/>
        </w:rPr>
        <w:t xml:space="preserve"> least one meta-analysis has also noted positive effects of interventions on job stress, obesity, and smokin</w:t>
      </w:r>
      <w:r w:rsidR="00F87BBF">
        <w:rPr>
          <w:rFonts w:ascii="Calibri" w:eastAsia="Calibri" w:hAnsi="Calibri" w:cs="Calibri"/>
        </w:rPr>
        <w:t>g cessation (Rongen, Robroeck, V</w:t>
      </w:r>
      <w:r w:rsidRPr="00B60914">
        <w:rPr>
          <w:rFonts w:ascii="Calibri" w:eastAsia="Calibri" w:hAnsi="Calibri" w:cs="Calibri"/>
        </w:rPr>
        <w:t>an Lenthe &amp; Burdorf, 2013), and another suggested that programmes specifically addressing presenteeism should be directed at organisational leadership, health risk screening and a sup</w:t>
      </w:r>
      <w:r w:rsidR="00D64ECC">
        <w:rPr>
          <w:rFonts w:ascii="Calibri" w:eastAsia="Calibri" w:hAnsi="Calibri" w:cs="Calibri"/>
        </w:rPr>
        <w:t>portive workplace culture (Cance</w:t>
      </w:r>
      <w:r w:rsidRPr="00B60914">
        <w:rPr>
          <w:rFonts w:ascii="Calibri" w:eastAsia="Calibri" w:hAnsi="Calibri" w:cs="Calibri"/>
        </w:rPr>
        <w:t xml:space="preserve">lliere, Cassidy, Ammendolia &amp; </w:t>
      </w:r>
      <w:r w:rsidR="00D64ECC" w:rsidRPr="00D64ECC">
        <w:rPr>
          <w:rFonts w:ascii="Calibri" w:eastAsia="Calibri" w:hAnsi="Calibri" w:cs="Calibri"/>
        </w:rPr>
        <w:t>Côté</w:t>
      </w:r>
      <w:r w:rsidRPr="00B60914">
        <w:rPr>
          <w:rFonts w:ascii="Calibri" w:eastAsia="Calibri" w:hAnsi="Calibri" w:cs="Calibri"/>
        </w:rPr>
        <w:t xml:space="preserve">, 2011). Positive results have also been observed at an organisational and societal level in terms of a reduction in the economic burden associated with absenteeism and ill health (Coffeng et al., 2014). </w:t>
      </w:r>
    </w:p>
    <w:p w14:paraId="45F347EE" w14:textId="77777777" w:rsidR="00B60914" w:rsidRPr="00B60914" w:rsidRDefault="00B60914" w:rsidP="00B60914">
      <w:pPr>
        <w:spacing w:before="200" w:line="360" w:lineRule="auto"/>
        <w:contextualSpacing/>
        <w:rPr>
          <w:rFonts w:ascii="Calibri" w:eastAsia="Calibri" w:hAnsi="Calibri" w:cs="Calibri"/>
        </w:rPr>
      </w:pPr>
    </w:p>
    <w:p w14:paraId="21A6A8C2" w14:textId="5988E518" w:rsidR="006B136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 xml:space="preserve">Despite these promising associations, WHP interventions have not revealed promising results in relation to work engagement. For example, Strijk et al. (2013) found no significant differences between control and intervention groups on work engagement, vitality, productivity or sick leave at </w:t>
      </w:r>
      <w:r w:rsidR="00F87BBF">
        <w:rPr>
          <w:rFonts w:ascii="Calibri" w:eastAsia="Calibri" w:hAnsi="Calibri" w:cs="Calibri"/>
        </w:rPr>
        <w:t>either six or twelve</w:t>
      </w:r>
      <w:r w:rsidRPr="00B60914">
        <w:rPr>
          <w:rFonts w:ascii="Calibri" w:eastAsia="Calibri" w:hAnsi="Calibri" w:cs="Calibri"/>
        </w:rPr>
        <w:t xml:space="preserve"> months. Following a mindfulness and e-coa</w:t>
      </w:r>
      <w:r w:rsidR="00F87BBF">
        <w:rPr>
          <w:rFonts w:ascii="Calibri" w:eastAsia="Calibri" w:hAnsi="Calibri" w:cs="Calibri"/>
        </w:rPr>
        <w:t>ching worksite intervention in two</w:t>
      </w:r>
      <w:r w:rsidRPr="00B60914">
        <w:rPr>
          <w:rFonts w:ascii="Calibri" w:eastAsia="Calibri" w:hAnsi="Calibri" w:cs="Calibri"/>
        </w:rPr>
        <w:t xml:space="preserve"> Dutch research institutions, Van Berkel et al. (2014) also found no significant differences between control and intervention groups in work engagement, mental health, </w:t>
      </w:r>
      <w:r w:rsidR="00F87BBF">
        <w:rPr>
          <w:rFonts w:ascii="Calibri" w:eastAsia="Calibri" w:hAnsi="Calibri" w:cs="Calibri"/>
        </w:rPr>
        <w:t>or need for recovery at either six or twelve</w:t>
      </w:r>
      <w:r w:rsidRPr="00B60914">
        <w:rPr>
          <w:rFonts w:ascii="Calibri" w:eastAsia="Calibri" w:hAnsi="Calibri" w:cs="Calibri"/>
        </w:rPr>
        <w:t xml:space="preserve"> months. They also found no significant differences between high compliance and low </w:t>
      </w:r>
      <w:r w:rsidRPr="00B60914">
        <w:rPr>
          <w:rFonts w:ascii="Calibri" w:eastAsia="Calibri" w:hAnsi="Calibri" w:cs="Calibri"/>
        </w:rPr>
        <w:lastRenderedPageBreak/>
        <w:t>compliance subgroups. Given that the effect of the mindfulness intervention was not measured immediately fo</w:t>
      </w:r>
      <w:r w:rsidR="00F87BBF">
        <w:rPr>
          <w:rFonts w:ascii="Calibri" w:eastAsia="Calibri" w:hAnsi="Calibri" w:cs="Calibri"/>
        </w:rPr>
        <w:t>llowing its implementation (at eight</w:t>
      </w:r>
      <w:r w:rsidRPr="00B60914">
        <w:rPr>
          <w:rFonts w:ascii="Calibri" w:eastAsia="Calibri" w:hAnsi="Calibri" w:cs="Calibri"/>
        </w:rPr>
        <w:t xml:space="preserve"> weeks), it is possible that positive effects may have </w:t>
      </w:r>
      <w:r w:rsidR="00F87BBF">
        <w:rPr>
          <w:rFonts w:ascii="Calibri" w:eastAsia="Calibri" w:hAnsi="Calibri" w:cs="Calibri"/>
        </w:rPr>
        <w:t>existed but had disappeared by six</w:t>
      </w:r>
      <w:r w:rsidRPr="00B60914">
        <w:rPr>
          <w:rFonts w:ascii="Calibri" w:eastAsia="Calibri" w:hAnsi="Calibri" w:cs="Calibri"/>
        </w:rPr>
        <w:t xml:space="preserve"> months. Alternatively, it is possible that subgroup sample sizes were too small to detect an effect. Perhaps also</w:t>
      </w:r>
      <w:r w:rsidR="006B1364">
        <w:rPr>
          <w:rFonts w:ascii="Calibri" w:eastAsia="Calibri" w:hAnsi="Calibri" w:cs="Calibri"/>
        </w:rPr>
        <w:t>,</w:t>
      </w:r>
      <w:r w:rsidRPr="00B60914">
        <w:rPr>
          <w:rFonts w:ascii="Calibri" w:eastAsia="Calibri" w:hAnsi="Calibri" w:cs="Calibri"/>
        </w:rPr>
        <w:t xml:space="preserve"> the mindfulness training was not intense enough or </w:t>
      </w:r>
      <w:r w:rsidR="00F87BBF">
        <w:rPr>
          <w:rFonts w:ascii="Calibri" w:eastAsia="Calibri" w:hAnsi="Calibri" w:cs="Calibri"/>
        </w:rPr>
        <w:t>prolonged</w:t>
      </w:r>
      <w:r w:rsidRPr="00B60914">
        <w:rPr>
          <w:rFonts w:ascii="Calibri" w:eastAsia="Calibri" w:hAnsi="Calibri" w:cs="Calibri"/>
        </w:rPr>
        <w:t xml:space="preserve"> enough to have an effect, and the already relatively healthy participants </w:t>
      </w:r>
      <w:r w:rsidR="00F87BBF">
        <w:rPr>
          <w:rFonts w:ascii="Calibri" w:eastAsia="Calibri" w:hAnsi="Calibri" w:cs="Calibri"/>
        </w:rPr>
        <w:t>may not have had</w:t>
      </w:r>
      <w:r w:rsidRPr="00B60914">
        <w:rPr>
          <w:rFonts w:ascii="Calibri" w:eastAsia="Calibri" w:hAnsi="Calibri" w:cs="Calibri"/>
        </w:rPr>
        <w:t xml:space="preserve"> as much to gain from the intervention as a different population might (Van Berkel et al., 2014). These factors could have led to a ceiling effect as baseline scores were high, lea</w:t>
      </w:r>
      <w:r w:rsidR="00FD4474">
        <w:rPr>
          <w:rFonts w:ascii="Calibri" w:eastAsia="Calibri" w:hAnsi="Calibri" w:cs="Calibri"/>
        </w:rPr>
        <w:t>v</w:t>
      </w:r>
      <w:r w:rsidRPr="00B60914">
        <w:rPr>
          <w:rFonts w:ascii="Calibri" w:eastAsia="Calibri" w:hAnsi="Calibri" w:cs="Calibri"/>
        </w:rPr>
        <w:t xml:space="preserve">ing little room for measuring an improvement. In addition, cross-over effects between the intervention and control groups could not be ruled out. It is also possible that increases in personal resources may have occurred, which are considered precursors to work engagement (Bakker &amp; Demerouti, 2014), but were not captured as they were not measured. </w:t>
      </w:r>
    </w:p>
    <w:p w14:paraId="1A1FCBF6" w14:textId="77777777" w:rsidR="006B1364" w:rsidRDefault="006B1364" w:rsidP="00B60914">
      <w:pPr>
        <w:spacing w:before="200" w:line="360" w:lineRule="auto"/>
        <w:contextualSpacing/>
        <w:rPr>
          <w:rFonts w:ascii="Calibri" w:eastAsia="Calibri" w:hAnsi="Calibri" w:cs="Calibri"/>
        </w:rPr>
      </w:pPr>
    </w:p>
    <w:p w14:paraId="211B3D18" w14:textId="474AECF3" w:rsidR="00B60914" w:rsidRPr="00B60914" w:rsidRDefault="00B60914" w:rsidP="00B60914">
      <w:pPr>
        <w:spacing w:before="200" w:line="360" w:lineRule="auto"/>
        <w:contextualSpacing/>
        <w:rPr>
          <w:rFonts w:ascii="Calibri" w:eastAsia="Calibri" w:hAnsi="Calibri" w:cs="Calibri"/>
        </w:rPr>
      </w:pPr>
      <w:r w:rsidRPr="00B60914">
        <w:rPr>
          <w:rFonts w:ascii="Calibri" w:eastAsia="Calibri" w:hAnsi="Calibri" w:cs="Calibri"/>
        </w:rPr>
        <w:t>A further novel trial comparing the effects of a combined social and physical environment intervention with a social environment only intervention, a physical environment only intervention, and a control group, also revealed a lack of effects with respect to work engagement, absenteeism, presenteeism</w:t>
      </w:r>
      <w:r w:rsidR="006B1364">
        <w:rPr>
          <w:rFonts w:ascii="Calibri" w:eastAsia="Calibri" w:hAnsi="Calibri" w:cs="Calibri"/>
        </w:rPr>
        <w:t>,</w:t>
      </w:r>
      <w:r w:rsidRPr="00B60914">
        <w:rPr>
          <w:rFonts w:ascii="Calibri" w:eastAsia="Calibri" w:hAnsi="Calibri" w:cs="Calibri"/>
        </w:rPr>
        <w:t xml:space="preserve"> and work performance</w:t>
      </w:r>
      <w:r w:rsidR="006B1364">
        <w:rPr>
          <w:rFonts w:ascii="Calibri" w:eastAsia="Calibri" w:hAnsi="Calibri" w:cs="Calibri"/>
        </w:rPr>
        <w:t xml:space="preserve"> (Coffeng et al., 2014).</w:t>
      </w:r>
      <w:r w:rsidRPr="00B60914">
        <w:rPr>
          <w:rFonts w:ascii="Calibri" w:eastAsia="Calibri" w:hAnsi="Calibri" w:cs="Calibri"/>
        </w:rPr>
        <w:t xml:space="preserve"> Again, however, participants were already healthy and 40% of the data was missing, both of which could have had implications for the results. Furthermore, there was low supervisor and organisational support, which can be characteristic of the failure to observe effects in intervention studies</w:t>
      </w:r>
      <w:r w:rsidR="006B1364">
        <w:rPr>
          <w:rFonts w:ascii="Calibri" w:eastAsia="Calibri" w:hAnsi="Calibri" w:cs="Calibri"/>
        </w:rPr>
        <w:t xml:space="preserve"> (Coffeng et al., 2014).</w:t>
      </w:r>
      <w:r w:rsidRPr="00B60914">
        <w:rPr>
          <w:rFonts w:ascii="Calibri" w:eastAsia="Calibri" w:hAnsi="Calibri" w:cs="Calibri"/>
        </w:rPr>
        <w:t xml:space="preserve"> </w:t>
      </w:r>
    </w:p>
    <w:p w14:paraId="2D038E12" w14:textId="77777777" w:rsidR="00B60914" w:rsidRPr="00B60914" w:rsidRDefault="00B60914" w:rsidP="00B60914">
      <w:pPr>
        <w:spacing w:before="200" w:line="360" w:lineRule="auto"/>
        <w:contextualSpacing/>
        <w:rPr>
          <w:rFonts w:ascii="Calibri" w:eastAsia="Calibri" w:hAnsi="Calibri" w:cs="Calibri"/>
        </w:rPr>
      </w:pPr>
    </w:p>
    <w:p w14:paraId="29FF8A4A" w14:textId="6237E930" w:rsidR="00F30522" w:rsidRDefault="00B60914" w:rsidP="006B1364">
      <w:pPr>
        <w:spacing w:before="200" w:line="360" w:lineRule="auto"/>
        <w:contextualSpacing/>
        <w:rPr>
          <w:rFonts w:ascii="Calibri" w:eastAsia="Calibri" w:hAnsi="Calibri" w:cs="Calibri"/>
        </w:rPr>
      </w:pPr>
      <w:r w:rsidRPr="00B60914">
        <w:rPr>
          <w:rFonts w:ascii="Calibri" w:eastAsia="Calibri" w:hAnsi="Calibri" w:cs="Calibri"/>
        </w:rPr>
        <w:t xml:space="preserve">All of the workplace health promotion studies discussed above were unable to recommend the interventions they implemented for use in organisations. However, they speculated that such programs may have positive outcomes for individuals and organisations if participants are selected based on a needs assessment, and compliance is high (e.g. Coffeng </w:t>
      </w:r>
      <w:r w:rsidR="00B64DD5">
        <w:rPr>
          <w:rFonts w:ascii="Calibri" w:eastAsia="Calibri" w:hAnsi="Calibri" w:cs="Calibri"/>
        </w:rPr>
        <w:t>et al.,</w:t>
      </w:r>
      <w:r w:rsidRPr="00B60914">
        <w:rPr>
          <w:rFonts w:ascii="Calibri" w:eastAsia="Calibri" w:hAnsi="Calibri" w:cs="Calibri"/>
        </w:rPr>
        <w:t xml:space="preserve"> 2014). Compliance could be encouraged by the whole organisation supporting and promoting the intervention, from high level managers to frontline staff. Nevertheless, gaining support and interest from organisations for interventions which have not yet demonstrated utility is likely to remain a challenge in today’s dynamic, highly competitive and economically driven environment. </w:t>
      </w:r>
    </w:p>
    <w:p w14:paraId="15F9D00D" w14:textId="77777777" w:rsidR="006B1364" w:rsidRDefault="006B1364" w:rsidP="006B1364">
      <w:pPr>
        <w:spacing w:before="200" w:line="360" w:lineRule="auto"/>
        <w:contextualSpacing/>
        <w:rPr>
          <w:rFonts w:ascii="Calibri" w:eastAsia="Calibri" w:hAnsi="Calibri" w:cs="Calibri"/>
        </w:rPr>
      </w:pPr>
    </w:p>
    <w:p w14:paraId="21FB98F9" w14:textId="77777777" w:rsidR="00B60914" w:rsidRPr="00B60914" w:rsidRDefault="00B60914" w:rsidP="0009618B">
      <w:pPr>
        <w:pStyle w:val="Heading3"/>
      </w:pPr>
      <w:bookmarkStart w:id="63" w:name="_Toc447266094"/>
      <w:bookmarkStart w:id="64" w:name="_Toc468285934"/>
      <w:r w:rsidRPr="00B60914">
        <w:t>Section conclusion</w:t>
      </w:r>
      <w:bookmarkEnd w:id="63"/>
      <w:bookmarkEnd w:id="64"/>
    </w:p>
    <w:p w14:paraId="4C2848E5" w14:textId="77777777" w:rsidR="00B60914" w:rsidRPr="00B60914" w:rsidRDefault="00B60914" w:rsidP="00B60914">
      <w:pPr>
        <w:spacing w:before="200" w:line="360" w:lineRule="auto"/>
        <w:contextualSpacing/>
        <w:rPr>
          <w:rFonts w:ascii="Calibri" w:eastAsia="Calibri" w:hAnsi="Calibri" w:cs="Arial"/>
        </w:rPr>
      </w:pPr>
    </w:p>
    <w:p w14:paraId="40815B1F" w14:textId="06E0B83A" w:rsidR="00B60914" w:rsidRPr="00B60914" w:rsidRDefault="00B60914" w:rsidP="00B60914">
      <w:pPr>
        <w:spacing w:before="200" w:line="360" w:lineRule="auto"/>
        <w:contextualSpacing/>
        <w:rPr>
          <w:rFonts w:ascii="Calibri" w:eastAsia="Calibri" w:hAnsi="Calibri" w:cs="Arial"/>
        </w:rPr>
      </w:pPr>
      <w:r w:rsidRPr="00B60914">
        <w:rPr>
          <w:rFonts w:ascii="Calibri" w:eastAsia="Calibri" w:hAnsi="Calibri" w:cs="Arial"/>
        </w:rPr>
        <w:t xml:space="preserve">To conclude, the intervention studies and methods discussed above reveal mixed results. Strengths based training positively increased engagement and affect in both work and non-work settings. Similarly, PsyCap interventions demonstrated increases in work engagement for those who initially </w:t>
      </w:r>
      <w:r w:rsidRPr="00B60914">
        <w:rPr>
          <w:rFonts w:ascii="Calibri" w:eastAsia="Calibri" w:hAnsi="Calibri" w:cs="Arial"/>
        </w:rPr>
        <w:lastRenderedPageBreak/>
        <w:t xml:space="preserve">reported a low level of engagement. Job crafting interventions suggested that employees who positively increased their job resources and desirable challenges whilst decreasing their hindrance demands experienced higher levels of self-efficacy and work engagement, as well as better </w:t>
      </w:r>
      <w:r w:rsidR="001D6140">
        <w:rPr>
          <w:rFonts w:ascii="Calibri" w:eastAsia="Calibri" w:hAnsi="Calibri" w:cs="Arial"/>
        </w:rPr>
        <w:t>well-being</w:t>
      </w:r>
      <w:r w:rsidRPr="00B60914">
        <w:rPr>
          <w:rFonts w:ascii="Calibri" w:eastAsia="Calibri" w:hAnsi="Calibri" w:cs="Arial"/>
        </w:rPr>
        <w:t>, than controls. Further research could investigate the benefits of combining these interventions. On the other hand, health promotion interventions appeared to have little effect on the work engagement of employees, however, it is possible that poor study designs may have obscured positive results. In short, it is difficult to draw any firm conclusions from the data available.</w:t>
      </w:r>
    </w:p>
    <w:p w14:paraId="3D919D9D" w14:textId="1CD908FA" w:rsidR="007A46AB" w:rsidRDefault="007A46AB">
      <w:pPr>
        <w:spacing w:after="160"/>
        <w:rPr>
          <w:rFonts w:ascii="Calibri" w:eastAsia="SimSun" w:hAnsi="Calibri" w:cs="Arial"/>
          <w:lang w:eastAsia="zh-CN"/>
        </w:rPr>
      </w:pPr>
    </w:p>
    <w:p w14:paraId="16585259" w14:textId="77777777" w:rsidR="00B60914" w:rsidRPr="00B60914" w:rsidRDefault="00B60914" w:rsidP="00B7614E">
      <w:pPr>
        <w:pStyle w:val="Thesisheading2"/>
      </w:pPr>
      <w:bookmarkStart w:id="65" w:name="_Toc447266095"/>
      <w:bookmarkStart w:id="66" w:name="_Toc468285935"/>
      <w:r w:rsidRPr="00B60914">
        <w:t>Chapter conclusion</w:t>
      </w:r>
      <w:bookmarkEnd w:id="65"/>
      <w:bookmarkEnd w:id="66"/>
    </w:p>
    <w:p w14:paraId="555BF0A7" w14:textId="77777777" w:rsidR="00B60914" w:rsidRPr="00B60914" w:rsidRDefault="00B60914" w:rsidP="00B60914">
      <w:pPr>
        <w:spacing w:after="200" w:line="360" w:lineRule="auto"/>
        <w:rPr>
          <w:rFonts w:ascii="Calibri" w:eastAsia="SimSun" w:hAnsi="Calibri" w:cs="Arial"/>
          <w:lang w:eastAsia="zh-CN"/>
        </w:rPr>
      </w:pPr>
    </w:p>
    <w:p w14:paraId="10A3ED4F" w14:textId="45CBACA5" w:rsidR="00B60914" w:rsidRPr="00B60914" w:rsidRDefault="00B60914" w:rsidP="005077F1">
      <w:pPr>
        <w:spacing w:after="200" w:line="360" w:lineRule="auto"/>
        <w:contextualSpacing/>
        <w:rPr>
          <w:rFonts w:ascii="Calibri" w:eastAsia="SimSun" w:hAnsi="Calibri" w:cs="Arial"/>
          <w:lang w:eastAsia="zh-CN"/>
        </w:rPr>
      </w:pPr>
      <w:r w:rsidRPr="00B60914">
        <w:rPr>
          <w:rFonts w:ascii="Calibri" w:eastAsia="SimSun" w:hAnsi="Calibri" w:cs="Arial"/>
          <w:lang w:eastAsia="zh-CN"/>
        </w:rPr>
        <w:t>This chapter summarises two broad areas of research: 1) work engagement theory; and 2) intervention research relating to increasing work engagement in organisations. In particular, it discusses the key work engagement definitions which have emerged, and the relationships between antecedents, core work-related needs, and outcomes of engagement</w:t>
      </w:r>
      <w:r w:rsidR="00C17CB1">
        <w:rPr>
          <w:rFonts w:ascii="Calibri" w:eastAsia="SimSun" w:hAnsi="Calibri" w:cs="Arial"/>
          <w:lang w:eastAsia="zh-CN"/>
        </w:rPr>
        <w:t xml:space="preserve">, locating these within the Job </w:t>
      </w:r>
      <w:r w:rsidRPr="00B60914">
        <w:rPr>
          <w:rFonts w:ascii="Calibri" w:eastAsia="SimSun" w:hAnsi="Calibri" w:cs="Arial"/>
          <w:lang w:eastAsia="zh-CN"/>
        </w:rPr>
        <w:t>Demands</w:t>
      </w:r>
      <w:r w:rsidR="00C17CB1">
        <w:rPr>
          <w:rFonts w:ascii="Calibri" w:eastAsia="SimSun" w:hAnsi="Calibri" w:cs="Arial"/>
          <w:lang w:eastAsia="zh-CN"/>
        </w:rPr>
        <w:t>-Resources</w:t>
      </w:r>
      <w:r w:rsidRPr="00B60914">
        <w:rPr>
          <w:rFonts w:ascii="Calibri" w:eastAsia="SimSun" w:hAnsi="Calibri" w:cs="Arial"/>
          <w:lang w:eastAsia="zh-CN"/>
        </w:rPr>
        <w:t xml:space="preserve"> Model (</w:t>
      </w:r>
      <w:r w:rsidR="00A43B59">
        <w:rPr>
          <w:rFonts w:ascii="Calibri" w:eastAsia="SimSun" w:hAnsi="Calibri" w:cs="Arial"/>
          <w:lang w:eastAsia="zh-CN"/>
        </w:rPr>
        <w:t>JD-R</w:t>
      </w:r>
      <w:r w:rsidRPr="00B60914">
        <w:rPr>
          <w:rFonts w:ascii="Calibri" w:eastAsia="SimSun" w:hAnsi="Calibri" w:cs="Arial"/>
          <w:lang w:eastAsia="zh-CN"/>
        </w:rPr>
        <w:t>; Bakker &amp; Demerouti, 2007</w:t>
      </w:r>
      <w:r w:rsidR="00F87BBF">
        <w:rPr>
          <w:rFonts w:ascii="Calibri" w:eastAsia="SimSun" w:hAnsi="Calibri" w:cs="Arial"/>
          <w:lang w:eastAsia="zh-CN"/>
        </w:rPr>
        <w:t>; 2008</w:t>
      </w:r>
      <w:r w:rsidRPr="00B60914">
        <w:rPr>
          <w:rFonts w:ascii="Calibri" w:eastAsia="SimSun" w:hAnsi="Calibri" w:cs="Arial"/>
          <w:lang w:eastAsia="zh-CN"/>
        </w:rPr>
        <w:t xml:space="preserve">) and </w:t>
      </w:r>
      <w:r w:rsidR="00C17CB1">
        <w:rPr>
          <w:rFonts w:ascii="Calibri" w:eastAsia="SimSun" w:hAnsi="Calibri" w:cs="Arial"/>
          <w:lang w:eastAsia="zh-CN"/>
        </w:rPr>
        <w:t>Self-Determination Theory</w:t>
      </w:r>
      <w:r w:rsidRPr="00B60914">
        <w:rPr>
          <w:rFonts w:ascii="Calibri" w:eastAsia="SimSun" w:hAnsi="Calibri" w:cs="Arial"/>
          <w:lang w:eastAsia="zh-CN"/>
        </w:rPr>
        <w:t xml:space="preserve"> (SDT; Deci &amp; Ryan, 2000). The chapter also highlights the mixed findings from four </w:t>
      </w:r>
      <w:r w:rsidR="00597B3B">
        <w:rPr>
          <w:rFonts w:ascii="Calibri" w:eastAsia="SimSun" w:hAnsi="Calibri" w:cs="Arial"/>
          <w:lang w:eastAsia="zh-CN"/>
        </w:rPr>
        <w:t>individual-level</w:t>
      </w:r>
      <w:r w:rsidRPr="00B60914">
        <w:rPr>
          <w:rFonts w:ascii="Calibri" w:eastAsia="SimSun" w:hAnsi="Calibri" w:cs="Arial"/>
          <w:lang w:eastAsia="zh-CN"/>
        </w:rPr>
        <w:t xml:space="preserve"> approaches to developing work engagement in the workplace: 1) strengths based training; 2) Psychological Capital (PsyCAP) interventions; 3) job crafting interventions; and 4) health promotion interventions. Chapter 3 builds on this research by exploring how the design and implementation of interventions may affect the results of intervention studies, and the importance of a detailed evaluation of intervention implementation in addition to a statistical analysis of the study variables. Chapter 3 closes with the rationale and aims for Study 1, a narrative systematic review and meta-analysis investigating the effectiveness of work engagement interventions. Chapter 4 extends the review of interventions discussed in this chapter, Chapter 2, by detailing a </w:t>
      </w:r>
      <w:r w:rsidR="00597B3B">
        <w:rPr>
          <w:rFonts w:ascii="Calibri" w:eastAsia="SimSun" w:hAnsi="Calibri" w:cs="Arial"/>
          <w:lang w:eastAsia="zh-CN"/>
        </w:rPr>
        <w:t>group-level</w:t>
      </w:r>
      <w:r w:rsidRPr="00B60914">
        <w:rPr>
          <w:rFonts w:ascii="Calibri" w:eastAsia="SimSun" w:hAnsi="Calibri" w:cs="Arial"/>
          <w:lang w:eastAsia="zh-CN"/>
        </w:rPr>
        <w:t xml:space="preserve"> approach to incre</w:t>
      </w:r>
      <w:r w:rsidR="002D3ECF">
        <w:rPr>
          <w:rFonts w:ascii="Calibri" w:eastAsia="SimSun" w:hAnsi="Calibri" w:cs="Arial"/>
          <w:lang w:eastAsia="zh-CN"/>
        </w:rPr>
        <w:t>asing work engagement known as participatory action r</w:t>
      </w:r>
      <w:r w:rsidRPr="00B60914">
        <w:rPr>
          <w:rFonts w:ascii="Calibri" w:eastAsia="SimSun" w:hAnsi="Calibri" w:cs="Arial"/>
          <w:lang w:eastAsia="zh-CN"/>
        </w:rPr>
        <w:t>esearch (PAR; Lewin, 1946) interventions. Drawing on theory and empirical examples, the benefit of this type of approach for improving work engagement in a hospital setting is explored, culminating in the rationale and aims of Study 2, a PAR intervention to increase work engagement in nursing staff on acute elderly NHS wards.</w:t>
      </w:r>
    </w:p>
    <w:p w14:paraId="20A08D0A" w14:textId="77777777" w:rsidR="005077F1" w:rsidRDefault="005077F1">
      <w:pPr>
        <w:pStyle w:val="Thesisheading1"/>
        <w:sectPr w:rsidR="005077F1" w:rsidSect="00E6060C">
          <w:pgSz w:w="11906" w:h="16838"/>
          <w:pgMar w:top="1440" w:right="1440" w:bottom="1440" w:left="1440" w:header="709" w:footer="709" w:gutter="0"/>
          <w:cols w:space="708"/>
          <w:docGrid w:linePitch="360"/>
        </w:sectPr>
      </w:pPr>
      <w:bookmarkStart w:id="67" w:name="_Toc447183993"/>
    </w:p>
    <w:p w14:paraId="3A67AE9F" w14:textId="2721AFF5" w:rsidR="00B60914" w:rsidRPr="00343C38" w:rsidRDefault="00B60914" w:rsidP="002D3426">
      <w:pPr>
        <w:pStyle w:val="Heading1"/>
      </w:pPr>
      <w:bookmarkStart w:id="68" w:name="_Toc468285936"/>
      <w:r w:rsidRPr="00343C38">
        <w:lastRenderedPageBreak/>
        <w:t>The design, implementation and evaluation of organisational interventions</w:t>
      </w:r>
      <w:bookmarkEnd w:id="67"/>
      <w:bookmarkEnd w:id="68"/>
    </w:p>
    <w:p w14:paraId="36A2E2ED" w14:textId="77777777" w:rsidR="00B60914" w:rsidRPr="00B60914" w:rsidRDefault="00B60914" w:rsidP="00B60914">
      <w:pPr>
        <w:spacing w:after="200" w:line="360" w:lineRule="auto"/>
        <w:contextualSpacing/>
        <w:rPr>
          <w:rFonts w:ascii="Calibri" w:eastAsia="Times New Roman" w:hAnsi="Calibri" w:cs="Times New Roman"/>
        </w:rPr>
      </w:pPr>
    </w:p>
    <w:p w14:paraId="21E87DC9" w14:textId="55413B86" w:rsidR="00B60914" w:rsidRPr="00B60914" w:rsidRDefault="00B60914" w:rsidP="00B60914">
      <w:pPr>
        <w:spacing w:after="200" w:line="360" w:lineRule="auto"/>
        <w:contextualSpacing/>
        <w:rPr>
          <w:rFonts w:ascii="Calibri" w:eastAsia="Times New Roman" w:hAnsi="Calibri" w:cs="Times New Roman"/>
        </w:rPr>
      </w:pPr>
      <w:r w:rsidRPr="00B60914">
        <w:rPr>
          <w:rFonts w:ascii="Calibri" w:eastAsia="Times New Roman" w:hAnsi="Calibri" w:cs="Times New Roman"/>
        </w:rPr>
        <w:t xml:space="preserve">Chapter 2 explored work engagement literature and discussed different types of interventions which have so far emerged in the field of work engagement and related areas. The purpose of this chapter is to consider the large body of literature which surrounds the design, implementation, and evaluation of organisational interventions. </w:t>
      </w:r>
      <w:r w:rsidR="003F7E68">
        <w:rPr>
          <w:rFonts w:ascii="Calibri" w:eastAsia="Times New Roman" w:hAnsi="Calibri" w:cs="Times New Roman"/>
        </w:rPr>
        <w:t xml:space="preserve">This is particularly relevant for both studies presented in this thesis, which expressly consider how these factors are related to the success of interventions. </w:t>
      </w:r>
      <w:r w:rsidRPr="00B60914">
        <w:rPr>
          <w:rFonts w:ascii="Calibri" w:eastAsia="Times New Roman" w:hAnsi="Calibri" w:cs="Times New Roman"/>
        </w:rPr>
        <w:t>An intervention is unlikely to be successful</w:t>
      </w:r>
      <w:r w:rsidR="00162F20">
        <w:rPr>
          <w:rFonts w:ascii="Calibri" w:eastAsia="Times New Roman" w:hAnsi="Calibri" w:cs="Times New Roman"/>
        </w:rPr>
        <w:t>,</w:t>
      </w:r>
      <w:r w:rsidRPr="00B60914">
        <w:rPr>
          <w:rFonts w:ascii="Calibri" w:eastAsia="Times New Roman" w:hAnsi="Calibri" w:cs="Times New Roman"/>
        </w:rPr>
        <w:t xml:space="preserve"> and causality appropriately attributed</w:t>
      </w:r>
      <w:r w:rsidR="00162F20">
        <w:rPr>
          <w:rFonts w:ascii="Calibri" w:eastAsia="Times New Roman" w:hAnsi="Calibri" w:cs="Times New Roman"/>
        </w:rPr>
        <w:t>,</w:t>
      </w:r>
      <w:r w:rsidRPr="00B60914">
        <w:rPr>
          <w:rFonts w:ascii="Calibri" w:eastAsia="Times New Roman" w:hAnsi="Calibri" w:cs="Times New Roman"/>
        </w:rPr>
        <w:t xml:space="preserve"> unless careful consideration is given to these factors. M</w:t>
      </w:r>
      <w:r w:rsidRPr="00B60914">
        <w:rPr>
          <w:rFonts w:ascii="Calibri" w:eastAsia="Times New Roman" w:hAnsi="Calibri" w:cs="Times New Roman"/>
          <w:lang w:eastAsia="zh-CN"/>
        </w:rPr>
        <w:t>any of the studies discussed in the literature review in Chapter 2 reported at least a partial failure to create the desired results. While several speculated that vague construct definitions coupled with inadequate operationalisation may have been to blame, few discussed how the design or implementation of interventions may have had an effect on their effectiveness. Drawing on research from the related areas of resource-orientated and occupational health research, t</w:t>
      </w:r>
      <w:r w:rsidRPr="00B60914">
        <w:rPr>
          <w:rFonts w:ascii="Calibri" w:eastAsia="Times New Roman" w:hAnsi="Calibri" w:cs="Times New Roman"/>
        </w:rPr>
        <w:t xml:space="preserve">his chapter argues that the careful consideration of the design, implementation and evaluation of interventions is necessary to increase the quality and robustness of intervention research and should be applied to work engagement intervention studies as a matter of course. This chapter proceeds by discussing the design, implementation, and evaluation of interventions in separate sections, followed by a summary and conclusion, before moving on to discuss the research aims and objectives for Study 1.      </w:t>
      </w:r>
    </w:p>
    <w:p w14:paraId="6F2E39C5" w14:textId="77777777" w:rsidR="00B60914" w:rsidRPr="00B60914" w:rsidRDefault="00B60914" w:rsidP="00B60914">
      <w:pPr>
        <w:spacing w:after="200" w:line="360" w:lineRule="auto"/>
        <w:contextualSpacing/>
        <w:rPr>
          <w:rFonts w:ascii="Calibri" w:eastAsia="Times New Roman" w:hAnsi="Calibri" w:cs="Times New Roman"/>
        </w:rPr>
      </w:pPr>
    </w:p>
    <w:p w14:paraId="5B6B2BC8" w14:textId="2E1363F2" w:rsidR="00B60914" w:rsidRPr="00DD71CD" w:rsidRDefault="00B60914" w:rsidP="00B7614E">
      <w:pPr>
        <w:pStyle w:val="Thesisheading2"/>
      </w:pPr>
      <w:bookmarkStart w:id="69" w:name="_Toc447183994"/>
      <w:bookmarkStart w:id="70" w:name="_Toc468285937"/>
      <w:r w:rsidRPr="00DD71CD">
        <w:t>The design of interventions</w:t>
      </w:r>
      <w:bookmarkEnd w:id="69"/>
      <w:bookmarkEnd w:id="70"/>
    </w:p>
    <w:p w14:paraId="397B832E"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52644849" w14:textId="2BAFF5CC"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The double blind, randomised, controlled experimental design, where participants are randomly allocated to either a control or intervention group without knowing which they have been assigned to, is often portrayed as the highest quality research design which all scientific research should aspire to (e.g. Griffiths, 199</w:t>
      </w:r>
      <w:r w:rsidR="001A769A">
        <w:rPr>
          <w:rFonts w:ascii="Calibri" w:eastAsia="Times New Roman" w:hAnsi="Calibri" w:cs="Times New Roman"/>
          <w:lang w:eastAsia="zh-CN"/>
        </w:rPr>
        <w:t xml:space="preserve">9; Richardson &amp; Rothstein, </w:t>
      </w:r>
      <w:r w:rsidR="001A769A" w:rsidRPr="001A769A">
        <w:rPr>
          <w:rFonts w:ascii="Calibri" w:eastAsia="Times New Roman" w:hAnsi="Calibri" w:cs="Times New Roman"/>
          <w:lang w:eastAsia="zh-CN"/>
        </w:rPr>
        <w:t>2008</w:t>
      </w:r>
      <w:r w:rsidRPr="001A769A">
        <w:rPr>
          <w:rFonts w:ascii="Calibri" w:eastAsia="Times New Roman" w:hAnsi="Calibri" w:cs="Times New Roman"/>
          <w:lang w:eastAsia="zh-CN"/>
        </w:rPr>
        <w:t>).</w:t>
      </w:r>
      <w:r w:rsidRPr="00B60914">
        <w:rPr>
          <w:rFonts w:ascii="Calibri" w:eastAsia="Times New Roman" w:hAnsi="Calibri" w:cs="Times New Roman"/>
          <w:lang w:eastAsia="zh-CN"/>
        </w:rPr>
        <w:t xml:space="preserve"> Such experimental designs tend to be viewed as the cornerstone of highly rigorous, robust scientific research as they enable the effect of changing one or more factors on one or more outcome variables to be evaluated under controlled conditions, and thus conclusions about causality to be drawn. However, several researchers argue that they are not necessarily appropriate for applied organisational research which typically involves dynamic contexts and settings (e.g. Griffiths, 1999; Briner</w:t>
      </w:r>
      <w:r w:rsidR="00671EEB">
        <w:rPr>
          <w:rFonts w:ascii="Calibri" w:eastAsia="Times New Roman" w:hAnsi="Calibri" w:cs="Times New Roman"/>
          <w:lang w:eastAsia="zh-CN"/>
        </w:rPr>
        <w:t xml:space="preserve"> &amp; Walshe; 2015, Nielsen, Taris &amp; Cox,</w:t>
      </w:r>
      <w:r w:rsidRPr="00B60914">
        <w:rPr>
          <w:rFonts w:ascii="Calibri" w:eastAsia="Times New Roman" w:hAnsi="Calibri" w:cs="Times New Roman"/>
          <w:lang w:eastAsia="zh-CN"/>
        </w:rPr>
        <w:t xml:space="preserve"> 2010; Nielsen, 2013). A key assumption of this design is that other, uncontrolled variables are not </w:t>
      </w:r>
      <w:r w:rsidRPr="00B60914">
        <w:rPr>
          <w:rFonts w:ascii="Calibri" w:eastAsia="Times New Roman" w:hAnsi="Calibri" w:cs="Times New Roman"/>
          <w:lang w:eastAsia="zh-CN"/>
        </w:rPr>
        <w:lastRenderedPageBreak/>
        <w:t xml:space="preserve">affecting the results. While conducting such research in the lab, where conditions may be carefully controlled, may be feasible, recreating carefully controlled conditions in a dynamic organisational environment seems unrealistic. Randomly allocating individuals to control and experimental groups may not be possible due to characteristic differences between participants, differences between the roles and duties that they hold, different cultures and sub-cultures within and between organisations, and different management strategies. Even finding suitable control and experimental groups for a quasi-experimental design, in which matched control and ‘experimental’ groups exist but participants are not randomly allocated to them, may not be feasible due to these reasons (for a deeper discussion, see Nielsen, Randall et. al, 2010). The argument here is not that researchers should stop designing interventions with control and experimental groups. Control groups can indicate whether an intervention is more effective than no intervention at all, for example (Briner &amp; Walshe, 2015; Nielsen, Taris </w:t>
      </w:r>
      <w:r w:rsidR="00395453">
        <w:rPr>
          <w:rFonts w:ascii="Calibri" w:eastAsia="Times New Roman" w:hAnsi="Calibri" w:cs="Times New Roman"/>
          <w:lang w:eastAsia="zh-CN"/>
        </w:rPr>
        <w:t>et al.</w:t>
      </w:r>
      <w:r w:rsidRPr="00B60914">
        <w:rPr>
          <w:rFonts w:ascii="Calibri" w:eastAsia="Times New Roman" w:hAnsi="Calibri" w:cs="Times New Roman"/>
          <w:lang w:eastAsia="zh-CN"/>
        </w:rPr>
        <w:t>, 2010). Rather, the argument is that researchers should assess the appropriateness of such groups in the context of their specific applied settings, and adapt their research designs accordingly. Thus, for example, comparison groups, or reference groups, may be more appropriate than strict control and experimental groups. B</w:t>
      </w:r>
      <w:r w:rsidR="00162F20">
        <w:rPr>
          <w:rFonts w:ascii="Calibri" w:eastAsia="Times New Roman" w:hAnsi="Calibri" w:cs="Times New Roman"/>
          <w:lang w:eastAsia="zh-CN"/>
        </w:rPr>
        <w:t>riner and Walshe (2015) suggest</w:t>
      </w:r>
      <w:r w:rsidRPr="00B60914">
        <w:rPr>
          <w:rFonts w:ascii="Calibri" w:eastAsia="Times New Roman" w:hAnsi="Calibri" w:cs="Times New Roman"/>
          <w:lang w:eastAsia="zh-CN"/>
        </w:rPr>
        <w:t xml:space="preserve"> adopting two reference groups, an alternative intervention and </w:t>
      </w:r>
      <w:r w:rsidR="004E1C30">
        <w:rPr>
          <w:rFonts w:ascii="Calibri" w:eastAsia="Times New Roman" w:hAnsi="Calibri" w:cs="Times New Roman"/>
          <w:lang w:eastAsia="zh-CN"/>
        </w:rPr>
        <w:t xml:space="preserve">a </w:t>
      </w:r>
      <w:r w:rsidRPr="00B60914">
        <w:rPr>
          <w:rFonts w:ascii="Calibri" w:eastAsia="Times New Roman" w:hAnsi="Calibri" w:cs="Times New Roman"/>
          <w:lang w:eastAsia="zh-CN"/>
        </w:rPr>
        <w:t xml:space="preserve">non-intervention group, as a means of better exploring how an intervention does or does not work and whether it works better than other interventions already in use. In this way, the design of interventions can be tailored to the needs of individual organisations, without compromising the robustness of the results or their practical significance. </w:t>
      </w:r>
    </w:p>
    <w:p w14:paraId="6C360AC8"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2C6C9B77" w14:textId="68F3F3CE" w:rsid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During the design phase of an intervention, it is also important to consider the evidence-base for the particular intervention a researcher wishes to </w:t>
      </w:r>
      <w:r w:rsidR="003F6C5E">
        <w:rPr>
          <w:rFonts w:ascii="Calibri" w:eastAsia="Times New Roman" w:hAnsi="Calibri" w:cs="Times New Roman"/>
          <w:lang w:eastAsia="zh-CN"/>
        </w:rPr>
        <w:t>conduct</w:t>
      </w:r>
      <w:r w:rsidRPr="00B60914">
        <w:rPr>
          <w:rFonts w:ascii="Calibri" w:eastAsia="Times New Roman" w:hAnsi="Calibri" w:cs="Times New Roman"/>
          <w:lang w:eastAsia="zh-CN"/>
        </w:rPr>
        <w:t>.</w:t>
      </w:r>
      <w:r w:rsidR="00070E8C">
        <w:rPr>
          <w:rFonts w:ascii="Calibri" w:eastAsia="Times New Roman" w:hAnsi="Calibri" w:cs="Times New Roman"/>
          <w:lang w:eastAsia="zh-CN"/>
        </w:rPr>
        <w:t xml:space="preserve"> Briner and Walshe (2015) argue</w:t>
      </w:r>
      <w:r w:rsidRPr="00B60914">
        <w:rPr>
          <w:rFonts w:ascii="Calibri" w:eastAsia="Times New Roman" w:hAnsi="Calibri" w:cs="Times New Roman"/>
          <w:lang w:eastAsia="zh-CN"/>
        </w:rPr>
        <w:t xml:space="preserve"> that all organisational interventions shoul</w:t>
      </w:r>
      <w:r w:rsidR="00070E8C">
        <w:rPr>
          <w:rFonts w:ascii="Calibri" w:eastAsia="Times New Roman" w:hAnsi="Calibri" w:cs="Times New Roman"/>
          <w:lang w:eastAsia="zh-CN"/>
        </w:rPr>
        <w:t>d be evidence-based and propose</w:t>
      </w:r>
      <w:r w:rsidRPr="00B60914">
        <w:rPr>
          <w:rFonts w:ascii="Calibri" w:eastAsia="Times New Roman" w:hAnsi="Calibri" w:cs="Times New Roman"/>
          <w:lang w:eastAsia="zh-CN"/>
        </w:rPr>
        <w:t xml:space="preserve"> 11 characteristics which should be considered during the planning and design phase. One, the use of a control as well as two referent groups, was mentioned in the previous paragraph. Others include a pre-intervention assessment to investigate whether the target variable(s) (e.g. job resources, personal resources, work engagement, job satisfaction, morale) is so low within a population that improving it is of practical significance, that the variable(s) to be changed can indeed be changed by the intervention method proposed, and that there are no obvious factors which may be causing the problem in the target population other than those considered by the intervention. It is possible that some of the intervention studies discussed in Chapter 2 did not have a positive effect because they did not consider these factors. For example, Coffeng </w:t>
      </w:r>
      <w:r w:rsidR="00395453">
        <w:rPr>
          <w:rFonts w:ascii="Calibri" w:eastAsia="Times New Roman" w:hAnsi="Calibri" w:cs="Times New Roman"/>
          <w:lang w:eastAsia="zh-CN"/>
        </w:rPr>
        <w:t>et al.</w:t>
      </w:r>
      <w:r w:rsidRPr="00B60914">
        <w:rPr>
          <w:rFonts w:ascii="Calibri" w:eastAsia="Times New Roman" w:hAnsi="Calibri" w:cs="Times New Roman"/>
          <w:lang w:eastAsia="zh-CN"/>
        </w:rPr>
        <w:t xml:space="preserve"> (2014) speculated that their workplace health intervention may have been more effective if they had selected participants based on a nee</w:t>
      </w:r>
      <w:r w:rsidR="00070E8C">
        <w:rPr>
          <w:rFonts w:ascii="Calibri" w:eastAsia="Times New Roman" w:hAnsi="Calibri" w:cs="Times New Roman"/>
          <w:lang w:eastAsia="zh-CN"/>
        </w:rPr>
        <w:t>ds assessment. Nielsen, Randall</w:t>
      </w:r>
      <w:r w:rsidRPr="00B60914">
        <w:rPr>
          <w:rFonts w:ascii="Calibri" w:eastAsia="Times New Roman" w:hAnsi="Calibri" w:cs="Times New Roman"/>
          <w:lang w:eastAsia="zh-CN"/>
        </w:rPr>
        <w:t xml:space="preserve"> et al. (2010) strongly promoted this argument, proposing that </w:t>
      </w:r>
      <w:r w:rsidRPr="00B60914">
        <w:rPr>
          <w:rFonts w:ascii="Calibri" w:eastAsia="Times New Roman" w:hAnsi="Calibri" w:cs="Times New Roman"/>
          <w:lang w:eastAsia="zh-CN"/>
        </w:rPr>
        <w:lastRenderedPageBreak/>
        <w:t xml:space="preserve">researchers should use an appropriate screening tool to assess whether organisations would benefit from an intervention programme.   </w:t>
      </w:r>
    </w:p>
    <w:p w14:paraId="71DD01EC" w14:textId="77777777" w:rsidR="003F379B" w:rsidRPr="00B60914" w:rsidRDefault="003F379B" w:rsidP="00B60914">
      <w:pPr>
        <w:spacing w:after="200" w:line="360" w:lineRule="auto"/>
        <w:contextualSpacing/>
        <w:rPr>
          <w:rFonts w:ascii="Calibri" w:eastAsia="Times New Roman" w:hAnsi="Calibri" w:cs="Times New Roman"/>
          <w:lang w:eastAsia="zh-CN"/>
        </w:rPr>
      </w:pPr>
    </w:p>
    <w:p w14:paraId="5D94F993" w14:textId="0DDB1EAB"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Nielsen, Randall et al. (2010) also outline several other factors which are important to consider during the design of interventions. Amongst these are the readiness to change of the participants and the organisation, and senior manager support. If employees do not perceive the need to change, the benefits of change, have the motivation to change, and are not supported by their managers and their managers’ managers to change, change is unlikely to happen. If the organisational climate is not conducive to change either, change is also going to be difficult, although it is important to note that a conducive environment, one which is already rich in job resources, may not necessarily be the environment which is most in need of an intervention (Nielsen, Randall et al., 2010). In support of these arguments, Coffeng et al. (2014) noted in their study that if compliance had been higher, their intervention may have been more effective. They also suggested that support from high level managers may have increased the motivation of participants to participate. ‘Buy-in’ to an intervention programme at all levels of the organisation, as well as a conducive organisational climate, is therefore likely to be essential for its success. One way this could be achieved is through communication. By informing the target population about the intervention, its importance, and realistic expected outcomes, employees may be more likely t</w:t>
      </w:r>
      <w:r w:rsidR="00070E8C">
        <w:rPr>
          <w:rFonts w:ascii="Calibri" w:eastAsia="Times New Roman" w:hAnsi="Calibri" w:cs="Times New Roman"/>
          <w:lang w:eastAsia="zh-CN"/>
        </w:rPr>
        <w:t>o participate (Nielsen, Randall</w:t>
      </w:r>
      <w:r w:rsidRPr="00B60914">
        <w:rPr>
          <w:rFonts w:ascii="Calibri" w:eastAsia="Times New Roman" w:hAnsi="Calibri" w:cs="Times New Roman"/>
          <w:lang w:eastAsia="zh-CN"/>
        </w:rPr>
        <w:t xml:space="preserve"> et al., 2010). </w:t>
      </w:r>
    </w:p>
    <w:p w14:paraId="373751F9"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20BA14E0" w14:textId="51F52070" w:rsidR="00A447F6" w:rsidRDefault="00B60914" w:rsidP="00A8707E">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In summary, there are several ingredients which the literature suggests are important to consider when designing an organisational intervention, and which may alleviate some of the issues with implementing interventions which are commonly reported (see Chapter 2 and Chapter 5). These include considering the evidence-base for the intervention, the type and number of control and intervention groups, and gaining participant, manager and organisational support for the intervention. In short, the dynamic nature of organisations means that interventions should be tailored to the specific needs of the research setting and researchers should be prepared to move away from the traditional view that a randomised controlled design is the only high quality design available and is appropriate in all settings and contexts. </w:t>
      </w:r>
    </w:p>
    <w:p w14:paraId="43EA3A96" w14:textId="77777777" w:rsidR="00A447F6" w:rsidRDefault="00A447F6">
      <w:pPr>
        <w:spacing w:after="160"/>
        <w:rPr>
          <w:rFonts w:ascii="Calibri" w:eastAsia="Times New Roman" w:hAnsi="Calibri" w:cs="Times New Roman"/>
          <w:lang w:eastAsia="zh-CN"/>
        </w:rPr>
      </w:pPr>
      <w:r>
        <w:rPr>
          <w:rFonts w:ascii="Calibri" w:eastAsia="Times New Roman" w:hAnsi="Calibri" w:cs="Times New Roman"/>
          <w:lang w:eastAsia="zh-CN"/>
        </w:rPr>
        <w:br w:type="page"/>
      </w:r>
    </w:p>
    <w:p w14:paraId="66BE7F40" w14:textId="29B584F8" w:rsidR="00B60914" w:rsidRPr="00B60914" w:rsidRDefault="00B60914" w:rsidP="00B7614E">
      <w:pPr>
        <w:pStyle w:val="Thesisheading2"/>
      </w:pPr>
      <w:bookmarkStart w:id="71" w:name="_Toc447183995"/>
      <w:bookmarkStart w:id="72" w:name="_Toc468285938"/>
      <w:r w:rsidRPr="00B60914">
        <w:lastRenderedPageBreak/>
        <w:t>The implementation of interventions</w:t>
      </w:r>
      <w:bookmarkEnd w:id="71"/>
      <w:bookmarkEnd w:id="72"/>
    </w:p>
    <w:p w14:paraId="3524B549"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5C4B6EBC" w14:textId="24E4850C"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During the implementation phase of </w:t>
      </w:r>
      <w:r w:rsidR="00070E8C">
        <w:rPr>
          <w:rFonts w:ascii="Calibri" w:eastAsia="Times New Roman" w:hAnsi="Calibri" w:cs="Times New Roman"/>
          <w:lang w:eastAsia="zh-CN"/>
        </w:rPr>
        <w:t>interventions, Nielsen, Randall et al. (2010) argue</w:t>
      </w:r>
      <w:r w:rsidRPr="00B60914">
        <w:rPr>
          <w:rFonts w:ascii="Calibri" w:eastAsia="Times New Roman" w:hAnsi="Calibri" w:cs="Times New Roman"/>
          <w:lang w:eastAsia="zh-CN"/>
        </w:rPr>
        <w:t xml:space="preserve"> that a rel</w:t>
      </w:r>
      <w:r w:rsidR="00070E8C">
        <w:rPr>
          <w:rFonts w:ascii="Calibri" w:eastAsia="Times New Roman" w:hAnsi="Calibri" w:cs="Times New Roman"/>
          <w:lang w:eastAsia="zh-CN"/>
        </w:rPr>
        <w:t>ated constellation of factors is</w:t>
      </w:r>
      <w:r w:rsidRPr="00B60914">
        <w:rPr>
          <w:rFonts w:ascii="Calibri" w:eastAsia="Times New Roman" w:hAnsi="Calibri" w:cs="Times New Roman"/>
          <w:lang w:eastAsia="zh-CN"/>
        </w:rPr>
        <w:t xml:space="preserve"> necessary to consider to those </w:t>
      </w:r>
      <w:r w:rsidR="004E1C30">
        <w:rPr>
          <w:rFonts w:ascii="Calibri" w:eastAsia="Times New Roman" w:hAnsi="Calibri" w:cs="Times New Roman"/>
          <w:lang w:eastAsia="zh-CN"/>
        </w:rPr>
        <w:t xml:space="preserve">considered </w:t>
      </w:r>
      <w:r w:rsidRPr="00B60914">
        <w:rPr>
          <w:rFonts w:ascii="Calibri" w:eastAsia="Times New Roman" w:hAnsi="Calibri" w:cs="Times New Roman"/>
          <w:lang w:eastAsia="zh-CN"/>
        </w:rPr>
        <w:t xml:space="preserve">during the design phase. These may be planned for in advance and built into the design of interventions. Of particular importance is monitoring intervention activities, in order to record whether interventions occurred as planned, whether adjustments had to be made, and whether activities were well attended, amongst other factors. In the case of participatory action research designs (see Chapter 4), monitoring is particularly important, in order to record the problems identified by participants which the intervention then aimed to improve, and the actions taken to achieve these improvements. Furthermore, given the importance of managers to the success of interventions (highlighted above), researchers should continue to work closely with managers responsible for implementing the intervention in order to maintain support for, and the momentum of, interventions. Nielsen and Randall (2009) found that employees perceived intervention outcomes to be more positive when their managers had been instrumental in implementing interventions and had involved their employees in the process. Similarly, Nielsen, Fredslund, Christensen, and Albertsen (2006), found that the presence of engaged, committed managers was associated with positive intervention outcomes. In order to facilitate the continued motivation of employees to participate, it is also important that communication between researchers, the organisation, managers and employees remains high. Thus, employees should be kept informed about the progress of interventions, and allowed to participate in discussion around the appropriateness </w:t>
      </w:r>
      <w:r w:rsidR="00070E8C">
        <w:rPr>
          <w:rFonts w:ascii="Calibri" w:eastAsia="Times New Roman" w:hAnsi="Calibri" w:cs="Times New Roman"/>
          <w:lang w:eastAsia="zh-CN"/>
        </w:rPr>
        <w:t>of activities (Nielsen, Randall</w:t>
      </w:r>
      <w:r w:rsidRPr="00B60914">
        <w:rPr>
          <w:rFonts w:ascii="Calibri" w:eastAsia="Times New Roman" w:hAnsi="Calibri" w:cs="Times New Roman"/>
          <w:lang w:eastAsia="zh-CN"/>
        </w:rPr>
        <w:t xml:space="preserve"> et al., 2010).  </w:t>
      </w:r>
    </w:p>
    <w:p w14:paraId="54E40B7F"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4B99E1E0" w14:textId="56643B38" w:rsidR="00B60914" w:rsidRPr="00B60914" w:rsidRDefault="00B7614E" w:rsidP="00B7614E">
      <w:pPr>
        <w:pStyle w:val="Thesisheading2"/>
      </w:pPr>
      <w:bookmarkStart w:id="73" w:name="_Toc447183996"/>
      <w:bookmarkStart w:id="74" w:name="_Ref453593517"/>
      <w:bookmarkStart w:id="75" w:name="_Toc468285939"/>
      <w:r>
        <w:t>T</w:t>
      </w:r>
      <w:r w:rsidR="00B60914" w:rsidRPr="00B60914">
        <w:t>he evaluation of organisational interventions</w:t>
      </w:r>
      <w:bookmarkEnd w:id="73"/>
      <w:bookmarkEnd w:id="74"/>
      <w:bookmarkEnd w:id="75"/>
    </w:p>
    <w:p w14:paraId="697B26F0"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3491B9DA" w14:textId="0CC2D9A0"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Typically, researchers evaluate interventions in terms of their effect on specific outcomes through employing appropriate statistical techniques. For example, significant differences in outcome variables between control intervention groups may be investigated as well as relationships between variables. Less reported, however, are evaluations of the process of implementing interventions, yet a growing body of research promotes the combination of both effect and process evaluati</w:t>
      </w:r>
      <w:r w:rsidR="00D57101">
        <w:rPr>
          <w:rFonts w:ascii="Calibri" w:eastAsia="Times New Roman" w:hAnsi="Calibri" w:cs="Times New Roman"/>
          <w:lang w:eastAsia="zh-CN"/>
        </w:rPr>
        <w:t>ons (e.g. Griffiths, 1999; Egan, Bambra, Petticrew &amp; Whitehead,</w:t>
      </w:r>
      <w:r w:rsidRPr="00B60914">
        <w:rPr>
          <w:rFonts w:ascii="Calibri" w:eastAsia="Times New Roman" w:hAnsi="Calibri" w:cs="Times New Roman"/>
          <w:lang w:eastAsia="zh-CN"/>
        </w:rPr>
        <w:t xml:space="preserve"> 2009; Murta</w:t>
      </w:r>
      <w:r w:rsidR="00E067D9">
        <w:rPr>
          <w:rFonts w:ascii="Calibri" w:eastAsia="Times New Roman" w:hAnsi="Calibri" w:cs="Times New Roman"/>
          <w:lang w:eastAsia="zh-CN"/>
        </w:rPr>
        <w:t>, Sanderson &amp; Oldenburg</w:t>
      </w:r>
      <w:r w:rsidRPr="00B60914">
        <w:rPr>
          <w:rFonts w:ascii="Calibri" w:eastAsia="Times New Roman" w:hAnsi="Calibri" w:cs="Times New Roman"/>
          <w:lang w:eastAsia="zh-CN"/>
        </w:rPr>
        <w:t xml:space="preserve"> 2007; Nielsen, Taris et al., 2010). A process evaluation refers to the discussion of factors associated with intervention implementation, and which may have affected the success of the intervention, highlighting the importance of recording such factors during the implementation phase. Factors considered by process evaluations are numerous, and may include (e.g. see Coffeng</w:t>
      </w:r>
      <w:r w:rsidR="00A66EA6">
        <w:rPr>
          <w:rFonts w:ascii="Calibri" w:eastAsia="Times New Roman" w:hAnsi="Calibri" w:cs="Times New Roman"/>
          <w:lang w:eastAsia="zh-CN"/>
        </w:rPr>
        <w:t>, Hendr</w:t>
      </w:r>
      <w:r w:rsidR="00070E8C">
        <w:rPr>
          <w:rFonts w:ascii="Calibri" w:eastAsia="Times New Roman" w:hAnsi="Calibri" w:cs="Times New Roman"/>
          <w:lang w:eastAsia="zh-CN"/>
        </w:rPr>
        <w:t>i</w:t>
      </w:r>
      <w:r w:rsidR="00A66EA6">
        <w:rPr>
          <w:rFonts w:ascii="Calibri" w:eastAsia="Times New Roman" w:hAnsi="Calibri" w:cs="Times New Roman"/>
          <w:lang w:eastAsia="zh-CN"/>
        </w:rPr>
        <w:t xml:space="preserve">ksen, van </w:t>
      </w:r>
      <w:r w:rsidR="00A66EA6">
        <w:rPr>
          <w:rFonts w:ascii="Calibri" w:eastAsia="Times New Roman" w:hAnsi="Calibri" w:cs="Times New Roman"/>
          <w:lang w:eastAsia="zh-CN"/>
        </w:rPr>
        <w:lastRenderedPageBreak/>
        <w:t>Mechelen, &amp; Boot,</w:t>
      </w:r>
      <w:r w:rsidRPr="00B60914">
        <w:rPr>
          <w:rFonts w:ascii="Calibri" w:eastAsia="Times New Roman" w:hAnsi="Calibri" w:cs="Times New Roman"/>
          <w:lang w:eastAsia="zh-CN"/>
        </w:rPr>
        <w:t xml:space="preserve"> 2013; Strijk</w:t>
      </w:r>
      <w:r w:rsidR="007719CD">
        <w:rPr>
          <w:rFonts w:ascii="Calibri" w:eastAsia="Times New Roman" w:hAnsi="Calibri" w:cs="Times New Roman"/>
          <w:lang w:eastAsia="zh-CN"/>
        </w:rPr>
        <w:t>, Proper, van der Beek, &amp; van Mechelen</w:t>
      </w:r>
      <w:r w:rsidRPr="00B60914">
        <w:rPr>
          <w:rFonts w:ascii="Calibri" w:eastAsia="Times New Roman" w:hAnsi="Calibri" w:cs="Times New Roman"/>
          <w:lang w:eastAsia="zh-CN"/>
        </w:rPr>
        <w:t xml:space="preserve">, 2011): the context (e.g. organisational factors and manager support which may have affected intervention implementation); recruitment (how participants were actually recruited, not just how it was intended that they be recruited); dose delivered and received (whether all intended recipients of the intervention received the intervention and the frequency of use of each intervention component by each participant); fidelity (whether or not the intervention was implemented according to plan); reach (the number or percentage of participants who attended or used the intervention / intervention components a given amount of times); employee satisfaction with the intervention; and participant perceptions of barriers to the successful implementation of interventions.   </w:t>
      </w:r>
    </w:p>
    <w:p w14:paraId="5593B2EA"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1E43A93B" w14:textId="7CAB8D05"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Process evaluations are important for investigating the </w:t>
      </w:r>
      <w:r w:rsidRPr="00B60914">
        <w:rPr>
          <w:rFonts w:ascii="Calibri" w:eastAsia="Times New Roman" w:hAnsi="Calibri" w:cs="Times New Roman"/>
          <w:i/>
          <w:lang w:eastAsia="zh-CN"/>
        </w:rPr>
        <w:t>reasons</w:t>
      </w:r>
      <w:r w:rsidRPr="00B60914">
        <w:rPr>
          <w:rFonts w:ascii="Calibri" w:eastAsia="Times New Roman" w:hAnsi="Calibri" w:cs="Times New Roman"/>
          <w:lang w:eastAsia="zh-CN"/>
        </w:rPr>
        <w:t xml:space="preserve"> for the effectiveness, or otherwise, of interventions, that is, they provide insight into </w:t>
      </w:r>
      <w:r w:rsidRPr="00B60914">
        <w:rPr>
          <w:rFonts w:ascii="Calibri" w:eastAsia="Times New Roman" w:hAnsi="Calibri" w:cs="Times New Roman"/>
          <w:i/>
          <w:lang w:eastAsia="zh-CN"/>
        </w:rPr>
        <w:t>how</w:t>
      </w:r>
      <w:r w:rsidRPr="00B60914">
        <w:rPr>
          <w:rFonts w:ascii="Calibri" w:eastAsia="Times New Roman" w:hAnsi="Calibri" w:cs="Times New Roman"/>
          <w:lang w:eastAsia="zh-CN"/>
        </w:rPr>
        <w:t xml:space="preserve"> interventions work, not just </w:t>
      </w:r>
      <w:r w:rsidRPr="00B60914">
        <w:rPr>
          <w:rFonts w:ascii="Calibri" w:eastAsia="Times New Roman" w:hAnsi="Calibri" w:cs="Times New Roman"/>
          <w:i/>
          <w:lang w:eastAsia="zh-CN"/>
        </w:rPr>
        <w:t>whether</w:t>
      </w:r>
      <w:r w:rsidRPr="00B60914">
        <w:rPr>
          <w:rFonts w:ascii="Calibri" w:eastAsia="Times New Roman" w:hAnsi="Calibri" w:cs="Times New Roman"/>
          <w:lang w:eastAsia="zh-CN"/>
        </w:rPr>
        <w:t xml:space="preserve"> interventions work (Griffiths, 1999). They are also important for guarding against erroneous attributions for failure. Many of the studies discussed in the literature review in Chapter 2 reported at least a partial failure to create the desired results. While several speculated that vague construct definitions coupled with inadequate operationalisation may have been to blame, few discussed how difficulties implementing interventions may have had an effect on their effectiveness. Such difficulties included high levels of attrition, poor attendance and compliance, lack of support from managers for the intervention, and contextual issues, such as mergers and structural reorganisations. In the absence of a process evaluation, it may be </w:t>
      </w:r>
      <w:r w:rsidR="003A62DA">
        <w:rPr>
          <w:rFonts w:ascii="Calibri" w:eastAsia="Times New Roman" w:hAnsi="Calibri" w:cs="Times New Roman"/>
          <w:lang w:eastAsia="zh-CN"/>
        </w:rPr>
        <w:t xml:space="preserve">simply </w:t>
      </w:r>
      <w:r w:rsidRPr="00B60914">
        <w:rPr>
          <w:rFonts w:ascii="Calibri" w:eastAsia="Times New Roman" w:hAnsi="Calibri" w:cs="Times New Roman"/>
          <w:lang w:eastAsia="zh-CN"/>
        </w:rPr>
        <w:t xml:space="preserve">assumed that the intervention doesn’t work, or that the study design is at fault, that inappropriate populations were targeted, inappropriate measures employed, or insufficient time allowed for the intervention to be effective. In reality, it may be that contextual issues, such as a merger, structural reorganisation, or downsizing, were at play. These are frequently occurring factors of today’s organisations, therefore it is perhaps naive to expect intervention studies to be unaffected by such factors, and unrealistic to expect to be able to evaluate them without considering the impact of such factors. </w:t>
      </w:r>
    </w:p>
    <w:p w14:paraId="24BFF754"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73802283" w14:textId="50B0BABC"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More recently, Nielsen (2013) acknowledged the growing trend of organisational intervention research to adopt participatory designs in which participants are encouraged to work collaboratively to design, develop, implement, a</w:t>
      </w:r>
      <w:r w:rsidR="007A46AB">
        <w:rPr>
          <w:rFonts w:ascii="Calibri" w:eastAsia="Times New Roman" w:hAnsi="Calibri" w:cs="Times New Roman"/>
          <w:lang w:eastAsia="zh-CN"/>
        </w:rPr>
        <w:t>nd evaluate interventions (see C</w:t>
      </w:r>
      <w:r w:rsidRPr="00B60914">
        <w:rPr>
          <w:rFonts w:ascii="Calibri" w:eastAsia="Times New Roman" w:hAnsi="Calibri" w:cs="Times New Roman"/>
          <w:lang w:eastAsia="zh-CN"/>
        </w:rPr>
        <w:t>hapter 4). She suggested that process evaluations involving simple checklists recording factors such as dose delivered, reach, and fidelity, (e.g. see Egan</w:t>
      </w:r>
      <w:r w:rsidR="00D57101">
        <w:rPr>
          <w:rFonts w:ascii="Calibri" w:eastAsia="Times New Roman" w:hAnsi="Calibri" w:cs="Times New Roman"/>
          <w:lang w:eastAsia="zh-CN"/>
        </w:rPr>
        <w:t xml:space="preserve"> et al.</w:t>
      </w:r>
      <w:r w:rsidRPr="00B60914">
        <w:rPr>
          <w:rFonts w:ascii="Calibri" w:eastAsia="Times New Roman" w:hAnsi="Calibri" w:cs="Times New Roman"/>
          <w:lang w:eastAsia="zh-CN"/>
        </w:rPr>
        <w:t xml:space="preserve">, 2009, and Murta </w:t>
      </w:r>
      <w:r w:rsidR="00395453">
        <w:rPr>
          <w:rFonts w:ascii="Calibri" w:eastAsia="Times New Roman" w:hAnsi="Calibri" w:cs="Times New Roman"/>
          <w:lang w:eastAsia="zh-CN"/>
        </w:rPr>
        <w:t>et al.</w:t>
      </w:r>
      <w:r w:rsidRPr="00B60914">
        <w:rPr>
          <w:rFonts w:ascii="Calibri" w:eastAsia="Times New Roman" w:hAnsi="Calibri" w:cs="Times New Roman"/>
          <w:lang w:eastAsia="zh-CN"/>
        </w:rPr>
        <w:t xml:space="preserve">, 2007), are not sufficient to evaluate these participatory designs. In particular, Nielsen (2013) argues that such checklists view individuals as ‘passive recipients’ of the intervention, capturing merely the reactions of employees to intervention activities and failing to capture </w:t>
      </w:r>
      <w:r w:rsidRPr="00B60914">
        <w:rPr>
          <w:rFonts w:ascii="Calibri" w:eastAsia="Times New Roman" w:hAnsi="Calibri" w:cs="Times New Roman"/>
          <w:i/>
          <w:lang w:eastAsia="zh-CN"/>
        </w:rPr>
        <w:t>how</w:t>
      </w:r>
      <w:r w:rsidRPr="00B60914">
        <w:rPr>
          <w:rFonts w:ascii="Calibri" w:eastAsia="Times New Roman" w:hAnsi="Calibri" w:cs="Times New Roman"/>
          <w:lang w:eastAsia="zh-CN"/>
        </w:rPr>
        <w:t xml:space="preserve"> and </w:t>
      </w:r>
      <w:r w:rsidRPr="00B60914">
        <w:rPr>
          <w:rFonts w:ascii="Calibri" w:eastAsia="Times New Roman" w:hAnsi="Calibri" w:cs="Times New Roman"/>
          <w:i/>
          <w:lang w:eastAsia="zh-CN"/>
        </w:rPr>
        <w:t>why</w:t>
      </w:r>
      <w:r w:rsidRPr="00B60914">
        <w:rPr>
          <w:rFonts w:ascii="Calibri" w:eastAsia="Times New Roman" w:hAnsi="Calibri" w:cs="Times New Roman"/>
          <w:lang w:eastAsia="zh-CN"/>
        </w:rPr>
        <w:t xml:space="preserve"> participants influenced the effectiveness of the </w:t>
      </w:r>
      <w:r w:rsidRPr="00B60914">
        <w:rPr>
          <w:rFonts w:ascii="Calibri" w:eastAsia="Times New Roman" w:hAnsi="Calibri" w:cs="Times New Roman"/>
          <w:lang w:eastAsia="zh-CN"/>
        </w:rPr>
        <w:lastRenderedPageBreak/>
        <w:t>intervention. In an attempt to overcome this, Nielsen suggests including measures throughout the whole intervention process which indicate the degree of participation of individuals in the planning and implementation phases, and the extent to which individuals reported having an influence on intervention content. Such factors could be measured after each intervention activity or workshop, for example, and may provide a more complete picture of how the intervention worked, or why it was less effective than hoped. Nielsen also acknowledges that while these additional measures may go some way towards a deeper evaluation of the effectiveness of interventions, and continue to allow quantitative assessments of intervention effectiveness, it may be that a qualitative evaluation of ind</w:t>
      </w:r>
      <w:r w:rsidR="003A62DA">
        <w:rPr>
          <w:rFonts w:ascii="Calibri" w:eastAsia="Times New Roman" w:hAnsi="Calibri" w:cs="Times New Roman"/>
          <w:lang w:eastAsia="zh-CN"/>
        </w:rPr>
        <w:t>ividuals’ involvement is</w:t>
      </w:r>
      <w:r w:rsidR="00916C78">
        <w:rPr>
          <w:rFonts w:ascii="Calibri" w:eastAsia="Times New Roman" w:hAnsi="Calibri" w:cs="Times New Roman"/>
          <w:lang w:eastAsia="zh-CN"/>
        </w:rPr>
        <w:t xml:space="preserve"> also </w:t>
      </w:r>
      <w:r w:rsidRPr="00B60914">
        <w:rPr>
          <w:rFonts w:ascii="Calibri" w:eastAsia="Times New Roman" w:hAnsi="Calibri" w:cs="Times New Roman"/>
          <w:lang w:eastAsia="zh-CN"/>
        </w:rPr>
        <w:t xml:space="preserve">necessary to explore in more depth how and why participation affected intervention effectiveness. This could be achieved through interviews, for example. Such detailed evaluations may highlight where participation is low and where increasing it might positively alter intervention outcomes.  </w:t>
      </w:r>
    </w:p>
    <w:p w14:paraId="15B8E2FE"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70E8F739" w14:textId="77777777"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In summary, qualitative process evaluations offer a means of systematically recording and evaluating a whole range of information pertaining to the process of implementing an intervention, increasing the reliability and validity of studies, and promoting the understanding of how and why interventions work. Given these persuasive arguments, it is not surprising that a growing number of researchers advocate their inclusion alongside more traditional, quantitative effect evaluations as a matter of course and a way of moving intervention research forward (e.g. Briner &amp; Walshe, 2015; Nielsen, Taris et al., 2010; Nielsen, Randall et al., 2010). </w:t>
      </w:r>
    </w:p>
    <w:p w14:paraId="34613474" w14:textId="77777777"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 </w:t>
      </w:r>
    </w:p>
    <w:p w14:paraId="10260B9A" w14:textId="3E2D35D5" w:rsid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The value of a process evaluation extends beyond the individual study. Understanding how the implementation of an intervention may have affected its effectiveness, either positively or negatively, is useful for studies intending to replicate that intervention in the future. However, the information contained in a process evaluation may also be compared and contrasted between studies and provide insight into how intervention implementation may impact intervention effectiveness across a range of different interventions and a variety of different settings. Both common problems and successful strategies may be identified which could pave the way for developing more effective interventions in the future and deepen knowledge about how interventions work. In essence, it is probable that there is much that could be learnt from assimilating and evaluating the information contained in process evaluations across a number of studies. Study 1 builds on this logic by conducting a systematic narrative review and meta-analysis of interventions designed to increase work engagement.</w:t>
      </w:r>
    </w:p>
    <w:p w14:paraId="6776EF83" w14:textId="77777777" w:rsidR="00A8707E" w:rsidRPr="00B60914" w:rsidRDefault="00A8707E" w:rsidP="00B60914">
      <w:pPr>
        <w:spacing w:after="200" w:line="360" w:lineRule="auto"/>
        <w:contextualSpacing/>
        <w:rPr>
          <w:rFonts w:ascii="Calibri" w:eastAsia="Times New Roman" w:hAnsi="Calibri" w:cs="Times New Roman"/>
          <w:lang w:eastAsia="zh-CN"/>
        </w:rPr>
      </w:pPr>
    </w:p>
    <w:p w14:paraId="41D475B0" w14:textId="591F4140" w:rsidR="00B60914" w:rsidRPr="00B60914" w:rsidRDefault="00B60914" w:rsidP="00B7614E">
      <w:pPr>
        <w:pStyle w:val="Thesisheading2"/>
      </w:pPr>
      <w:bookmarkStart w:id="76" w:name="_Toc447183997"/>
      <w:bookmarkStart w:id="77" w:name="_Toc468285940"/>
      <w:r w:rsidRPr="00B60914">
        <w:lastRenderedPageBreak/>
        <w:t>Summary and conclusion</w:t>
      </w:r>
      <w:bookmarkEnd w:id="76"/>
      <w:bookmarkEnd w:id="77"/>
    </w:p>
    <w:p w14:paraId="0EB3BC5A"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204D9340" w14:textId="629D4091"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The arguments presented here suggest that homogenous intervention designs may not be appropriate in applied research settings, where many factors need to be considered. Although the interventions discussed in Chapter 2 were </w:t>
      </w:r>
      <w:r w:rsidR="00822D31">
        <w:rPr>
          <w:rFonts w:ascii="Calibri" w:eastAsia="Times New Roman" w:hAnsi="Calibri" w:cs="Times New Roman"/>
          <w:lang w:eastAsia="zh-CN"/>
        </w:rPr>
        <w:t>heterogeneous</w:t>
      </w:r>
      <w:r w:rsidRPr="00B60914">
        <w:rPr>
          <w:rFonts w:ascii="Calibri" w:eastAsia="Times New Roman" w:hAnsi="Calibri" w:cs="Times New Roman"/>
          <w:lang w:eastAsia="zh-CN"/>
        </w:rPr>
        <w:t xml:space="preserve"> in terms of design, it did not appear that many had reflected on whether the particular research design employed was appropriate for the specific context and research setting in which it was applied. Neither had many considered how the dynamic nature of organisations and research contexts may have impacted on the implementation of the particular research design employed. Yet at the employee level, individuals may vary according to characteristics, experiences, job roles and motivation to participate in an intervention whereas at the organisation level, individual organisations may vary according to sector, size, geographical location, culture, and management strategies. At a contextual level, individual organisations may vary still further, with different economic climates and / or governmental regulations exerting pressure. These are all factors which are likely to be impossible to control, and in light of which it makes sense to tailor interventions to the specific needs and contexts of individual organisations. Briner an</w:t>
      </w:r>
      <w:r w:rsidR="00707623">
        <w:rPr>
          <w:rFonts w:ascii="Calibri" w:eastAsia="Times New Roman" w:hAnsi="Calibri" w:cs="Times New Roman"/>
          <w:lang w:eastAsia="zh-CN"/>
        </w:rPr>
        <w:t>d Walshe (2015) further suggest</w:t>
      </w:r>
      <w:r w:rsidRPr="00B60914">
        <w:rPr>
          <w:rFonts w:ascii="Calibri" w:eastAsia="Times New Roman" w:hAnsi="Calibri" w:cs="Times New Roman"/>
          <w:lang w:eastAsia="zh-CN"/>
        </w:rPr>
        <w:t xml:space="preserve"> that the evidence-base for intervention</w:t>
      </w:r>
      <w:r w:rsidR="00707623">
        <w:rPr>
          <w:rFonts w:ascii="Calibri" w:eastAsia="Times New Roman" w:hAnsi="Calibri" w:cs="Times New Roman"/>
          <w:lang w:eastAsia="zh-CN"/>
        </w:rPr>
        <w:t>s needs to be considered, with</w:t>
      </w:r>
      <w:r w:rsidRPr="00B60914">
        <w:rPr>
          <w:rFonts w:ascii="Calibri" w:eastAsia="Times New Roman" w:hAnsi="Calibri" w:cs="Times New Roman"/>
          <w:lang w:eastAsia="zh-CN"/>
        </w:rPr>
        <w:t xml:space="preserve"> particular focus on whether there is a need for the intervention in the organisation and designing an intervention according to what the evidence suggests will be effective. He outlines 11 key characteristics which interventions are likely to need to fulfil in order to be effective and enable robust conclusions to be drawn. </w:t>
      </w:r>
    </w:p>
    <w:p w14:paraId="5B16CDD3"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21509519" w14:textId="56A9B4CC" w:rsidR="00A8707E"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Nielsen, Randall et al. (2010) suggest several other ways in which researchers can promote the effectiveness of interventions, such as by gaining participant, manager</w:t>
      </w:r>
      <w:r w:rsidR="00707623">
        <w:rPr>
          <w:rFonts w:ascii="Calibri" w:eastAsia="Times New Roman" w:hAnsi="Calibri" w:cs="Times New Roman"/>
          <w:lang w:eastAsia="zh-CN"/>
        </w:rPr>
        <w:t>,</w:t>
      </w:r>
      <w:r w:rsidRPr="00B60914">
        <w:rPr>
          <w:rFonts w:ascii="Calibri" w:eastAsia="Times New Roman" w:hAnsi="Calibri" w:cs="Times New Roman"/>
          <w:lang w:eastAsia="zh-CN"/>
        </w:rPr>
        <w:t xml:space="preserve"> and organisational support</w:t>
      </w:r>
      <w:r w:rsidR="00707623">
        <w:rPr>
          <w:rFonts w:ascii="Calibri" w:eastAsia="Times New Roman" w:hAnsi="Calibri" w:cs="Times New Roman"/>
          <w:lang w:eastAsia="zh-CN"/>
        </w:rPr>
        <w:t>,</w:t>
      </w:r>
      <w:r w:rsidRPr="00B60914">
        <w:rPr>
          <w:rFonts w:ascii="Calibri" w:eastAsia="Times New Roman" w:hAnsi="Calibri" w:cs="Times New Roman"/>
          <w:lang w:eastAsia="zh-CN"/>
        </w:rPr>
        <w:t xml:space="preserve"> and maintaining this throughout the intervention. Crucially, and like other researchers (Murta </w:t>
      </w:r>
      <w:r w:rsidR="00B64DD5">
        <w:rPr>
          <w:rFonts w:ascii="Calibri" w:eastAsia="Times New Roman" w:hAnsi="Calibri" w:cs="Times New Roman"/>
          <w:lang w:eastAsia="zh-CN"/>
        </w:rPr>
        <w:t>et al.,</w:t>
      </w:r>
      <w:r w:rsidRPr="00B60914">
        <w:rPr>
          <w:rFonts w:ascii="Calibri" w:eastAsia="Times New Roman" w:hAnsi="Calibri" w:cs="Times New Roman"/>
          <w:lang w:eastAsia="zh-CN"/>
        </w:rPr>
        <w:t xml:space="preserve"> 2007; Egan</w:t>
      </w:r>
      <w:r w:rsidR="00D57101">
        <w:rPr>
          <w:rFonts w:ascii="Calibri" w:eastAsia="Times New Roman" w:hAnsi="Calibri" w:cs="Times New Roman"/>
          <w:lang w:eastAsia="zh-CN"/>
        </w:rPr>
        <w:t xml:space="preserve"> et al.</w:t>
      </w:r>
      <w:r w:rsidRPr="00B60914">
        <w:rPr>
          <w:rFonts w:ascii="Calibri" w:eastAsia="Times New Roman" w:hAnsi="Calibri" w:cs="Times New Roman"/>
          <w:lang w:eastAsia="zh-CN"/>
        </w:rPr>
        <w:t xml:space="preserve">, 2009), they strongly advocate monitoring and evaluating the implementation, or process, of interventions by recording factors such as the context, fidelity, dose received, dose delivered, and reach. Due to the current trend towards participatory organisational interventions, Nielsen (2013) also argues for additional measures to be incorporated in participatory action research, to reflect the degree of participation and influence that individuals experienced throughout the intervention. This, Nielsen argues, would better enable an in depth evaluation of how and why participatory interventions work. Viewed from this perspective, the value of process evaluations for systematically recording and evaluating the process and implementation of interventions is clear. They enable the reliability and validity of studies to be increased, an understanding of how interventions work to be explored, and the transferability of interventions to other settings. A combined quantitative effect evaluation and qualitative process evaluation of the </w:t>
      </w:r>
      <w:r w:rsidRPr="00B60914">
        <w:rPr>
          <w:rFonts w:ascii="Calibri" w:eastAsia="Times New Roman" w:hAnsi="Calibri" w:cs="Times New Roman"/>
          <w:lang w:eastAsia="zh-CN"/>
        </w:rPr>
        <w:lastRenderedPageBreak/>
        <w:t>research findings is therefore likely to be an effective way of moving work engagement intervention research forward. This rationale provides the basis for study 1, the aims and objectives of which will now be discussed.</w:t>
      </w:r>
    </w:p>
    <w:p w14:paraId="674225EF" w14:textId="77777777" w:rsidR="00A8707E" w:rsidRPr="00B60914" w:rsidRDefault="00A8707E" w:rsidP="00B60914">
      <w:pPr>
        <w:spacing w:after="200" w:line="360" w:lineRule="auto"/>
        <w:contextualSpacing/>
        <w:rPr>
          <w:rFonts w:ascii="Calibri" w:eastAsia="Times New Roman" w:hAnsi="Calibri" w:cs="Times New Roman"/>
          <w:lang w:eastAsia="zh-CN"/>
        </w:rPr>
      </w:pPr>
    </w:p>
    <w:p w14:paraId="618F8045" w14:textId="23B300D6" w:rsidR="00B60914" w:rsidRPr="00B60914" w:rsidRDefault="00B60914" w:rsidP="00B7614E">
      <w:pPr>
        <w:pStyle w:val="Thesisheading2"/>
      </w:pPr>
      <w:bookmarkStart w:id="78" w:name="_Toc447183998"/>
      <w:bookmarkStart w:id="79" w:name="_Toc468285941"/>
      <w:bookmarkStart w:id="80" w:name="_Toc408827370"/>
      <w:r w:rsidRPr="00B60914">
        <w:t>Study 1 aims</w:t>
      </w:r>
      <w:bookmarkEnd w:id="78"/>
      <w:bookmarkEnd w:id="79"/>
      <w:r w:rsidRPr="00B60914">
        <w:t xml:space="preserve"> </w:t>
      </w:r>
      <w:bookmarkEnd w:id="80"/>
    </w:p>
    <w:p w14:paraId="5938B8EC"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701B181D" w14:textId="2435DA70"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The emergence of a number of work engagement interventions (discussed in Chapter 2) suggests that a thorough systematic search to uncover as many of these interventions as possible, and a review to explore their effectiveness, is timely. Such a review could direct future research and contribute towards the developing evidence base. However, while perhaps necessary, </w:t>
      </w:r>
      <w:r w:rsidRPr="00B60914">
        <w:rPr>
          <w:rFonts w:ascii="Calibri" w:eastAsia="Calibri" w:hAnsi="Calibri" w:cs="Times New Roman"/>
        </w:rPr>
        <w:t>the large variation in study design, participant characteristics</w:t>
      </w:r>
      <w:r w:rsidR="009F5F21">
        <w:rPr>
          <w:rFonts w:ascii="Calibri" w:eastAsia="Calibri" w:hAnsi="Calibri" w:cs="Times New Roman"/>
        </w:rPr>
        <w:t>,</w:t>
      </w:r>
      <w:r w:rsidRPr="00B60914">
        <w:rPr>
          <w:rFonts w:ascii="Calibri" w:eastAsia="Calibri" w:hAnsi="Calibri" w:cs="Times New Roman"/>
        </w:rPr>
        <w:t xml:space="preserve"> and variables measured hinders the ability to generalise results across studies or determine which methods, if any, are effective and worth investigating further. </w:t>
      </w:r>
      <w:r w:rsidR="00707623">
        <w:rPr>
          <w:rFonts w:ascii="Calibri" w:eastAsia="Times New Roman" w:hAnsi="Calibri" w:cs="Times New Roman"/>
          <w:lang w:eastAsia="zh-CN"/>
        </w:rPr>
        <w:t>The aim of S</w:t>
      </w:r>
      <w:r w:rsidRPr="00B60914">
        <w:rPr>
          <w:rFonts w:ascii="Calibri" w:eastAsia="Times New Roman" w:hAnsi="Calibri" w:cs="Times New Roman"/>
          <w:lang w:eastAsia="zh-CN"/>
        </w:rPr>
        <w:t xml:space="preserve">tudy 1 is therefore to narratively and systematically review the evidence for the effectiveness of work engagement interventions, and </w:t>
      </w:r>
      <w:r w:rsidR="00707623">
        <w:rPr>
          <w:rFonts w:ascii="Calibri" w:eastAsia="Times New Roman" w:hAnsi="Calibri" w:cs="Times New Roman"/>
          <w:lang w:eastAsia="zh-CN"/>
        </w:rPr>
        <w:t xml:space="preserve">to </w:t>
      </w:r>
      <w:r w:rsidRPr="00B60914">
        <w:rPr>
          <w:rFonts w:ascii="Calibri" w:eastAsia="Times New Roman" w:hAnsi="Calibri" w:cs="Times New Roman"/>
          <w:lang w:eastAsia="zh-CN"/>
        </w:rPr>
        <w:t>statistically meta-analyse those studies for which it is methodologically appropriate to do so. The first question addressed by this study is therefore:</w:t>
      </w:r>
    </w:p>
    <w:p w14:paraId="5A78FD54"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6E9B75D3" w14:textId="151100CA"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i/>
          <w:lang w:eastAsia="zh-CN"/>
        </w:rPr>
        <w:t xml:space="preserve">Aim 1: </w:t>
      </w:r>
      <w:r w:rsidRPr="00B60914">
        <w:rPr>
          <w:rFonts w:ascii="Calibri" w:eastAsia="Times New Roman" w:hAnsi="Calibri" w:cs="Times New Roman"/>
          <w:lang w:eastAsia="zh-CN"/>
        </w:rPr>
        <w:t>Are work engagement interventions effective?</w:t>
      </w:r>
    </w:p>
    <w:p w14:paraId="5D041896"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013012EE" w14:textId="2B6D2FD2" w:rsidR="00B60914" w:rsidRPr="00B60914" w:rsidRDefault="00B60914" w:rsidP="00B60914">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Given the variety of interventions emerging, and the different mechanisms by which each is purported to increase work engagement, it is possible that intervention effectiveness will be moderated by intervention type. A recent meta-analysis in the related field of burnout found that cognitive behavioural techniques were more effective for decreasing exhaustion (a subcomponent of burnout) than other types of intervention (</w:t>
      </w:r>
      <w:r w:rsidR="00E067D9" w:rsidRPr="00C53B72">
        <w:t>Maricuţoiu</w:t>
      </w:r>
      <w:r w:rsidRPr="00B60914">
        <w:rPr>
          <w:rFonts w:ascii="Calibri" w:eastAsia="Times New Roman" w:hAnsi="Calibri" w:cs="Times New Roman"/>
          <w:lang w:eastAsia="zh-CN"/>
        </w:rPr>
        <w:t>, Sava &amp; Butta, 2014). Another review also found significant differences in the effectiveness of different types of interventions in reducing stress (Richardson &amp; Rothstein, 2008). The following question w</w:t>
      </w:r>
      <w:r w:rsidR="0068410B">
        <w:rPr>
          <w:rFonts w:ascii="Calibri" w:eastAsia="Times New Roman" w:hAnsi="Calibri" w:cs="Times New Roman"/>
          <w:lang w:eastAsia="zh-CN"/>
        </w:rPr>
        <w:t>ill therefore also be explored:</w:t>
      </w:r>
    </w:p>
    <w:p w14:paraId="2C52DF2C"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024862FF" w14:textId="77777777" w:rsidR="00B60914" w:rsidRPr="00B60914" w:rsidRDefault="00B60914" w:rsidP="00B60914">
      <w:pPr>
        <w:spacing w:after="200" w:line="360" w:lineRule="auto"/>
        <w:contextualSpacing/>
        <w:rPr>
          <w:rFonts w:ascii="Calibri" w:eastAsia="Times New Roman" w:hAnsi="Calibri" w:cs="Times New Roman"/>
          <w:i/>
          <w:lang w:eastAsia="zh-CN"/>
        </w:rPr>
      </w:pPr>
      <w:r w:rsidRPr="00B60914">
        <w:rPr>
          <w:rFonts w:ascii="Calibri" w:eastAsia="Times New Roman" w:hAnsi="Calibri" w:cs="Times New Roman"/>
          <w:i/>
          <w:lang w:eastAsia="zh-CN"/>
        </w:rPr>
        <w:t>Aim 2:</w:t>
      </w:r>
      <w:r w:rsidRPr="00B60914">
        <w:rPr>
          <w:rFonts w:ascii="Calibri" w:eastAsia="Times New Roman" w:hAnsi="Calibri" w:cs="Times New Roman"/>
          <w:lang w:eastAsia="zh-CN"/>
        </w:rPr>
        <w:t xml:space="preserve"> Is intervention type related to intervention effectiveness?</w:t>
      </w:r>
    </w:p>
    <w:p w14:paraId="2E0A7E9B"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390B60AF" w14:textId="20D8279F" w:rsidR="007A46AB" w:rsidRDefault="00B60914" w:rsidP="00A8707E">
      <w:pPr>
        <w:spacing w:after="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Both a narrative systematic review and meta-analysis are important for answering these questions. </w:t>
      </w:r>
    </w:p>
    <w:p w14:paraId="1F74C93E" w14:textId="3AFAAFFB" w:rsidR="00A447F6" w:rsidRDefault="00A447F6">
      <w:pPr>
        <w:spacing w:after="160"/>
        <w:rPr>
          <w:rFonts w:ascii="Calibri" w:eastAsia="Calibri" w:hAnsi="Calibri" w:cs="Times New Roman"/>
        </w:rPr>
      </w:pPr>
      <w:r>
        <w:rPr>
          <w:rFonts w:ascii="Calibri" w:eastAsia="Calibri" w:hAnsi="Calibri" w:cs="Times New Roman"/>
        </w:rPr>
        <w:br w:type="page"/>
      </w:r>
    </w:p>
    <w:p w14:paraId="0488E99A" w14:textId="701C2DF9" w:rsidR="00B60914" w:rsidRPr="00381B7C" w:rsidRDefault="00B60914" w:rsidP="0009618B">
      <w:pPr>
        <w:pStyle w:val="Heading3"/>
        <w:rPr>
          <w:bCs/>
        </w:rPr>
      </w:pPr>
      <w:bookmarkStart w:id="81" w:name="_Toc447183999"/>
      <w:bookmarkStart w:id="82" w:name="_Toc468285942"/>
      <w:r w:rsidRPr="00381B7C">
        <w:lastRenderedPageBreak/>
        <w:t>The benefits of a combined narrative systematic review and meta-analysis</w:t>
      </w:r>
      <w:bookmarkEnd w:id="81"/>
      <w:bookmarkEnd w:id="82"/>
    </w:p>
    <w:p w14:paraId="13766C20" w14:textId="77777777" w:rsidR="00B60914" w:rsidRPr="00B60914" w:rsidRDefault="00B60914" w:rsidP="00B60914">
      <w:pPr>
        <w:spacing w:before="200" w:line="360" w:lineRule="auto"/>
        <w:contextualSpacing/>
        <w:rPr>
          <w:rFonts w:ascii="Calibri" w:eastAsia="Calibri" w:hAnsi="Calibri" w:cs="Times New Roman"/>
        </w:rPr>
      </w:pPr>
    </w:p>
    <w:p w14:paraId="411EBD6C" w14:textId="30E46B09"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t>A narrative systematic review (SR) is one in which findings from a traditional SR are summarised and synthesised using words (Jackson, 2006), whereas meta-analysis refers to the statistical combination of the results of two or more studies to provide an overall estimate of the effect of interest (Klassen, Jadad, &amp; Moher, 1998). A narrative SR is particularly useful for synthesising results when the diversity of studies included in a review is too large, or the quality too poor, to enable quantitative synthesis via meta-analysis. Some interventions may not be of sufficient quality to be incorporated into a meta-analysis, however, retaining them in a wider narrative review enables the inclusion of potentially rich information and guards against selection bias.</w:t>
      </w:r>
    </w:p>
    <w:p w14:paraId="5355C21B" w14:textId="77777777" w:rsidR="00B60914" w:rsidRPr="00B60914" w:rsidRDefault="00B60914" w:rsidP="00B60914">
      <w:pPr>
        <w:spacing w:before="200" w:line="360" w:lineRule="auto"/>
        <w:contextualSpacing/>
        <w:rPr>
          <w:rFonts w:ascii="Calibri" w:eastAsia="Calibri" w:hAnsi="Calibri" w:cs="Times New Roman"/>
        </w:rPr>
      </w:pPr>
    </w:p>
    <w:p w14:paraId="1C0478E7" w14:textId="123E82D3"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t xml:space="preserve">As described above, a narrative review is especially useful for exploring qualitative evidence concerning the process and implementation of interventions, and enables the extent of internal validity to be assessed (Moncher &amp; Prinz, 1991). Such information cannot be explored via the statistical technique of meta-analysis but is vital for determining the extent to which intervention effectiveness may have been affected by factors such as poor implementation, poor participation of employees, or poor conceptualisation of the underlying theory (Jackson, 2006). Without considering such information, and relying purely on meta-analytic results, erroneous conclusions may be drawn. For example, </w:t>
      </w:r>
      <w:r w:rsidR="00E067D9" w:rsidRPr="00C53B72">
        <w:t>Maricuţoiu</w:t>
      </w:r>
      <w:r w:rsidRPr="00B60914">
        <w:rPr>
          <w:rFonts w:ascii="Calibri" w:eastAsia="Calibri" w:hAnsi="Calibri" w:cs="Times New Roman"/>
        </w:rPr>
        <w:t xml:space="preserve"> et al</w:t>
      </w:r>
      <w:r w:rsidR="008F6182">
        <w:rPr>
          <w:rFonts w:ascii="Calibri" w:eastAsia="Calibri" w:hAnsi="Calibri" w:cs="Times New Roman"/>
        </w:rPr>
        <w:t>.</w:t>
      </w:r>
      <w:r w:rsidRPr="00B60914">
        <w:rPr>
          <w:rFonts w:ascii="Calibri" w:eastAsia="Calibri" w:hAnsi="Calibri" w:cs="Times New Roman"/>
        </w:rPr>
        <w:t xml:space="preserve"> (2014) conducted a meta-analysis which found a small effect of controlled interventions on employees’ burnout. While cognitive-behavioural and relaxation interventions were effective for reducing emotional exhaustion, no effect of any type of intervention was observed on the depersonalisation and personal accomplishment subcomponents of burnout. The authors concluded that tailored burnout interventions needed to be developed. However, the study did not investigate the fidelity of the interventions, therefore it is possible that effects were not observed due to interventions being poorly implemented. The absence of an in-depth quality assessment, or ‘process’ review, demonstrates that lack of intervention effect may be erroneously attributed to factors such as intervention type, style (e.g. whether conducted in a group or one-to-one), or design (e.g. randomised or not), whereas an assessment may reveal factors contributing to a lack of effectiveness, such as high dropout rates, poor participant attendance or an inability to schedule the intervention as planned. Therefore, it is proposed that a narrative synthesis of the systematic review results will be necessary to fully explore the effectiveness of work engagement intervention studies and assess their quality.</w:t>
      </w:r>
    </w:p>
    <w:p w14:paraId="729EE964" w14:textId="77777777" w:rsidR="00B60914" w:rsidRPr="00B60914" w:rsidRDefault="00B60914" w:rsidP="00B60914">
      <w:pPr>
        <w:spacing w:before="200" w:line="360" w:lineRule="auto"/>
        <w:contextualSpacing/>
        <w:rPr>
          <w:rFonts w:ascii="Calibri" w:eastAsia="Calibri" w:hAnsi="Calibri" w:cs="Times New Roman"/>
        </w:rPr>
      </w:pPr>
    </w:p>
    <w:p w14:paraId="556C995D" w14:textId="1D5C6CED"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lastRenderedPageBreak/>
        <w:t>Meta-analysis is a type of systematic review which is particularly useful for synthesising results when the included studies are less diverse, and their quality is higher. It enables an objective synthesis of results pertaining to one or more outcomes and, in the case of intervention effectiveness, the strength of the effects observed may indicate the extent to which an intervention is of practical significance (Uman, 2011). In addition, therefore, a narrower subset of studies meeting certain methodological criteria will also be quantitatively analysed using meta-analysis.</w:t>
      </w:r>
    </w:p>
    <w:p w14:paraId="42445E53" w14:textId="77777777" w:rsidR="00B60914" w:rsidRPr="00B60914" w:rsidRDefault="00B60914" w:rsidP="00B60914">
      <w:pPr>
        <w:spacing w:before="200" w:line="360" w:lineRule="auto"/>
        <w:contextualSpacing/>
        <w:rPr>
          <w:rFonts w:ascii="Calibri" w:eastAsia="Calibri" w:hAnsi="Calibri" w:cs="Times New Roman"/>
        </w:rPr>
      </w:pPr>
    </w:p>
    <w:p w14:paraId="53E37250" w14:textId="47B15C76"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t>Given the unique advantages of the two methods, it is surprising that organisational psychology journals rarely, if at all, publish a combined narrative SR and meta-analysis. However, within related fields such as health promotion and public health research, some consideration of process evaluations is not unusual. For example, The Cochrane Collaboration strongly promotes qualitative assessment of the quality of interventions and only publishes systematic reviews and meta-analyses which have done so. They advocate the completion of a risk of bias t</w:t>
      </w:r>
      <w:r w:rsidR="00C13456">
        <w:rPr>
          <w:rFonts w:ascii="Calibri" w:eastAsia="Calibri" w:hAnsi="Calibri" w:cs="Times New Roman"/>
        </w:rPr>
        <w:t>ool</w:t>
      </w:r>
      <w:r w:rsidRPr="00B60914">
        <w:rPr>
          <w:rFonts w:ascii="Calibri" w:eastAsia="Calibri" w:hAnsi="Calibri" w:cs="Times New Roman"/>
        </w:rPr>
        <w:t xml:space="preserve"> addressing factors specific to internal validity as well as promoting the narrative discussion of a broader set of factors (see Higgins, Altman &amp; Sterne, 2011; Noyes, Popay, Pearson,</w:t>
      </w:r>
      <w:r w:rsidR="00C13456">
        <w:rPr>
          <w:rFonts w:ascii="Calibri" w:eastAsia="Calibri" w:hAnsi="Calibri" w:cs="Times New Roman"/>
        </w:rPr>
        <w:t xml:space="preserve"> Hannes, &amp; Booth, 2011; Chapter 8 of this thesis</w:t>
      </w:r>
      <w:r w:rsidRPr="00B60914">
        <w:rPr>
          <w:rFonts w:ascii="Calibri" w:eastAsia="Calibri" w:hAnsi="Calibri" w:cs="Times New Roman"/>
        </w:rPr>
        <w:t xml:space="preserve">). In practice, published Cochrane reviews tend to comprise a narrative synthesis of the evidence when a meta-analysis is not feasible (e.g. Joyce, Pabayo, Critchley &amp; Bambra, 2010) and a limited narrative synthesis when a meta-analysis is feasible (e.g. Ruotsalainen, Verbeek, Mariné, &amp; Serra, 2015). The present </w:t>
      </w:r>
      <w:r w:rsidR="007A46AB">
        <w:rPr>
          <w:rFonts w:ascii="Calibri" w:eastAsia="Calibri" w:hAnsi="Calibri" w:cs="Times New Roman"/>
        </w:rPr>
        <w:t>study proposes that meta-analyses</w:t>
      </w:r>
      <w:r w:rsidRPr="00B60914">
        <w:rPr>
          <w:rFonts w:ascii="Calibri" w:eastAsia="Calibri" w:hAnsi="Calibri" w:cs="Times New Roman"/>
        </w:rPr>
        <w:t xml:space="preserve"> should always be accompanied by a narrative synthesis to enable a deeper exploration of the impact of process and implementation factors on intervention effectiveness and protect against the risk of erroneous conclusions. This is not a novel idea, indeed, Jackson and Waters (2005) argue that such an approach is necessary for the results of systematic reviews to be used by practitioners to develop effective public health interventions. However, it has not yet been applied to occupational psychology research. This field would also benefit by adopting this more rigorous approach towards the evaluation of intervention research as standard practice.   </w:t>
      </w:r>
    </w:p>
    <w:p w14:paraId="57A550EF" w14:textId="77777777" w:rsidR="00B60914" w:rsidRPr="00B60914" w:rsidRDefault="00B60914" w:rsidP="00B60914">
      <w:pPr>
        <w:spacing w:before="200" w:line="360" w:lineRule="auto"/>
        <w:contextualSpacing/>
        <w:rPr>
          <w:rFonts w:ascii="Calibri" w:eastAsia="Calibri" w:hAnsi="Calibri" w:cs="Times New Roman"/>
        </w:rPr>
      </w:pPr>
    </w:p>
    <w:p w14:paraId="7C1ED3E9" w14:textId="118BA82E"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t xml:space="preserve">To conclude, whilst a narrative systematic review provides an in-depth exploration of studies, </w:t>
      </w:r>
      <w:r w:rsidR="00C13456">
        <w:rPr>
          <w:rFonts w:ascii="Calibri" w:eastAsia="Calibri" w:hAnsi="Calibri" w:cs="Times New Roman"/>
        </w:rPr>
        <w:t xml:space="preserve">and </w:t>
      </w:r>
      <w:r w:rsidRPr="00B60914">
        <w:rPr>
          <w:rFonts w:ascii="Calibri" w:eastAsia="Calibri" w:hAnsi="Calibri" w:cs="Times New Roman"/>
        </w:rPr>
        <w:t xml:space="preserve">how and why they work, meta-analysis provides an objective, quantitative synthesis of the effectiveness of interventions and their practical significance. The conclusions of one may be moderated by the conclusions of the other, leading to a deeper, more holistic analysis of the results and a more robust assessment of intervention effectiveness. Study 1 therefore combines a narrative systematic </w:t>
      </w:r>
      <w:r w:rsidR="00F30522">
        <w:rPr>
          <w:rFonts w:ascii="Calibri" w:eastAsia="Calibri" w:hAnsi="Calibri" w:cs="Times New Roman"/>
        </w:rPr>
        <w:t>review</w:t>
      </w:r>
      <w:r w:rsidRPr="00B60914">
        <w:rPr>
          <w:rFonts w:ascii="Calibri" w:eastAsia="Calibri" w:hAnsi="Calibri" w:cs="Times New Roman"/>
        </w:rPr>
        <w:t xml:space="preserve"> and meta-analysis to explore the effectiveness of interventions on work engagement. Based on this discussion, a final aim of this research is:</w:t>
      </w:r>
    </w:p>
    <w:p w14:paraId="10E63914" w14:textId="77777777" w:rsidR="00F30522" w:rsidRDefault="00F30522" w:rsidP="007A46AB">
      <w:pPr>
        <w:spacing w:before="200" w:line="360" w:lineRule="auto"/>
        <w:contextualSpacing/>
        <w:rPr>
          <w:rFonts w:ascii="Calibri" w:eastAsia="Calibri" w:hAnsi="Calibri" w:cs="Times New Roman"/>
          <w:i/>
        </w:rPr>
      </w:pPr>
    </w:p>
    <w:p w14:paraId="65F1817F" w14:textId="2F920C14" w:rsidR="005077F1" w:rsidRDefault="00B60914" w:rsidP="007A46AB">
      <w:pPr>
        <w:spacing w:before="200" w:line="360" w:lineRule="auto"/>
        <w:contextualSpacing/>
        <w:sectPr w:rsidR="005077F1" w:rsidSect="00F30522">
          <w:pgSz w:w="11906" w:h="16838"/>
          <w:pgMar w:top="1440" w:right="1440" w:bottom="1418" w:left="1440" w:header="709" w:footer="709" w:gutter="0"/>
          <w:cols w:space="708"/>
          <w:docGrid w:linePitch="360"/>
        </w:sectPr>
      </w:pPr>
      <w:r w:rsidRPr="00B60914">
        <w:rPr>
          <w:rFonts w:ascii="Calibri" w:eastAsia="Calibri" w:hAnsi="Calibri" w:cs="Times New Roman"/>
          <w:i/>
        </w:rPr>
        <w:t>Aim 3:</w:t>
      </w:r>
      <w:r w:rsidRPr="00B60914">
        <w:rPr>
          <w:rFonts w:ascii="Calibri" w:eastAsia="Calibri" w:hAnsi="Calibri" w:cs="Times New Roman"/>
        </w:rPr>
        <w:t xml:space="preserve"> Does study quality and implementation impact on intervention effectiveness? </w:t>
      </w:r>
      <w:bookmarkStart w:id="83" w:name="_Toc450214012"/>
    </w:p>
    <w:p w14:paraId="6B4FEA1A" w14:textId="74FFC274" w:rsidR="00B60914" w:rsidRPr="00B60914" w:rsidRDefault="00B60914" w:rsidP="002D3426">
      <w:pPr>
        <w:pStyle w:val="Heading1"/>
      </w:pPr>
      <w:bookmarkStart w:id="84" w:name="_Toc468285943"/>
      <w:r w:rsidRPr="00B60914">
        <w:lastRenderedPageBreak/>
        <w:t xml:space="preserve">Participatory action research: A </w:t>
      </w:r>
      <w:r w:rsidR="00597B3B">
        <w:t>group-level</w:t>
      </w:r>
      <w:r w:rsidRPr="00B60914">
        <w:t xml:space="preserve"> approach to organisational interventions</w:t>
      </w:r>
      <w:bookmarkEnd w:id="84"/>
    </w:p>
    <w:p w14:paraId="73D4DBBB" w14:textId="5455DAC4" w:rsidR="00B60914" w:rsidRPr="00B60914" w:rsidRDefault="00B60914" w:rsidP="00B60914">
      <w:pPr>
        <w:spacing w:after="200" w:line="360" w:lineRule="auto"/>
        <w:rPr>
          <w:rFonts w:ascii="Calibri" w:eastAsia="Times New Roman" w:hAnsi="Calibri" w:cs="Times New Roman"/>
        </w:rPr>
      </w:pPr>
    </w:p>
    <w:p w14:paraId="47FE918A" w14:textId="0CE0D024"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t xml:space="preserve">The previous two chapters discussed </w:t>
      </w:r>
      <w:r w:rsidR="00597B3B">
        <w:rPr>
          <w:rFonts w:ascii="Calibri" w:eastAsia="Calibri" w:hAnsi="Calibri" w:cs="Times New Roman"/>
        </w:rPr>
        <w:t>individual-level</w:t>
      </w:r>
      <w:r w:rsidRPr="00B60914">
        <w:rPr>
          <w:rFonts w:ascii="Calibri" w:eastAsia="Calibri" w:hAnsi="Calibri" w:cs="Times New Roman"/>
        </w:rPr>
        <w:t xml:space="preserve"> interventions to increase positive outcomes in employees and organisations, such as work engagement and </w:t>
      </w:r>
      <w:r w:rsidR="001D6140">
        <w:rPr>
          <w:rFonts w:ascii="Calibri" w:eastAsia="Calibri" w:hAnsi="Calibri" w:cs="Times New Roman"/>
        </w:rPr>
        <w:t>well-being</w:t>
      </w:r>
      <w:r w:rsidRPr="00B60914">
        <w:rPr>
          <w:rFonts w:ascii="Calibri" w:eastAsia="Calibri" w:hAnsi="Calibri" w:cs="Times New Roman"/>
        </w:rPr>
        <w:t xml:space="preserve"> (Chapter 2), and how best to design, implement, and evaluate intervention studies (Chapter 3). These two chapters also set up the research questions for Study 1, the systematic review and meta-analysis investigating the effectiveness of work engagement interventions. In contrast to </w:t>
      </w:r>
      <w:r w:rsidR="00597B3B">
        <w:rPr>
          <w:rFonts w:ascii="Calibri" w:eastAsia="Calibri" w:hAnsi="Calibri" w:cs="Times New Roman"/>
        </w:rPr>
        <w:t>individual-level</w:t>
      </w:r>
      <w:r w:rsidRPr="00B60914">
        <w:rPr>
          <w:rFonts w:ascii="Calibri" w:eastAsia="Calibri" w:hAnsi="Calibri" w:cs="Times New Roman"/>
        </w:rPr>
        <w:t xml:space="preserve"> approaches, this chapter focuses on a </w:t>
      </w:r>
      <w:r w:rsidR="00597B3B">
        <w:rPr>
          <w:rFonts w:ascii="Calibri" w:eastAsia="Calibri" w:hAnsi="Calibri" w:cs="Times New Roman"/>
        </w:rPr>
        <w:t>group-level</w:t>
      </w:r>
      <w:r w:rsidRPr="00B60914">
        <w:rPr>
          <w:rFonts w:ascii="Calibri" w:eastAsia="Calibri" w:hAnsi="Calibri" w:cs="Times New Roman"/>
        </w:rPr>
        <w:t xml:space="preserve"> approach to improving organisational outcomes. Termed participatory action research (PAR), it has been widely used within healthcare settings to improve outcomes such as burnout (Le Blanc </w:t>
      </w:r>
      <w:r w:rsidR="00B64DD5">
        <w:rPr>
          <w:rFonts w:ascii="Calibri" w:eastAsia="Calibri" w:hAnsi="Calibri" w:cs="Times New Roman"/>
        </w:rPr>
        <w:t>et al.,</w:t>
      </w:r>
      <w:r w:rsidRPr="00B60914">
        <w:rPr>
          <w:rFonts w:ascii="Calibri" w:eastAsia="Calibri" w:hAnsi="Calibri" w:cs="Times New Roman"/>
        </w:rPr>
        <w:t xml:space="preserve"> 2007),</w:t>
      </w:r>
      <w:r w:rsidR="00671EEB">
        <w:rPr>
          <w:rFonts w:ascii="Calibri" w:eastAsia="Calibri" w:hAnsi="Calibri" w:cs="Times New Roman"/>
        </w:rPr>
        <w:t xml:space="preserve"> quality of patient care (Nolan et al.</w:t>
      </w:r>
      <w:r w:rsidRPr="00B60914">
        <w:rPr>
          <w:rFonts w:ascii="Calibri" w:eastAsia="Calibri" w:hAnsi="Calibri" w:cs="Times New Roman"/>
        </w:rPr>
        <w:t>,</w:t>
      </w:r>
      <w:r w:rsidR="00671EEB">
        <w:rPr>
          <w:rFonts w:ascii="Calibri" w:eastAsia="Calibri" w:hAnsi="Calibri" w:cs="Times New Roman"/>
        </w:rPr>
        <w:t xml:space="preserve"> 2006)</w:t>
      </w:r>
      <w:r w:rsidR="00C5149A">
        <w:rPr>
          <w:rFonts w:ascii="Calibri" w:eastAsia="Calibri" w:hAnsi="Calibri" w:cs="Times New Roman"/>
        </w:rPr>
        <w:t>,</w:t>
      </w:r>
      <w:r w:rsidRPr="00B60914">
        <w:rPr>
          <w:rFonts w:ascii="Calibri" w:eastAsia="Calibri" w:hAnsi="Calibri" w:cs="Times New Roman"/>
        </w:rPr>
        <w:t xml:space="preserve"> sickness absence, and turnover amongst nurses. It is possible that this approach may be applied to improve other positive outcomes in nurses, such as work engagement. This chapter discusses this method before detailing why it may be of particular value for Study 2, to increase the work engagement of nurs</w:t>
      </w:r>
      <w:r w:rsidR="00C5149A">
        <w:rPr>
          <w:rFonts w:ascii="Calibri" w:eastAsia="Calibri" w:hAnsi="Calibri" w:cs="Times New Roman"/>
        </w:rPr>
        <w:t>es on acute elderly care wards. This study was part of a wider study which aimed to increase quality of patient care using this method. The chapter</w:t>
      </w:r>
      <w:r w:rsidRPr="00B60914">
        <w:rPr>
          <w:rFonts w:ascii="Calibri" w:eastAsia="Calibri" w:hAnsi="Calibri" w:cs="Times New Roman"/>
        </w:rPr>
        <w:t xml:space="preserve"> concludes with a statement of the aims and objectives of this second study. </w:t>
      </w:r>
    </w:p>
    <w:p w14:paraId="0279DD72" w14:textId="77777777" w:rsidR="00B60914" w:rsidRPr="00B60914" w:rsidRDefault="00B60914" w:rsidP="00B60914">
      <w:pPr>
        <w:spacing w:after="200" w:line="360" w:lineRule="auto"/>
        <w:rPr>
          <w:rFonts w:ascii="Calibri" w:eastAsia="Times New Roman" w:hAnsi="Calibri" w:cs="Times New Roman"/>
        </w:rPr>
      </w:pPr>
    </w:p>
    <w:p w14:paraId="183113C4" w14:textId="77777777" w:rsidR="00B60914" w:rsidRPr="00B7614E" w:rsidRDefault="00B60914" w:rsidP="00B7614E">
      <w:pPr>
        <w:pStyle w:val="Thesisheading2"/>
      </w:pPr>
      <w:bookmarkStart w:id="85" w:name="_Toc408827372"/>
      <w:bookmarkStart w:id="86" w:name="_Ref453250203"/>
      <w:bookmarkStart w:id="87" w:name="_Ref453250263"/>
      <w:bookmarkStart w:id="88" w:name="_Toc468285944"/>
      <w:r w:rsidRPr="00B7614E">
        <w:rPr>
          <w:rStyle w:val="Heading2Char"/>
          <w:color w:val="auto"/>
        </w:rPr>
        <w:t>Participatory action research (PAR</w:t>
      </w:r>
      <w:r w:rsidRPr="00B7614E">
        <w:t>)</w:t>
      </w:r>
      <w:bookmarkEnd w:id="85"/>
      <w:bookmarkEnd w:id="86"/>
      <w:bookmarkEnd w:id="87"/>
      <w:bookmarkEnd w:id="88"/>
    </w:p>
    <w:p w14:paraId="2DD00645" w14:textId="77777777" w:rsidR="00B60914" w:rsidRPr="00B60914" w:rsidRDefault="00B60914" w:rsidP="00B60914">
      <w:pPr>
        <w:spacing w:before="200" w:line="360" w:lineRule="auto"/>
        <w:contextualSpacing/>
        <w:rPr>
          <w:rFonts w:ascii="Calibri" w:eastAsia="Calibri" w:hAnsi="Calibri" w:cs="Calibri"/>
        </w:rPr>
      </w:pPr>
    </w:p>
    <w:p w14:paraId="208D5B29" w14:textId="7F8A224B"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t xml:space="preserve">As observed in Chapter 2, </w:t>
      </w:r>
      <w:r w:rsidR="00597B3B">
        <w:rPr>
          <w:rFonts w:ascii="Calibri" w:eastAsia="Calibri" w:hAnsi="Calibri" w:cs="Calibri"/>
          <w:bCs/>
        </w:rPr>
        <w:t>individual-level</w:t>
      </w:r>
      <w:r w:rsidRPr="00B60914">
        <w:rPr>
          <w:rFonts w:ascii="Calibri" w:eastAsia="Calibri" w:hAnsi="Calibri" w:cs="Calibri"/>
          <w:bCs/>
        </w:rPr>
        <w:t xml:space="preserve"> interventions focus primarily on building personal resources within individuals. A different approach focuses on building job resources within the work environment through adopting a </w:t>
      </w:r>
      <w:r w:rsidR="00597B3B">
        <w:rPr>
          <w:rFonts w:ascii="Calibri" w:eastAsia="Calibri" w:hAnsi="Calibri" w:cs="Calibri"/>
          <w:bCs/>
        </w:rPr>
        <w:t>group-level</w:t>
      </w:r>
      <w:r w:rsidRPr="00B60914">
        <w:rPr>
          <w:rFonts w:ascii="Calibri" w:eastAsia="Calibri" w:hAnsi="Calibri" w:cs="Calibri"/>
          <w:bCs/>
        </w:rPr>
        <w:t xml:space="preserve"> approach in which the actual participation and experiences of individuals in the design and development of the int</w:t>
      </w:r>
      <w:r w:rsidR="00C13456">
        <w:rPr>
          <w:rFonts w:ascii="Calibri" w:eastAsia="Calibri" w:hAnsi="Calibri" w:cs="Calibri"/>
          <w:bCs/>
        </w:rPr>
        <w:t>ervention is central. Known as participatory action r</w:t>
      </w:r>
      <w:r w:rsidRPr="00B60914">
        <w:rPr>
          <w:rFonts w:ascii="Calibri" w:eastAsia="Calibri" w:hAnsi="Calibri" w:cs="Calibri"/>
          <w:bCs/>
        </w:rPr>
        <w:t xml:space="preserve">esearch (PAR; </w:t>
      </w:r>
      <w:r w:rsidR="00C13456">
        <w:rPr>
          <w:rFonts w:ascii="Calibri" w:eastAsia="Calibri" w:hAnsi="Calibri" w:cs="Calibri"/>
          <w:bCs/>
        </w:rPr>
        <w:t xml:space="preserve">Lewin, 1946; </w:t>
      </w:r>
      <w:r w:rsidRPr="00B60914">
        <w:rPr>
          <w:rFonts w:ascii="Calibri" w:eastAsia="Calibri" w:hAnsi="Calibri" w:cs="Calibri"/>
          <w:bCs/>
        </w:rPr>
        <w:t>McTaggart, 1991; Griffiths, 1999), the goal of this type of research is to solve problems identified by those who actually work in the context studied. Action research is rooted in the field of organisational development (OD), in which it has been used to bring about planned change within organisations to increase their effectiveness (Cummings &amp; Worley, 2008). Traditionally, it was also used to generate knowledge about organisations which could then be generalised to other settings, however, more recently its use for effecting change has predominated.</w:t>
      </w:r>
    </w:p>
    <w:p w14:paraId="69EF026B" w14:textId="77777777" w:rsidR="00B60914" w:rsidRPr="00B60914" w:rsidRDefault="00B60914" w:rsidP="00B60914">
      <w:pPr>
        <w:spacing w:before="200" w:line="360" w:lineRule="auto"/>
        <w:contextualSpacing/>
        <w:rPr>
          <w:rFonts w:ascii="Calibri" w:eastAsia="Calibri" w:hAnsi="Calibri" w:cs="Calibri"/>
          <w:bCs/>
        </w:rPr>
      </w:pPr>
    </w:p>
    <w:p w14:paraId="113CAA80" w14:textId="3C3D8BD9"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lastRenderedPageBreak/>
        <w:t>Lewin (1946) was the first scholar to coin the term ‘action research’, following his work on group dynamics and his recognition that in order to effect change, employees needed to be committed to, and engaged in, changing their behaviour. More specifically, he perceived change as requiring action, involving the active and ‘correct’ analysis of the situation to be changed by identifying all possible solutions and implementing the one which is considered most appropriate. As a precursor, he highlighted the need for individuals to feel that change is necessary. This echoes later work investigating the design and implementation of organisational interventions in other areas of organisational research (e.g. Briner &amp; Walshe, 2015; Nielsen, Randall et al., 2010; Nielsen, Taris et al., 2010), which was discussed in Chapter 3. This research highlighted the necessity to assess the need for the intervention, the readiness for change of employees, and the design of interventions which are appropriate to the specific research context. According to Lewin, and later proponents of this method (e.g. Wadsworth, 1998; Nielsen, 2013), action research involves a cyclical process in which employees and researchers together define issues or problems, collect data to inform the problem, identify suitable intervention strategies, implement these interventions</w:t>
      </w:r>
      <w:r w:rsidR="00050FFB">
        <w:rPr>
          <w:rFonts w:ascii="Calibri" w:eastAsia="Calibri" w:hAnsi="Calibri" w:cs="Calibri"/>
          <w:bCs/>
        </w:rPr>
        <w:t>,</w:t>
      </w:r>
      <w:r w:rsidRPr="00B60914">
        <w:rPr>
          <w:rFonts w:ascii="Calibri" w:eastAsia="Calibri" w:hAnsi="Calibri" w:cs="Calibri"/>
          <w:bCs/>
        </w:rPr>
        <w:t xml:space="preserve"> and evaluate the results. This is purported to enable a better understanding of the problematic issues which can then inform the development of effective interventions. </w:t>
      </w:r>
    </w:p>
    <w:p w14:paraId="5F65ABFE" w14:textId="77777777" w:rsidR="00B60914" w:rsidRPr="00B60914" w:rsidRDefault="00B60914" w:rsidP="00B60914">
      <w:pPr>
        <w:spacing w:before="200" w:line="360" w:lineRule="auto"/>
        <w:contextualSpacing/>
        <w:rPr>
          <w:rFonts w:ascii="Calibri" w:eastAsia="Calibri" w:hAnsi="Calibri" w:cs="Calibri"/>
          <w:bCs/>
        </w:rPr>
      </w:pPr>
    </w:p>
    <w:p w14:paraId="5A8411A7" w14:textId="4549F8ED"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t>Lewin was interested in applying action research to solving social conflict within society and organisations. However, this approach has more recently been applied to stress management research within organisations, with studies demonstrating the successful reduction of symptoms of depression, absenteeism, psychosomatic complaints and work-related stress, as well as increasing performance (e.g. Le Blanc et al., 2007). In accordance with Karas</w:t>
      </w:r>
      <w:r w:rsidR="00D64ECC">
        <w:rPr>
          <w:rFonts w:ascii="Calibri" w:eastAsia="Calibri" w:hAnsi="Calibri" w:cs="Calibri"/>
          <w:bCs/>
        </w:rPr>
        <w:t>ek’s Demands-Control Model (1979</w:t>
      </w:r>
      <w:r w:rsidRPr="00B60914">
        <w:rPr>
          <w:rFonts w:ascii="Calibri" w:eastAsia="Calibri" w:hAnsi="Calibri" w:cs="Calibri"/>
          <w:bCs/>
        </w:rPr>
        <w:t>), a key model underlying organisational stress research, the active involvement of employees in the decision-making process may increase their perception of job control and decrease job-related strain (stress). This is also consistent with the JD-R model and Self Determination Theory (SDT, Deci &amp; Ryan, 2000), which together hypothesise that employees in environments rich in job resources (e.g. task-related autonomy) are more likely to experience the satisfaction of the three core needs (autonomy, competence, and relatedness), positive emotions, work engagement and good health (Bakker &amp; Demerouti, 2008, Van den Broeck</w:t>
      </w:r>
      <w:r w:rsidR="00AF46EE">
        <w:rPr>
          <w:rFonts w:ascii="Calibri" w:eastAsia="Calibri" w:hAnsi="Calibri" w:cs="Calibri"/>
          <w:bCs/>
        </w:rPr>
        <w:t>, Vansteenkiste, De Witte, Soenens, &amp; Lens</w:t>
      </w:r>
      <w:r w:rsidRPr="00B60914">
        <w:rPr>
          <w:rFonts w:ascii="Calibri" w:eastAsia="Calibri" w:hAnsi="Calibri" w:cs="Calibri"/>
          <w:bCs/>
        </w:rPr>
        <w:t xml:space="preserve">, 2010). Indeed, the JD-R model expands this theory by suggesting that job resources may also buffer against the negative effects of job demands (e.g. workload), such as burnout, depression and sickness absence.  </w:t>
      </w:r>
    </w:p>
    <w:p w14:paraId="17A62077" w14:textId="77777777" w:rsidR="00B60914" w:rsidRPr="00B60914" w:rsidRDefault="00B60914" w:rsidP="00B60914">
      <w:pPr>
        <w:spacing w:before="200" w:line="360" w:lineRule="auto"/>
        <w:contextualSpacing/>
        <w:rPr>
          <w:rFonts w:ascii="Calibri" w:eastAsia="Calibri" w:hAnsi="Calibri" w:cs="Calibri"/>
          <w:bCs/>
        </w:rPr>
      </w:pPr>
    </w:p>
    <w:p w14:paraId="5B38452D" w14:textId="4A3D01FB"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lastRenderedPageBreak/>
        <w:t xml:space="preserve">As discussed in Chapter 3, research has not only investigated the psychological theory underlying the relationships between job resources and positive individual and organisational outcomes, it has also investigated practically how such intervention studies can be planned, implemented, and evaluated to maximise success. In particular, Chapter 3 draws out the ingredients necessary for interventions to best achieve positive impact. Many of these reflect the characteristics of participatory action research as defined earlier, such as the need for the intervention and employee readiness for change. One factor, not discussed in depth in Chapter 3, but which describes the very essence of participatory approaches, is the participation of employees themselves. Nielsen, Randall, Holten and </w:t>
      </w:r>
      <w:r w:rsidR="00050FFB" w:rsidRPr="00E6060C">
        <w:rPr>
          <w:rFonts w:ascii="Calibri" w:eastAsia="Calibri" w:hAnsi="Calibri" w:cs="Times New Roman"/>
          <w:noProof/>
        </w:rPr>
        <w:t>González</w:t>
      </w:r>
      <w:r w:rsidRPr="00B60914">
        <w:rPr>
          <w:rFonts w:ascii="Calibri" w:eastAsia="Calibri" w:hAnsi="Calibri" w:cs="Calibri"/>
          <w:bCs/>
        </w:rPr>
        <w:t xml:space="preserve"> (2010) reviewed several European approaches to altering the way that work is designed and found that all of the methods emphasised the importance of employee participation at every stage of the intervention process, from the planning stage</w:t>
      </w:r>
      <w:r w:rsidR="00050FFB">
        <w:rPr>
          <w:rFonts w:ascii="Calibri" w:eastAsia="Calibri" w:hAnsi="Calibri" w:cs="Calibri"/>
          <w:bCs/>
        </w:rPr>
        <w:t>,</w:t>
      </w:r>
      <w:r w:rsidRPr="00B60914">
        <w:rPr>
          <w:rFonts w:ascii="Calibri" w:eastAsia="Calibri" w:hAnsi="Calibri" w:cs="Calibri"/>
          <w:bCs/>
        </w:rPr>
        <w:t xml:space="preserve"> to the implementation stage</w:t>
      </w:r>
      <w:r w:rsidR="00050FFB">
        <w:rPr>
          <w:rFonts w:ascii="Calibri" w:eastAsia="Calibri" w:hAnsi="Calibri" w:cs="Calibri"/>
          <w:bCs/>
        </w:rPr>
        <w:t>,</w:t>
      </w:r>
      <w:r w:rsidRPr="00B60914">
        <w:rPr>
          <w:rFonts w:ascii="Calibri" w:eastAsia="Calibri" w:hAnsi="Calibri" w:cs="Calibri"/>
          <w:bCs/>
        </w:rPr>
        <w:t xml:space="preserve"> to the evaluation stage. Furthermore, Egan</w:t>
      </w:r>
      <w:r w:rsidR="00D57101">
        <w:rPr>
          <w:rFonts w:ascii="Calibri" w:eastAsia="Calibri" w:hAnsi="Calibri" w:cs="Calibri"/>
          <w:bCs/>
        </w:rPr>
        <w:t xml:space="preserve"> et al. (2009</w:t>
      </w:r>
      <w:r w:rsidRPr="00B60914">
        <w:rPr>
          <w:rFonts w:ascii="Calibri" w:eastAsia="Calibri" w:hAnsi="Calibri" w:cs="Calibri"/>
          <w:bCs/>
        </w:rPr>
        <w:t xml:space="preserve">) found that 12 </w:t>
      </w:r>
      <w:r w:rsidR="008F6182">
        <w:rPr>
          <w:rFonts w:ascii="Calibri" w:eastAsia="Calibri" w:hAnsi="Calibri" w:cs="Calibri"/>
          <w:bCs/>
        </w:rPr>
        <w:t xml:space="preserve">out </w:t>
      </w:r>
      <w:r w:rsidRPr="00B60914">
        <w:rPr>
          <w:rFonts w:ascii="Calibri" w:eastAsia="Calibri" w:hAnsi="Calibri" w:cs="Calibri"/>
          <w:bCs/>
        </w:rPr>
        <w:t xml:space="preserve">of 18 participatory, controlled, organisational-level occupational health interventions were associated with positive outcomes. This supports the use of PAR approaches in intervention research. </w:t>
      </w:r>
    </w:p>
    <w:p w14:paraId="18C2C849" w14:textId="77777777" w:rsidR="00B60914" w:rsidRPr="00B60914" w:rsidRDefault="00B60914" w:rsidP="00B60914">
      <w:pPr>
        <w:spacing w:before="200" w:line="360" w:lineRule="auto"/>
        <w:contextualSpacing/>
        <w:rPr>
          <w:rFonts w:ascii="Calibri" w:eastAsia="Calibri" w:hAnsi="Calibri" w:cs="Calibri"/>
          <w:bCs/>
        </w:rPr>
      </w:pPr>
    </w:p>
    <w:p w14:paraId="038A5271" w14:textId="5FFF5EE8"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t xml:space="preserve">More specifically, Nielsen, Randall et al. (2010; see also Nielsen, 2013) advocate the involvement of both employers and employees, suggesting that through employee participation, an intervention can be better designed to fit the particular culture and context of the organisation, and in so doing, increase employees’ sense of control, justice and fairness. This builds on the argument presented in Chapter 3 that interventions should be designed with the research setting in mind, as opposed to applying a single type of design to all contexts. It also supports the theory that the job resource, autonomy, may be improved by participatory techniques. Indeed, both Bond and Bunce (2001), and Hatinen, Kinnunen, Pekkonen, and Kalimo (2007) found that job control increased during their successful participatory interventions to reduce burnout. Furthermore, Hatinen et al. compared their participatory approach with a traditional, non-participatory approach and found that the former had a positive effect whereas the latter had no effect. This suggests that autonomy is an important job resource for employees which may be increased through participatory techniques and may decrease negative outcomes such as burnout. In line with the JD-R model, it may also therefore be expected that a participatory approach should lead to an increase in positive outcomes such as work engagement and </w:t>
      </w:r>
      <w:r w:rsidR="001D6140">
        <w:rPr>
          <w:rFonts w:ascii="Calibri" w:eastAsia="Calibri" w:hAnsi="Calibri" w:cs="Calibri"/>
          <w:bCs/>
        </w:rPr>
        <w:t>well-being</w:t>
      </w:r>
      <w:r w:rsidRPr="00B60914">
        <w:rPr>
          <w:rFonts w:ascii="Calibri" w:eastAsia="Calibri" w:hAnsi="Calibri" w:cs="Calibri"/>
          <w:bCs/>
        </w:rPr>
        <w:t xml:space="preserve">, through increasing autonomy. </w:t>
      </w:r>
    </w:p>
    <w:p w14:paraId="6C897C2F" w14:textId="77777777" w:rsidR="00B60914" w:rsidRPr="00B60914" w:rsidRDefault="00B60914" w:rsidP="00B60914">
      <w:pPr>
        <w:spacing w:before="200" w:line="360" w:lineRule="auto"/>
        <w:contextualSpacing/>
        <w:rPr>
          <w:rFonts w:ascii="Calibri" w:eastAsia="Calibri" w:hAnsi="Calibri" w:cs="Calibri"/>
          <w:bCs/>
        </w:rPr>
      </w:pPr>
    </w:p>
    <w:p w14:paraId="716E0DAF" w14:textId="77777777"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t xml:space="preserve">Furthermore, Nielsen, Randall, and Albertson (2007) found that employees who were able to participate in and influence decision-making regarding intervention content were more likely to take part in intervention activities, which then led to increased job satisfaction and decreased </w:t>
      </w:r>
      <w:r w:rsidRPr="00B60914">
        <w:rPr>
          <w:rFonts w:ascii="Calibri" w:eastAsia="Calibri" w:hAnsi="Calibri" w:cs="Calibri"/>
          <w:bCs/>
        </w:rPr>
        <w:lastRenderedPageBreak/>
        <w:t xml:space="preserve">behavioural stress symptoms. The perceived ability to influence decision making, as well as autonomy, is therefore another job resource which is expected to increase as a result of a participatory intervention to increase work engagement. </w:t>
      </w:r>
    </w:p>
    <w:p w14:paraId="260FE118" w14:textId="77777777" w:rsidR="00B60914" w:rsidRPr="00B60914" w:rsidRDefault="00B60914" w:rsidP="00B60914">
      <w:pPr>
        <w:spacing w:before="200" w:line="360" w:lineRule="auto"/>
        <w:contextualSpacing/>
        <w:rPr>
          <w:rFonts w:ascii="Calibri" w:eastAsia="Calibri" w:hAnsi="Calibri" w:cs="Calibri"/>
          <w:bCs/>
        </w:rPr>
      </w:pPr>
    </w:p>
    <w:p w14:paraId="4A3B2C8F" w14:textId="3A379B64" w:rsidR="00B60914" w:rsidRPr="00B60914" w:rsidRDefault="00B60914" w:rsidP="00B60914">
      <w:pPr>
        <w:spacing w:before="200" w:line="360" w:lineRule="auto"/>
        <w:contextualSpacing/>
        <w:rPr>
          <w:rFonts w:ascii="Calibri" w:eastAsia="Calibri" w:hAnsi="Calibri" w:cs="Calibri"/>
          <w:bCs/>
        </w:rPr>
      </w:pPr>
      <w:r w:rsidRPr="00B60914">
        <w:rPr>
          <w:rFonts w:ascii="Calibri" w:eastAsia="Calibri" w:hAnsi="Calibri" w:cs="Calibri"/>
          <w:bCs/>
        </w:rPr>
        <w:t>As identified above, participatory techniques are also thought to facilitate the change process (Lewin, 1946; Nielsen, Randall, et al., 2010), and may be particularly useful during organisational changes such as restructures and mergers. These types of major events can be met with resistance to change by employees (Nielsen, Randall et al., 2010), who may worry about the implications for their jobs. In recent support, Lines (2004) found that greater employee involvement during change was associated with decreased resistance to that change, goal achievement and organisational belonging. Nielsen, Randall et al. (2010) propose that the protective effects of participatory techniques during major organisational change could be due to improvements in colleague and supervisor interactions and the social climate of the organisation more generally. In support, Park</w:t>
      </w:r>
      <w:r w:rsidR="00D77E72">
        <w:rPr>
          <w:rFonts w:ascii="Calibri" w:eastAsia="Calibri" w:hAnsi="Calibri" w:cs="Calibri"/>
          <w:bCs/>
        </w:rPr>
        <w:t xml:space="preserve"> et al.,</w:t>
      </w:r>
      <w:r w:rsidRPr="00B60914">
        <w:rPr>
          <w:rFonts w:ascii="Calibri" w:eastAsia="Calibri" w:hAnsi="Calibri" w:cs="Calibri"/>
          <w:bCs/>
        </w:rPr>
        <w:t xml:space="preserve"> (2004) found that participation in a problem-solving intervention was positively related to organisational social climate and interactions with colleagues and supervisors. Whilst it may not be possible to involve employees directly in decision-making around some major organisational changes, such as mergers, it is likely to be more feasible to involve employees in change within organisations at a more local level, such as within departments or teams. Harnessing employee participation for these, more local, interventions, may therefore be particularly appropriate for work engagement interventions, and the results of the studies presented here suggest that participation in such an intervention could increase colleague social support. In summary, the evidence suggests that employee participation in organisational interventions may lead to positive outcomes such as work engagement, and protect against negative outcomes such as burnout, through increasing job resources such as social support, autonomy, and influence in decision-making. </w:t>
      </w:r>
    </w:p>
    <w:p w14:paraId="5B2957CB" w14:textId="77777777" w:rsidR="00B60914" w:rsidRPr="00B60914" w:rsidRDefault="00B60914" w:rsidP="00B60914">
      <w:pPr>
        <w:spacing w:before="200" w:line="360" w:lineRule="auto"/>
        <w:contextualSpacing/>
        <w:rPr>
          <w:rFonts w:ascii="Calibri Light" w:eastAsia="Times New Roman" w:hAnsi="Calibri Light" w:cs="Times New Roman"/>
          <w:b/>
          <w:bCs/>
          <w:i/>
        </w:rPr>
      </w:pPr>
    </w:p>
    <w:p w14:paraId="5C19EB86" w14:textId="163A30A0" w:rsidR="00B60914" w:rsidRPr="00B60914" w:rsidRDefault="00B60914" w:rsidP="00B60914">
      <w:pPr>
        <w:spacing w:before="200" w:line="360" w:lineRule="auto"/>
        <w:contextualSpacing/>
        <w:rPr>
          <w:rFonts w:ascii="Calibri" w:eastAsia="Calibri" w:hAnsi="Calibri" w:cs="Times New Roman"/>
        </w:rPr>
      </w:pPr>
      <w:r w:rsidRPr="00B60914">
        <w:rPr>
          <w:rFonts w:ascii="Calibri" w:eastAsia="Calibri" w:hAnsi="Calibri" w:cs="Times New Roman"/>
        </w:rPr>
        <w:t xml:space="preserve">One setting in which employee interactions and social support are particularly important are acute hospitals. Nursing staff on wards must work together, as a team, to carry out their daily tasks effectively and maintain high standards of patient care. This is particularly important in hospital settings where a failure of nursing teams to work together and support each other on a day-to-day basis could have severe consequences for the welfare of patients and contribute towards crises of care such as that detailed in the Francis report (2013). A participatory approach to improving positive outcomes in a hospital setting may therefore be particularly appropriate, and have begun to emerge. For example, in a quasi-experimental, pre-test, post-test, longitudinal study, Le Blanc et al. (2007) demonstrated the positive effect of a team-based, participatory approach to reducing </w:t>
      </w:r>
      <w:r w:rsidRPr="00B60914">
        <w:rPr>
          <w:rFonts w:ascii="Calibri" w:eastAsia="Calibri" w:hAnsi="Calibri" w:cs="Times New Roman"/>
        </w:rPr>
        <w:lastRenderedPageBreak/>
        <w:t xml:space="preserve">burnout in staff members of oncology wards in The Netherlands. Specifically, they found that key job resources (social support and job control) and a key job demand (workload) were significantly related to changes in burnout on the experimental wards, in comparison with the control wards, supporting the JD-R model. Indeed, numerous studies investigating the relationships of the JD-R model underline the relevance of these particular job characteristics in relation to positive outcomes such as work engagement and </w:t>
      </w:r>
      <w:r w:rsidR="001D6140">
        <w:rPr>
          <w:rFonts w:ascii="Calibri" w:eastAsia="Calibri" w:hAnsi="Calibri" w:cs="Times New Roman"/>
        </w:rPr>
        <w:t>well-being</w:t>
      </w:r>
      <w:r w:rsidRPr="00B60914">
        <w:rPr>
          <w:rFonts w:ascii="Calibri" w:eastAsia="Calibri" w:hAnsi="Calibri" w:cs="Times New Roman"/>
        </w:rPr>
        <w:t xml:space="preserve"> (for a meta-analysis see Halbesleben, 2010). The results of Le Blanc </w:t>
      </w:r>
      <w:r w:rsidR="00441EBE">
        <w:rPr>
          <w:rFonts w:ascii="Calibri" w:eastAsia="Calibri" w:hAnsi="Calibri" w:cs="Times New Roman"/>
        </w:rPr>
        <w:t>and colleagues’</w:t>
      </w:r>
      <w:r w:rsidRPr="00B60914">
        <w:rPr>
          <w:rFonts w:ascii="Calibri" w:eastAsia="Calibri" w:hAnsi="Calibri" w:cs="Times New Roman"/>
        </w:rPr>
        <w:t xml:space="preserve"> study also suggest that the team based nature of the intervention had a positive effect on those who didn’t actually take part, extending the reach of the intervention beyond that expected of individual-level interventions such as those described earlier. The verbal transfer of knowledge as well as contagion theory (Bakker, 2011) may help to explain these findings. However, despite the observed statistically significant decrease in burnout, both experimental and control groups still reached average burnout scores immediately fol</w:t>
      </w:r>
      <w:r w:rsidR="00050FFB">
        <w:rPr>
          <w:rFonts w:ascii="Calibri" w:eastAsia="Calibri" w:hAnsi="Calibri" w:cs="Times New Roman"/>
        </w:rPr>
        <w:t>lowing the intervention and at six</w:t>
      </w:r>
      <w:r w:rsidRPr="00B60914">
        <w:rPr>
          <w:rFonts w:ascii="Calibri" w:eastAsia="Calibri" w:hAnsi="Calibri" w:cs="Times New Roman"/>
        </w:rPr>
        <w:t xml:space="preserve"> months</w:t>
      </w:r>
      <w:r w:rsidR="00050FFB">
        <w:rPr>
          <w:rFonts w:ascii="Calibri" w:eastAsia="Calibri" w:hAnsi="Calibri" w:cs="Times New Roman"/>
        </w:rPr>
        <w:t>,</w:t>
      </w:r>
      <w:r w:rsidRPr="00B60914">
        <w:rPr>
          <w:rFonts w:ascii="Calibri" w:eastAsia="Calibri" w:hAnsi="Calibri" w:cs="Times New Roman"/>
        </w:rPr>
        <w:t xml:space="preserve"> and the mean differences between groups were small. Le Blanc et al. (2007) suggest that these results may be a result of study limitations such as the high attrition rate over time, the lack of objective outcome measures, and a cross-over effect of training between the experimental and control groups in cases where both groups were based within the same hospital. They conclude that their results demonstrate that a cost-efficient, carefully planned, participatory</w:t>
      </w:r>
      <w:r w:rsidR="00050FFB">
        <w:rPr>
          <w:rFonts w:ascii="Calibri" w:eastAsia="Calibri" w:hAnsi="Calibri" w:cs="Times New Roman"/>
        </w:rPr>
        <w:t>,</w:t>
      </w:r>
      <w:r w:rsidRPr="00B60914">
        <w:rPr>
          <w:rFonts w:ascii="Calibri" w:eastAsia="Calibri" w:hAnsi="Calibri" w:cs="Times New Roman"/>
        </w:rPr>
        <w:t xml:space="preserve"> team-based intervention can still effectively lower the risk of burnout in team members. Furthermore, they suggest the suitability of participatory action research for addressing other issues within organisations, such as collective engagement and problem solving. Further research could also investigate the ability to translate participatory interventions to other organisational settings, in an attempt to increase work engagement. </w:t>
      </w:r>
    </w:p>
    <w:p w14:paraId="696D5948" w14:textId="77777777" w:rsidR="00B60914" w:rsidRPr="00B60914" w:rsidRDefault="00B60914" w:rsidP="00B60914">
      <w:pPr>
        <w:spacing w:before="200" w:line="360" w:lineRule="auto"/>
        <w:contextualSpacing/>
        <w:rPr>
          <w:rFonts w:ascii="Calibri Light" w:eastAsia="Times New Roman" w:hAnsi="Calibri Light" w:cs="Times New Roman"/>
          <w:b/>
          <w:bCs/>
          <w:i/>
        </w:rPr>
      </w:pPr>
    </w:p>
    <w:p w14:paraId="230704B0" w14:textId="74DBF0E7" w:rsidR="00B60914" w:rsidRPr="00A84D92" w:rsidRDefault="00B60914" w:rsidP="00B7614E">
      <w:pPr>
        <w:pStyle w:val="Thesisheading2"/>
      </w:pPr>
      <w:bookmarkStart w:id="89" w:name="_Ref453250222"/>
      <w:bookmarkStart w:id="90" w:name="_Ref453250246"/>
      <w:bookmarkStart w:id="91" w:name="_Toc468285945"/>
      <w:r w:rsidRPr="00A84D92">
        <w:t>Psychological processes underlying participatory action research</w:t>
      </w:r>
      <w:bookmarkEnd w:id="89"/>
      <w:bookmarkEnd w:id="90"/>
      <w:bookmarkEnd w:id="91"/>
    </w:p>
    <w:p w14:paraId="5F4B8C22" w14:textId="77777777" w:rsidR="00B60914" w:rsidRPr="00B60914" w:rsidRDefault="00B60914" w:rsidP="00B60914">
      <w:pPr>
        <w:spacing w:before="200" w:line="360" w:lineRule="auto"/>
        <w:contextualSpacing/>
        <w:rPr>
          <w:rFonts w:ascii="Calibri Light" w:eastAsia="Times New Roman" w:hAnsi="Calibri Light" w:cs="Times New Roman"/>
          <w:b/>
          <w:bCs/>
          <w:i/>
        </w:rPr>
      </w:pPr>
    </w:p>
    <w:p w14:paraId="704BD708" w14:textId="71D9D423" w:rsidR="00B60914" w:rsidRPr="00B60914" w:rsidRDefault="00B60914" w:rsidP="00B60914">
      <w:pPr>
        <w:spacing w:before="200" w:line="360" w:lineRule="auto"/>
        <w:contextualSpacing/>
        <w:rPr>
          <w:rFonts w:ascii="Calibri" w:eastAsia="Times New Roman" w:hAnsi="Calibri" w:cs="Times New Roman"/>
          <w:bCs/>
        </w:rPr>
      </w:pPr>
      <w:r w:rsidRPr="00B60914">
        <w:rPr>
          <w:rFonts w:ascii="Calibri" w:eastAsia="Times New Roman" w:hAnsi="Calibri" w:cs="Times New Roman"/>
          <w:bCs/>
        </w:rPr>
        <w:t>Taken together, the above research indicates that participatory action interventions can have positive effects on job resources such as influence in decision-making, autonomy, and social support, and outcom</w:t>
      </w:r>
      <w:r w:rsidR="00050FFB">
        <w:rPr>
          <w:rFonts w:ascii="Calibri" w:eastAsia="Times New Roman" w:hAnsi="Calibri" w:cs="Times New Roman"/>
          <w:bCs/>
        </w:rPr>
        <w:t xml:space="preserve">es such as </w:t>
      </w:r>
      <w:r w:rsidR="001D6140">
        <w:rPr>
          <w:rFonts w:ascii="Calibri" w:eastAsia="Times New Roman" w:hAnsi="Calibri" w:cs="Times New Roman"/>
          <w:bCs/>
        </w:rPr>
        <w:t>well-being</w:t>
      </w:r>
      <w:r w:rsidR="00050FFB">
        <w:rPr>
          <w:rFonts w:ascii="Calibri" w:eastAsia="Times New Roman" w:hAnsi="Calibri" w:cs="Times New Roman"/>
          <w:bCs/>
        </w:rPr>
        <w:t xml:space="preserve">. While job </w:t>
      </w:r>
      <w:r w:rsidRPr="00B60914">
        <w:rPr>
          <w:rFonts w:ascii="Calibri" w:eastAsia="Times New Roman" w:hAnsi="Calibri" w:cs="Times New Roman"/>
          <w:bCs/>
        </w:rPr>
        <w:t>demands</w:t>
      </w:r>
      <w:r w:rsidR="00050FFB">
        <w:rPr>
          <w:rFonts w:ascii="Calibri" w:eastAsia="Times New Roman" w:hAnsi="Calibri" w:cs="Times New Roman"/>
          <w:bCs/>
        </w:rPr>
        <w:t>-resources</w:t>
      </w:r>
      <w:r w:rsidRPr="00B60914">
        <w:rPr>
          <w:rFonts w:ascii="Calibri" w:eastAsia="Times New Roman" w:hAnsi="Calibri" w:cs="Times New Roman"/>
          <w:bCs/>
        </w:rPr>
        <w:t xml:space="preserve"> </w:t>
      </w:r>
      <w:r w:rsidR="00050FFB">
        <w:rPr>
          <w:rFonts w:ascii="Calibri" w:eastAsia="Times New Roman" w:hAnsi="Calibri" w:cs="Times New Roman"/>
          <w:bCs/>
        </w:rPr>
        <w:t>theory (JD-R, Bakker &amp; Demerouti, 2007; 2008)</w:t>
      </w:r>
      <w:r w:rsidRPr="00B60914">
        <w:rPr>
          <w:rFonts w:ascii="Calibri" w:eastAsia="Times New Roman" w:hAnsi="Calibri" w:cs="Times New Roman"/>
          <w:bCs/>
        </w:rPr>
        <w:t xml:space="preserve"> may help to explain why these job resources are related to positive outcomes, psychological theory explaining how and why participatory designs in particular might promote these effects, has not been well explored (Nielsen, 2013). In line with the </w:t>
      </w:r>
      <w:r w:rsidR="00BA1D44">
        <w:rPr>
          <w:rFonts w:ascii="Calibri" w:eastAsia="Times New Roman" w:hAnsi="Calibri" w:cs="Times New Roman"/>
          <w:bCs/>
        </w:rPr>
        <w:t>arguments in this and the prece</w:t>
      </w:r>
      <w:r w:rsidRPr="00B60914">
        <w:rPr>
          <w:rFonts w:ascii="Calibri" w:eastAsia="Times New Roman" w:hAnsi="Calibri" w:cs="Times New Roman"/>
          <w:bCs/>
        </w:rPr>
        <w:t xml:space="preserve">ding chapter, simply knowing </w:t>
      </w:r>
      <w:r w:rsidRPr="00B60914">
        <w:rPr>
          <w:rFonts w:ascii="Calibri" w:eastAsia="Times New Roman" w:hAnsi="Calibri" w:cs="Times New Roman"/>
          <w:bCs/>
          <w:i/>
        </w:rPr>
        <w:t>whether</w:t>
      </w:r>
      <w:r w:rsidRPr="00B60914">
        <w:rPr>
          <w:rFonts w:ascii="Calibri" w:eastAsia="Times New Roman" w:hAnsi="Calibri" w:cs="Times New Roman"/>
          <w:bCs/>
        </w:rPr>
        <w:t xml:space="preserve"> interventions work is not enough to progress intervention research, rather, knowing </w:t>
      </w:r>
      <w:r w:rsidRPr="00B60914">
        <w:rPr>
          <w:rFonts w:ascii="Calibri" w:eastAsia="Times New Roman" w:hAnsi="Calibri" w:cs="Times New Roman"/>
          <w:bCs/>
          <w:i/>
        </w:rPr>
        <w:t>how</w:t>
      </w:r>
      <w:r w:rsidRPr="00B60914">
        <w:rPr>
          <w:rFonts w:ascii="Calibri" w:eastAsia="Times New Roman" w:hAnsi="Calibri" w:cs="Times New Roman"/>
          <w:bCs/>
        </w:rPr>
        <w:t xml:space="preserve"> and </w:t>
      </w:r>
      <w:r w:rsidRPr="00B60914">
        <w:rPr>
          <w:rFonts w:ascii="Calibri" w:eastAsia="Times New Roman" w:hAnsi="Calibri" w:cs="Times New Roman"/>
          <w:bCs/>
          <w:i/>
        </w:rPr>
        <w:t>why</w:t>
      </w:r>
      <w:r w:rsidRPr="00B60914">
        <w:rPr>
          <w:rFonts w:ascii="Calibri" w:eastAsia="Times New Roman" w:hAnsi="Calibri" w:cs="Times New Roman"/>
          <w:bCs/>
        </w:rPr>
        <w:t xml:space="preserve"> interventions work, is imperative to the successful design and implementation of future interventions. In depth evaluations of the process </w:t>
      </w:r>
      <w:r w:rsidRPr="00B60914">
        <w:rPr>
          <w:rFonts w:ascii="Calibri" w:eastAsia="Times New Roman" w:hAnsi="Calibri" w:cs="Times New Roman"/>
          <w:bCs/>
        </w:rPr>
        <w:lastRenderedPageBreak/>
        <w:t xml:space="preserve">and implementation of interventions may not only allow an evaluation of the participative processes involved in effective interventions, but may also allow psychological theory to be developed which helps explain these relationships and could inform the design of future interventions. </w:t>
      </w:r>
    </w:p>
    <w:p w14:paraId="28853037" w14:textId="77777777" w:rsidR="00B60914" w:rsidRPr="00B60914" w:rsidRDefault="00B60914" w:rsidP="00B60914">
      <w:pPr>
        <w:spacing w:before="200" w:line="360" w:lineRule="auto"/>
        <w:contextualSpacing/>
        <w:rPr>
          <w:rFonts w:ascii="Calibri" w:eastAsia="Times New Roman" w:hAnsi="Calibri" w:cs="Times New Roman"/>
          <w:bCs/>
        </w:rPr>
      </w:pPr>
    </w:p>
    <w:p w14:paraId="18976D73" w14:textId="7CA0C5AA" w:rsidR="00B60914" w:rsidRPr="00B60914" w:rsidRDefault="00B60914" w:rsidP="00B60914">
      <w:pPr>
        <w:spacing w:before="200" w:line="360" w:lineRule="auto"/>
        <w:contextualSpacing/>
        <w:rPr>
          <w:rFonts w:ascii="Calibri" w:eastAsia="Times New Roman" w:hAnsi="Calibri" w:cs="Times New Roman"/>
          <w:bCs/>
        </w:rPr>
      </w:pPr>
      <w:r w:rsidRPr="00B60914">
        <w:rPr>
          <w:rFonts w:ascii="Calibri" w:eastAsia="Times New Roman" w:hAnsi="Calibri" w:cs="Times New Roman"/>
          <w:bCs/>
        </w:rPr>
        <w:t xml:space="preserve">Some researchers have suggested that job crafting may be one psychological theory which explains how participatory action interventions have positive effects (Nielsen, 2013; Berg, </w:t>
      </w:r>
      <w:r w:rsidRPr="00B60914">
        <w:rPr>
          <w:rFonts w:ascii="Calibri" w:eastAsia="Times New Roman" w:hAnsi="Calibri" w:cs="Times New Roman"/>
          <w:lang w:eastAsia="zh-CN"/>
        </w:rPr>
        <w:t>Wrzesniewski, &amp; Dutton</w:t>
      </w:r>
      <w:r w:rsidRPr="00B60914">
        <w:rPr>
          <w:rFonts w:ascii="Calibri" w:eastAsia="Times New Roman" w:hAnsi="Calibri" w:cs="Times New Roman"/>
          <w:bCs/>
        </w:rPr>
        <w:t xml:space="preserve">, 2010). To recap, job crafting refers to the proactive physical and cognitive changes that individuals make to the content and type of work that they do and the way they think about their work (Wrzesniewski &amp; Dutton, 2001), through drawing on job and personal resources (Bakker </w:t>
      </w:r>
      <w:r w:rsidR="00997397">
        <w:rPr>
          <w:rFonts w:ascii="Calibri" w:eastAsia="Times New Roman" w:hAnsi="Calibri" w:cs="Times New Roman"/>
          <w:bCs/>
        </w:rPr>
        <w:t>&amp;</w:t>
      </w:r>
      <w:r w:rsidRPr="00B60914">
        <w:rPr>
          <w:rFonts w:ascii="Calibri" w:eastAsia="Times New Roman" w:hAnsi="Calibri" w:cs="Times New Roman"/>
          <w:bCs/>
        </w:rPr>
        <w:t xml:space="preserve"> Demerouti, 2007; Tims, Bakker, &amp; Derks, 2012; Tims, Bakker, &amp; Derks, 2013). It may be that through participatory interventions, individuals work together to craft their jobs, perhaps by collectively changing working procedures or processes (Nielsen, 2013). In this way, job crafting may not only apply to individuals but to collective groups of employees, allowing both individual and collective fulfilment of goals and needs, such as the three needs specified by </w:t>
      </w:r>
      <w:r w:rsidR="00C17CB1">
        <w:rPr>
          <w:rFonts w:ascii="Calibri" w:eastAsia="Times New Roman" w:hAnsi="Calibri" w:cs="Times New Roman"/>
          <w:bCs/>
        </w:rPr>
        <w:t>Self-Determination Theory</w:t>
      </w:r>
      <w:r w:rsidRPr="00B60914">
        <w:rPr>
          <w:rFonts w:ascii="Calibri" w:eastAsia="Times New Roman" w:hAnsi="Calibri" w:cs="Times New Roman"/>
          <w:bCs/>
        </w:rPr>
        <w:t xml:space="preserve"> (SDT; autonomy, competence and relatedness; Deci &amp; Ryan, 2000). In so doing, employees may collectively broaden their ideas about what it is possible to change and how, and collectively experience more positive emotions as a result, in accordance with broaden-and-build theory (Fredrickson, 2001). Given the positive associations between job crafting, positive emotions and </w:t>
      </w:r>
      <w:r w:rsidR="001D6140">
        <w:rPr>
          <w:rFonts w:ascii="Calibri" w:eastAsia="Times New Roman" w:hAnsi="Calibri" w:cs="Times New Roman"/>
          <w:bCs/>
        </w:rPr>
        <w:t>well-being</w:t>
      </w:r>
      <w:r w:rsidRPr="00B60914">
        <w:rPr>
          <w:rFonts w:ascii="Calibri" w:eastAsia="Times New Roman" w:hAnsi="Calibri" w:cs="Times New Roman"/>
          <w:bCs/>
        </w:rPr>
        <w:t xml:space="preserve"> observed in some studies (e.g. Tims et al., 2013) it is likely that the </w:t>
      </w:r>
      <w:r w:rsidR="001D6140">
        <w:rPr>
          <w:rFonts w:ascii="Calibri" w:eastAsia="Times New Roman" w:hAnsi="Calibri" w:cs="Times New Roman"/>
          <w:bCs/>
        </w:rPr>
        <w:t>well-being</w:t>
      </w:r>
      <w:r w:rsidRPr="00B60914">
        <w:rPr>
          <w:rFonts w:ascii="Calibri" w:eastAsia="Times New Roman" w:hAnsi="Calibri" w:cs="Times New Roman"/>
          <w:bCs/>
        </w:rPr>
        <w:t xml:space="preserve"> of these groups of employees will also increase. It is thus also likely that a positive effect on work engagement, an indicator of </w:t>
      </w:r>
      <w:r w:rsidR="001D6140">
        <w:rPr>
          <w:rFonts w:ascii="Calibri" w:eastAsia="Times New Roman" w:hAnsi="Calibri" w:cs="Times New Roman"/>
          <w:bCs/>
        </w:rPr>
        <w:t>well-being</w:t>
      </w:r>
      <w:r w:rsidRPr="00B60914">
        <w:rPr>
          <w:rFonts w:ascii="Calibri" w:eastAsia="Times New Roman" w:hAnsi="Calibri" w:cs="Times New Roman"/>
          <w:bCs/>
        </w:rPr>
        <w:t xml:space="preserve">, would occur through collective job crafting inherent in participative intervention designs.  </w:t>
      </w:r>
    </w:p>
    <w:p w14:paraId="044E827D" w14:textId="77777777" w:rsidR="00B60914" w:rsidRPr="00B60914" w:rsidRDefault="00B60914" w:rsidP="00B60914">
      <w:pPr>
        <w:spacing w:before="200" w:line="360" w:lineRule="auto"/>
        <w:contextualSpacing/>
        <w:rPr>
          <w:rFonts w:ascii="Calibri" w:eastAsia="Times New Roman" w:hAnsi="Calibri" w:cs="Times New Roman"/>
          <w:bCs/>
        </w:rPr>
      </w:pPr>
    </w:p>
    <w:p w14:paraId="52F0A13E" w14:textId="352AF8EA" w:rsidR="00B60914" w:rsidRPr="00B60914" w:rsidRDefault="00B60914" w:rsidP="00B60914">
      <w:pPr>
        <w:spacing w:before="200" w:line="360" w:lineRule="auto"/>
        <w:contextualSpacing/>
        <w:rPr>
          <w:rFonts w:ascii="Calibri" w:eastAsia="Times New Roman" w:hAnsi="Calibri" w:cs="Times New Roman"/>
          <w:bCs/>
        </w:rPr>
      </w:pPr>
      <w:r w:rsidRPr="00B60914">
        <w:rPr>
          <w:rFonts w:ascii="Calibri" w:eastAsia="Times New Roman" w:hAnsi="Calibri" w:cs="Times New Roman"/>
          <w:bCs/>
        </w:rPr>
        <w:t xml:space="preserve">Nielsen (2013) also posits that social identity theory (SIT) may help to explain why interventions work. SIT proposes that individuals identify themselves with a particular social group, such as a work team, with which they share characteristics (the in-group). Individuals who do not share these characteristics are termed the out-group. In the event that the in-group meets the needs of the individual for a sense of belonging, purpose and meaning, membership of this group is thought to have a positive effect on the individual’s </w:t>
      </w:r>
      <w:r w:rsidR="001D6140">
        <w:rPr>
          <w:rFonts w:ascii="Calibri" w:eastAsia="Times New Roman" w:hAnsi="Calibri" w:cs="Times New Roman"/>
          <w:bCs/>
        </w:rPr>
        <w:t>well-being</w:t>
      </w:r>
      <w:r w:rsidRPr="00B60914">
        <w:rPr>
          <w:rFonts w:ascii="Calibri" w:eastAsia="Times New Roman" w:hAnsi="Calibri" w:cs="Times New Roman"/>
          <w:bCs/>
        </w:rPr>
        <w:t xml:space="preserve"> (Haslam</w:t>
      </w:r>
      <w:r w:rsidR="009A24EB">
        <w:rPr>
          <w:rFonts w:ascii="Calibri" w:eastAsia="Times New Roman" w:hAnsi="Calibri" w:cs="Times New Roman"/>
          <w:bCs/>
        </w:rPr>
        <w:t>, Jetten, Postmes, &amp; Haslam</w:t>
      </w:r>
      <w:r w:rsidRPr="00B60914">
        <w:rPr>
          <w:rFonts w:ascii="Calibri" w:eastAsia="Times New Roman" w:hAnsi="Calibri" w:cs="Times New Roman"/>
          <w:bCs/>
        </w:rPr>
        <w:t xml:space="preserve">, 2009). </w:t>
      </w:r>
    </w:p>
    <w:p w14:paraId="7466AB53" w14:textId="77777777" w:rsidR="00B60914" w:rsidRPr="00B60914" w:rsidRDefault="00B60914" w:rsidP="00B60914">
      <w:pPr>
        <w:spacing w:before="200" w:line="360" w:lineRule="auto"/>
        <w:contextualSpacing/>
        <w:rPr>
          <w:rFonts w:ascii="Calibri" w:eastAsia="Times New Roman" w:hAnsi="Calibri" w:cs="Times New Roman"/>
          <w:bCs/>
        </w:rPr>
      </w:pPr>
    </w:p>
    <w:p w14:paraId="21C78D42" w14:textId="01215447" w:rsidR="00B60914" w:rsidRPr="00B60914" w:rsidRDefault="00B60914" w:rsidP="00B60914">
      <w:pPr>
        <w:spacing w:before="200" w:line="360" w:lineRule="auto"/>
        <w:contextualSpacing/>
        <w:rPr>
          <w:rFonts w:ascii="Calibri" w:eastAsia="Times New Roman" w:hAnsi="Calibri" w:cs="Times New Roman"/>
          <w:bCs/>
        </w:rPr>
      </w:pPr>
      <w:r w:rsidRPr="00B60914">
        <w:rPr>
          <w:rFonts w:ascii="Calibri" w:eastAsia="Times New Roman" w:hAnsi="Calibri" w:cs="Times New Roman"/>
          <w:bCs/>
        </w:rPr>
        <w:t xml:space="preserve">For example, participation in organisational interventions may encourage individuals to view themselves as a member of ‘the intervention group’, encouraging a sense of belonging to this group. Through the opportunity to work with other members of the group to influence intervention activities, participants may also develop an increased sense of purpose and autonomy. Having a </w:t>
      </w:r>
      <w:r w:rsidRPr="00B60914">
        <w:rPr>
          <w:rFonts w:ascii="Calibri" w:eastAsia="Times New Roman" w:hAnsi="Calibri" w:cs="Times New Roman"/>
          <w:bCs/>
        </w:rPr>
        <w:lastRenderedPageBreak/>
        <w:t xml:space="preserve">direction, and being able to effect change and contribute to decision-making may additionally increase the sense of competence that these individuals feel, as changes made are likely to impact positively on work practices and individuals’ perceived ability to carry out their jobs. Furthermore, working together in a group with which the individual identifies is likely to encourage social support from team members, building group cohesion further (Nielsen, 2013). As noted by Le Blanc </w:t>
      </w:r>
      <w:r w:rsidR="00395453">
        <w:rPr>
          <w:rFonts w:ascii="Calibri" w:eastAsia="Times New Roman" w:hAnsi="Calibri" w:cs="Times New Roman"/>
          <w:bCs/>
        </w:rPr>
        <w:t>et al.</w:t>
      </w:r>
      <w:r w:rsidRPr="00B60914">
        <w:rPr>
          <w:rFonts w:ascii="Calibri" w:eastAsia="Times New Roman" w:hAnsi="Calibri" w:cs="Times New Roman"/>
          <w:bCs/>
        </w:rPr>
        <w:t xml:space="preserve"> (2007), social support and group cohesion is likely to be particularly important in nursing teams, where members need to work together to achieve high quality care and are likely to be an important source of physical and emotional support for each other. Such support can encourage problem solving and diffuse tension. It may be that the reduction in burnout observed in Le Blanc and colleagues’ study may have been in part due to the participative nature of the intervention which allowed individuals to identify with members of the intervention group, creating a sense of belonging and cohesion, and increasing social support. </w:t>
      </w:r>
    </w:p>
    <w:p w14:paraId="7F82EB6C" w14:textId="77777777" w:rsidR="00B60914" w:rsidRPr="00B60914" w:rsidRDefault="00B60914" w:rsidP="00B60914">
      <w:pPr>
        <w:spacing w:before="200" w:line="360" w:lineRule="auto"/>
        <w:contextualSpacing/>
        <w:rPr>
          <w:rFonts w:ascii="Calibri" w:eastAsia="Times New Roman" w:hAnsi="Calibri" w:cs="Times New Roman"/>
          <w:bCs/>
        </w:rPr>
      </w:pPr>
    </w:p>
    <w:p w14:paraId="5C8E9541" w14:textId="14E755E2" w:rsidR="00B60914" w:rsidRPr="00B60914" w:rsidRDefault="00B60914" w:rsidP="00B60914">
      <w:pPr>
        <w:spacing w:before="200" w:line="360" w:lineRule="auto"/>
        <w:contextualSpacing/>
        <w:rPr>
          <w:rFonts w:ascii="Calibri Light" w:eastAsia="Times New Roman" w:hAnsi="Calibri Light" w:cs="Times New Roman"/>
          <w:bCs/>
        </w:rPr>
      </w:pPr>
      <w:r w:rsidRPr="00B60914">
        <w:rPr>
          <w:rFonts w:ascii="Calibri" w:eastAsia="Times New Roman" w:hAnsi="Calibri" w:cs="Times New Roman"/>
          <w:bCs/>
        </w:rPr>
        <w:t xml:space="preserve">In summary, both collective job crafting and social identity theory may go some way towards explaining, psychologically, </w:t>
      </w:r>
      <w:r w:rsidRPr="00B60914">
        <w:rPr>
          <w:rFonts w:ascii="Calibri" w:eastAsia="Times New Roman" w:hAnsi="Calibri" w:cs="Times New Roman"/>
          <w:bCs/>
          <w:i/>
        </w:rPr>
        <w:t xml:space="preserve">how </w:t>
      </w:r>
      <w:r w:rsidRPr="00B60914">
        <w:rPr>
          <w:rFonts w:ascii="Calibri" w:eastAsia="Times New Roman" w:hAnsi="Calibri" w:cs="Times New Roman"/>
          <w:bCs/>
        </w:rPr>
        <w:t xml:space="preserve">and </w:t>
      </w:r>
      <w:r w:rsidRPr="00B60914">
        <w:rPr>
          <w:rFonts w:ascii="Calibri" w:eastAsia="Times New Roman" w:hAnsi="Calibri" w:cs="Times New Roman"/>
          <w:bCs/>
          <w:i/>
        </w:rPr>
        <w:t>why</w:t>
      </w:r>
      <w:r w:rsidRPr="00B60914">
        <w:rPr>
          <w:rFonts w:ascii="Calibri" w:eastAsia="Times New Roman" w:hAnsi="Calibri" w:cs="Times New Roman"/>
          <w:bCs/>
        </w:rPr>
        <w:t xml:space="preserve"> participative intervention methods could result in positive effects such as increased participation in decision-making and social support, satisfaction of the three core work-related needs, autonomy, competence, and relatedness (Deci &amp; Ryan, 2000; Van den Broeck</w:t>
      </w:r>
      <w:r w:rsidR="00AF46EE">
        <w:rPr>
          <w:rFonts w:ascii="Calibri" w:eastAsia="Times New Roman" w:hAnsi="Calibri" w:cs="Times New Roman"/>
          <w:bCs/>
        </w:rPr>
        <w:t xml:space="preserve"> et al.</w:t>
      </w:r>
      <w:r w:rsidRPr="00B60914">
        <w:rPr>
          <w:rFonts w:ascii="Calibri" w:eastAsia="Times New Roman" w:hAnsi="Calibri" w:cs="Times New Roman"/>
          <w:bCs/>
        </w:rPr>
        <w:t xml:space="preserve">, 2010), and increased </w:t>
      </w:r>
      <w:r w:rsidR="001D6140">
        <w:rPr>
          <w:rFonts w:ascii="Calibri" w:eastAsia="Times New Roman" w:hAnsi="Calibri" w:cs="Times New Roman"/>
          <w:bCs/>
        </w:rPr>
        <w:t>well-being</w:t>
      </w:r>
      <w:r w:rsidRPr="00B60914">
        <w:rPr>
          <w:rFonts w:ascii="Calibri" w:eastAsia="Times New Roman" w:hAnsi="Calibri" w:cs="Times New Roman"/>
          <w:bCs/>
        </w:rPr>
        <w:t xml:space="preserve"> and work engagement. Having discussed the evidence for the effectiveness of participatory action research, and psychological theories which might help explain how and why they are effective, this chapter will now turn towards a discussion of the aims and objectives of Study 2.</w:t>
      </w:r>
    </w:p>
    <w:p w14:paraId="6500C4BD" w14:textId="77777777" w:rsidR="00B60914" w:rsidRPr="00B60914" w:rsidRDefault="00B60914" w:rsidP="00B60914">
      <w:pPr>
        <w:spacing w:before="200" w:line="360" w:lineRule="auto"/>
        <w:contextualSpacing/>
        <w:rPr>
          <w:rFonts w:ascii="Calibri Light" w:eastAsia="Times New Roman" w:hAnsi="Calibri Light" w:cs="Times New Roman"/>
          <w:bCs/>
        </w:rPr>
      </w:pPr>
    </w:p>
    <w:p w14:paraId="6988769A" w14:textId="7494BFCB" w:rsidR="00B60914" w:rsidRPr="00783047" w:rsidRDefault="00B60914" w:rsidP="00B7614E">
      <w:pPr>
        <w:pStyle w:val="Thesisheading2"/>
      </w:pPr>
      <w:bookmarkStart w:id="92" w:name="_Toc408827373"/>
      <w:bookmarkStart w:id="93" w:name="_Ref453591865"/>
      <w:bookmarkStart w:id="94" w:name="_Toc468285946"/>
      <w:r w:rsidRPr="00783047">
        <w:t>Study 2 aims and objectives</w:t>
      </w:r>
      <w:bookmarkEnd w:id="92"/>
      <w:bookmarkEnd w:id="93"/>
      <w:bookmarkEnd w:id="94"/>
    </w:p>
    <w:p w14:paraId="333ADA06" w14:textId="77777777" w:rsidR="00B60914" w:rsidRPr="00B60914" w:rsidRDefault="00B60914" w:rsidP="00B60914">
      <w:pPr>
        <w:spacing w:before="200" w:line="360" w:lineRule="auto"/>
        <w:contextualSpacing/>
        <w:rPr>
          <w:rFonts w:ascii="Calibri" w:eastAsia="Calibri" w:hAnsi="Calibri" w:cs="Times New Roman"/>
        </w:rPr>
      </w:pPr>
    </w:p>
    <w:p w14:paraId="73CAD71E" w14:textId="719E7269"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Calibri" w:hAnsi="Calibri" w:cs="Times New Roman"/>
        </w:rPr>
        <w:t>Following Le Blanc</w:t>
      </w:r>
      <w:r w:rsidR="00441EBE">
        <w:rPr>
          <w:rFonts w:ascii="Calibri" w:eastAsia="Calibri" w:hAnsi="Calibri" w:cs="Times New Roman"/>
        </w:rPr>
        <w:t xml:space="preserve"> and colleagues’</w:t>
      </w:r>
      <w:r w:rsidRPr="00B60914">
        <w:rPr>
          <w:rFonts w:ascii="Calibri" w:eastAsia="Calibri" w:hAnsi="Calibri" w:cs="Times New Roman"/>
        </w:rPr>
        <w:t xml:space="preserve"> (2007) recommendation, and building on the arguments above</w:t>
      </w:r>
      <w:r w:rsidR="00997397">
        <w:rPr>
          <w:rFonts w:ascii="Calibri" w:eastAsia="Calibri" w:hAnsi="Calibri" w:cs="Times New Roman"/>
        </w:rPr>
        <w:t>,</w:t>
      </w:r>
      <w:r w:rsidRPr="00B60914">
        <w:rPr>
          <w:rFonts w:ascii="Calibri" w:eastAsia="Calibri" w:hAnsi="Calibri" w:cs="Times New Roman"/>
        </w:rPr>
        <w:t xml:space="preserve"> which support the effectiveness of participatory approaches for organisational interventions, a second aim of this research is to evaluate the effectiveness of a PAR intervention in relation to work engagement. To reiterate, work-related positive psychology interventions focus on </w:t>
      </w:r>
      <w:r w:rsidR="00597B3B">
        <w:rPr>
          <w:rFonts w:ascii="Calibri" w:eastAsia="Calibri" w:hAnsi="Calibri" w:cs="Times New Roman"/>
        </w:rPr>
        <w:t>individual-level</w:t>
      </w:r>
      <w:r w:rsidRPr="00B60914">
        <w:rPr>
          <w:rFonts w:ascii="Calibri" w:eastAsia="Calibri" w:hAnsi="Calibri" w:cs="Times New Roman"/>
        </w:rPr>
        <w:t xml:space="preserve"> change (e.g. Psychological Capital (PsyCAP) and job crafting interventions) whereas PAR focuses on team level change. This could be particularly relevant for organisations which rely on close teamwork to deliver a service. Indeed, and as highlighted by Le Blanc and colleagues’ study (2007), the NHS is one such organisation, with each hospital ward relying on team members to work together to provide high quality care for patients. However, within the NHS there is a long history of poor care for older people in particular. </w:t>
      </w:r>
      <w:r w:rsidRPr="00B60914">
        <w:rPr>
          <w:rFonts w:ascii="Calibri" w:eastAsia="Times New Roman" w:hAnsi="Calibri" w:cs="Times New Roman"/>
          <w:lang w:eastAsia="zh-CN"/>
        </w:rPr>
        <w:t xml:space="preserve">For example, the Mid-Staffordshire NHS Foundation Trust </w:t>
      </w:r>
      <w:r w:rsidRPr="00B60914">
        <w:rPr>
          <w:rFonts w:ascii="Calibri" w:eastAsia="Times New Roman" w:hAnsi="Calibri" w:cs="Times New Roman"/>
          <w:lang w:eastAsia="zh-CN"/>
        </w:rPr>
        <w:lastRenderedPageBreak/>
        <w:t>Public Inquiry investigated how standards of care within the Trust deteriorated so severely between 2005 and 2009 (Francis, 2013). The Francis report highlighted how vulnerable, elderly people suffered due to ‘a lack of care, compassion, humanity and [management] leadership’ in which ‘the most basic standards of care were not observed, and fundamental rights to dignity were not respected’ (Francis, 2013). Examples included patients being left unwashed, unfed and dehydrated. In response, Francis suggested that a change in NHS culture was essential, from top down managerial strategies focused on corporate matters and cost efficiency to bottom up strategies placing the patient at the centre of care. Other reports have revealed similar findings (e.g. Mullan, 2009; Cooper</w:t>
      </w:r>
      <w:r w:rsidR="004E2211">
        <w:rPr>
          <w:rFonts w:ascii="Calibri" w:eastAsia="Times New Roman" w:hAnsi="Calibri" w:cs="Times New Roman"/>
          <w:lang w:eastAsia="zh-CN"/>
        </w:rPr>
        <w:t xml:space="preserve"> et al.</w:t>
      </w:r>
      <w:r w:rsidRPr="00B60914">
        <w:rPr>
          <w:rFonts w:ascii="Calibri" w:eastAsia="Times New Roman" w:hAnsi="Calibri" w:cs="Times New Roman"/>
          <w:lang w:eastAsia="zh-CN"/>
        </w:rPr>
        <w:t xml:space="preserve">, 2008). The topic is also salient in the media, with a search of the BBC News online archive, using the term ‘poor elderly care’, revealing 22 news articles, bulletins and podcasts on the subject between January and July, 2014, and 144 since 1998 (www.bbc.co.uk, accessed 09.07.14). Documentaries have also been dedicated to this issue (e.g. Panorama: Behind Closed Doors: Elderly Care Exposed, 30th April, 2014). Need for change is clearly evident. </w:t>
      </w:r>
    </w:p>
    <w:p w14:paraId="47AB89EB"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1F6F1D0D" w14:textId="6EE61DD3" w:rsidR="00336D7C"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In an attempt to understand in more depth why poor quality care is of such particular concern on NHS acute elderly wards, Patterson </w:t>
      </w:r>
      <w:r w:rsidR="00336D7C">
        <w:rPr>
          <w:rFonts w:ascii="Calibri" w:eastAsia="Times New Roman" w:hAnsi="Calibri" w:cs="Times New Roman"/>
          <w:lang w:eastAsia="zh-CN"/>
        </w:rPr>
        <w:t>and colleagues</w:t>
      </w:r>
      <w:r w:rsidRPr="00B60914">
        <w:rPr>
          <w:rFonts w:ascii="Calibri" w:eastAsia="Times New Roman" w:hAnsi="Calibri" w:cs="Times New Roman"/>
          <w:lang w:eastAsia="zh-CN"/>
        </w:rPr>
        <w:t xml:space="preserve"> (2011) investigated the societal and contextual background in which this phenomenon is embedded and conducted a large survey across 70 NHS wards. Their review found that an ageing population was of particular importance, due to the projected increasing number of older people</w:t>
      </w:r>
      <w:r w:rsidR="00DC4A8F">
        <w:rPr>
          <w:rFonts w:ascii="Calibri" w:eastAsia="Times New Roman" w:hAnsi="Calibri" w:cs="Times New Roman"/>
          <w:lang w:eastAsia="zh-CN"/>
        </w:rPr>
        <w:t xml:space="preserve"> </w:t>
      </w:r>
      <w:r w:rsidRPr="00B60914">
        <w:rPr>
          <w:rFonts w:ascii="Calibri" w:eastAsia="Times New Roman" w:hAnsi="Calibri" w:cs="Times New Roman"/>
          <w:lang w:eastAsia="zh-CN"/>
        </w:rPr>
        <w:t>who are likely to require hospital care at some point, stretching already overstretched resources.</w:t>
      </w:r>
      <w:r w:rsidR="00DC4A8F">
        <w:rPr>
          <w:rFonts w:ascii="Calibri" w:eastAsia="Times New Roman" w:hAnsi="Calibri" w:cs="Times New Roman"/>
          <w:lang w:eastAsia="zh-CN"/>
        </w:rPr>
        <w:t xml:space="preserve"> Indeed, </w:t>
      </w:r>
      <w:r w:rsidR="00F61507">
        <w:rPr>
          <w:rFonts w:ascii="Calibri" w:eastAsia="Times New Roman" w:hAnsi="Calibri" w:cs="Times New Roman"/>
          <w:lang w:eastAsia="zh-CN"/>
        </w:rPr>
        <w:t>according to Age</w:t>
      </w:r>
      <w:r w:rsidR="00DC4A8F">
        <w:rPr>
          <w:rFonts w:ascii="Calibri" w:eastAsia="Times New Roman" w:hAnsi="Calibri" w:cs="Times New Roman"/>
          <w:lang w:eastAsia="zh-CN"/>
        </w:rPr>
        <w:t xml:space="preserve"> UK (</w:t>
      </w:r>
      <w:r w:rsidR="00997397">
        <w:rPr>
          <w:rFonts w:ascii="Calibri" w:eastAsia="Times New Roman" w:hAnsi="Calibri" w:cs="Times New Roman"/>
          <w:lang w:eastAsia="zh-CN"/>
        </w:rPr>
        <w:t xml:space="preserve">July, </w:t>
      </w:r>
      <w:r w:rsidR="00DC4A8F">
        <w:rPr>
          <w:rFonts w:ascii="Calibri" w:eastAsia="Times New Roman" w:hAnsi="Calibri" w:cs="Times New Roman"/>
          <w:lang w:eastAsia="zh-CN"/>
        </w:rPr>
        <w:t>2016), the number of people aged 65 years or more is expected to rise by over 16 million (40.77%) by 2033,</w:t>
      </w:r>
      <w:r w:rsidR="002B69C4">
        <w:rPr>
          <w:rFonts w:ascii="Calibri" w:eastAsia="Times New Roman" w:hAnsi="Calibri" w:cs="Times New Roman"/>
          <w:lang w:eastAsia="zh-CN"/>
        </w:rPr>
        <w:t xml:space="preserve"> from 11.4 million currently,</w:t>
      </w:r>
      <w:r w:rsidR="00DC4A8F">
        <w:rPr>
          <w:rFonts w:ascii="Calibri" w:eastAsia="Times New Roman" w:hAnsi="Calibri" w:cs="Times New Roman"/>
          <w:lang w:eastAsia="zh-CN"/>
        </w:rPr>
        <w:t xml:space="preserve"> with the number aged over 85 expected to more than double by 2039</w:t>
      </w:r>
      <w:r w:rsidR="002B69C4">
        <w:rPr>
          <w:rFonts w:ascii="Calibri" w:eastAsia="Times New Roman" w:hAnsi="Calibri" w:cs="Times New Roman"/>
          <w:lang w:eastAsia="zh-CN"/>
        </w:rPr>
        <w:t>, from 1.5 million</w:t>
      </w:r>
      <w:r w:rsidR="00DC4A8F">
        <w:rPr>
          <w:rFonts w:ascii="Calibri" w:eastAsia="Times New Roman" w:hAnsi="Calibri" w:cs="Times New Roman"/>
          <w:lang w:eastAsia="zh-CN"/>
        </w:rPr>
        <w:t>.</w:t>
      </w:r>
      <w:r w:rsidR="002B69C4">
        <w:rPr>
          <w:rFonts w:ascii="Calibri" w:eastAsia="Times New Roman" w:hAnsi="Calibri" w:cs="Times New Roman"/>
          <w:lang w:eastAsia="zh-CN"/>
        </w:rPr>
        <w:t xml:space="preserve"> At the same time, </w:t>
      </w:r>
      <w:r w:rsidR="00D11C84">
        <w:rPr>
          <w:rFonts w:ascii="Calibri" w:eastAsia="Times New Roman" w:hAnsi="Calibri" w:cs="Times New Roman"/>
          <w:lang w:eastAsia="zh-CN"/>
        </w:rPr>
        <w:t xml:space="preserve">36% of people over 65 currently have a long-term illness, rising to 47% for those over </w:t>
      </w:r>
      <w:r w:rsidR="00336D7C">
        <w:rPr>
          <w:rFonts w:ascii="Calibri" w:eastAsia="Times New Roman" w:hAnsi="Calibri" w:cs="Times New Roman"/>
          <w:lang w:eastAsia="zh-CN"/>
        </w:rPr>
        <w:t>75, and it is projected that these age-related illnesses,</w:t>
      </w:r>
      <w:r w:rsidR="00D11C84">
        <w:rPr>
          <w:rFonts w:ascii="Calibri" w:eastAsia="Times New Roman" w:hAnsi="Calibri" w:cs="Times New Roman"/>
          <w:lang w:eastAsia="zh-CN"/>
        </w:rPr>
        <w:t xml:space="preserve"> coupled with the ageing population, will necessitate an increased expenditure of £5 billion by 2018.</w:t>
      </w:r>
      <w:r w:rsidRPr="00B60914">
        <w:rPr>
          <w:rFonts w:ascii="Calibri" w:eastAsia="Times New Roman" w:hAnsi="Calibri" w:cs="Times New Roman"/>
          <w:lang w:eastAsia="zh-CN"/>
        </w:rPr>
        <w:t xml:space="preserve"> </w:t>
      </w:r>
    </w:p>
    <w:p w14:paraId="6CD7F2C4" w14:textId="77777777" w:rsidR="00336D7C" w:rsidRDefault="00336D7C" w:rsidP="00B60914">
      <w:pPr>
        <w:spacing w:before="200" w:line="360" w:lineRule="auto"/>
        <w:contextualSpacing/>
        <w:rPr>
          <w:rFonts w:ascii="Calibri" w:eastAsia="Times New Roman" w:hAnsi="Calibri" w:cs="Times New Roman"/>
          <w:lang w:eastAsia="zh-CN"/>
        </w:rPr>
      </w:pPr>
    </w:p>
    <w:p w14:paraId="1AD6C521" w14:textId="40C692C1"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In addition</w:t>
      </w:r>
      <w:r w:rsidR="00A62DDD">
        <w:rPr>
          <w:rFonts w:ascii="Calibri" w:eastAsia="Times New Roman" w:hAnsi="Calibri" w:cs="Times New Roman"/>
          <w:lang w:eastAsia="zh-CN"/>
        </w:rPr>
        <w:t xml:space="preserve"> to the problems associated with the ageing population</w:t>
      </w:r>
      <w:r w:rsidRPr="00B60914">
        <w:rPr>
          <w:rFonts w:ascii="Calibri" w:eastAsia="Times New Roman" w:hAnsi="Calibri" w:cs="Times New Roman"/>
          <w:lang w:eastAsia="zh-CN"/>
        </w:rPr>
        <w:t xml:space="preserve">, </w:t>
      </w:r>
      <w:r w:rsidR="00336D7C">
        <w:rPr>
          <w:rFonts w:ascii="Calibri" w:eastAsia="Times New Roman" w:hAnsi="Calibri" w:cs="Times New Roman"/>
          <w:lang w:eastAsia="zh-CN"/>
        </w:rPr>
        <w:t>Patterson and colleagues</w:t>
      </w:r>
      <w:r w:rsidRPr="00B60914">
        <w:rPr>
          <w:rFonts w:ascii="Calibri" w:eastAsia="Times New Roman" w:hAnsi="Calibri" w:cs="Times New Roman"/>
          <w:lang w:eastAsia="zh-CN"/>
        </w:rPr>
        <w:t xml:space="preserve"> reported a long societal history of negative attitudes and behaviours towards older people, with accounts of elderly patients in NHS hospitals being perceived as ‘incurable’ and therefore simply ‘bed-blockers’, preventing others from receiving the care they need to get better. These negative attitudes have coincided with other reports indicating that those caring for the elderly feel undervalued and under resourced, and that resources are preferentially allocated to other patient groups (e.g.</w:t>
      </w:r>
      <w:r w:rsidR="008E4D62">
        <w:rPr>
          <w:rFonts w:ascii="Calibri" w:eastAsia="Times New Roman" w:hAnsi="Calibri" w:cs="Times New Roman"/>
          <w:lang w:eastAsia="zh-CN"/>
        </w:rPr>
        <w:t xml:space="preserve"> Davies, Nolan, Brown &amp; Wilson</w:t>
      </w:r>
      <w:r w:rsidR="00A62DDD">
        <w:rPr>
          <w:rFonts w:ascii="Calibri" w:eastAsia="Times New Roman" w:hAnsi="Calibri" w:cs="Times New Roman"/>
          <w:lang w:eastAsia="zh-CN"/>
        </w:rPr>
        <w:t xml:space="preserve">, </w:t>
      </w:r>
      <w:r w:rsidR="008E4D62">
        <w:rPr>
          <w:rFonts w:ascii="Calibri" w:eastAsia="Times New Roman" w:hAnsi="Calibri" w:cs="Times New Roman"/>
          <w:lang w:eastAsia="zh-CN"/>
        </w:rPr>
        <w:t>1999;</w:t>
      </w:r>
      <w:r w:rsidRPr="00B60914">
        <w:rPr>
          <w:rFonts w:ascii="Calibri" w:eastAsia="Times New Roman" w:hAnsi="Calibri" w:cs="Times New Roman"/>
          <w:lang w:eastAsia="zh-CN"/>
        </w:rPr>
        <w:t xml:space="preserve"> Francis, 2013</w:t>
      </w:r>
      <w:r w:rsidR="00A62DDD">
        <w:rPr>
          <w:rFonts w:ascii="Calibri" w:eastAsia="Times New Roman" w:hAnsi="Calibri" w:cs="Times New Roman"/>
          <w:lang w:eastAsia="zh-CN"/>
        </w:rPr>
        <w:t>)</w:t>
      </w:r>
      <w:r w:rsidRPr="00B60914">
        <w:rPr>
          <w:rFonts w:ascii="Calibri" w:eastAsia="Times New Roman" w:hAnsi="Calibri" w:cs="Times New Roman"/>
          <w:lang w:eastAsia="zh-CN"/>
        </w:rPr>
        <w:t xml:space="preserve">. Given the current economic </w:t>
      </w:r>
      <w:r w:rsidRPr="00B60914">
        <w:rPr>
          <w:rFonts w:ascii="Calibri" w:eastAsia="Times New Roman" w:hAnsi="Calibri" w:cs="Times New Roman"/>
          <w:lang w:eastAsia="zh-CN"/>
        </w:rPr>
        <w:lastRenderedPageBreak/>
        <w:t xml:space="preserve">climate and </w:t>
      </w:r>
      <w:r w:rsidR="00740059">
        <w:rPr>
          <w:rFonts w:ascii="Calibri" w:eastAsia="Times New Roman" w:hAnsi="Calibri" w:cs="Times New Roman"/>
          <w:lang w:eastAsia="zh-CN"/>
        </w:rPr>
        <w:t xml:space="preserve">continued </w:t>
      </w:r>
      <w:r w:rsidRPr="00B60914">
        <w:rPr>
          <w:rFonts w:ascii="Calibri" w:eastAsia="Times New Roman" w:hAnsi="Calibri" w:cs="Times New Roman"/>
          <w:lang w:eastAsia="zh-CN"/>
        </w:rPr>
        <w:t>government budget cuts to public health spending</w:t>
      </w:r>
      <w:r w:rsidR="006E3BD3">
        <w:rPr>
          <w:rStyle w:val="FootnoteReference"/>
          <w:rFonts w:ascii="Calibri" w:eastAsia="Times New Roman" w:hAnsi="Calibri" w:cs="Times New Roman"/>
          <w:lang w:eastAsia="zh-CN"/>
        </w:rPr>
        <w:footnoteReference w:id="2"/>
      </w:r>
      <w:r w:rsidRPr="00B60914">
        <w:rPr>
          <w:rFonts w:ascii="Calibri" w:eastAsia="Times New Roman" w:hAnsi="Calibri" w:cs="Times New Roman"/>
          <w:lang w:eastAsia="zh-CN"/>
        </w:rPr>
        <w:t xml:space="preserve">, </w:t>
      </w:r>
      <w:r w:rsidR="006E3BD3">
        <w:rPr>
          <w:rFonts w:ascii="Calibri" w:eastAsia="Times New Roman" w:hAnsi="Calibri" w:cs="Times New Roman"/>
          <w:lang w:eastAsia="zh-CN"/>
        </w:rPr>
        <w:t xml:space="preserve">however, </w:t>
      </w:r>
      <w:r w:rsidRPr="00B60914">
        <w:rPr>
          <w:rFonts w:ascii="Calibri" w:eastAsia="Times New Roman" w:hAnsi="Calibri" w:cs="Times New Roman"/>
          <w:lang w:eastAsia="zh-CN"/>
        </w:rPr>
        <w:t xml:space="preserve">it seems unlikely that the amount of resources is likely to increase. Therefore, current staff must make the most of the resources they do have in the face of these negative attitudes. </w:t>
      </w:r>
    </w:p>
    <w:p w14:paraId="3C5544C7"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2E3C4C34" w14:textId="6AB49565"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Within this context, carers have also reported finding it difficult to achieve a sense of significance, purpose, and reward in their jobs due to patients commonly being ill long-term and likely to progressively deteriorate as opposed to return to full health (Patterson et al., 2011). Under these conditions, it is not surprising that motivation and morale are also reportedly low. In accordance with the motivational hypothesis and the health impairment process underlying the JD-R model (see </w:t>
      </w:r>
      <w:r w:rsidR="007A46AB">
        <w:rPr>
          <w:rFonts w:ascii="Calibri" w:eastAsia="Times New Roman" w:hAnsi="Calibri" w:cs="Times New Roman"/>
          <w:lang w:eastAsia="zh-CN"/>
        </w:rPr>
        <w:t>se</w:t>
      </w:r>
      <w:r w:rsidRPr="00B60914">
        <w:rPr>
          <w:rFonts w:ascii="Calibri" w:eastAsia="Times New Roman" w:hAnsi="Calibri" w:cs="Times New Roman"/>
          <w:lang w:eastAsia="zh-CN"/>
        </w:rPr>
        <w:t xml:space="preserve">ction </w:t>
      </w:r>
      <w:r w:rsidR="007A46AB">
        <w:rPr>
          <w:rFonts w:ascii="Calibri" w:eastAsia="Times New Roman" w:hAnsi="Calibri" w:cs="Times New Roman"/>
          <w:lang w:eastAsia="zh-CN"/>
        </w:rPr>
        <w:fldChar w:fldCharType="begin"/>
      </w:r>
      <w:r w:rsidR="007A46AB">
        <w:rPr>
          <w:rFonts w:ascii="Calibri" w:eastAsia="Times New Roman" w:hAnsi="Calibri" w:cs="Times New Roman"/>
          <w:lang w:eastAsia="zh-CN"/>
        </w:rPr>
        <w:instrText xml:space="preserve"> REF _Ref453249994 \r \h </w:instrText>
      </w:r>
      <w:r w:rsidR="007A46AB">
        <w:rPr>
          <w:rFonts w:ascii="Calibri" w:eastAsia="Times New Roman" w:hAnsi="Calibri" w:cs="Times New Roman"/>
          <w:lang w:eastAsia="zh-CN"/>
        </w:rPr>
      </w:r>
      <w:r w:rsidR="007A46AB">
        <w:rPr>
          <w:rFonts w:ascii="Calibri" w:eastAsia="Times New Roman" w:hAnsi="Calibri" w:cs="Times New Roman"/>
          <w:lang w:eastAsia="zh-CN"/>
        </w:rPr>
        <w:fldChar w:fldCharType="separate"/>
      </w:r>
      <w:r w:rsidR="00152F6D">
        <w:rPr>
          <w:rFonts w:ascii="Calibri" w:eastAsia="Times New Roman" w:hAnsi="Calibri" w:cs="Times New Roman"/>
          <w:lang w:eastAsia="zh-CN"/>
        </w:rPr>
        <w:t>2.2.4</w:t>
      </w:r>
      <w:r w:rsidR="007A46AB">
        <w:rPr>
          <w:rFonts w:ascii="Calibri" w:eastAsia="Times New Roman" w:hAnsi="Calibri" w:cs="Times New Roman"/>
          <w:lang w:eastAsia="zh-CN"/>
        </w:rPr>
        <w:fldChar w:fldCharType="end"/>
      </w:r>
      <w:r w:rsidRPr="00B60914">
        <w:rPr>
          <w:rFonts w:ascii="Calibri" w:eastAsia="Times New Roman" w:hAnsi="Calibri" w:cs="Times New Roman"/>
          <w:lang w:eastAsia="zh-CN"/>
        </w:rPr>
        <w:t xml:space="preserve">), it would also not be surprising to find that levels of work engagement, psychological </w:t>
      </w:r>
      <w:r w:rsidR="001D6140">
        <w:rPr>
          <w:rFonts w:ascii="Calibri" w:eastAsia="Times New Roman" w:hAnsi="Calibri" w:cs="Times New Roman"/>
          <w:lang w:eastAsia="zh-CN"/>
        </w:rPr>
        <w:t>well-being</w:t>
      </w:r>
      <w:r w:rsidRPr="00B60914">
        <w:rPr>
          <w:rFonts w:ascii="Calibri" w:eastAsia="Times New Roman" w:hAnsi="Calibri" w:cs="Times New Roman"/>
          <w:lang w:eastAsia="zh-CN"/>
        </w:rPr>
        <w:t xml:space="preserve"> and job performance, or quality o</w:t>
      </w:r>
      <w:r w:rsidR="00997397">
        <w:rPr>
          <w:rFonts w:ascii="Calibri" w:eastAsia="Times New Roman" w:hAnsi="Calibri" w:cs="Times New Roman"/>
          <w:lang w:eastAsia="zh-CN"/>
        </w:rPr>
        <w:t xml:space="preserve">f care, were additionally low. </w:t>
      </w:r>
      <w:r w:rsidRPr="00B60914">
        <w:rPr>
          <w:rFonts w:ascii="Calibri" w:eastAsia="Times New Roman" w:hAnsi="Calibri" w:cs="Times New Roman"/>
          <w:lang w:eastAsia="zh-CN"/>
        </w:rPr>
        <w:t>An intervention to increase work engagement, with its associated impact on well-being and job performance, may therefore be a particularly appropriate means of improving quality of care on acute elderly wards in the NHS.</w:t>
      </w:r>
    </w:p>
    <w:p w14:paraId="5A442C6C"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04691AA8" w14:textId="493C4F3A"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The survey which Patterson et al. (2011) conducted also identified several positive factors which nursing staff reported to experience on wards where caregiving standards were perceived to be high by staff, patients and carers alike. These factors mirror some of the job resources proposed by the JD-R model and include: shared values (a philosophy of care), colleague social support, and sufficient physical resources to carry out care duties. In accordance with JD-R theory and SDT, it is possible that these factors may increase need satisfaction and work engagement</w:t>
      </w:r>
      <w:r w:rsidR="00997397">
        <w:rPr>
          <w:rFonts w:ascii="Calibri" w:eastAsia="Times New Roman" w:hAnsi="Calibri" w:cs="Times New Roman"/>
          <w:lang w:eastAsia="zh-CN"/>
        </w:rPr>
        <w:t>,</w:t>
      </w:r>
      <w:r w:rsidRPr="00B60914">
        <w:rPr>
          <w:rFonts w:ascii="Calibri" w:eastAsia="Times New Roman" w:hAnsi="Calibri" w:cs="Times New Roman"/>
          <w:lang w:eastAsia="zh-CN"/>
        </w:rPr>
        <w:t xml:space="preserve"> as well as quality of care</w:t>
      </w:r>
      <w:r w:rsidR="00997397">
        <w:rPr>
          <w:rFonts w:ascii="Calibri" w:eastAsia="Times New Roman" w:hAnsi="Calibri" w:cs="Times New Roman"/>
          <w:lang w:eastAsia="zh-CN"/>
        </w:rPr>
        <w:t>,</w:t>
      </w:r>
      <w:r w:rsidRPr="00B60914">
        <w:rPr>
          <w:rFonts w:ascii="Calibri" w:eastAsia="Times New Roman" w:hAnsi="Calibri" w:cs="Times New Roman"/>
          <w:lang w:eastAsia="zh-CN"/>
        </w:rPr>
        <w:t xml:space="preserve"> in nursing teams. For example, SDT theory proposes that shared values and social support encourage a sense of belonging to a team, department and / or organisation (relatedness; Van den Broeck, Vansteenkiste, de Witte &amp; Lens, 2008) and having sufficient resources to perform one’s job well is suggested to encourage a sense of effectiveness and competence (Van den Broeck et al., 2008). Two further factors, feeling able to voice ideas and opinions, and believing that participating in decision-making processes can make a difference, have also been related to the satisfaction of the need for autonomy and work engagement (Deci et al., 2001; Van den Broeck et al., 2008) and may be implicated in quality of care (Patterson et al., 2011). </w:t>
      </w:r>
    </w:p>
    <w:p w14:paraId="4F305654"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3CF43986" w14:textId="6A238A79" w:rsidR="00846F7F" w:rsidRDefault="00B60914" w:rsidP="00846F7F">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Furthermore, Patterson </w:t>
      </w:r>
      <w:r w:rsidR="00D77E72">
        <w:rPr>
          <w:rFonts w:ascii="Calibri" w:eastAsia="Times New Roman" w:hAnsi="Calibri" w:cs="Times New Roman"/>
          <w:lang w:eastAsia="zh-CN"/>
        </w:rPr>
        <w:t>and colleagues’</w:t>
      </w:r>
      <w:r w:rsidRPr="00B60914">
        <w:rPr>
          <w:rFonts w:ascii="Calibri" w:eastAsia="Times New Roman" w:hAnsi="Calibri" w:cs="Times New Roman"/>
          <w:lang w:eastAsia="zh-CN"/>
        </w:rPr>
        <w:t xml:space="preserve"> (2011) study suggested that initiatives targeted at the team level within hospitals would realistically be most effective, given the importance they found on </w:t>
      </w:r>
      <w:r w:rsidRPr="00B60914">
        <w:rPr>
          <w:rFonts w:ascii="Calibri" w:eastAsia="Times New Roman" w:hAnsi="Calibri" w:cs="Times New Roman"/>
          <w:lang w:eastAsia="zh-CN"/>
        </w:rPr>
        <w:lastRenderedPageBreak/>
        <w:t xml:space="preserve">shared values and a positive climate of care within individual ward teams. More specifically, they found that different wards had different climates, with wards where staff shared a philosophy of care and felt supported by each other reporting more positive climates of care. Therefore, a PAR approach is likely to work well in this environment, given its emphasis on collaboration, supporting each other, and the development of shared aims and goals. Furthermore, the </w:t>
      </w:r>
      <w:r w:rsidR="00BA1D44">
        <w:rPr>
          <w:rFonts w:ascii="Calibri" w:eastAsia="Times New Roman" w:hAnsi="Calibri" w:cs="Times New Roman"/>
          <w:lang w:eastAsia="zh-CN"/>
        </w:rPr>
        <w:t>evidence presented in the prece</w:t>
      </w:r>
      <w:r w:rsidRPr="00B60914">
        <w:rPr>
          <w:rFonts w:ascii="Calibri" w:eastAsia="Times New Roman" w:hAnsi="Calibri" w:cs="Times New Roman"/>
          <w:lang w:eastAsia="zh-CN"/>
        </w:rPr>
        <w:t xml:space="preserve">ding two sections suggests that PAR approaches are particularly useful for promoting the satisfaction of the work-related basic needs, autonomy, competence and relatedness, and developing job resources such as social support and participation in decision-making. In summary, PAR interventions designed to improve the constellation of job resources discussed here may be particularly effective for satisfying work-related needs as well as increasing work </w:t>
      </w:r>
      <w:r w:rsidR="00F30522">
        <w:rPr>
          <w:rFonts w:ascii="Calibri" w:eastAsia="Times New Roman" w:hAnsi="Calibri" w:cs="Times New Roman"/>
          <w:lang w:eastAsia="zh-CN"/>
        </w:rPr>
        <w:t>engagement and job performance.</w:t>
      </w:r>
    </w:p>
    <w:p w14:paraId="368A1390" w14:textId="77777777" w:rsidR="00F30522" w:rsidRDefault="00F30522" w:rsidP="00846F7F">
      <w:pPr>
        <w:spacing w:before="200" w:line="360" w:lineRule="auto"/>
        <w:contextualSpacing/>
        <w:rPr>
          <w:rFonts w:ascii="Calibri" w:eastAsia="Times New Roman" w:hAnsi="Calibri" w:cs="Times New Roman"/>
          <w:lang w:eastAsia="zh-CN"/>
        </w:rPr>
      </w:pPr>
    </w:p>
    <w:p w14:paraId="63EE627A" w14:textId="4D90ABCE"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The current study to improve work engagement in nursing staff on acute elderly NHS wards is part of a wider study funded by the Burdett Trust for Nursing which aims to improve staff experiences of caring for older people and older people’s experiences of receiving care. It is intended that the study programme be rolled out to other NHS Trusts should it be successful. Within this context, the first aim of Study 2 is based on the evidence for participatory action research presented in this chapter, as well as theoretical arguments pres</w:t>
      </w:r>
      <w:r w:rsidR="00BA1D44">
        <w:rPr>
          <w:rFonts w:ascii="Calibri" w:eastAsia="Times New Roman" w:hAnsi="Calibri" w:cs="Times New Roman"/>
          <w:lang w:eastAsia="zh-CN"/>
        </w:rPr>
        <w:t>ented in all three of the prece</w:t>
      </w:r>
      <w:r w:rsidRPr="00B60914">
        <w:rPr>
          <w:rFonts w:ascii="Calibri" w:eastAsia="Times New Roman" w:hAnsi="Calibri" w:cs="Times New Roman"/>
          <w:lang w:eastAsia="zh-CN"/>
        </w:rPr>
        <w:t xml:space="preserve">ding chapters which suggests positive relationships between job demands, work engagement and </w:t>
      </w:r>
      <w:r w:rsidR="001D6140">
        <w:rPr>
          <w:rFonts w:ascii="Calibri" w:eastAsia="Times New Roman" w:hAnsi="Calibri" w:cs="Times New Roman"/>
          <w:lang w:eastAsia="zh-CN"/>
        </w:rPr>
        <w:t>well-being</w:t>
      </w:r>
      <w:r w:rsidRPr="00B60914">
        <w:rPr>
          <w:rFonts w:ascii="Calibri" w:eastAsia="Times New Roman" w:hAnsi="Calibri" w:cs="Times New Roman"/>
          <w:lang w:eastAsia="zh-CN"/>
        </w:rPr>
        <w:t xml:space="preserve">. Aim 1 is therefore as follows: </w:t>
      </w:r>
    </w:p>
    <w:p w14:paraId="4B44E0A6" w14:textId="77777777" w:rsidR="00B60914" w:rsidRPr="00B60914" w:rsidRDefault="00B60914" w:rsidP="00B60914">
      <w:pPr>
        <w:spacing w:after="200" w:line="360" w:lineRule="auto"/>
        <w:contextualSpacing/>
        <w:rPr>
          <w:rFonts w:ascii="Calibri" w:eastAsia="Times New Roman" w:hAnsi="Calibri" w:cs="Times New Roman"/>
          <w:lang w:eastAsia="zh-CN"/>
        </w:rPr>
      </w:pPr>
    </w:p>
    <w:p w14:paraId="2C6B2396" w14:textId="7478DF5C"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i/>
          <w:lang w:eastAsia="zh-CN"/>
        </w:rPr>
        <w:t>Aim 1:</w:t>
      </w:r>
      <w:r w:rsidRPr="00B60914">
        <w:rPr>
          <w:rFonts w:ascii="Calibri" w:eastAsia="Times New Roman" w:hAnsi="Calibri" w:cs="Times New Roman"/>
          <w:lang w:eastAsia="zh-CN"/>
        </w:rPr>
        <w:t xml:space="preserve"> To evaluate whether a </w:t>
      </w:r>
      <w:r w:rsidR="00597B3B">
        <w:rPr>
          <w:rFonts w:ascii="Calibri" w:eastAsia="Times New Roman" w:hAnsi="Calibri" w:cs="Times New Roman"/>
          <w:lang w:eastAsia="zh-CN"/>
        </w:rPr>
        <w:t>group-level</w:t>
      </w:r>
      <w:r w:rsidRPr="00B60914">
        <w:rPr>
          <w:rFonts w:ascii="Calibri" w:eastAsia="Times New Roman" w:hAnsi="Calibri" w:cs="Times New Roman"/>
          <w:lang w:eastAsia="zh-CN"/>
        </w:rPr>
        <w:t xml:space="preserve"> participatory action research intervention with nursing staff on acute elderly NHS wards is effective for increasing work engagement and </w:t>
      </w:r>
      <w:r w:rsidR="001D6140">
        <w:rPr>
          <w:rFonts w:ascii="Calibri" w:eastAsia="Times New Roman" w:hAnsi="Calibri" w:cs="Times New Roman"/>
          <w:lang w:eastAsia="zh-CN"/>
        </w:rPr>
        <w:t>well-being</w:t>
      </w:r>
      <w:r w:rsidRPr="00B60914">
        <w:rPr>
          <w:rFonts w:ascii="Calibri" w:eastAsia="Times New Roman" w:hAnsi="Calibri" w:cs="Times New Roman"/>
          <w:lang w:eastAsia="zh-CN"/>
        </w:rPr>
        <w:t>.</w:t>
      </w:r>
    </w:p>
    <w:p w14:paraId="2540FED2" w14:textId="77777777" w:rsidR="00B60914" w:rsidRPr="00B60914" w:rsidRDefault="00B60914" w:rsidP="00B60914">
      <w:pPr>
        <w:spacing w:before="200" w:line="360" w:lineRule="auto"/>
        <w:ind w:left="720"/>
        <w:contextualSpacing/>
        <w:rPr>
          <w:rFonts w:ascii="Calibri" w:eastAsia="Times New Roman" w:hAnsi="Calibri" w:cs="Times New Roman"/>
          <w:lang w:eastAsia="zh-CN"/>
        </w:rPr>
      </w:pPr>
    </w:p>
    <w:p w14:paraId="497C8326" w14:textId="16A52314" w:rsid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 xml:space="preserve">The second aim of Study 2 is based on the theoretical and empirical evidence presented in Chapter 2, and revisited above, which suggests that the presence of job resources allows employees to satisfy their work-related needs for autonomy, relatedness and competence, leading to work engagement and increased </w:t>
      </w:r>
      <w:r w:rsidR="001D6140">
        <w:rPr>
          <w:rFonts w:ascii="Calibri" w:eastAsia="Times New Roman" w:hAnsi="Calibri" w:cs="Times New Roman"/>
          <w:lang w:eastAsia="zh-CN"/>
        </w:rPr>
        <w:t>well-being</w:t>
      </w:r>
      <w:r w:rsidRPr="00B60914">
        <w:rPr>
          <w:rFonts w:ascii="Calibri" w:eastAsia="Times New Roman" w:hAnsi="Calibri" w:cs="Times New Roman"/>
          <w:lang w:eastAsia="zh-CN"/>
        </w:rPr>
        <w:t xml:space="preserve"> (e.g. Bakker &amp; Demerouti, 2007; 2008; Van den Broeck </w:t>
      </w:r>
      <w:r w:rsidR="00395453">
        <w:rPr>
          <w:rFonts w:ascii="Calibri" w:eastAsia="Times New Roman" w:hAnsi="Calibri" w:cs="Times New Roman"/>
          <w:lang w:eastAsia="zh-CN"/>
        </w:rPr>
        <w:t>et al.</w:t>
      </w:r>
      <w:r w:rsidRPr="00B60914">
        <w:rPr>
          <w:rFonts w:ascii="Calibri" w:eastAsia="Times New Roman" w:hAnsi="Calibri" w:cs="Times New Roman"/>
          <w:lang w:eastAsia="zh-CN"/>
        </w:rPr>
        <w:t xml:space="preserve">, 2010). To recap, SDT, in which these three needs are grounded, underlies engagement theory (e.g. Deci </w:t>
      </w:r>
      <w:r w:rsidR="00395453">
        <w:rPr>
          <w:rFonts w:ascii="Calibri" w:eastAsia="Times New Roman" w:hAnsi="Calibri" w:cs="Times New Roman"/>
          <w:lang w:eastAsia="zh-CN"/>
        </w:rPr>
        <w:t>et al.,</w:t>
      </w:r>
      <w:r w:rsidRPr="00B60914">
        <w:rPr>
          <w:rFonts w:ascii="Calibri" w:eastAsia="Times New Roman" w:hAnsi="Calibri" w:cs="Times New Roman"/>
          <w:lang w:eastAsia="zh-CN"/>
        </w:rPr>
        <w:t>2001; Meyer &amp; Gagne, 2008; Schaufel</w:t>
      </w:r>
      <w:r w:rsidR="00AF46EE">
        <w:rPr>
          <w:rFonts w:ascii="Calibri" w:eastAsia="Times New Roman" w:hAnsi="Calibri" w:cs="Times New Roman"/>
          <w:lang w:eastAsia="zh-CN"/>
        </w:rPr>
        <w:t xml:space="preserve">i </w:t>
      </w:r>
      <w:r w:rsidR="00395453">
        <w:rPr>
          <w:rFonts w:ascii="Calibri" w:eastAsia="Times New Roman" w:hAnsi="Calibri" w:cs="Times New Roman"/>
          <w:lang w:eastAsia="zh-CN"/>
        </w:rPr>
        <w:t>et al.</w:t>
      </w:r>
      <w:r w:rsidR="00AF46EE">
        <w:rPr>
          <w:rFonts w:ascii="Calibri" w:eastAsia="Times New Roman" w:hAnsi="Calibri" w:cs="Times New Roman"/>
          <w:lang w:eastAsia="zh-CN"/>
        </w:rPr>
        <w:t>, 2002; Van den Broeck et al.,</w:t>
      </w:r>
      <w:r w:rsidRPr="00B60914">
        <w:rPr>
          <w:rFonts w:ascii="Calibri" w:eastAsia="Times New Roman" w:hAnsi="Calibri" w:cs="Times New Roman"/>
          <w:lang w:eastAsia="zh-CN"/>
        </w:rPr>
        <w:t xml:space="preserve"> 2016) and the </w:t>
      </w:r>
      <w:r w:rsidR="00997397">
        <w:rPr>
          <w:rFonts w:ascii="Calibri" w:eastAsia="Times New Roman" w:hAnsi="Calibri" w:cs="Times New Roman"/>
          <w:lang w:eastAsia="zh-CN"/>
        </w:rPr>
        <w:t>JD-R</w:t>
      </w:r>
      <w:r w:rsidRPr="00B60914">
        <w:rPr>
          <w:rFonts w:ascii="Calibri" w:eastAsia="Times New Roman" w:hAnsi="Calibri" w:cs="Times New Roman"/>
          <w:lang w:eastAsia="zh-CN"/>
        </w:rPr>
        <w:t xml:space="preserve"> model of </w:t>
      </w:r>
      <w:r w:rsidR="00997397">
        <w:rPr>
          <w:rFonts w:ascii="Calibri" w:eastAsia="Times New Roman" w:hAnsi="Calibri" w:cs="Times New Roman"/>
          <w:lang w:eastAsia="zh-CN"/>
        </w:rPr>
        <w:t xml:space="preserve">work </w:t>
      </w:r>
      <w:r w:rsidRPr="00B60914">
        <w:rPr>
          <w:rFonts w:ascii="Calibri" w:eastAsia="Times New Roman" w:hAnsi="Calibri" w:cs="Times New Roman"/>
          <w:lang w:eastAsia="zh-CN"/>
        </w:rPr>
        <w:t xml:space="preserve">engagement (e.g. Schaufeli </w:t>
      </w:r>
      <w:r w:rsidR="00395453">
        <w:rPr>
          <w:rFonts w:ascii="Calibri" w:eastAsia="Times New Roman" w:hAnsi="Calibri" w:cs="Times New Roman"/>
          <w:lang w:eastAsia="zh-CN"/>
        </w:rPr>
        <w:t>et al.</w:t>
      </w:r>
      <w:r w:rsidRPr="00B60914">
        <w:rPr>
          <w:rFonts w:ascii="Calibri" w:eastAsia="Times New Roman" w:hAnsi="Calibri" w:cs="Times New Roman"/>
          <w:lang w:eastAsia="zh-CN"/>
        </w:rPr>
        <w:t xml:space="preserve">, 2002). The proposition is that autonomy, competence and relatedness mediate between job and personal resources and work engagement. It is thus expected that these three needs will mediate between the job resources in the work </w:t>
      </w:r>
      <w:r w:rsidRPr="00B60914">
        <w:rPr>
          <w:rFonts w:ascii="Calibri" w:eastAsia="Times New Roman" w:hAnsi="Calibri" w:cs="Times New Roman"/>
          <w:lang w:eastAsia="zh-CN"/>
        </w:rPr>
        <w:lastRenderedPageBreak/>
        <w:t xml:space="preserve">environment measured by this study, social support, participation in decision-making, and </w:t>
      </w:r>
      <w:r w:rsidR="00E33550">
        <w:rPr>
          <w:rFonts w:ascii="Calibri" w:eastAsia="Times New Roman" w:hAnsi="Calibri" w:cs="Times New Roman"/>
          <w:lang w:eastAsia="zh-CN"/>
        </w:rPr>
        <w:t xml:space="preserve">the perceived balance between </w:t>
      </w:r>
      <w:r w:rsidRPr="00B60914">
        <w:rPr>
          <w:rFonts w:ascii="Calibri" w:eastAsia="Times New Roman" w:hAnsi="Calibri" w:cs="Times New Roman"/>
          <w:lang w:eastAsia="zh-CN"/>
        </w:rPr>
        <w:t>resources and demands, and work engagement.</w:t>
      </w:r>
    </w:p>
    <w:p w14:paraId="4D72BF80" w14:textId="132B6C86" w:rsidR="00160731" w:rsidRDefault="00160731" w:rsidP="00B60914">
      <w:pPr>
        <w:spacing w:before="200" w:line="360" w:lineRule="auto"/>
        <w:contextualSpacing/>
        <w:rPr>
          <w:rFonts w:ascii="Calibri" w:eastAsia="Times New Roman" w:hAnsi="Calibri" w:cs="Times New Roman"/>
          <w:lang w:eastAsia="zh-CN"/>
        </w:rPr>
      </w:pPr>
    </w:p>
    <w:p w14:paraId="0D938A67" w14:textId="1DA507CF" w:rsidR="00B60914" w:rsidRPr="00B60914" w:rsidRDefault="00101B2C" w:rsidP="00B60914">
      <w:pPr>
        <w:spacing w:before="200" w:line="360" w:lineRule="auto"/>
        <w:contextualSpacing/>
        <w:rPr>
          <w:rFonts w:ascii="Calibri" w:eastAsia="Times New Roman" w:hAnsi="Calibri" w:cs="Times New Roman"/>
          <w:lang w:eastAsia="zh-CN"/>
        </w:rPr>
      </w:pPr>
      <w:r>
        <w:rPr>
          <w:rFonts w:ascii="Calibri" w:eastAsia="Times New Roman" w:hAnsi="Calibri" w:cs="Times New Roman"/>
          <w:lang w:eastAsia="zh-CN"/>
        </w:rPr>
        <w:t>In accordance with the JD-R model, s</w:t>
      </w:r>
      <w:r w:rsidR="00BD3D8D">
        <w:rPr>
          <w:rFonts w:ascii="Calibri" w:eastAsia="Times New Roman" w:hAnsi="Calibri" w:cs="Times New Roman"/>
          <w:lang w:eastAsia="zh-CN"/>
        </w:rPr>
        <w:t>ocial support refers to</w:t>
      </w:r>
      <w:r>
        <w:rPr>
          <w:rFonts w:ascii="Calibri" w:eastAsia="Times New Roman" w:hAnsi="Calibri" w:cs="Times New Roman"/>
          <w:lang w:eastAsia="zh-CN"/>
        </w:rPr>
        <w:t xml:space="preserve"> the assistance, help, and advice that work colleagues may provide each other.</w:t>
      </w:r>
      <w:r w:rsidR="002E1A17">
        <w:rPr>
          <w:rFonts w:ascii="Calibri" w:eastAsia="Times New Roman" w:hAnsi="Calibri" w:cs="Times New Roman"/>
          <w:lang w:eastAsia="zh-CN"/>
        </w:rPr>
        <w:t xml:space="preserve"> </w:t>
      </w:r>
      <w:r>
        <w:rPr>
          <w:rFonts w:ascii="Calibri" w:eastAsia="Times New Roman" w:hAnsi="Calibri" w:cs="Times New Roman"/>
          <w:lang w:eastAsia="zh-CN"/>
        </w:rPr>
        <w:t>A</w:t>
      </w:r>
      <w:r w:rsidR="00B60914" w:rsidRPr="00B60914">
        <w:rPr>
          <w:rFonts w:ascii="Calibri" w:eastAsia="Times New Roman" w:hAnsi="Calibri" w:cs="Times New Roman"/>
          <w:lang w:eastAsia="zh-CN"/>
        </w:rPr>
        <w:t xml:space="preserve">utonomy is likely to mediate between social support and work engagement due to the supportive nature of colleague interactions which may provide individuals with reassurance and increase their confidence to carry out their jobs as they see fit. Competence is likely to mediate between social support and work engagement due to positive feedback from colleagues and supervisors about an individuals’ work, and relatedness is also likely to mediate due to positive interactions with colleagues and the opportunity to build a sense of trust and camaraderie. In support, Van den Broeck et al. (2010; 2016) found that all three needs were related to social support, with the strongest relationship being found between social support and relatedness, as might intuitively be expected. </w:t>
      </w:r>
    </w:p>
    <w:p w14:paraId="70314378" w14:textId="7C6F139A" w:rsidR="00B60914" w:rsidRDefault="00B60914" w:rsidP="00B60914">
      <w:pPr>
        <w:spacing w:before="200" w:line="360" w:lineRule="auto"/>
        <w:contextualSpacing/>
        <w:rPr>
          <w:rFonts w:ascii="Calibri" w:eastAsia="Times New Roman" w:hAnsi="Calibri" w:cs="Times New Roman"/>
          <w:lang w:eastAsia="zh-CN"/>
        </w:rPr>
      </w:pPr>
    </w:p>
    <w:p w14:paraId="2CF63952" w14:textId="4DAB8ECB" w:rsidR="00B60914" w:rsidRPr="00B60914" w:rsidRDefault="00101B2C" w:rsidP="00B60914">
      <w:pPr>
        <w:spacing w:before="200" w:line="360" w:lineRule="auto"/>
        <w:contextualSpacing/>
        <w:rPr>
          <w:rFonts w:ascii="Calibri" w:eastAsia="Times New Roman" w:hAnsi="Calibri" w:cs="Times New Roman"/>
          <w:lang w:eastAsia="zh-CN"/>
        </w:rPr>
      </w:pPr>
      <w:r>
        <w:rPr>
          <w:rFonts w:ascii="Calibri" w:eastAsia="Times New Roman" w:hAnsi="Calibri" w:cs="Times New Roman"/>
          <w:lang w:eastAsia="zh-CN"/>
        </w:rPr>
        <w:t>Participation in decision-making</w:t>
      </w:r>
      <w:r w:rsidR="0024481C">
        <w:rPr>
          <w:rFonts w:ascii="Calibri" w:eastAsia="Times New Roman" w:hAnsi="Calibri" w:cs="Times New Roman"/>
          <w:lang w:eastAsia="zh-CN"/>
        </w:rPr>
        <w:t xml:space="preserve"> refers to the opportunity colleagues feel they have to contribute to the decision-making process, voice opinions, and have an impact on the outcome. I</w:t>
      </w:r>
      <w:r w:rsidR="00B60914" w:rsidRPr="00B60914">
        <w:rPr>
          <w:rFonts w:ascii="Calibri" w:eastAsia="Times New Roman" w:hAnsi="Calibri" w:cs="Times New Roman"/>
          <w:lang w:eastAsia="zh-CN"/>
        </w:rPr>
        <w:t xml:space="preserve">t is likely that having the opportunity to voice an opinion and have an impact will lead to autonomy, as suggested by Bakker and Demerouti (2007), and evidenced by a participatory intervention to reduce burnout (Hatinen et al., 2007). The sense of feeling heard and valued could additionally increase self-esteem and self-efficacy, and therefore competence, as individuals may feel more confident about making decisions during their daily work tasks. Furthermore, the opportunity to discuss views and opinions with others during the decision-making process could lead to a sense of relatedness due to encouraging positive interactions, a sense of belonging, support, and the development of colleague relationships. The relationships between participation and social support are highlighted by Nielsen (2013). </w:t>
      </w:r>
    </w:p>
    <w:p w14:paraId="7D01D9D3"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7F7EC6D6" w14:textId="480AE920" w:rsidR="00277266" w:rsidRDefault="0024481C" w:rsidP="00B60914">
      <w:pPr>
        <w:spacing w:before="200" w:line="360" w:lineRule="auto"/>
        <w:contextualSpacing/>
        <w:rPr>
          <w:rFonts w:ascii="Calibri" w:eastAsia="Times New Roman" w:hAnsi="Calibri" w:cs="Times New Roman"/>
          <w:lang w:eastAsia="zh-CN"/>
        </w:rPr>
      </w:pPr>
      <w:r>
        <w:rPr>
          <w:rFonts w:ascii="Calibri" w:eastAsia="Times New Roman" w:hAnsi="Calibri" w:cs="Times New Roman"/>
          <w:lang w:eastAsia="zh-CN"/>
        </w:rPr>
        <w:t xml:space="preserve">The perceived balance between resources and demands refers to the </w:t>
      </w:r>
      <w:r w:rsidR="002E1A17">
        <w:rPr>
          <w:rFonts w:ascii="Calibri" w:eastAsia="Times New Roman" w:hAnsi="Calibri" w:cs="Times New Roman"/>
          <w:lang w:eastAsia="zh-CN"/>
        </w:rPr>
        <w:t>perception that individuals hold about the level of resources in their work environment generally (e.g. practical resources, support systems)</w:t>
      </w:r>
      <w:r w:rsidR="00BB0336">
        <w:rPr>
          <w:rFonts w:ascii="Calibri" w:eastAsia="Times New Roman" w:hAnsi="Calibri" w:cs="Times New Roman"/>
          <w:lang w:eastAsia="zh-CN"/>
        </w:rPr>
        <w:t>,</w:t>
      </w:r>
      <w:r w:rsidR="002E1A17">
        <w:rPr>
          <w:rFonts w:ascii="Calibri" w:eastAsia="Times New Roman" w:hAnsi="Calibri" w:cs="Times New Roman"/>
          <w:lang w:eastAsia="zh-CN"/>
        </w:rPr>
        <w:t xml:space="preserve"> in comparison to the perception they hold about the level of job demands (e.g. workload, emotional demands). If an individual perceives they have more resources than demands, they will perceive the balance to be good, whereas if an individual perceives fewer resources than demands, the balance will be perceived to be poor. </w:t>
      </w:r>
      <w:r w:rsidR="009F50EE">
        <w:rPr>
          <w:rFonts w:ascii="Calibri" w:eastAsia="Times New Roman" w:hAnsi="Calibri" w:cs="Times New Roman"/>
          <w:lang w:eastAsia="zh-CN"/>
        </w:rPr>
        <w:t>Where</w:t>
      </w:r>
      <w:r w:rsidR="00BB0336">
        <w:rPr>
          <w:rFonts w:ascii="Calibri" w:eastAsia="Times New Roman" w:hAnsi="Calibri" w:cs="Times New Roman"/>
          <w:lang w:eastAsia="zh-CN"/>
        </w:rPr>
        <w:t>as</w:t>
      </w:r>
      <w:r w:rsidR="009F50EE">
        <w:rPr>
          <w:rFonts w:ascii="Calibri" w:eastAsia="Times New Roman" w:hAnsi="Calibri" w:cs="Times New Roman"/>
          <w:lang w:eastAsia="zh-CN"/>
        </w:rPr>
        <w:t xml:space="preserve"> social support and </w:t>
      </w:r>
      <w:r w:rsidR="00BB0336">
        <w:rPr>
          <w:rFonts w:ascii="Calibri" w:eastAsia="Times New Roman" w:hAnsi="Calibri" w:cs="Times New Roman"/>
          <w:lang w:eastAsia="zh-CN"/>
        </w:rPr>
        <w:t xml:space="preserve">participation </w:t>
      </w:r>
      <w:r w:rsidR="009F50EE">
        <w:rPr>
          <w:rFonts w:ascii="Calibri" w:eastAsia="Times New Roman" w:hAnsi="Calibri" w:cs="Times New Roman"/>
          <w:lang w:eastAsia="zh-CN"/>
        </w:rPr>
        <w:t xml:space="preserve">in decision-making are specific job resources, the term ‘resources’ within the variable ‘perceived balance between resources and demands’ refers to resources more generally, and therefore </w:t>
      </w:r>
      <w:r w:rsidR="009F50EE">
        <w:rPr>
          <w:rFonts w:ascii="Calibri" w:eastAsia="Times New Roman" w:hAnsi="Calibri" w:cs="Times New Roman"/>
          <w:lang w:eastAsia="zh-CN"/>
        </w:rPr>
        <w:lastRenderedPageBreak/>
        <w:t>captures individuals’ perceptions of the general level of resources, as opposed to the level of a specific resource.</w:t>
      </w:r>
      <w:r w:rsidR="00BB0336">
        <w:rPr>
          <w:rFonts w:ascii="Calibri" w:eastAsia="Times New Roman" w:hAnsi="Calibri" w:cs="Times New Roman"/>
          <w:lang w:eastAsia="zh-CN"/>
        </w:rPr>
        <w:t xml:space="preserve"> This is important as within the JD-R model, a high level of job resources is theorised to buffer against the effect of job demands (Bakker &amp; Demerouti, 2007; 2008), and therefore it is the balance between the two which is important for predicting whether positive or negative outcomes are likely. In this study, t</w:t>
      </w:r>
      <w:r w:rsidR="00B60914" w:rsidRPr="00B60914">
        <w:rPr>
          <w:rFonts w:ascii="Calibri" w:eastAsia="Times New Roman" w:hAnsi="Calibri" w:cs="Times New Roman"/>
          <w:lang w:eastAsia="zh-CN"/>
        </w:rPr>
        <w:t>h</w:t>
      </w:r>
      <w:r w:rsidR="00BB0336">
        <w:rPr>
          <w:rFonts w:ascii="Calibri" w:eastAsia="Times New Roman" w:hAnsi="Calibri" w:cs="Times New Roman"/>
          <w:lang w:eastAsia="zh-CN"/>
        </w:rPr>
        <w:t xml:space="preserve">e perceived balance between resources and demands </w:t>
      </w:r>
      <w:r w:rsidR="00B60914" w:rsidRPr="00B60914">
        <w:rPr>
          <w:rFonts w:ascii="Calibri" w:eastAsia="Times New Roman" w:hAnsi="Calibri" w:cs="Times New Roman"/>
          <w:lang w:eastAsia="zh-CN"/>
        </w:rPr>
        <w:t xml:space="preserve">is likely to be particularly related to autonomy and competence, as having adequate resources is necessary to carry out individual tasks competently and efficiently. For example, without enough staff on a hospital ward, it may not be possible to attend to patient needs for food, water, and cleanliness, in a timely manner, which is likely to make individuals feel incompetent and unable to control their work environment. Indeed, Van den Broeck </w:t>
      </w:r>
      <w:r w:rsidR="00AF46EE">
        <w:rPr>
          <w:rFonts w:ascii="Calibri" w:eastAsia="Times New Roman" w:hAnsi="Calibri" w:cs="Times New Roman"/>
          <w:lang w:eastAsia="zh-CN"/>
        </w:rPr>
        <w:t>and colleagues’</w:t>
      </w:r>
      <w:r w:rsidR="00B60914" w:rsidRPr="00B60914">
        <w:rPr>
          <w:rFonts w:ascii="Calibri" w:eastAsia="Times New Roman" w:hAnsi="Calibri" w:cs="Times New Roman"/>
          <w:lang w:eastAsia="zh-CN"/>
        </w:rPr>
        <w:t xml:space="preserve"> (2016) recent meta-analysis found that job demands, including workload, were related to both autonomy and competence. </w:t>
      </w:r>
    </w:p>
    <w:p w14:paraId="2A9AF434" w14:textId="77777777" w:rsidR="00277266" w:rsidRDefault="00277266" w:rsidP="00B60914">
      <w:pPr>
        <w:spacing w:before="200" w:line="360" w:lineRule="auto"/>
        <w:contextualSpacing/>
        <w:rPr>
          <w:rFonts w:ascii="Calibri" w:eastAsia="Times New Roman" w:hAnsi="Calibri" w:cs="Times New Roman"/>
          <w:lang w:eastAsia="zh-CN"/>
        </w:rPr>
      </w:pPr>
    </w:p>
    <w:p w14:paraId="4B0E6817" w14:textId="1FA714EB" w:rsidR="00B60914" w:rsidRPr="00B60914" w:rsidRDefault="007B3CDD" w:rsidP="00B60914">
      <w:pPr>
        <w:spacing w:before="200" w:line="360" w:lineRule="auto"/>
        <w:contextualSpacing/>
        <w:rPr>
          <w:rFonts w:ascii="Calibri" w:eastAsia="Times New Roman" w:hAnsi="Calibri" w:cs="Times New Roman"/>
          <w:lang w:eastAsia="zh-CN"/>
        </w:rPr>
      </w:pPr>
      <w:r>
        <w:rPr>
          <w:rFonts w:ascii="Calibri" w:eastAsia="Times New Roman" w:hAnsi="Calibri" w:cs="Times New Roman"/>
          <w:lang w:eastAsia="zh-CN"/>
        </w:rPr>
        <w:t>The relationship between the perceived balance between resources and demands and relatedness is less clear. Van den Broeck and colleagues</w:t>
      </w:r>
      <w:r w:rsidR="00442B5C">
        <w:rPr>
          <w:rFonts w:ascii="Calibri" w:eastAsia="Times New Roman" w:hAnsi="Calibri" w:cs="Times New Roman"/>
          <w:lang w:eastAsia="zh-CN"/>
        </w:rPr>
        <w:t xml:space="preserve"> (2016)</w:t>
      </w:r>
      <w:r>
        <w:rPr>
          <w:rFonts w:ascii="Calibri" w:eastAsia="Times New Roman" w:hAnsi="Calibri" w:cs="Times New Roman"/>
          <w:lang w:eastAsia="zh-CN"/>
        </w:rPr>
        <w:t xml:space="preserve"> did not observe a</w:t>
      </w:r>
      <w:r w:rsidR="005B3101">
        <w:rPr>
          <w:rFonts w:ascii="Calibri" w:eastAsia="Times New Roman" w:hAnsi="Calibri" w:cs="Times New Roman"/>
          <w:lang w:eastAsia="zh-CN"/>
        </w:rPr>
        <w:t xml:space="preserve"> relationship between the job demands</w:t>
      </w:r>
      <w:r w:rsidR="00305D6B">
        <w:rPr>
          <w:rFonts w:ascii="Calibri" w:eastAsia="Times New Roman" w:hAnsi="Calibri" w:cs="Times New Roman"/>
          <w:lang w:eastAsia="zh-CN"/>
        </w:rPr>
        <w:t>, workload</w:t>
      </w:r>
      <w:r w:rsidR="005B3101">
        <w:rPr>
          <w:rFonts w:ascii="Calibri" w:eastAsia="Times New Roman" w:hAnsi="Calibri" w:cs="Times New Roman"/>
          <w:lang w:eastAsia="zh-CN"/>
        </w:rPr>
        <w:t xml:space="preserve"> and emotiona</w:t>
      </w:r>
      <w:r w:rsidR="00305D6B">
        <w:rPr>
          <w:rFonts w:ascii="Calibri" w:eastAsia="Times New Roman" w:hAnsi="Calibri" w:cs="Times New Roman"/>
          <w:lang w:eastAsia="zh-CN"/>
        </w:rPr>
        <w:t xml:space="preserve">l demands, </w:t>
      </w:r>
      <w:r>
        <w:rPr>
          <w:rFonts w:ascii="Calibri" w:eastAsia="Times New Roman" w:hAnsi="Calibri" w:cs="Times New Roman"/>
          <w:lang w:eastAsia="zh-CN"/>
        </w:rPr>
        <w:t>and re</w:t>
      </w:r>
      <w:r w:rsidR="00277266">
        <w:rPr>
          <w:rFonts w:ascii="Calibri" w:eastAsia="Times New Roman" w:hAnsi="Calibri" w:cs="Times New Roman"/>
          <w:lang w:eastAsia="zh-CN"/>
        </w:rPr>
        <w:t xml:space="preserve">latedness. </w:t>
      </w:r>
      <w:r>
        <w:rPr>
          <w:rFonts w:ascii="Calibri" w:eastAsia="Times New Roman" w:hAnsi="Calibri" w:cs="Times New Roman"/>
          <w:lang w:eastAsia="zh-CN"/>
        </w:rPr>
        <w:t>The</w:t>
      </w:r>
      <w:r w:rsidR="00305D6B">
        <w:rPr>
          <w:rFonts w:ascii="Calibri" w:eastAsia="Times New Roman" w:hAnsi="Calibri" w:cs="Times New Roman"/>
          <w:lang w:eastAsia="zh-CN"/>
        </w:rPr>
        <w:t xml:space="preserve"> variable, ‘perceived balance between resources and demands’</w:t>
      </w:r>
      <w:r w:rsidR="00277266">
        <w:rPr>
          <w:rFonts w:ascii="Calibri" w:eastAsia="Times New Roman" w:hAnsi="Calibri" w:cs="Times New Roman"/>
          <w:lang w:eastAsia="zh-CN"/>
        </w:rPr>
        <w:t>, however,</w:t>
      </w:r>
      <w:r w:rsidR="00305D6B">
        <w:rPr>
          <w:rFonts w:ascii="Calibri" w:eastAsia="Times New Roman" w:hAnsi="Calibri" w:cs="Times New Roman"/>
          <w:lang w:eastAsia="zh-CN"/>
        </w:rPr>
        <w:t xml:space="preserve"> involves a consideration of both the level of </w:t>
      </w:r>
      <w:r w:rsidR="00F060DF">
        <w:rPr>
          <w:rFonts w:ascii="Calibri" w:eastAsia="Times New Roman" w:hAnsi="Calibri" w:cs="Times New Roman"/>
          <w:lang w:eastAsia="zh-CN"/>
        </w:rPr>
        <w:t>general resources, including social support which has been associated with relatedness, an</w:t>
      </w:r>
      <w:r w:rsidR="00305D6B">
        <w:rPr>
          <w:rFonts w:ascii="Calibri" w:eastAsia="Times New Roman" w:hAnsi="Calibri" w:cs="Times New Roman"/>
          <w:lang w:eastAsia="zh-CN"/>
        </w:rPr>
        <w:t>d the level of demands</w:t>
      </w:r>
      <w:r w:rsidR="00F060DF">
        <w:rPr>
          <w:rFonts w:ascii="Calibri" w:eastAsia="Times New Roman" w:hAnsi="Calibri" w:cs="Times New Roman"/>
          <w:lang w:eastAsia="zh-CN"/>
        </w:rPr>
        <w:t>. T</w:t>
      </w:r>
      <w:r>
        <w:rPr>
          <w:rFonts w:ascii="Calibri" w:eastAsia="Times New Roman" w:hAnsi="Calibri" w:cs="Times New Roman"/>
          <w:lang w:eastAsia="zh-CN"/>
        </w:rPr>
        <w:t>herefore</w:t>
      </w:r>
      <w:r w:rsidR="00F060DF">
        <w:rPr>
          <w:rFonts w:ascii="Calibri" w:eastAsia="Times New Roman" w:hAnsi="Calibri" w:cs="Times New Roman"/>
          <w:lang w:eastAsia="zh-CN"/>
        </w:rPr>
        <w:t>,</w:t>
      </w:r>
      <w:r>
        <w:rPr>
          <w:rFonts w:ascii="Calibri" w:eastAsia="Times New Roman" w:hAnsi="Calibri" w:cs="Times New Roman"/>
          <w:lang w:eastAsia="zh-CN"/>
        </w:rPr>
        <w:t xml:space="preserve"> it is plausible that when the balance is perceived to be high, </w:t>
      </w:r>
      <w:r w:rsidR="00277266">
        <w:rPr>
          <w:rFonts w:ascii="Calibri" w:eastAsia="Times New Roman" w:hAnsi="Calibri" w:cs="Times New Roman"/>
          <w:lang w:eastAsia="zh-CN"/>
        </w:rPr>
        <w:t>a positive relationship with relatedness</w:t>
      </w:r>
      <w:r>
        <w:rPr>
          <w:rFonts w:ascii="Calibri" w:eastAsia="Times New Roman" w:hAnsi="Calibri" w:cs="Times New Roman"/>
          <w:lang w:eastAsia="zh-CN"/>
        </w:rPr>
        <w:t xml:space="preserve"> </w:t>
      </w:r>
      <w:r w:rsidR="00277266">
        <w:rPr>
          <w:rFonts w:ascii="Calibri" w:eastAsia="Times New Roman" w:hAnsi="Calibri" w:cs="Times New Roman"/>
          <w:lang w:eastAsia="zh-CN"/>
        </w:rPr>
        <w:t>is observed</w:t>
      </w:r>
      <w:r>
        <w:rPr>
          <w:rFonts w:ascii="Calibri" w:eastAsia="Times New Roman" w:hAnsi="Calibri" w:cs="Times New Roman"/>
          <w:lang w:eastAsia="zh-CN"/>
        </w:rPr>
        <w:t xml:space="preserve">, whereas </w:t>
      </w:r>
      <w:r w:rsidR="00F060DF">
        <w:rPr>
          <w:rFonts w:ascii="Calibri" w:eastAsia="Times New Roman" w:hAnsi="Calibri" w:cs="Times New Roman"/>
          <w:lang w:eastAsia="zh-CN"/>
        </w:rPr>
        <w:t>when it is</w:t>
      </w:r>
      <w:r>
        <w:rPr>
          <w:rFonts w:ascii="Calibri" w:eastAsia="Times New Roman" w:hAnsi="Calibri" w:cs="Times New Roman"/>
          <w:lang w:eastAsia="zh-CN"/>
        </w:rPr>
        <w:t xml:space="preserve"> not, </w:t>
      </w:r>
      <w:r w:rsidR="00F17A86">
        <w:rPr>
          <w:rFonts w:ascii="Calibri" w:eastAsia="Times New Roman" w:hAnsi="Calibri" w:cs="Times New Roman"/>
          <w:lang w:eastAsia="zh-CN"/>
        </w:rPr>
        <w:t xml:space="preserve">no relationship, or </w:t>
      </w:r>
      <w:r w:rsidR="00277266">
        <w:rPr>
          <w:rFonts w:ascii="Calibri" w:eastAsia="Times New Roman" w:hAnsi="Calibri" w:cs="Times New Roman"/>
          <w:lang w:eastAsia="zh-CN"/>
        </w:rPr>
        <w:t>a negative relationship</w:t>
      </w:r>
      <w:r w:rsidR="00F17A86">
        <w:rPr>
          <w:rFonts w:ascii="Calibri" w:eastAsia="Times New Roman" w:hAnsi="Calibri" w:cs="Times New Roman"/>
          <w:lang w:eastAsia="zh-CN"/>
        </w:rPr>
        <w:t>,</w:t>
      </w:r>
      <w:r w:rsidR="00277266">
        <w:rPr>
          <w:rFonts w:ascii="Calibri" w:eastAsia="Times New Roman" w:hAnsi="Calibri" w:cs="Times New Roman"/>
          <w:lang w:eastAsia="zh-CN"/>
        </w:rPr>
        <w:t xml:space="preserve"> is observed. </w:t>
      </w:r>
      <w:r>
        <w:rPr>
          <w:rFonts w:ascii="Calibri" w:eastAsia="Times New Roman" w:hAnsi="Calibri" w:cs="Times New Roman"/>
          <w:lang w:eastAsia="zh-CN"/>
        </w:rPr>
        <w:t>Given that this study is</w:t>
      </w:r>
      <w:r w:rsidR="008D4886">
        <w:rPr>
          <w:rFonts w:ascii="Calibri" w:eastAsia="Times New Roman" w:hAnsi="Calibri" w:cs="Times New Roman"/>
          <w:lang w:eastAsia="zh-CN"/>
        </w:rPr>
        <w:t xml:space="preserve"> based on an intervention study</w:t>
      </w:r>
      <w:r>
        <w:rPr>
          <w:rFonts w:ascii="Calibri" w:eastAsia="Times New Roman" w:hAnsi="Calibri" w:cs="Times New Roman"/>
          <w:lang w:eastAsia="zh-CN"/>
        </w:rPr>
        <w:t xml:space="preserve"> which build</w:t>
      </w:r>
      <w:r w:rsidR="008D4886">
        <w:rPr>
          <w:rFonts w:ascii="Calibri" w:eastAsia="Times New Roman" w:hAnsi="Calibri" w:cs="Times New Roman"/>
          <w:lang w:eastAsia="zh-CN"/>
        </w:rPr>
        <w:t>s</w:t>
      </w:r>
      <w:r>
        <w:rPr>
          <w:rFonts w:ascii="Calibri" w:eastAsia="Times New Roman" w:hAnsi="Calibri" w:cs="Times New Roman"/>
          <w:lang w:eastAsia="zh-CN"/>
        </w:rPr>
        <w:t xml:space="preserve"> resources, it is hypothesised that </w:t>
      </w:r>
      <w:r w:rsidR="00277266">
        <w:rPr>
          <w:rFonts w:ascii="Calibri" w:eastAsia="Times New Roman" w:hAnsi="Calibri" w:cs="Times New Roman"/>
          <w:lang w:eastAsia="zh-CN"/>
        </w:rPr>
        <w:t xml:space="preserve">individuals participating in the intervention will perceive </w:t>
      </w:r>
      <w:r w:rsidR="000175B3">
        <w:rPr>
          <w:rFonts w:ascii="Calibri" w:eastAsia="Times New Roman" w:hAnsi="Calibri" w:cs="Times New Roman"/>
          <w:lang w:eastAsia="zh-CN"/>
        </w:rPr>
        <w:t>the balance</w:t>
      </w:r>
      <w:r>
        <w:rPr>
          <w:rFonts w:ascii="Calibri" w:eastAsia="Times New Roman" w:hAnsi="Calibri" w:cs="Times New Roman"/>
          <w:lang w:eastAsia="zh-CN"/>
        </w:rPr>
        <w:t xml:space="preserve"> to be good</w:t>
      </w:r>
      <w:r w:rsidR="000175B3">
        <w:rPr>
          <w:rFonts w:ascii="Calibri" w:eastAsia="Times New Roman" w:hAnsi="Calibri" w:cs="Times New Roman"/>
          <w:lang w:eastAsia="zh-CN"/>
        </w:rPr>
        <w:t xml:space="preserve">, and therefore that relatedness will also </w:t>
      </w:r>
      <w:r w:rsidR="00277266">
        <w:rPr>
          <w:rFonts w:ascii="Calibri" w:eastAsia="Times New Roman" w:hAnsi="Calibri" w:cs="Times New Roman"/>
          <w:lang w:eastAsia="zh-CN"/>
        </w:rPr>
        <w:t xml:space="preserve">be related to this variable. </w:t>
      </w:r>
      <w:r w:rsidR="000175B3">
        <w:rPr>
          <w:rFonts w:ascii="Calibri" w:eastAsia="Times New Roman" w:hAnsi="Calibri" w:cs="Times New Roman"/>
          <w:lang w:eastAsia="zh-CN"/>
        </w:rPr>
        <w:t xml:space="preserve"> </w:t>
      </w:r>
    </w:p>
    <w:p w14:paraId="02BC1EB0"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05F201BC" w14:textId="3156DEBE"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The relationship between autonomy, competence and relatedness, and engagement itself has been proposed theoretically (e.g. Bakker and Demerouti 2007; 2008)</w:t>
      </w:r>
      <w:r w:rsidR="001B5EA4">
        <w:rPr>
          <w:rFonts w:ascii="Calibri" w:eastAsia="Times New Roman" w:hAnsi="Calibri" w:cs="Times New Roman"/>
          <w:lang w:eastAsia="zh-CN"/>
        </w:rPr>
        <w:t>,</w:t>
      </w:r>
      <w:r w:rsidRPr="00B60914">
        <w:rPr>
          <w:rFonts w:ascii="Calibri" w:eastAsia="Times New Roman" w:hAnsi="Calibri" w:cs="Times New Roman"/>
          <w:lang w:eastAsia="zh-CN"/>
        </w:rPr>
        <w:t xml:space="preserve"> and empirically supported by Van den Broeck et al. (2010; 2016), who found a positive relationship between all three needs and engagement in both studies. The positive impact on the three needs which is purported to arise through increasing these job resources could lead to work engagement by increasing the amount of positive emotions individuals feel, increasing </w:t>
      </w:r>
      <w:r w:rsidR="001D6140">
        <w:rPr>
          <w:rFonts w:ascii="Calibri" w:eastAsia="Times New Roman" w:hAnsi="Calibri" w:cs="Times New Roman"/>
          <w:lang w:eastAsia="zh-CN"/>
        </w:rPr>
        <w:t>well-being</w:t>
      </w:r>
      <w:r w:rsidRPr="00B60914">
        <w:rPr>
          <w:rFonts w:ascii="Calibri" w:eastAsia="Times New Roman" w:hAnsi="Calibri" w:cs="Times New Roman"/>
          <w:lang w:eastAsia="zh-CN"/>
        </w:rPr>
        <w:t xml:space="preserve">. In accordance with broaden-and-build theory (Fredrickson, 2001), this could enable individuals to widen their thought-action repertoire in relation to how to conduct their jobs best, for example by enabling effective problem-solving of day-to-day tasks. Furthermore, increasing one’s thought-action repertoire could lead to job crafting (Bakker, 2011) and thus employees seeking opportunities and challenges which appeal to them, further increasing work engagement. In sum, theory and evidence suggests that each of the three </w:t>
      </w:r>
      <w:r w:rsidRPr="00B60914">
        <w:rPr>
          <w:rFonts w:ascii="Calibri" w:eastAsia="Times New Roman" w:hAnsi="Calibri" w:cs="Times New Roman"/>
          <w:lang w:eastAsia="zh-CN"/>
        </w:rPr>
        <w:lastRenderedPageBreak/>
        <w:t>work-related needs will mediate between each of the job resources measured in this study</w:t>
      </w:r>
      <w:r w:rsidR="001B5EA4">
        <w:rPr>
          <w:rFonts w:ascii="Calibri" w:eastAsia="Times New Roman" w:hAnsi="Calibri" w:cs="Times New Roman"/>
          <w:lang w:eastAsia="zh-CN"/>
        </w:rPr>
        <w:t>,</w:t>
      </w:r>
      <w:r w:rsidRPr="00B60914">
        <w:rPr>
          <w:rFonts w:ascii="Calibri" w:eastAsia="Times New Roman" w:hAnsi="Calibri" w:cs="Times New Roman"/>
          <w:lang w:eastAsia="zh-CN"/>
        </w:rPr>
        <w:t xml:space="preserve"> and work engagement. For further discussion of the relationships invol</w:t>
      </w:r>
      <w:r w:rsidR="00846F7F">
        <w:rPr>
          <w:rFonts w:ascii="Calibri" w:eastAsia="Times New Roman" w:hAnsi="Calibri" w:cs="Times New Roman"/>
          <w:lang w:eastAsia="zh-CN"/>
        </w:rPr>
        <w:t>ved, please see Chapter 2, and s</w:t>
      </w:r>
      <w:r w:rsidRPr="00B60914">
        <w:rPr>
          <w:rFonts w:ascii="Calibri" w:eastAsia="Times New Roman" w:hAnsi="Calibri" w:cs="Times New Roman"/>
          <w:lang w:eastAsia="zh-CN"/>
        </w:rPr>
        <w:t xml:space="preserve">ections </w:t>
      </w:r>
      <w:r w:rsidR="00846F7F">
        <w:rPr>
          <w:rFonts w:ascii="Calibri" w:eastAsia="Times New Roman" w:hAnsi="Calibri" w:cs="Times New Roman"/>
          <w:lang w:eastAsia="zh-CN"/>
        </w:rPr>
        <w:fldChar w:fldCharType="begin"/>
      </w:r>
      <w:r w:rsidR="00846F7F">
        <w:rPr>
          <w:rFonts w:ascii="Calibri" w:eastAsia="Times New Roman" w:hAnsi="Calibri" w:cs="Times New Roman"/>
          <w:lang w:eastAsia="zh-CN"/>
        </w:rPr>
        <w:instrText xml:space="preserve"> REF _Ref453250263 \r \h </w:instrText>
      </w:r>
      <w:r w:rsidR="00846F7F">
        <w:rPr>
          <w:rFonts w:ascii="Calibri" w:eastAsia="Times New Roman" w:hAnsi="Calibri" w:cs="Times New Roman"/>
          <w:lang w:eastAsia="zh-CN"/>
        </w:rPr>
      </w:r>
      <w:r w:rsidR="00846F7F">
        <w:rPr>
          <w:rFonts w:ascii="Calibri" w:eastAsia="Times New Roman" w:hAnsi="Calibri" w:cs="Times New Roman"/>
          <w:lang w:eastAsia="zh-CN"/>
        </w:rPr>
        <w:fldChar w:fldCharType="separate"/>
      </w:r>
      <w:r w:rsidR="00152F6D">
        <w:rPr>
          <w:rFonts w:ascii="Calibri" w:eastAsia="Times New Roman" w:hAnsi="Calibri" w:cs="Times New Roman"/>
          <w:lang w:eastAsia="zh-CN"/>
        </w:rPr>
        <w:t>4.1</w:t>
      </w:r>
      <w:r w:rsidR="00846F7F">
        <w:rPr>
          <w:rFonts w:ascii="Calibri" w:eastAsia="Times New Roman" w:hAnsi="Calibri" w:cs="Times New Roman"/>
          <w:lang w:eastAsia="zh-CN"/>
        </w:rPr>
        <w:fldChar w:fldCharType="end"/>
      </w:r>
      <w:r w:rsidR="00846F7F">
        <w:rPr>
          <w:rFonts w:ascii="Calibri" w:eastAsia="Times New Roman" w:hAnsi="Calibri" w:cs="Times New Roman"/>
          <w:lang w:eastAsia="zh-CN"/>
        </w:rPr>
        <w:t xml:space="preserve"> </w:t>
      </w:r>
      <w:r w:rsidRPr="00B60914">
        <w:rPr>
          <w:rFonts w:ascii="Calibri" w:eastAsia="Times New Roman" w:hAnsi="Calibri" w:cs="Times New Roman"/>
          <w:lang w:eastAsia="zh-CN"/>
        </w:rPr>
        <w:t xml:space="preserve">and </w:t>
      </w:r>
      <w:r w:rsidR="00846F7F">
        <w:rPr>
          <w:rFonts w:ascii="Calibri" w:eastAsia="Times New Roman" w:hAnsi="Calibri" w:cs="Times New Roman"/>
          <w:lang w:eastAsia="zh-CN"/>
        </w:rPr>
        <w:fldChar w:fldCharType="begin"/>
      </w:r>
      <w:r w:rsidR="00846F7F">
        <w:rPr>
          <w:rFonts w:ascii="Calibri" w:eastAsia="Times New Roman" w:hAnsi="Calibri" w:cs="Times New Roman"/>
          <w:lang w:eastAsia="zh-CN"/>
        </w:rPr>
        <w:instrText xml:space="preserve"> REF _Ref453250246 \r \h </w:instrText>
      </w:r>
      <w:r w:rsidR="00846F7F">
        <w:rPr>
          <w:rFonts w:ascii="Calibri" w:eastAsia="Times New Roman" w:hAnsi="Calibri" w:cs="Times New Roman"/>
          <w:lang w:eastAsia="zh-CN"/>
        </w:rPr>
      </w:r>
      <w:r w:rsidR="00846F7F">
        <w:rPr>
          <w:rFonts w:ascii="Calibri" w:eastAsia="Times New Roman" w:hAnsi="Calibri" w:cs="Times New Roman"/>
          <w:lang w:eastAsia="zh-CN"/>
        </w:rPr>
        <w:fldChar w:fldCharType="separate"/>
      </w:r>
      <w:r w:rsidR="00152F6D">
        <w:rPr>
          <w:rFonts w:ascii="Calibri" w:eastAsia="Times New Roman" w:hAnsi="Calibri" w:cs="Times New Roman"/>
          <w:lang w:eastAsia="zh-CN"/>
        </w:rPr>
        <w:t>4.2</w:t>
      </w:r>
      <w:r w:rsidR="00846F7F">
        <w:rPr>
          <w:rFonts w:ascii="Calibri" w:eastAsia="Times New Roman" w:hAnsi="Calibri" w:cs="Times New Roman"/>
          <w:lang w:eastAsia="zh-CN"/>
        </w:rPr>
        <w:fldChar w:fldCharType="end"/>
      </w:r>
      <w:r w:rsidRPr="00B60914">
        <w:rPr>
          <w:rFonts w:ascii="Calibri" w:eastAsia="Times New Roman" w:hAnsi="Calibri" w:cs="Times New Roman"/>
          <w:lang w:eastAsia="zh-CN"/>
        </w:rPr>
        <w:t xml:space="preserve"> above. </w:t>
      </w:r>
    </w:p>
    <w:p w14:paraId="30393AD4"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1E92A3F6" w14:textId="6FAF06BC"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Despite the existence of empirical, as well as theoretical, evidence to support these relationships, these previous studies have mostly relied on cross-sectional samples (e.g. Deci et al., 2001; Van den Broeck</w:t>
      </w:r>
      <w:r w:rsidR="00AF46EE">
        <w:rPr>
          <w:rFonts w:ascii="Calibri" w:eastAsia="Times New Roman" w:hAnsi="Calibri" w:cs="Times New Roman"/>
          <w:lang w:eastAsia="zh-CN"/>
        </w:rPr>
        <w:t xml:space="preserve"> et al.</w:t>
      </w:r>
      <w:r w:rsidRPr="00B60914">
        <w:rPr>
          <w:rFonts w:ascii="Calibri" w:eastAsia="Times New Roman" w:hAnsi="Calibri" w:cs="Times New Roman"/>
          <w:lang w:eastAsia="zh-CN"/>
        </w:rPr>
        <w:t xml:space="preserve">, </w:t>
      </w:r>
      <w:r w:rsidR="00AF46EE">
        <w:rPr>
          <w:rFonts w:ascii="Calibri" w:eastAsia="Times New Roman" w:hAnsi="Calibri" w:cs="Times New Roman"/>
          <w:lang w:eastAsia="zh-CN"/>
        </w:rPr>
        <w:t xml:space="preserve">2008; </w:t>
      </w:r>
      <w:r w:rsidRPr="00B60914">
        <w:rPr>
          <w:rFonts w:ascii="Calibri" w:eastAsia="Times New Roman" w:hAnsi="Calibri" w:cs="Times New Roman"/>
          <w:lang w:eastAsia="zh-CN"/>
        </w:rPr>
        <w:t xml:space="preserve">2016) which can only be used to infer associations between variables, but cannot provide evidence for the direction of the relationships involved. The current study was designed to overcome this shortcoming by allowing the investigation of the longitudinal relationships by measuring the variables at two time points. Broadly, aim 2 is therefore as follows: </w:t>
      </w:r>
    </w:p>
    <w:p w14:paraId="7AA8CD7F" w14:textId="77777777" w:rsidR="00B60914" w:rsidRPr="00B60914" w:rsidRDefault="00B60914" w:rsidP="00B60914">
      <w:pPr>
        <w:spacing w:before="200" w:line="360" w:lineRule="auto"/>
        <w:ind w:left="720"/>
        <w:contextualSpacing/>
        <w:rPr>
          <w:rFonts w:ascii="Calibri" w:eastAsia="Times New Roman" w:hAnsi="Calibri" w:cs="Times New Roman"/>
          <w:lang w:eastAsia="zh-CN"/>
        </w:rPr>
      </w:pPr>
    </w:p>
    <w:p w14:paraId="38E08161" w14:textId="18B1A657"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i/>
          <w:lang w:eastAsia="zh-CN"/>
        </w:rPr>
        <w:t xml:space="preserve">Aim 2: </w:t>
      </w:r>
      <w:r w:rsidRPr="00B60914">
        <w:rPr>
          <w:rFonts w:ascii="Calibri" w:eastAsia="Times New Roman" w:hAnsi="Calibri" w:cs="Times New Roman"/>
          <w:lang w:eastAsia="zh-CN"/>
        </w:rPr>
        <w:t>To evaluate whether satisfaction of the three core needs of SDT, autonomy, competence, and relatedness mediate the relationship between the job resources, social support, influence in decision-making and perceived balance between resources and demands, and work engagement (</w:t>
      </w:r>
      <w:r w:rsidR="00846F7F">
        <w:rPr>
          <w:rFonts w:ascii="Calibri" w:eastAsia="Times New Roman" w:hAnsi="Calibri" w:cs="Times New Roman"/>
          <w:lang w:eastAsia="zh-CN"/>
        </w:rPr>
        <w:fldChar w:fldCharType="begin"/>
      </w:r>
      <w:r w:rsidR="00846F7F">
        <w:rPr>
          <w:rFonts w:ascii="Calibri" w:eastAsia="Times New Roman" w:hAnsi="Calibri" w:cs="Times New Roman"/>
          <w:lang w:eastAsia="zh-CN"/>
        </w:rPr>
        <w:instrText xml:space="preserve"> REF _Ref453250340 \h </w:instrText>
      </w:r>
      <w:r w:rsidR="00846F7F">
        <w:rPr>
          <w:rFonts w:ascii="Calibri" w:eastAsia="Times New Roman" w:hAnsi="Calibri" w:cs="Times New Roman"/>
          <w:lang w:eastAsia="zh-CN"/>
        </w:rPr>
      </w:r>
      <w:r w:rsidR="00846F7F">
        <w:rPr>
          <w:rFonts w:ascii="Calibri" w:eastAsia="Times New Roman" w:hAnsi="Calibri" w:cs="Times New Roman"/>
          <w:lang w:eastAsia="zh-CN"/>
        </w:rPr>
        <w:fldChar w:fldCharType="separate"/>
      </w:r>
      <w:r w:rsidR="00152F6D">
        <w:t xml:space="preserve">Figure </w:t>
      </w:r>
      <w:r w:rsidR="00152F6D">
        <w:rPr>
          <w:noProof/>
        </w:rPr>
        <w:t>4</w:t>
      </w:r>
      <w:r w:rsidR="00152F6D">
        <w:t>.</w:t>
      </w:r>
      <w:r w:rsidR="00152F6D">
        <w:rPr>
          <w:noProof/>
        </w:rPr>
        <w:t>1</w:t>
      </w:r>
      <w:r w:rsidR="00846F7F">
        <w:rPr>
          <w:rFonts w:ascii="Calibri" w:eastAsia="Times New Roman" w:hAnsi="Calibri" w:cs="Times New Roman"/>
          <w:lang w:eastAsia="zh-CN"/>
        </w:rPr>
        <w:fldChar w:fldCharType="end"/>
      </w:r>
      <w:r w:rsidRPr="00B60914">
        <w:rPr>
          <w:rFonts w:ascii="Calibri" w:eastAsia="Times New Roman" w:hAnsi="Calibri" w:cs="Times New Roman"/>
          <w:lang w:eastAsia="zh-CN"/>
        </w:rPr>
        <w:t>).</w:t>
      </w:r>
    </w:p>
    <w:p w14:paraId="17D02841" w14:textId="77777777" w:rsidR="00B60914" w:rsidRPr="00B60914" w:rsidRDefault="00B60914" w:rsidP="00B60914">
      <w:pPr>
        <w:spacing w:before="200" w:line="360" w:lineRule="auto"/>
        <w:contextualSpacing/>
        <w:rPr>
          <w:rFonts w:ascii="Calibri" w:eastAsia="Times New Roman" w:hAnsi="Calibri" w:cs="Times New Roman"/>
          <w:lang w:eastAsia="zh-CN"/>
        </w:rPr>
      </w:pPr>
    </w:p>
    <w:p w14:paraId="27A4FA11" w14:textId="77777777" w:rsidR="00B60914" w:rsidRPr="00B60914" w:rsidRDefault="00B60914" w:rsidP="00B60914">
      <w:pPr>
        <w:spacing w:before="200" w:line="360" w:lineRule="auto"/>
        <w:contextualSpacing/>
        <w:rPr>
          <w:rFonts w:ascii="Calibri" w:eastAsia="Times New Roman" w:hAnsi="Calibri" w:cs="Times New Roman"/>
          <w:lang w:eastAsia="zh-CN"/>
        </w:rPr>
      </w:pPr>
      <w:r w:rsidRPr="00B60914">
        <w:rPr>
          <w:rFonts w:ascii="Calibri" w:eastAsia="Times New Roman" w:hAnsi="Calibri" w:cs="Times New Roman"/>
          <w:lang w:eastAsia="zh-CN"/>
        </w:rPr>
        <w:t>More specifically, nine hypotheses are tested, as theory and evidence suggests that the three needs mediate generally between job resources and work engagement (e.g. Bakker &amp; Demerouti, 2007). These hypotheses are as follows:</w:t>
      </w:r>
    </w:p>
    <w:p w14:paraId="7F1A1758" w14:textId="6D76A9B8" w:rsidR="00B60914" w:rsidRDefault="00B60914" w:rsidP="00104027">
      <w:pPr>
        <w:spacing w:before="200" w:line="360" w:lineRule="auto"/>
        <w:contextualSpacing/>
        <w:rPr>
          <w:rFonts w:ascii="Calibri" w:eastAsia="Times New Roman" w:hAnsi="Calibri" w:cs="Times New Roman"/>
          <w:lang w:eastAsia="zh-CN"/>
        </w:rPr>
      </w:pPr>
    </w:p>
    <w:p w14:paraId="4A184B10" w14:textId="77777777"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2. a) Autonomy will mediate the relationship between social support and work engagement</w:t>
      </w:r>
    </w:p>
    <w:p w14:paraId="2104870C" w14:textId="77777777"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2. b) Autonomy will mediate the relationship between influence in decision-making and work engagement</w:t>
      </w:r>
    </w:p>
    <w:p w14:paraId="45BD8FDB" w14:textId="7DF70E8D"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 xml:space="preserve">2. c) Autonomy will mediate the relationship between </w:t>
      </w:r>
      <w:r w:rsidR="00E33550">
        <w:rPr>
          <w:rFonts w:ascii="Calibri" w:eastAsia="Calibri" w:hAnsi="Calibri" w:cs="Times New Roman"/>
        </w:rPr>
        <w:t xml:space="preserve">the perceived balance between </w:t>
      </w:r>
      <w:r w:rsidRPr="00E6060C">
        <w:rPr>
          <w:rFonts w:ascii="Calibri" w:eastAsia="Calibri" w:hAnsi="Calibri" w:cs="Times New Roman"/>
        </w:rPr>
        <w:t>resources and demands and work engagement</w:t>
      </w:r>
    </w:p>
    <w:p w14:paraId="14449CC1" w14:textId="77777777"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2. d) Competence will mediate the relationship between social support and work engagement</w:t>
      </w:r>
    </w:p>
    <w:p w14:paraId="273E4393" w14:textId="77777777"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2. e) Competence will mediate the relationship between influence in decision-making and work engagement</w:t>
      </w:r>
    </w:p>
    <w:p w14:paraId="1AB31F5E" w14:textId="4BAAE1D5"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 xml:space="preserve">2. f) Competence will mediate the relationship between </w:t>
      </w:r>
      <w:r w:rsidR="00E33550">
        <w:rPr>
          <w:rFonts w:ascii="Calibri" w:eastAsia="Calibri" w:hAnsi="Calibri" w:cs="Times New Roman"/>
        </w:rPr>
        <w:t xml:space="preserve">the perceived balance between </w:t>
      </w:r>
      <w:r w:rsidRPr="00E6060C">
        <w:rPr>
          <w:rFonts w:ascii="Calibri" w:eastAsia="Calibri" w:hAnsi="Calibri" w:cs="Times New Roman"/>
        </w:rPr>
        <w:t>resources and demands and work engagement</w:t>
      </w:r>
    </w:p>
    <w:p w14:paraId="64C71F21" w14:textId="77777777"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2. g) Relatedness will mediate the relationship between social support and work engagement</w:t>
      </w:r>
    </w:p>
    <w:p w14:paraId="460227DA" w14:textId="77777777"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t>2. h) Relatedness will mediate the relationship between influence in decision-making and work engagement</w:t>
      </w:r>
    </w:p>
    <w:p w14:paraId="5BBFC17E" w14:textId="5E4219F8" w:rsidR="00C831D9" w:rsidRPr="00E6060C" w:rsidRDefault="00C831D9" w:rsidP="00C831D9">
      <w:pPr>
        <w:spacing w:before="200" w:line="360" w:lineRule="auto"/>
        <w:ind w:left="360"/>
        <w:contextualSpacing/>
        <w:rPr>
          <w:rFonts w:ascii="Calibri" w:eastAsia="Calibri" w:hAnsi="Calibri" w:cs="Times New Roman"/>
        </w:rPr>
      </w:pPr>
      <w:r w:rsidRPr="00E6060C">
        <w:rPr>
          <w:rFonts w:ascii="Calibri" w:eastAsia="Calibri" w:hAnsi="Calibri" w:cs="Times New Roman"/>
        </w:rPr>
        <w:lastRenderedPageBreak/>
        <w:t xml:space="preserve">2. i) Relatedness will mediate the relationship between </w:t>
      </w:r>
      <w:r w:rsidR="00E33550">
        <w:rPr>
          <w:rFonts w:ascii="Calibri" w:eastAsia="Calibri" w:hAnsi="Calibri" w:cs="Times New Roman"/>
        </w:rPr>
        <w:t xml:space="preserve">the perceived balance between </w:t>
      </w:r>
      <w:r w:rsidRPr="00E6060C">
        <w:rPr>
          <w:rFonts w:ascii="Calibri" w:eastAsia="Calibri" w:hAnsi="Calibri" w:cs="Times New Roman"/>
        </w:rPr>
        <w:t>resources and demands and work engagement</w:t>
      </w:r>
    </w:p>
    <w:p w14:paraId="6D364565" w14:textId="77777777" w:rsidR="00B60914" w:rsidRPr="00B60914" w:rsidRDefault="00B60914" w:rsidP="00B60914">
      <w:pPr>
        <w:spacing w:before="200" w:line="360" w:lineRule="auto"/>
        <w:ind w:left="720"/>
        <w:contextualSpacing/>
        <w:rPr>
          <w:rFonts w:ascii="Calibri" w:eastAsia="Times New Roman" w:hAnsi="Calibri" w:cs="Times New Roman"/>
          <w:lang w:eastAsia="zh-CN"/>
        </w:rPr>
      </w:pPr>
    </w:p>
    <w:p w14:paraId="007D97BA" w14:textId="659E3F5F" w:rsidR="007E6C26" w:rsidRDefault="00DE346E" w:rsidP="007E6C26">
      <w:pPr>
        <w:keepNext/>
        <w:spacing w:after="200" w:line="360" w:lineRule="auto"/>
        <w:contextualSpacing/>
        <w:jc w:val="center"/>
      </w:pPr>
      <w:r>
        <w:rPr>
          <w:noProof/>
          <w:lang w:eastAsia="en-GB"/>
        </w:rPr>
        <w:drawing>
          <wp:inline distT="0" distB="0" distL="0" distR="0" wp14:anchorId="4CC7767A" wp14:editId="4B4AB1D9">
            <wp:extent cx="5730949" cy="2487290"/>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05" t="50637" r="60740" b="28757"/>
                    <a:stretch/>
                  </pic:blipFill>
                  <pic:spPr bwMode="auto">
                    <a:xfrm>
                      <a:off x="0" y="0"/>
                      <a:ext cx="5820009" cy="2525943"/>
                    </a:xfrm>
                    <a:prstGeom prst="rect">
                      <a:avLst/>
                    </a:prstGeom>
                    <a:ln>
                      <a:noFill/>
                    </a:ln>
                    <a:extLst>
                      <a:ext uri="{53640926-AAD7-44D8-BBD7-CCE9431645EC}">
                        <a14:shadowObscured xmlns:a14="http://schemas.microsoft.com/office/drawing/2010/main"/>
                      </a:ext>
                    </a:extLst>
                  </pic:spPr>
                </pic:pic>
              </a:graphicData>
            </a:graphic>
          </wp:inline>
        </w:drawing>
      </w:r>
    </w:p>
    <w:p w14:paraId="733BCC83" w14:textId="253B3AED" w:rsidR="00B838FB" w:rsidRPr="00B838FB" w:rsidRDefault="007E6C26" w:rsidP="005852AD">
      <w:pPr>
        <w:pStyle w:val="Figurestyle"/>
        <w:rPr>
          <w:vanish/>
          <w:specVanish/>
        </w:rPr>
      </w:pPr>
      <w:bookmarkStart w:id="95" w:name="_Ref453250340"/>
      <w:bookmarkStart w:id="96" w:name="_Toc453238911"/>
      <w:bookmarkStart w:id="97" w:name="_Ref453250335"/>
      <w:bookmarkStart w:id="98" w:name="_Toc468286101"/>
      <w:r>
        <w:t xml:space="preserve">Figure </w:t>
      </w:r>
      <w:r w:rsidR="00245D68">
        <w:fldChar w:fldCharType="begin"/>
      </w:r>
      <w:r w:rsidR="00245D68">
        <w:instrText xml:space="preserve"> STYLEREF 1 \</w:instrText>
      </w:r>
      <w:r w:rsidR="00245D68">
        <w:instrText xml:space="preserve">s </w:instrText>
      </w:r>
      <w:r w:rsidR="00245D68">
        <w:fldChar w:fldCharType="separate"/>
      </w:r>
      <w:r w:rsidR="00152F6D">
        <w:rPr>
          <w:noProof/>
        </w:rPr>
        <w:t>4</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1</w:t>
      </w:r>
      <w:r w:rsidR="00245D68">
        <w:rPr>
          <w:noProof/>
        </w:rPr>
        <w:fldChar w:fldCharType="end"/>
      </w:r>
      <w:bookmarkEnd w:id="95"/>
      <w:r>
        <w:t xml:space="preserve"> </w:t>
      </w:r>
      <w:r w:rsidRPr="00AC4907">
        <w:t>The work engagement model to be tested in Study 2</w:t>
      </w:r>
      <w:bookmarkEnd w:id="96"/>
      <w:bookmarkEnd w:id="97"/>
      <w:bookmarkEnd w:id="98"/>
    </w:p>
    <w:p w14:paraId="68018390" w14:textId="1C590C72" w:rsidR="00B60914" w:rsidRPr="00B60914" w:rsidRDefault="007E6C26" w:rsidP="001D6D7C">
      <w:pPr>
        <w:spacing w:line="360" w:lineRule="auto"/>
        <w:contextualSpacing/>
        <w:rPr>
          <w:rFonts w:ascii="Calibri" w:eastAsia="Times New Roman" w:hAnsi="Calibri" w:cs="Times New Roman"/>
          <w:lang w:eastAsia="zh-CN"/>
        </w:rPr>
      </w:pPr>
      <w:r w:rsidRPr="00AC4907">
        <w:t>, displaying the positive relationships hypothesised between job resources, work-related basic needs, and work engagement</w:t>
      </w:r>
      <w:r w:rsidR="00B838FB">
        <w:rPr>
          <w:rFonts w:ascii="Calibri" w:eastAsia="Times New Roman" w:hAnsi="Calibri" w:cs="Times New Roman"/>
          <w:lang w:eastAsia="zh-CN"/>
        </w:rPr>
        <w:t xml:space="preserve"> </w:t>
      </w:r>
    </w:p>
    <w:p w14:paraId="431C3CA8" w14:textId="77777777" w:rsidR="005077F1" w:rsidRDefault="005077F1">
      <w:pPr>
        <w:pStyle w:val="Thesisheading1"/>
        <w:sectPr w:rsidR="005077F1" w:rsidSect="00E6060C">
          <w:pgSz w:w="11906" w:h="16838"/>
          <w:pgMar w:top="1440" w:right="1440" w:bottom="1440" w:left="1440" w:header="709" w:footer="709" w:gutter="0"/>
          <w:cols w:space="708"/>
          <w:docGrid w:linePitch="360"/>
        </w:sectPr>
      </w:pPr>
      <w:bookmarkStart w:id="99" w:name="_Toc406750012"/>
      <w:bookmarkStart w:id="100" w:name="_Toc431470125"/>
      <w:bookmarkEnd w:id="83"/>
    </w:p>
    <w:p w14:paraId="78E4EB6B" w14:textId="374A93FE" w:rsidR="00817A2F" w:rsidRPr="00817A2F" w:rsidRDefault="00817A2F" w:rsidP="002D3426">
      <w:pPr>
        <w:pStyle w:val="Heading1"/>
      </w:pPr>
      <w:bookmarkStart w:id="101" w:name="_Toc468285947"/>
      <w:r w:rsidRPr="00817A2F">
        <w:lastRenderedPageBreak/>
        <w:t>Systematic Review of the effectiveness of work engagement interventions</w:t>
      </w:r>
      <w:bookmarkEnd w:id="101"/>
    </w:p>
    <w:p w14:paraId="01287364" w14:textId="77777777" w:rsidR="00817A2F" w:rsidRPr="00817A2F" w:rsidRDefault="00817A2F" w:rsidP="00817A2F">
      <w:pPr>
        <w:spacing w:after="200" w:line="360" w:lineRule="auto"/>
        <w:contextualSpacing/>
        <w:rPr>
          <w:rFonts w:ascii="Calibri" w:eastAsia="Calibri" w:hAnsi="Calibri" w:cs="Times New Roman"/>
        </w:rPr>
      </w:pPr>
    </w:p>
    <w:p w14:paraId="07DF7F33" w14:textId="779594F1" w:rsidR="00817A2F" w:rsidRPr="001B697E" w:rsidRDefault="00817A2F" w:rsidP="00B7614E">
      <w:pPr>
        <w:pStyle w:val="Thesisheading2"/>
      </w:pPr>
      <w:bookmarkStart w:id="102" w:name="_Toc450214013"/>
      <w:bookmarkStart w:id="103" w:name="_Toc468285948"/>
      <w:r w:rsidRPr="001B697E">
        <w:t>Introduction</w:t>
      </w:r>
      <w:bookmarkEnd w:id="102"/>
      <w:bookmarkEnd w:id="103"/>
    </w:p>
    <w:p w14:paraId="241F8007" w14:textId="77777777" w:rsidR="00817A2F" w:rsidRPr="00817A2F" w:rsidRDefault="00817A2F" w:rsidP="00817A2F">
      <w:pPr>
        <w:spacing w:after="200" w:line="360" w:lineRule="auto"/>
        <w:contextualSpacing/>
        <w:rPr>
          <w:rFonts w:ascii="Calibri" w:eastAsia="Calibri" w:hAnsi="Calibri" w:cs="Times New Roman"/>
        </w:rPr>
      </w:pPr>
    </w:p>
    <w:p w14:paraId="677F49DF" w14:textId="79F7287C"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Work engagement is currently a very popular topic within many organisations given its association with employee </w:t>
      </w:r>
      <w:r w:rsidR="001D6140">
        <w:rPr>
          <w:rFonts w:ascii="Calibri" w:eastAsia="Calibri" w:hAnsi="Calibri" w:cs="Times New Roman"/>
        </w:rPr>
        <w:t>well-being</w:t>
      </w:r>
      <w:r w:rsidRPr="00817A2F">
        <w:rPr>
          <w:rFonts w:ascii="Calibri" w:eastAsia="Calibri" w:hAnsi="Calibri" w:cs="Times New Roman"/>
        </w:rPr>
        <w:t xml:space="preserve"> and performance (Halbesleben, 2010). Evaluating, boosting and sustaining employee engagement is therefore a prime concern of organisations. Many studies have investigated the possible antecedents and consequences of engagement (e.g. Halbesleben, 2010; Crawford</w:t>
      </w:r>
      <w:r w:rsidR="00EB73D7">
        <w:rPr>
          <w:rFonts w:ascii="Calibri" w:eastAsia="Calibri" w:hAnsi="Calibri" w:cs="Times New Roman"/>
        </w:rPr>
        <w:t xml:space="preserve"> et al.</w:t>
      </w:r>
      <w:r w:rsidRPr="00817A2F">
        <w:rPr>
          <w:rFonts w:ascii="Calibri" w:eastAsia="Calibri" w:hAnsi="Calibri" w:cs="Times New Roman"/>
        </w:rPr>
        <w:t xml:space="preserve">, 2010), leading researchers to consider the field sufficiently well developed to warrant the development and testing of work engagement interventions (e.g. Leiter &amp; Maslach, 2010). However, the evidence on which to base interventions is limited, although an initial scoping review revealed a variety of emerging studies </w:t>
      </w:r>
      <w:r w:rsidRPr="00817A2F">
        <w:rPr>
          <w:rFonts w:ascii="Calibri" w:eastAsia="Calibri" w:hAnsi="Calibri" w:cs="Times New Roman"/>
        </w:rPr>
        <w:fldChar w:fldCharType="begin" w:fldLock="1"/>
      </w:r>
      <w:r w:rsidRPr="00817A2F">
        <w:rPr>
          <w:rFonts w:ascii="Calibri" w:eastAsia="Calibri" w:hAnsi="Calibri" w:cs="Times New Roman"/>
        </w:rPr>
        <w:instrText>ADDIN CSL_CITATION { "citationItems" : [ { "id" : "ITEM-1", "itemData" : { "DOI" : "10.1111/aphw.12008", "ISBN" : "1758-0854 (Electronic)\\r1758-0854 (Linking)", "ISSN" : "17580846", "PMID" : "23616308", "abstract" : "In order to answer the question whether changes in students' self-efficacy levels co-vary with similar changes in engagement and performance, a field study and an experimental study were conducted among university students. In order to do this, we adopted a subgroup approach. We created \"natural\" (Study 1) and manipulated (Study 2) subgroups based upon their change in self-efficacy over time and examined whether these subgroups showed similar changes over time in engagement and performance. The results of both studies are partly in line with Social Cognitive Theory, in that they confirm that changes in self-efficacy may have a significant impact on students' changes in cognition and motivation (i.e. engagement), as well as behavior (i.e. performance). More specifically, our results show that students' increases/decreases in self-efficacy were related to corresponding increases/decreases in their study engagement and task performance over time. Examining the consequences of changes in students' self-efficacy levels seems promising, both for research and practice.", "author" : [ { "dropping-particle" : "", "family" : "Ouweneel", "given" : "Else", "non-dropping-particle" : "", "parse-names" : false, "suffix" : "" }, { "dropping-particle" : "", "family" : "Schaufeli", "given" : "Wilmar B.", "non-dropping-particle" : "", "parse-names" : false, "suffix" : "" }, { "dropping-particle" : "", "family" : "Blanc", "given" : "Pascale M.", "non-dropping-particle" : "Le", "parse-names" : false, "suffix" : "" } ], "container-title" : "Applied Psychology: Health and Well-Being", "id" : "ITEM-1", "issue" : "2", "issued" : { "date-parts" : [ [ "2013" ] ] }, "page" : "225-247", "title" : "Believe, and you will achieve: Changes over time in self-efficacy, engagement, and performance", "type" : "article-journal", "volume" : "5" }, "uris" : [ "http://www.mendeley.com/documents/?uuid=09cf44ab-149d-48c7-90f4-dbdf393acafd" ] }, { "id" : "ITEM-2", "itemData" : { "DOI" : "10.1037/a0034508", "ISBN" : "1072-5245", "ISSN" : "1573-3424", "abstract" : "Drawing on the job demands-resources model, this research presents a quasi-experimental evaluation of an organizational intervention aiming to enhance upstream organizational resources via a leadership-development program. Repeated-measures data for perceptions of work-related characteristics, attitudes, and outcomes were collected four months before (Time 1/baseline) and seven months after (Time 2) the leadership-development intervention. Results indicated a positive effect of the leadership-development intervention on perceptions of work characteristics and well-being for the immediate subordinates of the leadership-development intervention participants, compared with a control group. Analysis of mediated effects indicated that the leadership-development intervention had a positive effect on subordinates' perceptions of work-culture support and strategic alignment, which in turn had a positive effect on their job satisfaction and work engagement. This research successfully demonstrated that organizational interventions aiming to enhance upstream organizational resources (via leadership development) can effectively improve the psychosocial working environment for employees. Furthermore, this research addressed commonly cited limitations of intervention research, including the dearth of organizational-level interventions, lack of research focusing on positive outcomes, and failure to address mediating effects.", "author" : [ { "dropping-particle" : "", "family" : "Biggs", "given" : "Amanda", "non-dropping-particle" : "", "parse-names" : false, "suffix" : "" }, { "dropping-particle" : "", "family" : "Brough", "given" : "Paula", "non-dropping-particle" : "", "parse-names" : false, "suffix" : "" }, { "dropping-particle" : "", "family" : "Barbour", "given" : "Jennifer P.", "non-dropping-particle" : "", "parse-names" : false, "suffix" : "" } ], "container-title" : "International Journal of Stress Management", "id" : "ITEM-2", "issue" : "1", "issued" : { "date-parts" : [ [ "2014" ] ] }, "page" : "43-68", "title" : "Enhancing work-related attitudes and work engagement: A quasi-experimental study of the impact of an organizational intervention.", "type" : "article-journal", "volume" : "21" }, "uris" : [ "http://www.mendeley.com/documents/?uuid=4fde8ded-b79d-49ed-b570-f89d4d3ab4cc" ] } ], "mendeley" : { "formattedCitation" : "(Biggs, Brough, &amp; Barbour, 2014; Ouweneel, Schaufeli, &amp; Le Blanc, 2013)", "plainTextFormattedCitation" : "(Biggs, Brough, &amp; Barbour, 2014; Ouweneel, Schaufeli, &amp; Le Blanc, 2013)", "previouslyFormattedCitation" : "(Biggs, Brough, &amp; Barbour, 2014; Ouweneel, Schaufeli, &amp; Le Blanc, 2013)" }, "properties" : { "noteIndex" : 0 }, "schema" : "https://github.com/citation-style-language/schema/raw/master/csl-citation.json" }</w:instrText>
      </w:r>
      <w:r w:rsidRPr="00817A2F">
        <w:rPr>
          <w:rFonts w:ascii="Calibri" w:eastAsia="Calibri" w:hAnsi="Calibri" w:cs="Times New Roman"/>
        </w:rPr>
        <w:fldChar w:fldCharType="separate"/>
      </w:r>
      <w:r w:rsidRPr="00817A2F">
        <w:rPr>
          <w:rFonts w:ascii="Calibri" w:eastAsia="Calibri" w:hAnsi="Calibri" w:cs="Times New Roman"/>
          <w:noProof/>
        </w:rPr>
        <w:t>(Biggs, Brough</w:t>
      </w:r>
      <w:r w:rsidR="00D77E72">
        <w:rPr>
          <w:rFonts w:ascii="Calibri" w:eastAsia="Calibri" w:hAnsi="Calibri" w:cs="Times New Roman"/>
          <w:noProof/>
        </w:rPr>
        <w:t>, &amp; Barbour, 2014; Ouweneel et al.,</w:t>
      </w:r>
      <w:r w:rsidR="00A54063">
        <w:rPr>
          <w:rFonts w:ascii="Calibri" w:eastAsia="Calibri" w:hAnsi="Calibri" w:cs="Times New Roman"/>
          <w:noProof/>
        </w:rPr>
        <w:t xml:space="preserve"> 2014</w:t>
      </w:r>
      <w:r w:rsidRPr="00817A2F">
        <w:rPr>
          <w:rFonts w:ascii="Calibri" w:eastAsia="Calibri" w:hAnsi="Calibri" w:cs="Times New Roman"/>
          <w:noProof/>
        </w:rPr>
        <w:t>)</w:t>
      </w:r>
      <w:r w:rsidRPr="00817A2F">
        <w:rPr>
          <w:rFonts w:ascii="Calibri" w:eastAsia="Calibri" w:hAnsi="Calibri" w:cs="Times New Roman"/>
        </w:rPr>
        <w:fldChar w:fldCharType="end"/>
      </w:r>
      <w:r w:rsidRPr="00817A2F">
        <w:rPr>
          <w:rFonts w:ascii="Calibri" w:eastAsia="Calibri" w:hAnsi="Calibri" w:cs="Times New Roman"/>
        </w:rPr>
        <w:t>. Several were found to be at the protocol stage or ongoing, indicating continuing and sustained interest in work engagement intervention research, and a shift in focus from researching theories underlying work engagement to the application of those theories in practice. No study has yet assessed the effectiveness of these interventions, however, it is hoped that doing so will stimulate debate and direct future research and practice.</w:t>
      </w:r>
    </w:p>
    <w:p w14:paraId="1941D07C" w14:textId="77777777" w:rsidR="00817A2F" w:rsidRPr="00817A2F" w:rsidRDefault="00817A2F" w:rsidP="00817A2F">
      <w:pPr>
        <w:spacing w:after="200" w:line="360" w:lineRule="auto"/>
        <w:contextualSpacing/>
        <w:rPr>
          <w:rFonts w:ascii="Calibri" w:eastAsia="Calibri" w:hAnsi="Calibri" w:cs="Times New Roman"/>
        </w:rPr>
      </w:pPr>
    </w:p>
    <w:p w14:paraId="0CE7E663" w14:textId="5DFF4541" w:rsidR="00817A2F" w:rsidRPr="005E7E44" w:rsidRDefault="00817A2F" w:rsidP="0009618B">
      <w:pPr>
        <w:pStyle w:val="Heading3"/>
      </w:pPr>
      <w:bookmarkStart w:id="104" w:name="_Toc450214014"/>
      <w:bookmarkStart w:id="105" w:name="_Toc468285949"/>
      <w:r w:rsidRPr="005E7E44">
        <w:t>Research objective</w:t>
      </w:r>
      <w:bookmarkEnd w:id="104"/>
      <w:bookmarkEnd w:id="105"/>
    </w:p>
    <w:p w14:paraId="7B7BF629" w14:textId="77777777" w:rsidR="001B697E" w:rsidRDefault="001B697E" w:rsidP="00817A2F">
      <w:pPr>
        <w:spacing w:after="200" w:line="360" w:lineRule="auto"/>
        <w:contextualSpacing/>
        <w:rPr>
          <w:rFonts w:ascii="Calibri" w:eastAsia="Calibri" w:hAnsi="Calibri" w:cs="Times New Roman"/>
        </w:rPr>
      </w:pPr>
    </w:p>
    <w:p w14:paraId="377E266D" w14:textId="53EB0DC4"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aim of this study is to conduct a narrative systematic review of the evidence for the effectiveness of work engagement interventions. In so doing, the intention is to systematically identify, review and qualitatively synthesise the evidence. It is hoped that this study will initiate discussion on the direction of future work engagement intervention research.</w:t>
      </w:r>
    </w:p>
    <w:p w14:paraId="7D9501DB" w14:textId="77777777" w:rsidR="00817A2F" w:rsidRPr="00817A2F" w:rsidRDefault="00817A2F" w:rsidP="00817A2F">
      <w:pPr>
        <w:spacing w:after="200" w:line="360" w:lineRule="auto"/>
        <w:rPr>
          <w:rFonts w:ascii="Calibri" w:eastAsia="Calibri" w:hAnsi="Calibri" w:cs="Times New Roman"/>
        </w:rPr>
      </w:pPr>
    </w:p>
    <w:p w14:paraId="58751BBA" w14:textId="7570FB44" w:rsidR="00817A2F" w:rsidRPr="001B697E" w:rsidRDefault="00817A2F" w:rsidP="0009618B">
      <w:pPr>
        <w:pStyle w:val="Heading3"/>
      </w:pPr>
      <w:bookmarkStart w:id="106" w:name="_Toc450214015"/>
      <w:bookmarkStart w:id="107" w:name="_Toc468285950"/>
      <w:r w:rsidRPr="001B697E">
        <w:t>Work engagement definitions</w:t>
      </w:r>
      <w:bookmarkEnd w:id="106"/>
      <w:bookmarkEnd w:id="107"/>
    </w:p>
    <w:p w14:paraId="38AC3D33" w14:textId="77777777" w:rsidR="001B697E" w:rsidRDefault="001B697E" w:rsidP="005D6A67">
      <w:pPr>
        <w:spacing w:after="200" w:line="360" w:lineRule="auto"/>
        <w:contextualSpacing/>
        <w:rPr>
          <w:rFonts w:ascii="Calibri" w:eastAsia="Calibri" w:hAnsi="Calibri" w:cs="Times New Roman"/>
        </w:rPr>
      </w:pPr>
    </w:p>
    <w:p w14:paraId="1FB5A170" w14:textId="0179ED42" w:rsidR="00817A2F" w:rsidRPr="005D6A67" w:rsidRDefault="00817A2F" w:rsidP="00C43948">
      <w:pPr>
        <w:spacing w:after="160" w:line="360" w:lineRule="auto"/>
        <w:contextualSpacing/>
        <w:rPr>
          <w:rFonts w:ascii="Calibri" w:eastAsia="Calibri" w:hAnsi="Calibri" w:cs="Times New Roman"/>
        </w:rPr>
      </w:pPr>
      <w:r w:rsidRPr="00817A2F">
        <w:rPr>
          <w:rFonts w:ascii="Calibri" w:eastAsia="Calibri" w:hAnsi="Calibri" w:cs="Times New Roman"/>
        </w:rPr>
        <w:t>As discussed in the literature review (Chapter 1), there exists several different definitions of</w:t>
      </w:r>
      <w:r w:rsidR="00D44406">
        <w:rPr>
          <w:rFonts w:ascii="Calibri" w:eastAsia="Calibri" w:hAnsi="Calibri" w:cs="Times New Roman"/>
        </w:rPr>
        <w:t>,</w:t>
      </w:r>
      <w:r w:rsidRPr="00817A2F">
        <w:rPr>
          <w:rFonts w:ascii="Calibri" w:eastAsia="Calibri" w:hAnsi="Calibri" w:cs="Times New Roman"/>
        </w:rPr>
        <w:t xml:space="preserve"> and approaches to</w:t>
      </w:r>
      <w:r w:rsidR="00D44406">
        <w:rPr>
          <w:rFonts w:ascii="Calibri" w:eastAsia="Calibri" w:hAnsi="Calibri" w:cs="Times New Roman"/>
        </w:rPr>
        <w:t>,</w:t>
      </w:r>
      <w:r w:rsidRPr="00817A2F">
        <w:rPr>
          <w:rFonts w:ascii="Calibri" w:eastAsia="Calibri" w:hAnsi="Calibri" w:cs="Times New Roman"/>
        </w:rPr>
        <w:t xml:space="preserve"> work, or employee, engagement. For example, Kahn (1990) proposed that engaged employees are characterised by an ability to express themselves physically, emotionally, and cognitively in their work roles, while Maslach</w:t>
      </w:r>
      <w:r w:rsidR="00E067D9">
        <w:rPr>
          <w:rFonts w:ascii="Calibri" w:eastAsia="Calibri" w:hAnsi="Calibri" w:cs="Times New Roman"/>
        </w:rPr>
        <w:t xml:space="preserve"> and Leiter</w:t>
      </w:r>
      <w:r w:rsidRPr="00817A2F">
        <w:rPr>
          <w:rFonts w:ascii="Calibri" w:eastAsia="Calibri" w:hAnsi="Calibri" w:cs="Times New Roman"/>
        </w:rPr>
        <w:t xml:space="preserve"> (1997) proposed that engagement is the polar opposite of burnout (exhaustion, cynicism and inefficacy). Other academic, lay and practitioner </w:t>
      </w:r>
      <w:r w:rsidRPr="00817A2F">
        <w:rPr>
          <w:rFonts w:ascii="Calibri" w:eastAsia="Calibri" w:hAnsi="Calibri" w:cs="Times New Roman"/>
        </w:rPr>
        <w:lastRenderedPageBreak/>
        <w:t>perceptions of what it means to be engaged at work are also abundant (e.g. see MacLeod &amp; Clark, 2009; Robertson-Smith &amp; Markwick, 2009; West &amp; Dawson, 2012). By far the most common conceptualisation of work engagement, however, is as ‘a positive, fulfilling, work-related state of mind that is characterised by vigor, dedication, and absorption’ (</w:t>
      </w:r>
      <w:r w:rsidRPr="00C43948">
        <w:rPr>
          <w:rFonts w:ascii="Calibri" w:eastAsia="Calibri" w:hAnsi="Calibri" w:cs="Times New Roman"/>
        </w:rPr>
        <w:t>Schaufeli et al.</w:t>
      </w:r>
      <w:r w:rsidRPr="00817A2F">
        <w:rPr>
          <w:rFonts w:ascii="Calibri" w:eastAsia="Calibri" w:hAnsi="Calibri" w:cs="Times New Roman"/>
        </w:rPr>
        <w:t xml:space="preserve">, 2002, p.74). This definition is accompanied by a well validated and reliable measurement tool (UWES, Schaufeli </w:t>
      </w:r>
      <w:r w:rsidR="00B64DD5">
        <w:rPr>
          <w:rFonts w:ascii="Calibri" w:eastAsia="Calibri" w:hAnsi="Calibri" w:cs="Times New Roman"/>
        </w:rPr>
        <w:t>et al.,</w:t>
      </w:r>
      <w:r w:rsidRPr="00817A2F">
        <w:rPr>
          <w:rFonts w:ascii="Calibri" w:eastAsia="Calibri" w:hAnsi="Calibri" w:cs="Times New Roman"/>
        </w:rPr>
        <w:t xml:space="preserve"> 2002) and has arguably received the most empirical support to date (Hakanan &amp; Roodt, 2010). Indeed, an initial scoping search for this study revealed intervention studies which almost exclus</w:t>
      </w:r>
      <w:r w:rsidR="00D46B44">
        <w:rPr>
          <w:rFonts w:ascii="Calibri" w:eastAsia="Calibri" w:hAnsi="Calibri" w:cs="Times New Roman"/>
        </w:rPr>
        <w:t>ively employed the UWES as a</w:t>
      </w:r>
      <w:r w:rsidRPr="00817A2F">
        <w:rPr>
          <w:rFonts w:ascii="Calibri" w:eastAsia="Calibri" w:hAnsi="Calibri" w:cs="Times New Roman"/>
        </w:rPr>
        <w:t xml:space="preserve"> measure of work engagement</w:t>
      </w:r>
      <w:r w:rsidR="004B07AF">
        <w:rPr>
          <w:rFonts w:ascii="Calibri" w:eastAsia="Calibri" w:hAnsi="Calibri" w:cs="Times New Roman"/>
        </w:rPr>
        <w:t>, suggesting the dominance of</w:t>
      </w:r>
      <w:r w:rsidR="00B5547E">
        <w:rPr>
          <w:rFonts w:ascii="Calibri" w:eastAsia="Calibri" w:hAnsi="Calibri" w:cs="Times New Roman"/>
        </w:rPr>
        <w:t xml:space="preserve"> Schaufeli and colleagues’ appr</w:t>
      </w:r>
      <w:r w:rsidR="004B07AF">
        <w:rPr>
          <w:rFonts w:ascii="Calibri" w:eastAsia="Calibri" w:hAnsi="Calibri" w:cs="Times New Roman"/>
        </w:rPr>
        <w:t>o</w:t>
      </w:r>
      <w:r w:rsidR="00B5547E">
        <w:rPr>
          <w:rFonts w:ascii="Calibri" w:eastAsia="Calibri" w:hAnsi="Calibri" w:cs="Times New Roman"/>
        </w:rPr>
        <w:t>a</w:t>
      </w:r>
      <w:r w:rsidR="004B07AF">
        <w:rPr>
          <w:rFonts w:ascii="Calibri" w:eastAsia="Calibri" w:hAnsi="Calibri" w:cs="Times New Roman"/>
        </w:rPr>
        <w:t>ch</w:t>
      </w:r>
      <w:r w:rsidRPr="00817A2F">
        <w:rPr>
          <w:rFonts w:ascii="Calibri" w:eastAsia="Calibri" w:hAnsi="Calibri" w:cs="Times New Roman"/>
        </w:rPr>
        <w:t xml:space="preserve">. </w:t>
      </w:r>
      <w:r w:rsidR="004B07AF">
        <w:rPr>
          <w:rFonts w:ascii="Calibri" w:eastAsia="Calibri" w:hAnsi="Calibri" w:cs="Times New Roman"/>
        </w:rPr>
        <w:t>D</w:t>
      </w:r>
      <w:r w:rsidRPr="00817A2F">
        <w:rPr>
          <w:rFonts w:ascii="Calibri" w:eastAsia="Calibri" w:hAnsi="Calibri" w:cs="Times New Roman"/>
        </w:rPr>
        <w:t>etailed inclusion and exclusion criteria can be found in</w:t>
      </w:r>
      <w:r w:rsidR="00A447F6">
        <w:rPr>
          <w:rFonts w:ascii="Calibri" w:eastAsia="Calibri" w:hAnsi="Calibri" w:cs="Times New Roman"/>
        </w:rPr>
        <w:t xml:space="preserve"> </w:t>
      </w:r>
      <w:r w:rsidR="008002BC">
        <w:rPr>
          <w:rFonts w:ascii="Calibri" w:eastAsia="Calibri" w:hAnsi="Calibri" w:cs="Times New Roman"/>
        </w:rPr>
        <w:fldChar w:fldCharType="begin"/>
      </w:r>
      <w:r w:rsidR="008002BC">
        <w:rPr>
          <w:rFonts w:ascii="Calibri" w:eastAsia="Calibri" w:hAnsi="Calibri" w:cs="Times New Roman"/>
        </w:rPr>
        <w:instrText xml:space="preserve"> REF _Ref453250413 \h </w:instrText>
      </w:r>
      <w:r w:rsidR="00C43948">
        <w:rPr>
          <w:rFonts w:ascii="Calibri" w:eastAsia="Calibri" w:hAnsi="Calibri" w:cs="Times New Roman"/>
        </w:rPr>
        <w:instrText xml:space="preserve"> \* MERGEFORMAT </w:instrText>
      </w:r>
      <w:r w:rsidR="008002BC">
        <w:rPr>
          <w:rFonts w:ascii="Calibri" w:eastAsia="Calibri" w:hAnsi="Calibri" w:cs="Times New Roman"/>
        </w:rPr>
      </w:r>
      <w:r w:rsidR="008002BC">
        <w:rPr>
          <w:rFonts w:ascii="Calibri" w:eastAsia="Calibri" w:hAnsi="Calibri" w:cs="Times New Roman"/>
        </w:rPr>
        <w:fldChar w:fldCharType="separate"/>
      </w:r>
      <w:r w:rsidR="00152F6D" w:rsidRPr="00152F6D">
        <w:rPr>
          <w:rFonts w:ascii="Calibri" w:eastAsia="Calibri" w:hAnsi="Calibri" w:cs="Times New Roman"/>
        </w:rPr>
        <w:t>Table</w:t>
      </w:r>
      <w:r w:rsidR="00152F6D">
        <w:t xml:space="preserve"> </w:t>
      </w:r>
      <w:r w:rsidR="00152F6D">
        <w:rPr>
          <w:noProof/>
        </w:rPr>
        <w:t>5.1</w:t>
      </w:r>
      <w:r w:rsidR="008002BC">
        <w:rPr>
          <w:rFonts w:ascii="Calibri" w:eastAsia="Calibri" w:hAnsi="Calibri" w:cs="Times New Roman"/>
        </w:rPr>
        <w:fldChar w:fldCharType="end"/>
      </w:r>
      <w:r w:rsidRPr="00817A2F">
        <w:rPr>
          <w:rFonts w:ascii="Calibri" w:eastAsia="Calibri" w:hAnsi="Calibri" w:cs="Times New Roman"/>
        </w:rPr>
        <w:t xml:space="preserve"> (</w:t>
      </w:r>
      <w:r w:rsidR="008002BC">
        <w:rPr>
          <w:rFonts w:ascii="Calibri" w:eastAsia="Calibri" w:hAnsi="Calibri" w:cs="Times New Roman"/>
        </w:rPr>
        <w:t>p.</w:t>
      </w:r>
      <w:r w:rsidR="004B07AF">
        <w:rPr>
          <w:rFonts w:ascii="Calibri" w:eastAsia="Calibri" w:hAnsi="Calibri" w:cs="Times New Roman"/>
        </w:rPr>
        <w:t xml:space="preserve"> </w:t>
      </w:r>
      <w:r w:rsidR="004B07AF">
        <w:rPr>
          <w:rFonts w:ascii="Calibri" w:eastAsia="Calibri" w:hAnsi="Calibri" w:cs="Times New Roman"/>
        </w:rPr>
        <w:fldChar w:fldCharType="begin"/>
      </w:r>
      <w:r w:rsidR="004B07AF">
        <w:rPr>
          <w:rFonts w:ascii="Calibri" w:eastAsia="Calibri" w:hAnsi="Calibri" w:cs="Times New Roman"/>
        </w:rPr>
        <w:instrText xml:space="preserve"> PAGEREF _Ref456719012 \h </w:instrText>
      </w:r>
      <w:r w:rsidR="004B07AF">
        <w:rPr>
          <w:rFonts w:ascii="Calibri" w:eastAsia="Calibri" w:hAnsi="Calibri" w:cs="Times New Roman"/>
        </w:rPr>
      </w:r>
      <w:r w:rsidR="004B07AF">
        <w:rPr>
          <w:rFonts w:ascii="Calibri" w:eastAsia="Calibri" w:hAnsi="Calibri" w:cs="Times New Roman"/>
        </w:rPr>
        <w:fldChar w:fldCharType="separate"/>
      </w:r>
      <w:r w:rsidR="00152F6D">
        <w:rPr>
          <w:rFonts w:ascii="Calibri" w:eastAsia="Calibri" w:hAnsi="Calibri" w:cs="Times New Roman"/>
          <w:noProof/>
        </w:rPr>
        <w:t>0</w:t>
      </w:r>
      <w:r w:rsidR="004B07AF">
        <w:rPr>
          <w:rFonts w:ascii="Calibri" w:eastAsia="Calibri" w:hAnsi="Calibri" w:cs="Times New Roman"/>
        </w:rPr>
        <w:fldChar w:fldCharType="end"/>
      </w:r>
      <w:r w:rsidRPr="00817A2F">
        <w:rPr>
          <w:rFonts w:ascii="Calibri" w:eastAsia="Calibri" w:hAnsi="Calibri" w:cs="Times New Roman"/>
        </w:rPr>
        <w:t xml:space="preserve">).    </w:t>
      </w:r>
    </w:p>
    <w:p w14:paraId="15FF0AA0" w14:textId="77777777" w:rsidR="00817A2F" w:rsidRPr="00817A2F" w:rsidRDefault="00817A2F" w:rsidP="00817A2F">
      <w:pPr>
        <w:spacing w:after="200" w:line="276" w:lineRule="auto"/>
        <w:rPr>
          <w:rFonts w:ascii="Calibri" w:eastAsia="Calibri" w:hAnsi="Calibri" w:cs="Times New Roman"/>
        </w:rPr>
      </w:pPr>
    </w:p>
    <w:p w14:paraId="744753CB" w14:textId="2A680152" w:rsidR="00817A2F" w:rsidRPr="001B697E" w:rsidRDefault="00817A2F" w:rsidP="0009618B">
      <w:pPr>
        <w:pStyle w:val="Heading3"/>
      </w:pPr>
      <w:bookmarkStart w:id="108" w:name="_Toc450214016"/>
      <w:bookmarkStart w:id="109" w:name="_Ref453572895"/>
      <w:bookmarkStart w:id="110" w:name="_Ref453574471"/>
      <w:bookmarkStart w:id="111" w:name="_Toc468285951"/>
      <w:r w:rsidRPr="001B697E">
        <w:t>Types of work engagement interventions</w:t>
      </w:r>
      <w:bookmarkEnd w:id="108"/>
      <w:bookmarkEnd w:id="109"/>
      <w:bookmarkEnd w:id="110"/>
      <w:bookmarkEnd w:id="111"/>
    </w:p>
    <w:p w14:paraId="09898E50" w14:textId="77777777" w:rsidR="001B697E" w:rsidRDefault="001B697E" w:rsidP="00817A2F">
      <w:pPr>
        <w:widowControl w:val="0"/>
        <w:tabs>
          <w:tab w:val="left" w:pos="252"/>
        </w:tabs>
        <w:spacing w:before="200" w:line="360" w:lineRule="auto"/>
        <w:rPr>
          <w:rFonts w:ascii="Calibri" w:eastAsia="Calibri" w:hAnsi="Calibri" w:cs="Times New Roman"/>
          <w:iCs/>
        </w:rPr>
      </w:pPr>
    </w:p>
    <w:p w14:paraId="6F66915F" w14:textId="4D8DB703" w:rsidR="00817A2F" w:rsidRPr="00817A2F" w:rsidRDefault="00817A2F" w:rsidP="00817A2F">
      <w:pPr>
        <w:widowControl w:val="0"/>
        <w:tabs>
          <w:tab w:val="left" w:pos="252"/>
        </w:tabs>
        <w:spacing w:before="200" w:line="360" w:lineRule="auto"/>
        <w:rPr>
          <w:rFonts w:ascii="Calibri" w:eastAsia="Calibri" w:hAnsi="Calibri" w:cs="Times New Roman"/>
          <w:iCs/>
        </w:rPr>
      </w:pPr>
      <w:r w:rsidRPr="00817A2F">
        <w:rPr>
          <w:rFonts w:ascii="Calibri" w:eastAsia="Calibri" w:hAnsi="Calibri" w:cs="Times New Roman"/>
          <w:iCs/>
        </w:rPr>
        <w:t xml:space="preserve">The systematic review revealed four key intervention types which have been used to increase the work engagement of employees. These are described below. Since no previous classification system exists, intervention categories were identified through in-depth coding of the studies by two expert researchers (see Method, section </w:t>
      </w:r>
      <w:r w:rsidR="008002BC">
        <w:rPr>
          <w:rFonts w:ascii="Calibri" w:eastAsia="Calibri" w:hAnsi="Calibri" w:cs="Times New Roman"/>
          <w:iCs/>
        </w:rPr>
        <w:fldChar w:fldCharType="begin"/>
      </w:r>
      <w:r w:rsidR="008002BC">
        <w:rPr>
          <w:rFonts w:ascii="Calibri" w:eastAsia="Calibri" w:hAnsi="Calibri" w:cs="Times New Roman"/>
          <w:iCs/>
        </w:rPr>
        <w:instrText xml:space="preserve"> REF _Ref453250616 \r \h </w:instrText>
      </w:r>
      <w:r w:rsidR="008002BC">
        <w:rPr>
          <w:rFonts w:ascii="Calibri" w:eastAsia="Calibri" w:hAnsi="Calibri" w:cs="Times New Roman"/>
          <w:iCs/>
        </w:rPr>
      </w:r>
      <w:r w:rsidR="008002BC">
        <w:rPr>
          <w:rFonts w:ascii="Calibri" w:eastAsia="Calibri" w:hAnsi="Calibri" w:cs="Times New Roman"/>
          <w:iCs/>
        </w:rPr>
        <w:fldChar w:fldCharType="separate"/>
      </w:r>
      <w:r w:rsidR="00152F6D">
        <w:rPr>
          <w:rFonts w:ascii="Calibri" w:eastAsia="Calibri" w:hAnsi="Calibri" w:cs="Times New Roman"/>
          <w:iCs/>
        </w:rPr>
        <w:t>5.2.2</w:t>
      </w:r>
      <w:r w:rsidR="008002BC">
        <w:rPr>
          <w:rFonts w:ascii="Calibri" w:eastAsia="Calibri" w:hAnsi="Calibri" w:cs="Times New Roman"/>
          <w:iCs/>
        </w:rPr>
        <w:fldChar w:fldCharType="end"/>
      </w:r>
      <w:r w:rsidRPr="00817A2F">
        <w:rPr>
          <w:rFonts w:ascii="Calibri" w:eastAsia="Calibri" w:hAnsi="Calibri" w:cs="Times New Roman"/>
          <w:iCs/>
        </w:rPr>
        <w:t xml:space="preserve"> and the Coding guide, Appendix 2).</w:t>
      </w:r>
    </w:p>
    <w:p w14:paraId="4CE3E8D0" w14:textId="63C10FC2" w:rsidR="00817A2F" w:rsidRPr="00817A2F" w:rsidRDefault="00817A2F" w:rsidP="00F15DDF">
      <w:pPr>
        <w:widowControl w:val="0"/>
        <w:numPr>
          <w:ilvl w:val="0"/>
          <w:numId w:val="4"/>
        </w:numPr>
        <w:tabs>
          <w:tab w:val="left" w:pos="252"/>
        </w:tabs>
        <w:spacing w:before="200" w:line="360" w:lineRule="auto"/>
        <w:contextualSpacing/>
        <w:rPr>
          <w:rFonts w:ascii="Calibri" w:eastAsia="Calibri" w:hAnsi="Calibri" w:cs="Times New Roman"/>
          <w:iCs/>
        </w:rPr>
      </w:pPr>
      <w:r w:rsidRPr="00817A2F">
        <w:rPr>
          <w:rFonts w:ascii="Calibri" w:eastAsia="Calibri" w:hAnsi="Calibri" w:cs="Times New Roman"/>
          <w:i/>
          <w:iCs/>
        </w:rPr>
        <w:t>Personal resource building interventions –</w:t>
      </w:r>
      <w:r w:rsidRPr="00817A2F">
        <w:rPr>
          <w:rFonts w:ascii="Calibri" w:eastAsia="Calibri" w:hAnsi="Calibri" w:cs="Times New Roman"/>
          <w:iCs/>
        </w:rPr>
        <w:t xml:space="preserve"> </w:t>
      </w:r>
      <w:r w:rsidRPr="00817A2F">
        <w:rPr>
          <w:rFonts w:ascii="Calibri" w:eastAsia="Calibri" w:hAnsi="Calibri" w:cs="Calibri"/>
        </w:rPr>
        <w:t xml:space="preserve">Personal resources refer to ‘positive self-evaluations that are linked to resiliency and refer to individuals’ sense of their ability to control and impact upon their environment successfully’ (Bakker &amp; Demerouti, 2008 p.5). These include, but are not limited to, self-esteem, self-efficacy, resilience and optimism. Employees with high levels of personal resources are thought to positively appraise their ability to meet their work demands, believe in good outcomes, and believe they can satisfy their needs by engaging fully in their organizational roles. In accordance with the </w:t>
      </w:r>
      <w:r w:rsidR="00A43B59">
        <w:rPr>
          <w:rFonts w:ascii="Calibri" w:eastAsia="Calibri" w:hAnsi="Calibri" w:cs="Calibri"/>
        </w:rPr>
        <w:t>Job Demands-Resources</w:t>
      </w:r>
      <w:r w:rsidRPr="00817A2F">
        <w:rPr>
          <w:rFonts w:ascii="Calibri" w:eastAsia="Calibri" w:hAnsi="Calibri" w:cs="Calibri"/>
        </w:rPr>
        <w:t xml:space="preserve"> Model (JD-R; Bakker &amp; Demerouti, 2007), personal resources may directly or indirectly lead to work engagement, in the latter case by buffering against the negative effects of perceived job demands. Work engagement interventions which aim to increase personal resources may include weekly assignments aimed at building</w:t>
      </w:r>
      <w:r w:rsidRPr="00817A2F">
        <w:rPr>
          <w:rFonts w:ascii="Calibri" w:eastAsia="Calibri" w:hAnsi="Calibri" w:cs="Times New Roman"/>
        </w:rPr>
        <w:t xml:space="preserve"> one or more factors such as self-efficacy, resilience, hope and optimism (psychological capital; e.g. Ouweneel et al., 2013), vicarious learning and role play (e.g. Carter, 2010), or education (e.g. Chen, Westman, &amp; Eden, 2009; Sodani, Yadigari, Shfia-Abadi, and Mohammadi, 2011). The results of such interventions on work engagement have been mixed. For example, Ouweneel et al. (2013) observed a positive, significant effect for those who were initially low in engagement only, whereas</w:t>
      </w:r>
      <w:r w:rsidRPr="00817A2F">
        <w:rPr>
          <w:rFonts w:ascii="Times New Roman" w:eastAsia="Calibri" w:hAnsi="Times New Roman" w:cs="Times New Roman"/>
          <w:sz w:val="24"/>
          <w:szCs w:val="24"/>
        </w:rPr>
        <w:t xml:space="preserve"> </w:t>
      </w:r>
      <w:r w:rsidRPr="00817A2F">
        <w:rPr>
          <w:rFonts w:ascii="Calibri" w:eastAsia="Calibri" w:hAnsi="Calibri" w:cs="Times New Roman"/>
        </w:rPr>
        <w:fldChar w:fldCharType="begin" w:fldLock="1"/>
      </w:r>
      <w:r w:rsidRPr="00817A2F">
        <w:rPr>
          <w:rFonts w:ascii="Calibri" w:eastAsia="Calibri" w:hAnsi="Calibri" w:cs="Times New Roman"/>
        </w:rPr>
        <w:instrText>ADDIN CSL_CITATION { "citationItems" : [ { "id" : "ITEM-1", "itemData" : { "DOI" : "10.1023/A", "ISBN" : "1009982220290", "ISSN" : "16130073", "PMID" : "1284", "author" : [ { "dropping-particle" : "", "family" : "Sodani", "given" : "M.", "non-dropping-particle" : "", "parse-names" : false, "suffix" : "" }, { "dropping-particle" : "", "family" : "Yadigari", "given" : "E.", "non-dropping-particle" : "", "parse-names" : false, "suffix" : "" }, { "dropping-particle" : "", "family" : "Shfia-Abadi", "given" : "A.", "non-dropping-particle" : "", "parse-names" : false, "suffix" : "" }, { "dropping-particle" : "", "family" : "Mohammadi", "given" : "K.", "non-dropping-particle" : "", "parse-names" : false, "suffix" : "" } ], "container-title" : "International Conference on Social Science and Humanity", "id" : "ITEM-1", "issued" : { "date-parts" : [ [ "2011" ] ] }, "page" : "41-42", "title" : "Effectiveness of Group-based Creativity Acquisition on Job Self-efficacy in a Welfare Organization in Iran", "type" : "paper-conference", "volume" : "5" }, "uris" : [ "http://www.mendeley.com/documents/?uuid=48257bf0-18f8-4613-8265-ff8e86153949" ] } ], "mendeley" : { "formattedCitation" : "(Sodani, Yadigari, Shfia-Abadi, &amp; Mohammadi, 2011)", "manualFormatting" : "Sodani, Yadigari, Shfia-Abadi, &amp; Mohammadi (2011)", "plainTextFormattedCitation" : "(Sodani, Yadigari, Shfia-Abadi, &amp; Mohammadi, 2011)", "previouslyFormattedCitation" : "(Sodani, Yadigari, Shfia-Abadi, &amp; Mohammadi, 2011)" }, "properties" : { "noteIndex" : 0 }, "schema" : "https://github.com/citation-style-language/schema/raw/master/csl-citation.json" }</w:instrText>
      </w:r>
      <w:r w:rsidRPr="00817A2F">
        <w:rPr>
          <w:rFonts w:ascii="Calibri" w:eastAsia="Calibri" w:hAnsi="Calibri" w:cs="Times New Roman"/>
        </w:rPr>
        <w:fldChar w:fldCharType="separate"/>
      </w:r>
      <w:r w:rsidRPr="00817A2F">
        <w:rPr>
          <w:rFonts w:ascii="Calibri" w:eastAsia="Calibri" w:hAnsi="Calibri" w:cs="Times New Roman"/>
        </w:rPr>
        <w:t>Sodani et al. (2011)</w:t>
      </w:r>
      <w:r w:rsidRPr="00817A2F">
        <w:rPr>
          <w:rFonts w:ascii="Calibri" w:eastAsia="Calibri" w:hAnsi="Calibri" w:cs="Times New Roman"/>
        </w:rPr>
        <w:fldChar w:fldCharType="end"/>
      </w:r>
      <w:r w:rsidRPr="00817A2F">
        <w:rPr>
          <w:rFonts w:ascii="Calibri" w:eastAsia="Calibri" w:hAnsi="Calibri" w:cs="Times New Roman"/>
        </w:rPr>
        <w:t xml:space="preserve"> found significant effects in all three </w:t>
      </w:r>
      <w:r w:rsidRPr="00817A2F">
        <w:rPr>
          <w:rFonts w:ascii="Calibri" w:eastAsia="Calibri" w:hAnsi="Calibri" w:cs="Times New Roman"/>
        </w:rPr>
        <w:lastRenderedPageBreak/>
        <w:t xml:space="preserve">subcomponents. Others found no effects at all, however (e.g. </w:t>
      </w:r>
      <w:r w:rsidRPr="00817A2F">
        <w:rPr>
          <w:rFonts w:ascii="Calibri" w:eastAsia="Calibri" w:hAnsi="Calibri" w:cs="Times New Roman"/>
        </w:rPr>
        <w:fldChar w:fldCharType="begin" w:fldLock="1"/>
      </w:r>
      <w:r w:rsidRPr="00817A2F">
        <w:rPr>
          <w:rFonts w:ascii="Calibri" w:eastAsia="Calibri" w:hAnsi="Calibri" w:cs="Times New Roman"/>
        </w:rPr>
        <w:instrText>ADDIN CSL_CITATION { "citationItems" : [ { "id" : "ITEM-1", "itemData" : { "DOI" : "10.1037/a0015282", "ISBN" : "1076-8998\\n1939-1307", "ISSN" : "1939-1307", "PMID" : "19586218", "abstract" : "An intervention based on conservation of resources theory was conducted in an organization installing new information technology (IT) to enhance participants' psychological resources and thereby reduce anticipated stress and facilitate adjustment to the new IT. Before installation, 218 IT users in 25 units participated in 5 days of technical training; only the randomly assigned experimental group also participated in a \"resource workshop.\" All participants filled out questionnaires before the workshop, 2 weeks later, and 2 months after the IT installation. ANOVA detected a significant increase in users' means efficacy in the experimental group and a decline in the control group. The new IT caused the control users more dissatisfaction and exhaustion, whereas the experimental users were spared these increases in strain, as predicted. Implications for theory and practice are discussed.", "author" : [ { "dropping-particle" : "", "family" : "Chen", "given" : "Shoshi", "non-dropping-particle" : "", "parse-names" : false, "suffix" : "" }, { "dropping-particle" : "", "family" : "Westman", "given" : "Mina", "non-dropping-particle" : "", "parse-names" : false, "suffix" : "" }, { "dropping-particle" : "", "family" : "Eden", "given" : "Dov", "non-dropping-particle" : "", "parse-names" : false, "suffix" : "" } ], "container-title" : "Journal of Occupational Health Psychology", "id" : "ITEM-1", "issue" : "3", "issued" : { "date-parts" : [ [ "2009" ] ] }, "page" : "219-230", "title" : "Impact of enhanced resources on anticipatory stress and adjustment to new information technology: A field-experimental test of conservation of resources theory.", "type" : "article-journal", "volume" : "14" }, "uris" : [ "http://www.mendeley.com/documents/?uuid=aea090b3-c0ba-4257-be42-9de1b3ec3a31" ] } ], "mendeley" : { "formattedCitation" : "(Chen, Westman, &amp; Eden, 2009)", "manualFormatting" : "Chen, Westman, &amp; Eden, 2009", "plainTextFormattedCitation" : "(Chen, Westman, &amp; Eden, 2009)", "previouslyFormattedCitation" : "(Chen, Westman, &amp; Eden, 2009)" }, "properties" : { "noteIndex" : 0 }, "schema" : "https://github.com/citation-style-language/schema/raw/master/csl-citation.json" }</w:instrText>
      </w:r>
      <w:r w:rsidRPr="00817A2F">
        <w:rPr>
          <w:rFonts w:ascii="Calibri" w:eastAsia="Calibri" w:hAnsi="Calibri" w:cs="Times New Roman"/>
        </w:rPr>
        <w:fldChar w:fldCharType="separate"/>
      </w:r>
      <w:r w:rsidRPr="00817A2F">
        <w:rPr>
          <w:rFonts w:ascii="Calibri" w:eastAsia="Calibri" w:hAnsi="Calibri" w:cs="Times New Roman"/>
        </w:rPr>
        <w:t>Chen et al., 2009</w:t>
      </w:r>
      <w:r w:rsidRPr="00817A2F">
        <w:rPr>
          <w:rFonts w:ascii="Calibri" w:eastAsia="Calibri" w:hAnsi="Calibri" w:cs="Times New Roman"/>
        </w:rPr>
        <w:fldChar w:fldCharType="end"/>
      </w:r>
      <w:r w:rsidRPr="00817A2F">
        <w:rPr>
          <w:rFonts w:ascii="Calibri" w:eastAsia="Calibri" w:hAnsi="Calibri" w:cs="Times New Roman"/>
        </w:rPr>
        <w:t>; Vuori et al., 2012).</w:t>
      </w:r>
    </w:p>
    <w:p w14:paraId="5E6764C7" w14:textId="77777777" w:rsidR="00817A2F" w:rsidRPr="00817A2F" w:rsidRDefault="00817A2F" w:rsidP="00817A2F">
      <w:pPr>
        <w:widowControl w:val="0"/>
        <w:tabs>
          <w:tab w:val="left" w:pos="110"/>
        </w:tabs>
        <w:spacing w:before="200" w:line="360" w:lineRule="auto"/>
        <w:ind w:left="1440"/>
        <w:contextualSpacing/>
        <w:rPr>
          <w:rFonts w:ascii="Calibri" w:eastAsia="Calibri" w:hAnsi="Calibri" w:cs="Times New Roman"/>
          <w:iCs/>
        </w:rPr>
      </w:pPr>
    </w:p>
    <w:p w14:paraId="3F9211BE" w14:textId="115333A3" w:rsidR="00817A2F" w:rsidRPr="00817A2F" w:rsidRDefault="00817A2F" w:rsidP="00F15DDF">
      <w:pPr>
        <w:widowControl w:val="0"/>
        <w:numPr>
          <w:ilvl w:val="0"/>
          <w:numId w:val="4"/>
        </w:numPr>
        <w:tabs>
          <w:tab w:val="left" w:pos="110"/>
        </w:tabs>
        <w:spacing w:before="200" w:line="360" w:lineRule="auto"/>
        <w:ind w:left="709" w:hanging="425"/>
        <w:contextualSpacing/>
        <w:rPr>
          <w:rFonts w:ascii="Calibri" w:eastAsia="Calibri" w:hAnsi="Calibri" w:cs="Times New Roman"/>
          <w:iCs/>
        </w:rPr>
      </w:pPr>
      <w:r w:rsidRPr="00817A2F">
        <w:rPr>
          <w:rFonts w:ascii="Calibri" w:eastAsia="Calibri" w:hAnsi="Calibri" w:cs="Times New Roman"/>
          <w:i/>
          <w:iCs/>
        </w:rPr>
        <w:t>Job resource building interventions –</w:t>
      </w:r>
      <w:r w:rsidRPr="00817A2F">
        <w:rPr>
          <w:rFonts w:ascii="Calibri" w:eastAsia="Calibri" w:hAnsi="Calibri" w:cs="Times New Roman"/>
          <w:iCs/>
        </w:rPr>
        <w:t xml:space="preserve"> </w:t>
      </w:r>
      <w:r w:rsidRPr="00817A2F">
        <w:rPr>
          <w:rFonts w:ascii="Calibri" w:eastAsia="Calibri" w:hAnsi="Calibri" w:cs="Times New Roman"/>
        </w:rPr>
        <w:t xml:space="preserve">In accordance with the </w:t>
      </w:r>
      <w:r w:rsidR="00A43B59">
        <w:rPr>
          <w:rFonts w:ascii="Calibri" w:eastAsia="Calibri" w:hAnsi="Calibri" w:cs="Times New Roman"/>
        </w:rPr>
        <w:t>Job Demands-Resources</w:t>
      </w:r>
      <w:r w:rsidRPr="00817A2F">
        <w:rPr>
          <w:rFonts w:ascii="Calibri" w:eastAsia="Calibri" w:hAnsi="Calibri" w:cs="Times New Roman"/>
        </w:rPr>
        <w:t xml:space="preserve"> model </w:t>
      </w:r>
      <w:r w:rsidRPr="00817A2F">
        <w:rPr>
          <w:rFonts w:ascii="Calibri" w:eastAsia="Calibri" w:hAnsi="Calibri" w:cs="Calibri"/>
        </w:rPr>
        <w:t>(JD-R; Bakker and Demerouti, 2007; 2008), j</w:t>
      </w:r>
      <w:r w:rsidRPr="00817A2F">
        <w:rPr>
          <w:rFonts w:ascii="Calibri" w:eastAsia="Calibri" w:hAnsi="Calibri" w:cs="Times New Roman"/>
        </w:rPr>
        <w:t xml:space="preserve">ob resources </w:t>
      </w:r>
      <w:r w:rsidRPr="00817A2F">
        <w:rPr>
          <w:rFonts w:ascii="Calibri" w:eastAsia="Calibri" w:hAnsi="Calibri" w:cs="Calibri"/>
        </w:rPr>
        <w:t>refer to physical, social or organisational aspects of the job (e.g. feedback, social support, development opportunities) that can reduce job demands (e.g. workload, emotional and cognitive demands), help employees to achieve work goals</w:t>
      </w:r>
      <w:r w:rsidR="004000B8">
        <w:rPr>
          <w:rFonts w:ascii="Calibri" w:eastAsia="Calibri" w:hAnsi="Calibri" w:cs="Calibri"/>
        </w:rPr>
        <w:t>,</w:t>
      </w:r>
      <w:r w:rsidRPr="00817A2F">
        <w:rPr>
          <w:rFonts w:ascii="Calibri" w:eastAsia="Calibri" w:hAnsi="Calibri" w:cs="Calibri"/>
        </w:rPr>
        <w:t xml:space="preserve"> and stimulate personal learning and development. They are predicted to lead to work engagement, </w:t>
      </w:r>
      <w:r w:rsidR="001D6140">
        <w:rPr>
          <w:rFonts w:ascii="Calibri" w:eastAsia="Calibri" w:hAnsi="Calibri" w:cs="Calibri"/>
        </w:rPr>
        <w:t>well-being</w:t>
      </w:r>
      <w:r w:rsidRPr="00817A2F">
        <w:rPr>
          <w:rFonts w:ascii="Calibri" w:eastAsia="Calibri" w:hAnsi="Calibri" w:cs="Calibri"/>
        </w:rPr>
        <w:t xml:space="preserve"> and performance (</w:t>
      </w:r>
      <w:r w:rsidRPr="00817A2F">
        <w:rPr>
          <w:rFonts w:ascii="Calibri" w:eastAsia="Calibri" w:hAnsi="Calibri" w:cs="Times New Roman"/>
        </w:rPr>
        <w:t>Bakker &amp; Demerouti, 2008).</w:t>
      </w:r>
      <w:r w:rsidRPr="00817A2F">
        <w:rPr>
          <w:rFonts w:ascii="Calibri" w:eastAsia="Calibri" w:hAnsi="Calibri" w:cs="Calibri"/>
        </w:rPr>
        <w:t xml:space="preserve"> According to the motivational process underlying the JD-R Model, job resources intrinsically motivate employees by stimulating growth, learning and development</w:t>
      </w:r>
      <w:r w:rsidR="004000B8">
        <w:rPr>
          <w:rFonts w:ascii="Calibri" w:eastAsia="Calibri" w:hAnsi="Calibri" w:cs="Calibri"/>
        </w:rPr>
        <w:t>,</w:t>
      </w:r>
      <w:r w:rsidRPr="00817A2F">
        <w:rPr>
          <w:rFonts w:ascii="Calibri" w:eastAsia="Calibri" w:hAnsi="Calibri" w:cs="Calibri"/>
        </w:rPr>
        <w:t xml:space="preserve"> and satisfying basic human needs for autonomy, relatedness and competence (Deci &amp; Ryan, 2000), or extrinsically motivate employees by providing the means by which work goals can be accomplished. Furthermore, Conservation of Resources (COR) theory (Hobfoll, 2001) suggests that employees will seek to retain and increase resources they value, hence those with more resources are less likely to experience resource loss and more likely to seek further resources. Interventions which build job resources may focus on changing</w:t>
      </w:r>
      <w:r w:rsidRPr="00817A2F">
        <w:rPr>
          <w:rFonts w:ascii="Calibri" w:eastAsia="Calibri" w:hAnsi="Calibri" w:cs="Times New Roman"/>
        </w:rPr>
        <w:t xml:space="preserve"> aspects of the physical environment (e.g. redesigning the </w:t>
      </w:r>
      <w:r w:rsidR="004000B8">
        <w:rPr>
          <w:rFonts w:ascii="Calibri" w:eastAsia="Calibri" w:hAnsi="Calibri" w:cs="Times New Roman"/>
        </w:rPr>
        <w:t>physical layout of offices;</w:t>
      </w:r>
      <w:r w:rsidRPr="00817A2F">
        <w:rPr>
          <w:rFonts w:ascii="Calibri" w:eastAsia="Calibri" w:hAnsi="Calibri" w:cs="Times New Roman"/>
        </w:rPr>
        <w:t xml:space="preserve"> Coffeng et al., 2014), the social environment (e.g. increasing super</w:t>
      </w:r>
      <w:r w:rsidR="004000B8">
        <w:rPr>
          <w:rFonts w:ascii="Calibri" w:eastAsia="Calibri" w:hAnsi="Calibri" w:cs="Times New Roman"/>
        </w:rPr>
        <w:t xml:space="preserve">visor &amp; colleague support; </w:t>
      </w:r>
      <w:r w:rsidRPr="00817A2F">
        <w:rPr>
          <w:rFonts w:ascii="Calibri" w:eastAsia="Calibri" w:hAnsi="Calibri" w:cs="Times New Roman"/>
        </w:rPr>
        <w:t xml:space="preserve">Coffeng et al., 2014), or focus on increasing practical resources (e.g. number of staff, Naruse et al., 2014). The initial scoping review suggested that job resource building </w:t>
      </w:r>
      <w:r w:rsidR="004000B8">
        <w:rPr>
          <w:rFonts w:ascii="Calibri" w:eastAsia="Calibri" w:hAnsi="Calibri" w:cs="Times New Roman"/>
        </w:rPr>
        <w:t>interventions</w:t>
      </w:r>
      <w:r w:rsidRPr="00817A2F">
        <w:rPr>
          <w:rFonts w:ascii="Calibri" w:eastAsia="Calibri" w:hAnsi="Calibri" w:cs="Times New Roman"/>
        </w:rPr>
        <w:t xml:space="preserve"> have so far failed to find any significant effects</w:t>
      </w:r>
      <w:r w:rsidR="004000B8">
        <w:rPr>
          <w:rFonts w:ascii="Calibri" w:eastAsia="Calibri" w:hAnsi="Calibri" w:cs="Times New Roman"/>
        </w:rPr>
        <w:t xml:space="preserve"> on work engagement</w:t>
      </w:r>
      <w:r w:rsidRPr="00817A2F">
        <w:rPr>
          <w:rFonts w:ascii="Calibri" w:eastAsia="Calibri" w:hAnsi="Calibri" w:cs="Times New Roman"/>
        </w:rPr>
        <w:t>, however, studies have demonstrated positive, non-significant, increases in work engagement (e.g. Naruse</w:t>
      </w:r>
      <w:r w:rsidR="00671EEB">
        <w:rPr>
          <w:rFonts w:ascii="Calibri" w:eastAsia="Calibri" w:hAnsi="Calibri" w:cs="Times New Roman"/>
        </w:rPr>
        <w:t xml:space="preserve"> et al.</w:t>
      </w:r>
      <w:r w:rsidRPr="00817A2F">
        <w:rPr>
          <w:rFonts w:ascii="Calibri" w:eastAsia="Calibri" w:hAnsi="Calibri" w:cs="Times New Roman"/>
        </w:rPr>
        <w:t xml:space="preserve">, 2014), or its subcomponents (e.g. Cifre, Salanova &amp; Rodiguez-Sánchez, 2011). </w:t>
      </w:r>
    </w:p>
    <w:p w14:paraId="61BF6BA1" w14:textId="77777777" w:rsidR="00817A2F" w:rsidRPr="00817A2F" w:rsidRDefault="00817A2F" w:rsidP="00817A2F">
      <w:pPr>
        <w:widowControl w:val="0"/>
        <w:tabs>
          <w:tab w:val="left" w:pos="110"/>
        </w:tabs>
        <w:spacing w:before="200" w:line="360" w:lineRule="auto"/>
        <w:ind w:left="1440"/>
        <w:contextualSpacing/>
        <w:rPr>
          <w:rFonts w:ascii="Calibri" w:eastAsia="Calibri" w:hAnsi="Calibri" w:cs="Times New Roman"/>
          <w:iCs/>
        </w:rPr>
      </w:pPr>
    </w:p>
    <w:p w14:paraId="0790F5E1" w14:textId="02F21C0C" w:rsidR="00817A2F" w:rsidRPr="00817A2F" w:rsidRDefault="00817A2F" w:rsidP="00F15DDF">
      <w:pPr>
        <w:widowControl w:val="0"/>
        <w:numPr>
          <w:ilvl w:val="0"/>
          <w:numId w:val="4"/>
        </w:numPr>
        <w:tabs>
          <w:tab w:val="left" w:pos="110"/>
        </w:tabs>
        <w:spacing w:before="200" w:line="360" w:lineRule="auto"/>
        <w:contextualSpacing/>
        <w:rPr>
          <w:rFonts w:ascii="Calibri" w:eastAsia="Calibri" w:hAnsi="Calibri" w:cs="Times New Roman"/>
        </w:rPr>
      </w:pPr>
      <w:r w:rsidRPr="00817A2F">
        <w:rPr>
          <w:rFonts w:ascii="Calibri" w:eastAsia="Calibri" w:hAnsi="Calibri" w:cs="Times New Roman"/>
          <w:i/>
          <w:iCs/>
        </w:rPr>
        <w:t>Leadership training interventions –</w:t>
      </w:r>
      <w:r w:rsidRPr="00817A2F">
        <w:rPr>
          <w:rFonts w:ascii="Calibri" w:eastAsia="Calibri" w:hAnsi="Calibri" w:cs="Times New Roman"/>
          <w:iCs/>
        </w:rPr>
        <w:t xml:space="preserve"> For the purposes of this review, these are interventions conducted directly with leaders, managers</w:t>
      </w:r>
      <w:r w:rsidR="004000B8">
        <w:rPr>
          <w:rFonts w:ascii="Calibri" w:eastAsia="Calibri" w:hAnsi="Calibri" w:cs="Times New Roman"/>
          <w:iCs/>
        </w:rPr>
        <w:t>,</w:t>
      </w:r>
      <w:r w:rsidRPr="00817A2F">
        <w:rPr>
          <w:rFonts w:ascii="Calibri" w:eastAsia="Calibri" w:hAnsi="Calibri" w:cs="Times New Roman"/>
          <w:iCs/>
        </w:rPr>
        <w:t xml:space="preserve"> and / or supervisors</w:t>
      </w:r>
      <w:r w:rsidR="004000B8">
        <w:rPr>
          <w:rFonts w:ascii="Calibri" w:eastAsia="Calibri" w:hAnsi="Calibri" w:cs="Times New Roman"/>
          <w:iCs/>
        </w:rPr>
        <w:t>,</w:t>
      </w:r>
      <w:r w:rsidRPr="00817A2F">
        <w:rPr>
          <w:rFonts w:ascii="Calibri" w:eastAsia="Calibri" w:hAnsi="Calibri" w:cs="Times New Roman"/>
          <w:iCs/>
        </w:rPr>
        <w:t xml:space="preserve"> with the primary intention of impacting on these individuals’ leadership abilities and skills, and with the secondary intention of impacting positively on their employees. In all of these studies, work engagement is measured in the direct employees of these leaders and managers. The assumption is that increasing the knowledge and skills of managers will increase employees’ perceived sense of job resources, motivating them to engage in their work according to the motivational hypothesis of the JD-R Model. Such interventions may include educative workshops focused on developing leaders’ problem solving strategies (e.g. Rigotti et al., </w:t>
      </w:r>
      <w:r w:rsidRPr="00817A2F">
        <w:rPr>
          <w:rFonts w:ascii="Calibri" w:eastAsia="Calibri" w:hAnsi="Calibri" w:cs="Times New Roman"/>
          <w:iCs/>
        </w:rPr>
        <w:lastRenderedPageBreak/>
        <w:t>2014), and the results have been mixed. For example, Biggs et al. (201</w:t>
      </w:r>
      <w:r w:rsidR="00A54063">
        <w:rPr>
          <w:rFonts w:ascii="Calibri" w:eastAsia="Calibri" w:hAnsi="Calibri" w:cs="Times New Roman"/>
          <w:iCs/>
        </w:rPr>
        <w:t>4</w:t>
      </w:r>
      <w:r w:rsidRPr="00817A2F">
        <w:rPr>
          <w:rFonts w:ascii="Calibri" w:eastAsia="Calibri" w:hAnsi="Calibri" w:cs="Times New Roman"/>
          <w:iCs/>
        </w:rPr>
        <w:t xml:space="preserve">) found positive, significant effects on work engagement when their intervention was mediated by employees’ perceptions of work-culture support and strategic alignment, whereas </w:t>
      </w:r>
      <w:r w:rsidRPr="00817A2F">
        <w:rPr>
          <w:rFonts w:ascii="Calibri" w:eastAsia="Calibri" w:hAnsi="Calibri" w:cs="Times New Roman"/>
        </w:rPr>
        <w:t>Rigotti</w:t>
      </w:r>
      <w:r w:rsidR="00D77E72">
        <w:rPr>
          <w:rFonts w:ascii="Calibri" w:eastAsia="Calibri" w:hAnsi="Calibri" w:cs="Times New Roman"/>
        </w:rPr>
        <w:t xml:space="preserve"> et al.,</w:t>
      </w:r>
      <w:r w:rsidRPr="00817A2F">
        <w:rPr>
          <w:rFonts w:ascii="Calibri" w:eastAsia="Calibri" w:hAnsi="Calibri" w:cs="Times New Roman"/>
          <w:iCs/>
        </w:rPr>
        <w:t xml:space="preserve"> (2014) found a borderline significant effect in their German study but no effect in their Swedish study, despite implementing very similar interventions in both locations. These results point to the potential importance of context</w:t>
      </w:r>
      <w:r w:rsidR="004000B8">
        <w:rPr>
          <w:rFonts w:ascii="Calibri" w:eastAsia="Calibri" w:hAnsi="Calibri" w:cs="Times New Roman"/>
          <w:iCs/>
        </w:rPr>
        <w:t>,</w:t>
      </w:r>
      <w:r w:rsidRPr="00817A2F">
        <w:rPr>
          <w:rFonts w:ascii="Calibri" w:eastAsia="Calibri" w:hAnsi="Calibri" w:cs="Times New Roman"/>
          <w:iCs/>
        </w:rPr>
        <w:t xml:space="preserve"> and tailoring interventions to individual circumstances and organizational needs (Briner &amp; Walshe, 2015; </w:t>
      </w:r>
      <w:r w:rsidRPr="00817A2F">
        <w:rPr>
          <w:rFonts w:ascii="Calibri" w:eastAsia="Calibri" w:hAnsi="Calibri" w:cs="Times New Roman"/>
          <w:iCs/>
        </w:rPr>
        <w:fldChar w:fldCharType="begin" w:fldLock="1"/>
      </w:r>
      <w:r w:rsidRPr="00817A2F">
        <w:rPr>
          <w:rFonts w:ascii="Calibri" w:eastAsia="Calibri" w:hAnsi="Calibri" w:cs="Times New Roman"/>
          <w:iCs/>
        </w:rPr>
        <w:instrText>ADDIN CSL_CITATION { "citationItems" : [ { "id" : "ITEM-1", "itemData" : { "DOI" : "10.1080/02678373.2010.519176", "ISBN" : "0267-8373", "ISSN" : "0267-8373", "PMID" : "54594521", "abstract" : "Organizational-level interventions often fail to bring about the desired results, but the reasons for this are still unclear. This introductory paper to a special issue of &lt;i&gt;Work &amp;amp; Stress&lt;/i&gt; on organizational interventions discusses three issues to be considered in future intervention research if our understanding of the effectiveness of interventions is to be increased. First, there is a need to understand how and why interventions work. This calls for an examination of the processes connecting interventions to the desired outcomes. Second, attention should be paid to the appropriateness of interventions. Problems may be difficult to address, for example when they constitute inherent conditions of the job. Third, the use of a quasi-experimental study design does not guarantee a valid picture of the effectiveness of an intervention. For example, control groups may not be comparable to the experimental group, or participants may not be reached by the intervention. Based on these considerations, we conclude that mixed methods designs are needed to integrate process and outcome evaluation and increase the generalizability of interventions. Whereas concurrent changes such as mergers and downsizing may hinder the effectiveness of an intervention, they are part of today's organizations and should therefore be integrated into intervention designs.", "author" : [ { "dropping-particle" : "", "family" : "Nielsen", "given" : "Karina", "non-dropping-particle" : "", "parse-names" : false, "suffix" : "" }, { "dropping-particle" : "", "family" : "Taris", "given" : "Toon W.", "non-dropping-particle" : "", "parse-names" : false, "suffix" : "" }, { "dropping-particle" : "", "family" : "Cox", "given" : "Tom", "non-dropping-particle" : "", "parse-names" : false, "suffix" : "" } ], "container-title" : "Work &amp; Stress", "id" : "ITEM-1", "issue" : "3", "issued" : { "date-parts" : [ [ "2010" ] ] }, "page" : "219-233", "title" : "The future of organizational interventions: Addressing the challenges of today's organizations", "type" : "article-journal", "volume" : "24" }, "uris" : [ "http://www.mendeley.com/documents/?uuid=ab7ecea2-279f-4e79-b45d-600c01681475" ] } ], "mendeley" : { "formattedCitation" : "(Nielsen, Taris, &amp; Cox, 2010)", "manualFormatting" : "Nielsen, Taris, &amp; Cox, 2010", "plainTextFormattedCitation" : "(Nielsen, Taris, &amp; Cox, 2010)", "previouslyFormattedCitation" : "(Nielsen, Taris, &amp; Cox, 2010)" }, "properties" : { "noteIndex" : 0 }, "schema" : "https://github.com/citation-style-language/schema/raw/master/csl-citation.json" }</w:instrText>
      </w:r>
      <w:r w:rsidRPr="00817A2F">
        <w:rPr>
          <w:rFonts w:ascii="Calibri" w:eastAsia="Calibri" w:hAnsi="Calibri" w:cs="Times New Roman"/>
          <w:iCs/>
        </w:rPr>
        <w:fldChar w:fldCharType="separate"/>
      </w:r>
      <w:r w:rsidRPr="00817A2F">
        <w:rPr>
          <w:rFonts w:ascii="Calibri" w:eastAsia="Calibri" w:hAnsi="Calibri" w:cs="Times New Roman"/>
          <w:iCs/>
        </w:rPr>
        <w:t>Nielsen, Taris, et al., 2010</w:t>
      </w:r>
      <w:r w:rsidRPr="00817A2F">
        <w:rPr>
          <w:rFonts w:ascii="Calibri" w:eastAsia="Calibri" w:hAnsi="Calibri" w:cs="Times New Roman"/>
          <w:iCs/>
        </w:rPr>
        <w:fldChar w:fldCharType="end"/>
      </w:r>
      <w:r w:rsidRPr="00817A2F">
        <w:rPr>
          <w:rFonts w:ascii="Calibri" w:eastAsia="Calibri" w:hAnsi="Calibri" w:cs="Times New Roman"/>
          <w:iCs/>
        </w:rPr>
        <w:t>).</w:t>
      </w:r>
    </w:p>
    <w:p w14:paraId="5F356BEA" w14:textId="77777777" w:rsidR="00817A2F" w:rsidRPr="00817A2F" w:rsidRDefault="00817A2F" w:rsidP="00817A2F">
      <w:pPr>
        <w:widowControl w:val="0"/>
        <w:tabs>
          <w:tab w:val="left" w:pos="110"/>
        </w:tabs>
        <w:spacing w:before="200" w:line="360" w:lineRule="auto"/>
        <w:ind w:left="1440"/>
        <w:contextualSpacing/>
        <w:rPr>
          <w:rFonts w:ascii="Calibri" w:eastAsia="Calibri" w:hAnsi="Calibri" w:cs="Times New Roman"/>
        </w:rPr>
      </w:pPr>
    </w:p>
    <w:p w14:paraId="1F79CC2C" w14:textId="11889E82" w:rsidR="00817A2F" w:rsidRPr="00817A2F" w:rsidRDefault="00817A2F" w:rsidP="00F15DDF">
      <w:pPr>
        <w:widowControl w:val="0"/>
        <w:numPr>
          <w:ilvl w:val="0"/>
          <w:numId w:val="4"/>
        </w:numPr>
        <w:tabs>
          <w:tab w:val="left" w:pos="110"/>
        </w:tabs>
        <w:spacing w:before="200" w:line="360" w:lineRule="auto"/>
        <w:contextualSpacing/>
        <w:rPr>
          <w:rFonts w:ascii="Calibri" w:eastAsia="Calibri" w:hAnsi="Calibri" w:cs="Times New Roman"/>
          <w:iCs/>
        </w:rPr>
      </w:pPr>
      <w:r w:rsidRPr="00817A2F">
        <w:rPr>
          <w:rFonts w:ascii="Calibri" w:eastAsia="Calibri" w:hAnsi="Calibri" w:cs="Times New Roman"/>
          <w:i/>
          <w:iCs/>
        </w:rPr>
        <w:t xml:space="preserve">Health Promotion programmes – </w:t>
      </w:r>
      <w:r w:rsidRPr="00817A2F">
        <w:rPr>
          <w:rFonts w:ascii="Calibri" w:eastAsia="Calibri" w:hAnsi="Calibri" w:cs="Times New Roman"/>
        </w:rPr>
        <w:t xml:space="preserve">Typically, health promoting interventions encourage employees to adopt and sustain healthier lifestyles and reduce and manage stress. The physiological effects of exercise may increase </w:t>
      </w:r>
      <w:r w:rsidR="001D6140">
        <w:rPr>
          <w:rFonts w:ascii="Calibri" w:eastAsia="Calibri" w:hAnsi="Calibri" w:cs="Times New Roman"/>
        </w:rPr>
        <w:t>well-being</w:t>
      </w:r>
      <w:r w:rsidRPr="00817A2F">
        <w:rPr>
          <w:rFonts w:ascii="Calibri" w:eastAsia="Calibri" w:hAnsi="Calibri" w:cs="Times New Roman"/>
        </w:rPr>
        <w:t xml:space="preserve"> and work engagement and reduce stress, burnout, poor mental health, absenteeism</w:t>
      </w:r>
      <w:r w:rsidRPr="00817A2F">
        <w:rPr>
          <w:rFonts w:ascii="Calibri" w:eastAsia="Calibri" w:hAnsi="Calibri" w:cs="Times New Roman"/>
          <w:iCs/>
        </w:rPr>
        <w:t xml:space="preserve"> and presenteeism (e.g. Strijk, Proper, van der Beek, &amp; van Mechelen, 2009; Strijk et al., 2013). For the purposes of this review, ‘health promotion’ interventions refer to all interventions which aim to improve positive health outcomes and / or reduce negative health outcomes, and thus include stress reduction interventions, mindfulness based programmes and exercise programmes. The positive emotions which can follow exercise may widen individuals’ range of thoughts and actions in accordance with broaden-and-build theory (Fredrickson, 2001), and enable personal resources to be built. Mindfulness training may work similarly, by increasing resilience and self-esteem through increased non-judgemental acceptance of thoughts, feelings</w:t>
      </w:r>
      <w:r w:rsidR="004000B8">
        <w:rPr>
          <w:rFonts w:ascii="Calibri" w:eastAsia="Calibri" w:hAnsi="Calibri" w:cs="Times New Roman"/>
          <w:iCs/>
        </w:rPr>
        <w:t>,</w:t>
      </w:r>
      <w:r w:rsidRPr="00817A2F">
        <w:rPr>
          <w:rFonts w:ascii="Calibri" w:eastAsia="Calibri" w:hAnsi="Calibri" w:cs="Times New Roman"/>
          <w:iCs/>
        </w:rPr>
        <w:t xml:space="preserve"> and bodily sensations (e.g. Van Berkel</w:t>
      </w:r>
      <w:r w:rsidR="002865EA">
        <w:rPr>
          <w:rFonts w:ascii="Calibri" w:eastAsia="Calibri" w:hAnsi="Calibri" w:cs="Times New Roman"/>
          <w:iCs/>
        </w:rPr>
        <w:t xml:space="preserve"> </w:t>
      </w:r>
      <w:r w:rsidR="00395453">
        <w:rPr>
          <w:rFonts w:ascii="Calibri" w:eastAsia="Calibri" w:hAnsi="Calibri" w:cs="Times New Roman"/>
          <w:iCs/>
        </w:rPr>
        <w:t>et al.,</w:t>
      </w:r>
      <w:r w:rsidRPr="00817A2F">
        <w:rPr>
          <w:rFonts w:ascii="Calibri" w:eastAsia="Calibri" w:hAnsi="Calibri" w:cs="Times New Roman"/>
          <w:iCs/>
        </w:rPr>
        <w:t xml:space="preserve">2014). Again, health promoting interventions have demonstrated mixed results with regards to work engagement. For example, while some have revealed no effects (e.g. </w:t>
      </w:r>
      <w:r w:rsidRPr="00817A2F">
        <w:rPr>
          <w:rFonts w:ascii="Calibri" w:eastAsia="Calibri" w:hAnsi="Calibri" w:cs="Times New Roman"/>
        </w:rPr>
        <w:t>Hengel,</w:t>
      </w:r>
      <w:r w:rsidR="00294B34">
        <w:rPr>
          <w:rFonts w:ascii="Calibri" w:eastAsia="Calibri" w:hAnsi="Calibri" w:cs="Times New Roman"/>
        </w:rPr>
        <w:t xml:space="preserve"> Blatter,</w:t>
      </w:r>
      <w:r w:rsidRPr="00817A2F">
        <w:rPr>
          <w:rFonts w:ascii="Calibri" w:eastAsia="Calibri" w:hAnsi="Calibri" w:cs="Times New Roman"/>
        </w:rPr>
        <w:t xml:space="preserve"> Joling, </w:t>
      </w:r>
      <w:r w:rsidR="00294B34">
        <w:rPr>
          <w:rFonts w:ascii="Calibri" w:eastAsia="Calibri" w:hAnsi="Calibri" w:cs="Times New Roman"/>
        </w:rPr>
        <w:t xml:space="preserve">van der Beek, </w:t>
      </w:r>
      <w:r w:rsidRPr="00817A2F">
        <w:rPr>
          <w:rFonts w:ascii="Calibri" w:eastAsia="Calibri" w:hAnsi="Calibri" w:cs="Times New Roman"/>
        </w:rPr>
        <w:t>&amp; Bongers</w:t>
      </w:r>
      <w:r w:rsidR="00294B34">
        <w:rPr>
          <w:rFonts w:ascii="Calibri" w:eastAsia="Calibri" w:hAnsi="Calibri" w:cs="Times New Roman"/>
          <w:iCs/>
        </w:rPr>
        <w:t xml:space="preserve"> 2012</w:t>
      </w:r>
      <w:r w:rsidRPr="00817A2F">
        <w:rPr>
          <w:rFonts w:ascii="Calibri" w:eastAsia="Calibri" w:hAnsi="Calibri" w:cs="Times New Roman"/>
          <w:iCs/>
        </w:rPr>
        <w:t>; Van Berkel et al., 2014), one observed a small but significant effect at both three and six months (Imamura</w:t>
      </w:r>
      <w:r w:rsidR="00895875">
        <w:rPr>
          <w:rFonts w:ascii="Calibri" w:eastAsia="Calibri" w:hAnsi="Calibri" w:cs="Times New Roman"/>
          <w:iCs/>
        </w:rPr>
        <w:t xml:space="preserve"> </w:t>
      </w:r>
      <w:r w:rsidR="00B64DD5">
        <w:rPr>
          <w:rFonts w:ascii="Calibri" w:eastAsia="Calibri" w:hAnsi="Calibri" w:cs="Times New Roman"/>
          <w:iCs/>
        </w:rPr>
        <w:t>et al.,</w:t>
      </w:r>
      <w:r w:rsidRPr="00817A2F">
        <w:rPr>
          <w:rFonts w:ascii="Calibri" w:eastAsia="Calibri" w:hAnsi="Calibri" w:cs="Times New Roman"/>
          <w:iCs/>
        </w:rPr>
        <w:t xml:space="preserve"> 2015), and one observed significant effects on the vigour subcomponent for a group which was highly compliant with a yoga programme (Strijk et al., 2013).  </w:t>
      </w:r>
    </w:p>
    <w:p w14:paraId="1E9A777F" w14:textId="4D8316CA" w:rsidR="001146C5" w:rsidRDefault="001146C5">
      <w:pPr>
        <w:spacing w:after="160"/>
        <w:rPr>
          <w:rFonts w:ascii="Calibri" w:eastAsia="Calibri" w:hAnsi="Calibri" w:cs="Times New Roman"/>
        </w:rPr>
      </w:pPr>
    </w:p>
    <w:p w14:paraId="26E70FDD" w14:textId="0FF885C6" w:rsidR="00817A2F" w:rsidRPr="001B697E" w:rsidRDefault="00817A2F" w:rsidP="0009618B">
      <w:pPr>
        <w:pStyle w:val="Heading3"/>
      </w:pPr>
      <w:bookmarkStart w:id="112" w:name="_Toc450214017"/>
      <w:bookmarkStart w:id="113" w:name="_Toc468285952"/>
      <w:r w:rsidRPr="001B697E">
        <w:t>Outcomes of work engagement interventions</w:t>
      </w:r>
      <w:bookmarkEnd w:id="112"/>
      <w:bookmarkEnd w:id="113"/>
    </w:p>
    <w:p w14:paraId="1F32FD8A" w14:textId="77777777" w:rsidR="00757B97" w:rsidRDefault="00757B97" w:rsidP="00817A2F">
      <w:pPr>
        <w:spacing w:after="200" w:line="360" w:lineRule="auto"/>
        <w:contextualSpacing/>
        <w:rPr>
          <w:rFonts w:ascii="Calibri" w:eastAsia="Calibri" w:hAnsi="Calibri" w:cs="Times New Roman"/>
        </w:rPr>
      </w:pPr>
    </w:p>
    <w:p w14:paraId="09586B21" w14:textId="3DD6233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Work engagement outcome measures included total work engagement scores as well as scores on any of the three subcomponents, vigour, dedication and absorption. Further outcomes included those which individual studies measured. Examples include </w:t>
      </w:r>
      <w:r w:rsidR="001D6140">
        <w:rPr>
          <w:rFonts w:ascii="Calibri" w:eastAsia="Calibri" w:hAnsi="Calibri" w:cs="Times New Roman"/>
        </w:rPr>
        <w:t>well-being</w:t>
      </w:r>
      <w:r w:rsidRPr="00817A2F">
        <w:rPr>
          <w:rFonts w:ascii="Calibri" w:eastAsia="Calibri" w:hAnsi="Calibri" w:cs="Times New Roman"/>
        </w:rPr>
        <w:t xml:space="preserve"> outcomes such as job satisfaction, burnout</w:t>
      </w:r>
      <w:r w:rsidR="00C75558">
        <w:rPr>
          <w:rFonts w:ascii="Calibri" w:eastAsia="Calibri" w:hAnsi="Calibri" w:cs="Times New Roman"/>
        </w:rPr>
        <w:t>,</w:t>
      </w:r>
      <w:r w:rsidRPr="00817A2F">
        <w:rPr>
          <w:rFonts w:ascii="Calibri" w:eastAsia="Calibri" w:hAnsi="Calibri" w:cs="Times New Roman"/>
        </w:rPr>
        <w:t xml:space="preserve"> and psychological distress, measures of job resources such as autonomy, role clarity and social support, measures of personal resources such as self-efficacy and resilience, and </w:t>
      </w:r>
      <w:r w:rsidRPr="00817A2F">
        <w:rPr>
          <w:rFonts w:ascii="Calibri" w:eastAsia="Calibri" w:hAnsi="Calibri" w:cs="Times New Roman"/>
        </w:rPr>
        <w:lastRenderedPageBreak/>
        <w:t xml:space="preserve">measures of performance, such as presenteeism and sickness absence. Most measures were self-report.   </w:t>
      </w:r>
    </w:p>
    <w:p w14:paraId="20127C4D" w14:textId="77777777" w:rsidR="00817A2F" w:rsidRPr="00817A2F" w:rsidRDefault="00817A2F" w:rsidP="00817A2F">
      <w:pPr>
        <w:spacing w:after="200" w:line="360" w:lineRule="auto"/>
        <w:contextualSpacing/>
        <w:rPr>
          <w:rFonts w:ascii="Calibri" w:eastAsia="Calibri" w:hAnsi="Calibri" w:cs="Times New Roman"/>
          <w:b/>
        </w:rPr>
      </w:pPr>
    </w:p>
    <w:p w14:paraId="00374901" w14:textId="7D1C5FB1" w:rsidR="00817A2F" w:rsidRPr="001B697E" w:rsidRDefault="00817A2F" w:rsidP="0009618B">
      <w:pPr>
        <w:pStyle w:val="Heading3"/>
      </w:pPr>
      <w:bookmarkStart w:id="114" w:name="_Toc450214018"/>
      <w:bookmarkStart w:id="115" w:name="_Ref453573012"/>
      <w:bookmarkStart w:id="116" w:name="_Toc468285953"/>
      <w:r w:rsidRPr="001B697E">
        <w:t>Implications for this review</w:t>
      </w:r>
      <w:bookmarkEnd w:id="114"/>
      <w:bookmarkEnd w:id="115"/>
      <w:bookmarkEnd w:id="116"/>
    </w:p>
    <w:p w14:paraId="1EF35248" w14:textId="77777777" w:rsidR="00757B97" w:rsidRDefault="00757B97" w:rsidP="00817A2F">
      <w:pPr>
        <w:spacing w:after="200" w:line="360" w:lineRule="auto"/>
        <w:contextualSpacing/>
        <w:rPr>
          <w:rFonts w:ascii="Calibri" w:eastAsia="Calibri" w:hAnsi="Calibri" w:cs="Times New Roman"/>
        </w:rPr>
      </w:pPr>
    </w:p>
    <w:p w14:paraId="63F85339" w14:textId="4C3EC408"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variation in work engagement interventions with regards to type, content, design and outcomes measured, as well as the need to identify the effectiveness of these interventions, had implications for the design of the search strategy and development of the inclusion criteria for this systematic review. Since the review was designed to be broad in scope, sensitive search strategies were employed which could identify all relevant material, published and unpublished, whatever the study design, intervention content and study outcomes measured (as long as work engagement was one of those outcomes). In addition, an iterative process was adopted in order to draw up the coding guide, with categories being developed, extended and revised based on the data which emerged from studies. This review will discuss the method of this systematic review in more depth before describing the results and engaging in a discussion of those results. </w:t>
      </w:r>
    </w:p>
    <w:p w14:paraId="489DA3D3" w14:textId="77777777" w:rsidR="00817A2F" w:rsidRPr="00817A2F" w:rsidRDefault="00817A2F" w:rsidP="00817A2F">
      <w:pPr>
        <w:spacing w:after="200" w:line="360" w:lineRule="auto"/>
        <w:contextualSpacing/>
        <w:rPr>
          <w:rFonts w:ascii="Calibri" w:eastAsia="Calibri" w:hAnsi="Calibri" w:cs="Times New Roman"/>
        </w:rPr>
      </w:pPr>
    </w:p>
    <w:p w14:paraId="62A2B004" w14:textId="09A3F1F3" w:rsidR="00817A2F" w:rsidRPr="001B697E" w:rsidRDefault="00817A2F" w:rsidP="00B7614E">
      <w:pPr>
        <w:pStyle w:val="Thesisheading2"/>
      </w:pPr>
      <w:bookmarkStart w:id="117" w:name="_Toc450214019"/>
      <w:bookmarkStart w:id="118" w:name="_Ref453573246"/>
      <w:bookmarkStart w:id="119" w:name="_Ref453573364"/>
      <w:bookmarkStart w:id="120" w:name="_Toc468285954"/>
      <w:r w:rsidRPr="001B697E">
        <w:t>Method</w:t>
      </w:r>
      <w:bookmarkEnd w:id="117"/>
      <w:bookmarkEnd w:id="118"/>
      <w:bookmarkEnd w:id="119"/>
      <w:bookmarkEnd w:id="120"/>
    </w:p>
    <w:p w14:paraId="23549FAD" w14:textId="053AFE35" w:rsidR="001B697E" w:rsidRPr="00817A2F" w:rsidRDefault="001B697E" w:rsidP="001B697E"/>
    <w:p w14:paraId="4C0F420A" w14:textId="517DB399" w:rsidR="00817A2F" w:rsidRPr="001B697E" w:rsidRDefault="00817A2F" w:rsidP="0009618B">
      <w:pPr>
        <w:pStyle w:val="Heading3"/>
      </w:pPr>
      <w:bookmarkStart w:id="121" w:name="_Toc450214020"/>
      <w:bookmarkStart w:id="122" w:name="_Ref453250526"/>
      <w:bookmarkStart w:id="123" w:name="_Ref453251266"/>
      <w:bookmarkStart w:id="124" w:name="_Ref453251271"/>
      <w:bookmarkStart w:id="125" w:name="_Toc468285955"/>
      <w:r w:rsidRPr="001B697E">
        <w:t>The systematic review process</w:t>
      </w:r>
      <w:bookmarkEnd w:id="121"/>
      <w:bookmarkEnd w:id="122"/>
      <w:bookmarkEnd w:id="123"/>
      <w:bookmarkEnd w:id="124"/>
      <w:bookmarkEnd w:id="125"/>
    </w:p>
    <w:p w14:paraId="03EFDADF" w14:textId="77777777" w:rsidR="001B697E" w:rsidRDefault="001B697E" w:rsidP="00BD780D">
      <w:pPr>
        <w:spacing w:after="200" w:line="360" w:lineRule="auto"/>
        <w:contextualSpacing/>
        <w:rPr>
          <w:rFonts w:ascii="Calibri" w:eastAsia="Calibri" w:hAnsi="Calibri" w:cs="Times New Roman"/>
        </w:rPr>
      </w:pPr>
    </w:p>
    <w:p w14:paraId="00654A7C" w14:textId="0F07A0FD" w:rsidR="00817A2F" w:rsidRPr="00817A2F" w:rsidRDefault="00817A2F" w:rsidP="007438B9">
      <w:pPr>
        <w:spacing w:after="200" w:line="360" w:lineRule="auto"/>
        <w:contextualSpacing/>
        <w:rPr>
          <w:rFonts w:ascii="Calibri" w:eastAsia="Calibri" w:hAnsi="Calibri" w:cs="Times New Roman"/>
        </w:rPr>
      </w:pPr>
      <w:r w:rsidRPr="00817A2F">
        <w:rPr>
          <w:rFonts w:ascii="Calibri" w:eastAsia="Calibri" w:hAnsi="Calibri" w:cs="Times New Roman"/>
        </w:rPr>
        <w:t>The entire process of this systematic review was carried out in accordance with The Cochrane Collaboration’s (2011) and The Campbell Collaboration’s (2010) guidelines for systematic reviews. An extensive and systematic literature search for work engagement intervention studies was conducted</w:t>
      </w:r>
      <w:r w:rsidR="00C75558">
        <w:rPr>
          <w:rFonts w:ascii="Calibri" w:eastAsia="Calibri" w:hAnsi="Calibri" w:cs="Times New Roman"/>
        </w:rPr>
        <w:t xml:space="preserve"> between May 2014 and May 2015.</w:t>
      </w:r>
      <w:r w:rsidRPr="00817A2F">
        <w:rPr>
          <w:rFonts w:ascii="Calibri" w:eastAsia="Calibri" w:hAnsi="Calibri" w:cs="Times New Roman"/>
        </w:rPr>
        <w:t xml:space="preserve"> Published studies were identified through searching the following databases: Web of Science, MEDLINE, Scopus, Google Scholar and the International Bibliography of the Social Sciences (IBSS). Unpublished studies were identified through searching Proquest Digital Dissertations and Theses (PDD), Trove, and Thesis Canada Portal, which are the key repositories available for Master’s and PhD dissertations and cover the UK, Australia, and Canada, respectively. A manual search of relevant books (e.g. Albrecht, 2010; Bakker &amp; Leiter, 2010) and key author websites (e.g., Schaufeli, Bakker) was also conducted. Weekly search alerts, based on the final search strategies developed for each database, enabled newly published articles to be captured and the search results updated where appropriate. The search criteria were developed following an initial scoping review, and in accordance with the inclusion criteria</w:t>
      </w:r>
      <w:r w:rsidR="00BD780D">
        <w:rPr>
          <w:rFonts w:ascii="Calibri" w:eastAsia="Calibri" w:hAnsi="Calibri" w:cs="Times New Roman"/>
        </w:rPr>
        <w:t xml:space="preserve"> (</w:t>
      </w:r>
      <w:r w:rsidR="00854E54">
        <w:rPr>
          <w:rFonts w:ascii="Calibri" w:eastAsia="Calibri" w:hAnsi="Calibri" w:cs="Times New Roman"/>
        </w:rPr>
        <w:fldChar w:fldCharType="begin"/>
      </w:r>
      <w:r w:rsidR="00854E54">
        <w:rPr>
          <w:rFonts w:ascii="Calibri" w:eastAsia="Calibri" w:hAnsi="Calibri" w:cs="Times New Roman"/>
        </w:rPr>
        <w:instrText xml:space="preserve"> REF _Ref453250413 \h </w:instrText>
      </w:r>
      <w:r w:rsidR="00854E54">
        <w:rPr>
          <w:rFonts w:ascii="Calibri" w:eastAsia="Calibri" w:hAnsi="Calibri" w:cs="Times New Roman"/>
        </w:rPr>
      </w:r>
      <w:r w:rsidR="00854E54">
        <w:rPr>
          <w:rFonts w:ascii="Calibri" w:eastAsia="Calibri" w:hAnsi="Calibri" w:cs="Times New Roman"/>
        </w:rPr>
        <w:fldChar w:fldCharType="separate"/>
      </w:r>
      <w:r w:rsidR="00152F6D">
        <w:t xml:space="preserve">Table </w:t>
      </w:r>
      <w:r w:rsidR="00152F6D">
        <w:rPr>
          <w:noProof/>
        </w:rPr>
        <w:t>5</w:t>
      </w:r>
      <w:r w:rsidR="00152F6D">
        <w:t>.</w:t>
      </w:r>
      <w:r w:rsidR="00152F6D">
        <w:rPr>
          <w:noProof/>
        </w:rPr>
        <w:t>1</w:t>
      </w:r>
      <w:r w:rsidR="00854E54">
        <w:rPr>
          <w:rFonts w:ascii="Calibri" w:eastAsia="Calibri" w:hAnsi="Calibri" w:cs="Times New Roman"/>
        </w:rPr>
        <w:fldChar w:fldCharType="end"/>
      </w:r>
      <w:r w:rsidRPr="00817A2F">
        <w:rPr>
          <w:rFonts w:ascii="Calibri" w:eastAsia="Calibri" w:hAnsi="Calibri" w:cs="Times New Roman"/>
        </w:rPr>
        <w:t xml:space="preserve">). No constraints were placed on the search criteria in terms of years, language, type of article etc., in order to ensure the </w:t>
      </w:r>
      <w:r w:rsidRPr="00817A2F">
        <w:rPr>
          <w:rFonts w:ascii="Calibri" w:eastAsia="Calibri" w:hAnsi="Calibri" w:cs="Times New Roman"/>
        </w:rPr>
        <w:lastRenderedPageBreak/>
        <w:t xml:space="preserve">capture of all relevant material. Search criteria were developed according to the Campbell Collaboration’s (2010) and Cochrane Collaboration’s (2011) guidelines for systematic literature searching. Search strategies were developed for each database specifically, to accommodate variation in the search strategies employed by each one. Key terms common to each included ‘work engagement’, ‘intervention’, ‘group’, ‘individual’, ‘online’, and ‘web’. As an example, the final search strategy for the WEB of SCIENCE (core collection) can be found below and was the end result of in-depth research into the search strategy employed by the database, thorough brainstorming of search terms, and trial and error based on the results of those search terms. A full list of the search terms and strategies for each of the searches conducted in </w:t>
      </w:r>
      <w:r w:rsidR="00DE5B55">
        <w:rPr>
          <w:rFonts w:ascii="Calibri" w:eastAsia="Calibri" w:hAnsi="Calibri" w:cs="Times New Roman"/>
        </w:rPr>
        <w:t xml:space="preserve">each database can be found in </w:t>
      </w:r>
      <w:r w:rsidRPr="00817A2F">
        <w:rPr>
          <w:rFonts w:ascii="Calibri" w:eastAsia="Calibri" w:hAnsi="Calibri" w:cs="Times New Roman"/>
        </w:rPr>
        <w:t xml:space="preserve">Appendix 1.  </w:t>
      </w:r>
    </w:p>
    <w:p w14:paraId="48E72A26" w14:textId="77777777" w:rsidR="00817A2F" w:rsidRPr="00817A2F" w:rsidRDefault="00817A2F" w:rsidP="00817A2F">
      <w:pPr>
        <w:spacing w:after="200" w:line="360" w:lineRule="auto"/>
        <w:contextualSpacing/>
        <w:rPr>
          <w:rFonts w:ascii="Calibri" w:eastAsia="Calibri" w:hAnsi="Calibri" w:cs="Times New Roman"/>
          <w:bCs/>
          <w:iCs/>
        </w:rPr>
      </w:pPr>
    </w:p>
    <w:p w14:paraId="6748C8FF" w14:textId="77777777" w:rsidR="00817A2F" w:rsidRPr="00817A2F" w:rsidRDefault="00817A2F" w:rsidP="00817A2F">
      <w:pPr>
        <w:spacing w:after="200" w:line="360" w:lineRule="auto"/>
        <w:contextualSpacing/>
        <w:rPr>
          <w:rFonts w:ascii="Calibri" w:eastAsia="Calibri" w:hAnsi="Calibri" w:cs="Times New Roman"/>
          <w:bCs/>
          <w:iCs/>
        </w:rPr>
      </w:pPr>
      <w:r w:rsidRPr="00817A2F">
        <w:rPr>
          <w:rFonts w:ascii="Calibri" w:eastAsia="Calibri" w:hAnsi="Calibri" w:cs="Times New Roman"/>
          <w:bCs/>
          <w:iCs/>
        </w:rPr>
        <w:t>Search strategy for WEB of SCIENCE (core collection, conducted on 08.08.14):</w:t>
      </w:r>
    </w:p>
    <w:p w14:paraId="6E53DB04" w14:textId="77777777" w:rsidR="00817A2F" w:rsidRPr="00817A2F" w:rsidRDefault="00817A2F" w:rsidP="00817A2F">
      <w:pPr>
        <w:spacing w:after="200" w:line="360" w:lineRule="auto"/>
        <w:contextualSpacing/>
        <w:rPr>
          <w:rFonts w:ascii="Calibri" w:eastAsia="Calibri" w:hAnsi="Calibri" w:cs="Times New Roman"/>
          <w:b/>
          <w:i/>
        </w:rPr>
      </w:pPr>
    </w:p>
    <w:p w14:paraId="22061660"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#1. Work engagement.topic</w:t>
      </w:r>
    </w:p>
    <w:p w14:paraId="5E952655"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#2. Employee engagement. topic</w:t>
      </w:r>
    </w:p>
    <w:p w14:paraId="1AEC7355"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#3. Job engagement. topic</w:t>
      </w:r>
    </w:p>
    <w:p w14:paraId="7C113F4B"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#4. #1 OR #2 OR #3</w:t>
      </w:r>
    </w:p>
    <w:p w14:paraId="3CB62206"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#5. Group intervention. topic</w:t>
      </w:r>
    </w:p>
    <w:p w14:paraId="32440ABC"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#6. Individual intervention. topic</w:t>
      </w:r>
    </w:p>
    <w:p w14:paraId="775C9DDE"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#7. Online intervention. topic</w:t>
      </w:r>
    </w:p>
    <w:p w14:paraId="37214A1B"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#8. Web intervention.topic</w:t>
      </w:r>
    </w:p>
    <w:p w14:paraId="1324BC69" w14:textId="61355022" w:rsidR="00817A2F" w:rsidRPr="00817A2F" w:rsidRDefault="00C315D2" w:rsidP="00817A2F">
      <w:pPr>
        <w:spacing w:after="200" w:line="360" w:lineRule="auto"/>
        <w:contextualSpacing/>
        <w:rPr>
          <w:rFonts w:ascii="Calibri" w:eastAsia="Calibri" w:hAnsi="Calibri" w:cs="Times New Roman"/>
        </w:rPr>
      </w:pPr>
      <w:r>
        <w:rPr>
          <w:rFonts w:ascii="Calibri" w:eastAsia="Calibri" w:hAnsi="Calibri" w:cs="Times New Roman"/>
        </w:rPr>
        <w:t xml:space="preserve">#9 </w:t>
      </w:r>
      <w:r w:rsidR="00817A2F" w:rsidRPr="00817A2F">
        <w:rPr>
          <w:rFonts w:ascii="Calibri" w:eastAsia="Calibri" w:hAnsi="Calibri" w:cs="Times New Roman"/>
        </w:rPr>
        <w:t>Internet intervention.topic</w:t>
      </w:r>
    </w:p>
    <w:p w14:paraId="035CD061"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#10. #5 OR #6 OR #7 OR #8 OR #9</w:t>
      </w:r>
    </w:p>
    <w:p w14:paraId="1AB2D09D" w14:textId="09AF756B" w:rsidR="00854E54"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#11. #4 AND #10</w:t>
      </w:r>
      <w:r w:rsidR="00854E54">
        <w:rPr>
          <w:rFonts w:ascii="Calibri" w:eastAsia="Calibri" w:hAnsi="Calibri" w:cs="Times New Roman"/>
        </w:rPr>
        <w:br w:type="page"/>
      </w:r>
    </w:p>
    <w:p w14:paraId="13E8E2AC" w14:textId="07799501" w:rsidR="0076257D" w:rsidRDefault="0076257D" w:rsidP="005852AD">
      <w:pPr>
        <w:pStyle w:val="Figurestyle"/>
      </w:pPr>
      <w:bookmarkStart w:id="126" w:name="_Ref453250413"/>
      <w:bookmarkStart w:id="127" w:name="_Ref453576693"/>
      <w:bookmarkStart w:id="128" w:name="_Ref456719012"/>
      <w:bookmarkStart w:id="129" w:name="_Toc468286064"/>
      <w:r>
        <w:lastRenderedPageBreak/>
        <w:t xml:space="preserve">Table </w:t>
      </w:r>
      <w:r w:rsidR="00245D68">
        <w:fldChar w:fldCharType="begin"/>
      </w:r>
      <w:r w:rsidR="00245D68">
        <w:instrText xml:space="preserve"> STYLEREF 1 \s </w:instrText>
      </w:r>
      <w:r w:rsidR="00245D68">
        <w:fldChar w:fldCharType="separate"/>
      </w:r>
      <w:r w:rsidR="00152F6D">
        <w:rPr>
          <w:noProof/>
        </w:rPr>
        <w:t>5</w:t>
      </w:r>
      <w:r w:rsidR="00245D68">
        <w:rPr>
          <w:noProof/>
        </w:rPr>
        <w:fldChar w:fldCharType="end"/>
      </w:r>
      <w:r w:rsidR="00F256F4">
        <w:t>.</w:t>
      </w:r>
      <w:r w:rsidR="00245D68">
        <w:fldChar w:fldCharType="begin"/>
      </w:r>
      <w:r w:rsidR="00245D68">
        <w:instrText xml:space="preserve"> SEQ Table</w:instrText>
      </w:r>
      <w:r w:rsidR="00245D68">
        <w:instrText xml:space="preserve"> \* ARABIC \s 1 </w:instrText>
      </w:r>
      <w:r w:rsidR="00245D68">
        <w:fldChar w:fldCharType="separate"/>
      </w:r>
      <w:r w:rsidR="00152F6D">
        <w:rPr>
          <w:noProof/>
        </w:rPr>
        <w:t>1</w:t>
      </w:r>
      <w:r w:rsidR="00245D68">
        <w:rPr>
          <w:noProof/>
        </w:rPr>
        <w:fldChar w:fldCharType="end"/>
      </w:r>
      <w:bookmarkEnd w:id="126"/>
      <w:bookmarkEnd w:id="127"/>
      <w:r>
        <w:t xml:space="preserve"> </w:t>
      </w:r>
      <w:r w:rsidR="00AB237B">
        <w:t>I</w:t>
      </w:r>
      <w:r w:rsidRPr="00C30969">
        <w:t>nclu</w:t>
      </w:r>
      <w:r w:rsidR="00AB237B">
        <w:t>sion and exclusion criteria for the systematic search of work engagement interventions</w:t>
      </w:r>
      <w:bookmarkEnd w:id="128"/>
      <w:bookmarkEnd w:id="129"/>
    </w:p>
    <w:p w14:paraId="21612BBD" w14:textId="77777777" w:rsidR="0076257D" w:rsidRDefault="0076257D" w:rsidP="005852AD">
      <w:pPr>
        <w:pStyle w:val="Figurestyle"/>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4"/>
        <w:gridCol w:w="5002"/>
        <w:gridCol w:w="2610"/>
      </w:tblGrid>
      <w:tr w:rsidR="00817A2F" w:rsidRPr="00817A2F" w14:paraId="4059DA6F" w14:textId="77777777" w:rsidTr="0076257D">
        <w:trPr>
          <w:trHeight w:val="716"/>
        </w:trPr>
        <w:tc>
          <w:tcPr>
            <w:tcW w:w="1414" w:type="dxa"/>
            <w:shd w:val="clear" w:color="auto" w:fill="auto"/>
          </w:tcPr>
          <w:p w14:paraId="05EF7DB9" w14:textId="77777777" w:rsidR="00817A2F" w:rsidRPr="00817A2F" w:rsidRDefault="00817A2F" w:rsidP="00817A2F">
            <w:pPr>
              <w:widowControl w:val="0"/>
              <w:spacing w:before="200" w:line="240" w:lineRule="auto"/>
              <w:contextualSpacing/>
              <w:rPr>
                <w:rFonts w:ascii="Calibri" w:eastAsia="Calibri" w:hAnsi="Calibri" w:cs="Times New Roman"/>
                <w:b/>
                <w:bCs/>
                <w:iCs/>
              </w:rPr>
            </w:pPr>
            <w:r w:rsidRPr="00817A2F">
              <w:rPr>
                <w:rFonts w:ascii="Calibri" w:eastAsia="Calibri" w:hAnsi="Calibri" w:cs="Times New Roman"/>
                <w:b/>
                <w:bCs/>
                <w:iCs/>
              </w:rPr>
              <w:t>Criteria</w:t>
            </w:r>
          </w:p>
        </w:tc>
        <w:tc>
          <w:tcPr>
            <w:tcW w:w="5002" w:type="dxa"/>
            <w:shd w:val="clear" w:color="auto" w:fill="auto"/>
          </w:tcPr>
          <w:p w14:paraId="4FB6D04A" w14:textId="77777777" w:rsidR="00817A2F" w:rsidRPr="00817A2F" w:rsidRDefault="00817A2F" w:rsidP="00817A2F">
            <w:pPr>
              <w:widowControl w:val="0"/>
              <w:spacing w:before="200" w:line="240" w:lineRule="auto"/>
              <w:contextualSpacing/>
              <w:rPr>
                <w:rFonts w:ascii="Calibri" w:eastAsia="Calibri" w:hAnsi="Calibri" w:cs="Times New Roman"/>
                <w:b/>
                <w:bCs/>
                <w:iCs/>
              </w:rPr>
            </w:pPr>
            <w:r w:rsidRPr="00817A2F">
              <w:rPr>
                <w:rFonts w:ascii="Calibri" w:eastAsia="Calibri" w:hAnsi="Calibri" w:cs="Times New Roman"/>
                <w:b/>
                <w:bCs/>
                <w:iCs/>
              </w:rPr>
              <w:t>Inclusion criteria</w:t>
            </w:r>
          </w:p>
        </w:tc>
        <w:tc>
          <w:tcPr>
            <w:tcW w:w="2610" w:type="dxa"/>
            <w:shd w:val="clear" w:color="auto" w:fill="auto"/>
          </w:tcPr>
          <w:p w14:paraId="33618C8D" w14:textId="77777777" w:rsidR="00817A2F" w:rsidRPr="00817A2F" w:rsidRDefault="00817A2F" w:rsidP="00817A2F">
            <w:pPr>
              <w:widowControl w:val="0"/>
              <w:spacing w:before="200" w:line="240" w:lineRule="auto"/>
              <w:contextualSpacing/>
              <w:rPr>
                <w:rFonts w:ascii="Calibri" w:eastAsia="Calibri" w:hAnsi="Calibri" w:cs="Times New Roman"/>
                <w:b/>
                <w:bCs/>
                <w:iCs/>
              </w:rPr>
            </w:pPr>
            <w:r w:rsidRPr="00817A2F">
              <w:rPr>
                <w:rFonts w:ascii="Calibri" w:eastAsia="Calibri" w:hAnsi="Calibri" w:cs="Times New Roman"/>
                <w:b/>
                <w:bCs/>
                <w:iCs/>
              </w:rPr>
              <w:t>Exclusion criteria</w:t>
            </w:r>
          </w:p>
        </w:tc>
      </w:tr>
      <w:tr w:rsidR="00817A2F" w:rsidRPr="00817A2F" w14:paraId="160EA3F1" w14:textId="77777777" w:rsidTr="0076257D">
        <w:trPr>
          <w:trHeight w:val="734"/>
        </w:trPr>
        <w:tc>
          <w:tcPr>
            <w:tcW w:w="1414" w:type="dxa"/>
            <w:shd w:val="clear" w:color="auto" w:fill="auto"/>
          </w:tcPr>
          <w:p w14:paraId="521DACAA"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Study designs</w:t>
            </w:r>
          </w:p>
        </w:tc>
        <w:tc>
          <w:tcPr>
            <w:tcW w:w="5002" w:type="dxa"/>
            <w:shd w:val="clear" w:color="auto" w:fill="auto"/>
          </w:tcPr>
          <w:p w14:paraId="5775D584"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Due to the wide variety of intervention types and methods employed, a diverse array of study designs will be incorporated, for example:</w:t>
            </w:r>
          </w:p>
          <w:p w14:paraId="5E8D0809" w14:textId="77777777" w:rsidR="00817A2F" w:rsidRPr="00817A2F" w:rsidRDefault="00817A2F" w:rsidP="00F15DDF">
            <w:pPr>
              <w:widowControl w:val="0"/>
              <w:numPr>
                <w:ilvl w:val="0"/>
                <w:numId w:val="2"/>
              </w:numPr>
              <w:tabs>
                <w:tab w:val="left" w:pos="175"/>
              </w:tabs>
              <w:spacing w:before="200" w:line="240" w:lineRule="auto"/>
              <w:ind w:left="175" w:hanging="175"/>
              <w:contextualSpacing/>
              <w:rPr>
                <w:rFonts w:ascii="Calibri" w:eastAsia="Calibri" w:hAnsi="Calibri" w:cs="Times New Roman"/>
                <w:iCs/>
              </w:rPr>
            </w:pPr>
            <w:r w:rsidRPr="00817A2F">
              <w:rPr>
                <w:rFonts w:ascii="Calibri" w:eastAsia="Calibri" w:hAnsi="Calibri" w:cs="Times New Roman"/>
                <w:iCs/>
              </w:rPr>
              <w:t>Randomised controlled trials (RCT’s).</w:t>
            </w:r>
          </w:p>
          <w:p w14:paraId="637A2E5D" w14:textId="77777777" w:rsidR="00817A2F" w:rsidRPr="00817A2F" w:rsidRDefault="00817A2F" w:rsidP="00F15DDF">
            <w:pPr>
              <w:widowControl w:val="0"/>
              <w:numPr>
                <w:ilvl w:val="0"/>
                <w:numId w:val="2"/>
              </w:numPr>
              <w:tabs>
                <w:tab w:val="left" w:pos="175"/>
              </w:tabs>
              <w:spacing w:before="200" w:line="240" w:lineRule="auto"/>
              <w:ind w:left="175" w:hanging="175"/>
              <w:contextualSpacing/>
              <w:rPr>
                <w:rFonts w:ascii="Calibri" w:eastAsia="Calibri" w:hAnsi="Calibri" w:cs="Times New Roman"/>
                <w:iCs/>
              </w:rPr>
            </w:pPr>
            <w:r w:rsidRPr="00817A2F">
              <w:rPr>
                <w:rFonts w:ascii="Calibri" w:eastAsia="Calibri" w:hAnsi="Calibri" w:cs="Times New Roman"/>
                <w:iCs/>
              </w:rPr>
              <w:t>Non-randomised controlled trials.</w:t>
            </w:r>
          </w:p>
          <w:p w14:paraId="6151919B" w14:textId="77777777" w:rsidR="00817A2F" w:rsidRPr="00817A2F" w:rsidRDefault="00817A2F" w:rsidP="00F15DDF">
            <w:pPr>
              <w:widowControl w:val="0"/>
              <w:numPr>
                <w:ilvl w:val="0"/>
                <w:numId w:val="2"/>
              </w:numPr>
              <w:tabs>
                <w:tab w:val="left" w:pos="175"/>
              </w:tabs>
              <w:spacing w:before="200" w:line="240" w:lineRule="auto"/>
              <w:ind w:left="175" w:hanging="175"/>
              <w:contextualSpacing/>
              <w:rPr>
                <w:rFonts w:ascii="Calibri" w:eastAsia="Calibri" w:hAnsi="Calibri" w:cs="Times New Roman"/>
                <w:iCs/>
              </w:rPr>
            </w:pPr>
            <w:r w:rsidRPr="00817A2F">
              <w:rPr>
                <w:rFonts w:ascii="Calibri" w:eastAsia="Calibri" w:hAnsi="Calibri" w:cs="Times New Roman"/>
                <w:iCs/>
              </w:rPr>
              <w:t>Comparison studies involving an intervention group and appropriate control group e.g. equivalent / matched control group.</w:t>
            </w:r>
          </w:p>
          <w:p w14:paraId="114BCFC3" w14:textId="77777777" w:rsidR="00817A2F" w:rsidRPr="00817A2F" w:rsidRDefault="00817A2F" w:rsidP="00F15DDF">
            <w:pPr>
              <w:widowControl w:val="0"/>
              <w:numPr>
                <w:ilvl w:val="0"/>
                <w:numId w:val="3"/>
              </w:numPr>
              <w:tabs>
                <w:tab w:val="left" w:pos="175"/>
              </w:tabs>
              <w:spacing w:before="200" w:line="240" w:lineRule="auto"/>
              <w:ind w:left="146" w:hanging="146"/>
              <w:contextualSpacing/>
              <w:rPr>
                <w:rFonts w:ascii="Calibri" w:eastAsia="Calibri" w:hAnsi="Calibri" w:cs="Times New Roman"/>
                <w:iCs/>
              </w:rPr>
            </w:pPr>
            <w:r w:rsidRPr="00817A2F">
              <w:rPr>
                <w:rFonts w:ascii="Calibri" w:eastAsia="Calibri" w:hAnsi="Calibri" w:cs="Times New Roman"/>
                <w:iCs/>
              </w:rPr>
              <w:t xml:space="preserve">All intervention delivery methods, e.g. online, face-to-face individual sessions, group sessions or a combination of the above. </w:t>
            </w:r>
          </w:p>
          <w:p w14:paraId="246E2743" w14:textId="77777777" w:rsidR="00817A2F" w:rsidRPr="00817A2F" w:rsidRDefault="00817A2F" w:rsidP="00F15DDF">
            <w:pPr>
              <w:widowControl w:val="0"/>
              <w:numPr>
                <w:ilvl w:val="0"/>
                <w:numId w:val="3"/>
              </w:numPr>
              <w:tabs>
                <w:tab w:val="left" w:pos="175"/>
              </w:tabs>
              <w:spacing w:before="200" w:line="240" w:lineRule="auto"/>
              <w:ind w:left="146" w:hanging="146"/>
              <w:contextualSpacing/>
              <w:rPr>
                <w:rFonts w:ascii="Calibri" w:eastAsia="Calibri" w:hAnsi="Calibri" w:cs="Times New Roman"/>
                <w:iCs/>
              </w:rPr>
            </w:pPr>
            <w:r w:rsidRPr="00817A2F">
              <w:rPr>
                <w:rFonts w:ascii="Calibri" w:eastAsia="Calibri" w:hAnsi="Calibri" w:cs="Times New Roman"/>
                <w:iCs/>
              </w:rPr>
              <w:t xml:space="preserve">Any variation in the duration of sessions and length of the programme. </w:t>
            </w:r>
          </w:p>
          <w:p w14:paraId="30E4EA64" w14:textId="77777777" w:rsidR="00817A2F" w:rsidRPr="00817A2F" w:rsidRDefault="00817A2F" w:rsidP="00F15DDF">
            <w:pPr>
              <w:widowControl w:val="0"/>
              <w:numPr>
                <w:ilvl w:val="0"/>
                <w:numId w:val="3"/>
              </w:numPr>
              <w:tabs>
                <w:tab w:val="left" w:pos="175"/>
              </w:tabs>
              <w:spacing w:before="200" w:line="240" w:lineRule="auto"/>
              <w:ind w:left="146" w:hanging="146"/>
              <w:contextualSpacing/>
              <w:rPr>
                <w:rFonts w:ascii="Calibri" w:eastAsia="Calibri" w:hAnsi="Calibri" w:cs="Times New Roman"/>
                <w:iCs/>
              </w:rPr>
            </w:pPr>
            <w:r w:rsidRPr="00817A2F">
              <w:rPr>
                <w:rFonts w:ascii="Calibri" w:eastAsia="Calibri" w:hAnsi="Calibri" w:cs="Times New Roman"/>
                <w:iCs/>
              </w:rPr>
              <w:t>Intervention studies which have not reported either pre- or post- intervention measurements or have no control / comparison group</w:t>
            </w:r>
          </w:p>
          <w:p w14:paraId="5900C8E1" w14:textId="77777777" w:rsidR="00817A2F" w:rsidRPr="00817A2F" w:rsidRDefault="00817A2F" w:rsidP="00F15DDF">
            <w:pPr>
              <w:widowControl w:val="0"/>
              <w:numPr>
                <w:ilvl w:val="0"/>
                <w:numId w:val="3"/>
              </w:numPr>
              <w:tabs>
                <w:tab w:val="left" w:pos="175"/>
              </w:tabs>
              <w:spacing w:before="200" w:line="240" w:lineRule="auto"/>
              <w:ind w:left="146" w:hanging="146"/>
              <w:contextualSpacing/>
              <w:rPr>
                <w:rFonts w:ascii="Calibri" w:eastAsia="Calibri" w:hAnsi="Calibri" w:cs="Times New Roman"/>
                <w:iCs/>
              </w:rPr>
            </w:pPr>
            <w:r w:rsidRPr="00817A2F">
              <w:rPr>
                <w:rFonts w:ascii="Calibri" w:eastAsia="Calibri" w:hAnsi="Calibri" w:cs="Times New Roman"/>
                <w:iCs/>
              </w:rPr>
              <w:t xml:space="preserve">Ongoing / planned studies </w:t>
            </w:r>
          </w:p>
        </w:tc>
        <w:tc>
          <w:tcPr>
            <w:tcW w:w="2610" w:type="dxa"/>
            <w:shd w:val="clear" w:color="auto" w:fill="auto"/>
          </w:tcPr>
          <w:p w14:paraId="0E2755AE" w14:textId="77777777" w:rsidR="00817A2F" w:rsidRPr="00817A2F" w:rsidRDefault="00817A2F" w:rsidP="00817A2F">
            <w:pPr>
              <w:widowControl w:val="0"/>
              <w:tabs>
                <w:tab w:val="left" w:pos="205"/>
              </w:tabs>
              <w:spacing w:before="200" w:line="240" w:lineRule="auto"/>
              <w:ind w:left="205"/>
              <w:contextualSpacing/>
              <w:rPr>
                <w:rFonts w:ascii="Calibri" w:eastAsia="Calibri" w:hAnsi="Calibri" w:cs="Times New Roman"/>
                <w:iCs/>
              </w:rPr>
            </w:pPr>
            <w:r w:rsidRPr="00817A2F">
              <w:rPr>
                <w:rFonts w:ascii="Calibri" w:eastAsia="Calibri" w:hAnsi="Calibri" w:cs="Times New Roman"/>
                <w:iCs/>
              </w:rPr>
              <w:t>None.</w:t>
            </w:r>
          </w:p>
        </w:tc>
      </w:tr>
      <w:tr w:rsidR="00817A2F" w:rsidRPr="00817A2F" w14:paraId="0A58F517" w14:textId="77777777" w:rsidTr="0076257D">
        <w:trPr>
          <w:trHeight w:val="716"/>
        </w:trPr>
        <w:tc>
          <w:tcPr>
            <w:tcW w:w="1414" w:type="dxa"/>
            <w:shd w:val="clear" w:color="auto" w:fill="auto"/>
          </w:tcPr>
          <w:p w14:paraId="4AB42313"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Participants</w:t>
            </w:r>
          </w:p>
        </w:tc>
        <w:tc>
          <w:tcPr>
            <w:tcW w:w="5002" w:type="dxa"/>
            <w:shd w:val="clear" w:color="auto" w:fill="auto"/>
          </w:tcPr>
          <w:p w14:paraId="7BB27786"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 xml:space="preserve">Participants must be of working age (&gt;18 years of age) and employed within an organisation / workplace at the time of the intervention. </w:t>
            </w:r>
          </w:p>
        </w:tc>
        <w:tc>
          <w:tcPr>
            <w:tcW w:w="2610" w:type="dxa"/>
            <w:shd w:val="clear" w:color="auto" w:fill="auto"/>
          </w:tcPr>
          <w:p w14:paraId="08A057E7"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Adults who are not currently in work.</w:t>
            </w:r>
          </w:p>
        </w:tc>
      </w:tr>
      <w:tr w:rsidR="00817A2F" w:rsidRPr="00817A2F" w14:paraId="120B86F6" w14:textId="77777777" w:rsidTr="0076257D">
        <w:trPr>
          <w:trHeight w:val="716"/>
        </w:trPr>
        <w:tc>
          <w:tcPr>
            <w:tcW w:w="1414" w:type="dxa"/>
            <w:shd w:val="clear" w:color="auto" w:fill="auto"/>
          </w:tcPr>
          <w:p w14:paraId="11BF215D"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Interventions</w:t>
            </w:r>
          </w:p>
        </w:tc>
        <w:tc>
          <w:tcPr>
            <w:tcW w:w="5002" w:type="dxa"/>
            <w:shd w:val="clear" w:color="auto" w:fill="auto"/>
          </w:tcPr>
          <w:p w14:paraId="6C6FB47D" w14:textId="77777777" w:rsidR="00817A2F" w:rsidRPr="00817A2F" w:rsidRDefault="00817A2F" w:rsidP="00817A2F">
            <w:pPr>
              <w:widowControl w:val="0"/>
              <w:tabs>
                <w:tab w:val="left" w:pos="252"/>
              </w:tabs>
              <w:spacing w:before="200" w:line="240" w:lineRule="auto"/>
              <w:contextualSpacing/>
              <w:rPr>
                <w:rFonts w:ascii="Calibri" w:eastAsia="Calibri" w:hAnsi="Calibri" w:cs="Times New Roman"/>
                <w:iCs/>
              </w:rPr>
            </w:pPr>
            <w:r w:rsidRPr="00817A2F">
              <w:rPr>
                <w:rFonts w:ascii="Calibri" w:eastAsia="Calibri" w:hAnsi="Calibri" w:cs="Times New Roman"/>
                <w:iCs/>
              </w:rPr>
              <w:t>All</w:t>
            </w:r>
            <w:r w:rsidRPr="00817A2F">
              <w:rPr>
                <w:rFonts w:ascii="Calibri" w:eastAsia="Calibri" w:hAnsi="Calibri" w:cs="Times New Roman"/>
                <w:i/>
                <w:iCs/>
              </w:rPr>
              <w:t xml:space="preserve"> </w:t>
            </w:r>
            <w:r w:rsidRPr="00817A2F">
              <w:rPr>
                <w:rFonts w:ascii="Calibri" w:eastAsia="Calibri" w:hAnsi="Calibri" w:cs="Times New Roman"/>
                <w:iCs/>
              </w:rPr>
              <w:t>intervention studies meeting the inclusion criteria will be included.</w:t>
            </w:r>
          </w:p>
        </w:tc>
        <w:tc>
          <w:tcPr>
            <w:tcW w:w="2610" w:type="dxa"/>
            <w:shd w:val="clear" w:color="auto" w:fill="auto"/>
          </w:tcPr>
          <w:p w14:paraId="146C1919" w14:textId="77777777" w:rsidR="00817A2F" w:rsidRPr="00817A2F" w:rsidRDefault="00817A2F" w:rsidP="00817A2F">
            <w:pPr>
              <w:widowControl w:val="0"/>
              <w:spacing w:before="200" w:line="240" w:lineRule="auto"/>
              <w:contextualSpacing/>
              <w:rPr>
                <w:rFonts w:ascii="Calibri" w:eastAsia="Calibri" w:hAnsi="Calibri" w:cs="Times New Roman"/>
                <w:iCs/>
              </w:rPr>
            </w:pPr>
          </w:p>
        </w:tc>
      </w:tr>
      <w:tr w:rsidR="00817A2F" w:rsidRPr="00817A2F" w14:paraId="38956CA4" w14:textId="77777777" w:rsidTr="0076257D">
        <w:trPr>
          <w:trHeight w:val="716"/>
        </w:trPr>
        <w:tc>
          <w:tcPr>
            <w:tcW w:w="1414" w:type="dxa"/>
            <w:shd w:val="clear" w:color="auto" w:fill="auto"/>
          </w:tcPr>
          <w:p w14:paraId="5F454BA7"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Outcome measures</w:t>
            </w:r>
          </w:p>
        </w:tc>
        <w:tc>
          <w:tcPr>
            <w:tcW w:w="5002" w:type="dxa"/>
            <w:shd w:val="clear" w:color="auto" w:fill="auto"/>
          </w:tcPr>
          <w:p w14:paraId="00744008" w14:textId="3ABAE98B"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The key outcome measure will be work engagement, which is likely to be measured using the U</w:t>
            </w:r>
            <w:r w:rsidR="004A515E">
              <w:rPr>
                <w:rFonts w:ascii="Calibri" w:eastAsia="Calibri" w:hAnsi="Calibri" w:cs="Times New Roman"/>
                <w:iCs/>
              </w:rPr>
              <w:t xml:space="preserve">trecht </w:t>
            </w:r>
            <w:r w:rsidRPr="00817A2F">
              <w:rPr>
                <w:rFonts w:ascii="Calibri" w:eastAsia="Calibri" w:hAnsi="Calibri" w:cs="Times New Roman"/>
                <w:iCs/>
              </w:rPr>
              <w:t>W</w:t>
            </w:r>
            <w:r w:rsidR="004A515E">
              <w:rPr>
                <w:rFonts w:ascii="Calibri" w:eastAsia="Calibri" w:hAnsi="Calibri" w:cs="Times New Roman"/>
                <w:iCs/>
              </w:rPr>
              <w:t xml:space="preserve">ork </w:t>
            </w:r>
            <w:r w:rsidRPr="00817A2F">
              <w:rPr>
                <w:rFonts w:ascii="Calibri" w:eastAsia="Calibri" w:hAnsi="Calibri" w:cs="Times New Roman"/>
                <w:iCs/>
              </w:rPr>
              <w:t>E</w:t>
            </w:r>
            <w:r w:rsidR="004A515E">
              <w:rPr>
                <w:rFonts w:ascii="Calibri" w:eastAsia="Calibri" w:hAnsi="Calibri" w:cs="Times New Roman"/>
                <w:iCs/>
              </w:rPr>
              <w:t xml:space="preserve">ngagement </w:t>
            </w:r>
            <w:r w:rsidRPr="00817A2F">
              <w:rPr>
                <w:rFonts w:ascii="Calibri" w:eastAsia="Calibri" w:hAnsi="Calibri" w:cs="Times New Roman"/>
                <w:iCs/>
              </w:rPr>
              <w:t>S</w:t>
            </w:r>
            <w:r w:rsidR="004A515E">
              <w:rPr>
                <w:rFonts w:ascii="Calibri" w:eastAsia="Calibri" w:hAnsi="Calibri" w:cs="Times New Roman"/>
                <w:iCs/>
              </w:rPr>
              <w:t>cale (UWES)</w:t>
            </w:r>
            <w:r w:rsidRPr="00817A2F">
              <w:rPr>
                <w:rFonts w:ascii="Calibri" w:eastAsia="Calibri" w:hAnsi="Calibri" w:cs="Times New Roman"/>
                <w:iCs/>
              </w:rPr>
              <w:t>. Other validated engagement scales will also be included</w:t>
            </w:r>
            <w:r w:rsidR="00D46B44">
              <w:rPr>
                <w:rFonts w:ascii="Calibri" w:eastAsia="Calibri" w:hAnsi="Calibri" w:cs="Times New Roman"/>
                <w:iCs/>
              </w:rPr>
              <w:t>.</w:t>
            </w:r>
            <w:r w:rsidRPr="00817A2F">
              <w:rPr>
                <w:rFonts w:ascii="Calibri" w:eastAsia="Calibri" w:hAnsi="Calibri" w:cs="Times New Roman"/>
                <w:iCs/>
              </w:rPr>
              <w:t xml:space="preserve">  </w:t>
            </w:r>
          </w:p>
          <w:p w14:paraId="06C917C6" w14:textId="77777777" w:rsidR="00817A2F" w:rsidRPr="00817A2F" w:rsidRDefault="00817A2F" w:rsidP="00817A2F">
            <w:pPr>
              <w:widowControl w:val="0"/>
              <w:spacing w:before="200" w:line="240" w:lineRule="auto"/>
              <w:contextualSpacing/>
              <w:rPr>
                <w:rFonts w:ascii="Calibri" w:eastAsia="Calibri" w:hAnsi="Calibri" w:cs="Times New Roman"/>
                <w:iCs/>
              </w:rPr>
            </w:pPr>
          </w:p>
        </w:tc>
        <w:tc>
          <w:tcPr>
            <w:tcW w:w="2610" w:type="dxa"/>
            <w:shd w:val="clear" w:color="auto" w:fill="auto"/>
          </w:tcPr>
          <w:p w14:paraId="6BA1C87E" w14:textId="598C0B3B" w:rsidR="00817A2F" w:rsidRPr="00817A2F" w:rsidRDefault="00817A2F" w:rsidP="00D46B44">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Interventions which do not include work engagement as an outcome measure, or which use a measure of engagement which is not robust or validated</w:t>
            </w:r>
            <w:r w:rsidR="00D46B44">
              <w:rPr>
                <w:rFonts w:ascii="Calibri" w:eastAsia="Calibri" w:hAnsi="Calibri" w:cs="Times New Roman"/>
                <w:iCs/>
              </w:rPr>
              <w:t>.</w:t>
            </w:r>
            <w:r w:rsidRPr="00817A2F">
              <w:rPr>
                <w:rFonts w:ascii="Calibri" w:eastAsia="Calibri" w:hAnsi="Calibri" w:cs="Times New Roman"/>
                <w:iCs/>
              </w:rPr>
              <w:t xml:space="preserve">   </w:t>
            </w:r>
          </w:p>
        </w:tc>
      </w:tr>
      <w:tr w:rsidR="00817A2F" w:rsidRPr="00817A2F" w14:paraId="47DA54F0" w14:textId="77777777" w:rsidTr="0076257D">
        <w:trPr>
          <w:trHeight w:val="519"/>
        </w:trPr>
        <w:tc>
          <w:tcPr>
            <w:tcW w:w="1414" w:type="dxa"/>
            <w:shd w:val="clear" w:color="auto" w:fill="auto"/>
          </w:tcPr>
          <w:p w14:paraId="5775B029"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Duration of follow-up</w:t>
            </w:r>
          </w:p>
        </w:tc>
        <w:tc>
          <w:tcPr>
            <w:tcW w:w="5002" w:type="dxa"/>
            <w:shd w:val="clear" w:color="auto" w:fill="auto"/>
          </w:tcPr>
          <w:p w14:paraId="58F3F3E7"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Any.</w:t>
            </w:r>
          </w:p>
        </w:tc>
        <w:tc>
          <w:tcPr>
            <w:tcW w:w="2610" w:type="dxa"/>
            <w:shd w:val="clear" w:color="auto" w:fill="auto"/>
          </w:tcPr>
          <w:p w14:paraId="21E0CB0C"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None.</w:t>
            </w:r>
          </w:p>
        </w:tc>
      </w:tr>
      <w:tr w:rsidR="00817A2F" w:rsidRPr="00817A2F" w14:paraId="11E1E344" w14:textId="77777777" w:rsidTr="0076257D">
        <w:trPr>
          <w:trHeight w:val="217"/>
        </w:trPr>
        <w:tc>
          <w:tcPr>
            <w:tcW w:w="1414" w:type="dxa"/>
            <w:shd w:val="clear" w:color="auto" w:fill="auto"/>
          </w:tcPr>
          <w:p w14:paraId="1DF96344"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Settings</w:t>
            </w:r>
          </w:p>
        </w:tc>
        <w:tc>
          <w:tcPr>
            <w:tcW w:w="5002" w:type="dxa"/>
            <w:shd w:val="clear" w:color="auto" w:fill="auto"/>
          </w:tcPr>
          <w:p w14:paraId="0361E6A6"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Organisations / workplaces which employ people. Studies may be based in any country.</w:t>
            </w:r>
          </w:p>
        </w:tc>
        <w:tc>
          <w:tcPr>
            <w:tcW w:w="2610" w:type="dxa"/>
            <w:shd w:val="clear" w:color="auto" w:fill="auto"/>
          </w:tcPr>
          <w:p w14:paraId="5DDA1198"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None.</w:t>
            </w:r>
          </w:p>
        </w:tc>
      </w:tr>
      <w:tr w:rsidR="00817A2F" w:rsidRPr="00817A2F" w14:paraId="18C3A75F" w14:textId="77777777" w:rsidTr="0076257D">
        <w:trPr>
          <w:trHeight w:val="734"/>
        </w:trPr>
        <w:tc>
          <w:tcPr>
            <w:tcW w:w="1414" w:type="dxa"/>
            <w:shd w:val="clear" w:color="auto" w:fill="auto"/>
          </w:tcPr>
          <w:p w14:paraId="21D86286"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Language</w:t>
            </w:r>
          </w:p>
        </w:tc>
        <w:tc>
          <w:tcPr>
            <w:tcW w:w="5002" w:type="dxa"/>
            <w:shd w:val="clear" w:color="auto" w:fill="auto"/>
          </w:tcPr>
          <w:p w14:paraId="054878B6"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English only.</w:t>
            </w:r>
          </w:p>
        </w:tc>
        <w:tc>
          <w:tcPr>
            <w:tcW w:w="2610" w:type="dxa"/>
            <w:shd w:val="clear" w:color="auto" w:fill="auto"/>
          </w:tcPr>
          <w:p w14:paraId="484BA347"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Studies in any language other than English, unless they have an English translation.</w:t>
            </w:r>
          </w:p>
        </w:tc>
      </w:tr>
      <w:tr w:rsidR="00817A2F" w:rsidRPr="00817A2F" w14:paraId="15D30CB9" w14:textId="77777777" w:rsidTr="00F30522">
        <w:trPr>
          <w:trHeight w:val="274"/>
        </w:trPr>
        <w:tc>
          <w:tcPr>
            <w:tcW w:w="1414" w:type="dxa"/>
            <w:shd w:val="clear" w:color="auto" w:fill="auto"/>
          </w:tcPr>
          <w:p w14:paraId="24F8B36B"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Publication status</w:t>
            </w:r>
          </w:p>
        </w:tc>
        <w:tc>
          <w:tcPr>
            <w:tcW w:w="5002" w:type="dxa"/>
            <w:shd w:val="clear" w:color="auto" w:fill="auto"/>
          </w:tcPr>
          <w:p w14:paraId="7407C36B" w14:textId="0370A221" w:rsidR="00817A2F" w:rsidRPr="00817A2F" w:rsidRDefault="00F30522" w:rsidP="00817A2F">
            <w:pPr>
              <w:widowControl w:val="0"/>
              <w:spacing w:before="200" w:line="240" w:lineRule="auto"/>
              <w:contextualSpacing/>
              <w:rPr>
                <w:rFonts w:ascii="Calibri" w:eastAsia="Calibri" w:hAnsi="Calibri" w:cs="Times New Roman"/>
                <w:iCs/>
              </w:rPr>
            </w:pPr>
            <w:r>
              <w:rPr>
                <w:rFonts w:ascii="Calibri" w:eastAsia="Calibri" w:hAnsi="Calibri" w:cs="Times New Roman"/>
                <w:iCs/>
              </w:rPr>
              <w:t>B</w:t>
            </w:r>
            <w:r w:rsidR="00817A2F" w:rsidRPr="00817A2F">
              <w:rPr>
                <w:rFonts w:ascii="Calibri" w:eastAsia="Calibri" w:hAnsi="Calibri" w:cs="Times New Roman"/>
                <w:iCs/>
              </w:rPr>
              <w:t>oth published and unpublished studies</w:t>
            </w:r>
            <w:r w:rsidR="00C315D2">
              <w:rPr>
                <w:rFonts w:ascii="Calibri" w:eastAsia="Calibri" w:hAnsi="Calibri" w:cs="Times New Roman"/>
                <w:iCs/>
              </w:rPr>
              <w:t xml:space="preserve"> will be iden</w:t>
            </w:r>
            <w:r>
              <w:rPr>
                <w:rFonts w:ascii="Calibri" w:eastAsia="Calibri" w:hAnsi="Calibri" w:cs="Times New Roman"/>
                <w:iCs/>
              </w:rPr>
              <w:t>t</w:t>
            </w:r>
            <w:r w:rsidR="00C315D2">
              <w:rPr>
                <w:rFonts w:ascii="Calibri" w:eastAsia="Calibri" w:hAnsi="Calibri" w:cs="Times New Roman"/>
                <w:iCs/>
              </w:rPr>
              <w:t>i</w:t>
            </w:r>
            <w:r>
              <w:rPr>
                <w:rFonts w:ascii="Calibri" w:eastAsia="Calibri" w:hAnsi="Calibri" w:cs="Times New Roman"/>
                <w:iCs/>
              </w:rPr>
              <w:t>fied</w:t>
            </w:r>
            <w:r w:rsidR="00817A2F" w:rsidRPr="00817A2F">
              <w:rPr>
                <w:rFonts w:ascii="Calibri" w:eastAsia="Calibri" w:hAnsi="Calibri" w:cs="Times New Roman"/>
                <w:iCs/>
              </w:rPr>
              <w:t xml:space="preserve"> (e.g. from dissertations &amp; theses, conference presentations, reports etc.).</w:t>
            </w:r>
          </w:p>
        </w:tc>
        <w:tc>
          <w:tcPr>
            <w:tcW w:w="2610" w:type="dxa"/>
            <w:shd w:val="clear" w:color="auto" w:fill="auto"/>
          </w:tcPr>
          <w:p w14:paraId="68E0DEDF" w14:textId="77777777" w:rsidR="00817A2F" w:rsidRPr="00817A2F" w:rsidRDefault="00817A2F" w:rsidP="00817A2F">
            <w:pPr>
              <w:widowControl w:val="0"/>
              <w:spacing w:before="200" w:line="240" w:lineRule="auto"/>
              <w:contextualSpacing/>
              <w:rPr>
                <w:rFonts w:ascii="Calibri" w:eastAsia="Calibri" w:hAnsi="Calibri" w:cs="Times New Roman"/>
                <w:iCs/>
              </w:rPr>
            </w:pPr>
            <w:r w:rsidRPr="00817A2F">
              <w:rPr>
                <w:rFonts w:ascii="Calibri" w:eastAsia="Calibri" w:hAnsi="Calibri" w:cs="Times New Roman"/>
                <w:iCs/>
              </w:rPr>
              <w:t xml:space="preserve">None. </w:t>
            </w:r>
          </w:p>
        </w:tc>
      </w:tr>
    </w:tbl>
    <w:p w14:paraId="727E1BD1" w14:textId="77777777" w:rsidR="00D46B44" w:rsidRDefault="00D46B44" w:rsidP="004A515E">
      <w:pPr>
        <w:spacing w:after="200" w:line="360" w:lineRule="auto"/>
        <w:contextualSpacing/>
        <w:rPr>
          <w:rFonts w:ascii="Calibri" w:eastAsia="Calibri" w:hAnsi="Calibri" w:cs="Times New Roman"/>
        </w:rPr>
      </w:pPr>
    </w:p>
    <w:p w14:paraId="65E73A65" w14:textId="3DB8B82B" w:rsidR="001B697E" w:rsidRDefault="00817A2F" w:rsidP="004A515E">
      <w:pPr>
        <w:spacing w:after="200" w:line="360" w:lineRule="auto"/>
        <w:contextualSpacing/>
        <w:rPr>
          <w:rFonts w:ascii="Calibri" w:eastAsia="Calibri" w:hAnsi="Calibri" w:cs="Times New Roman"/>
        </w:rPr>
      </w:pPr>
      <w:r w:rsidRPr="00817A2F">
        <w:rPr>
          <w:rFonts w:ascii="Calibri" w:eastAsia="Calibri" w:hAnsi="Calibri" w:cs="Times New Roman"/>
        </w:rPr>
        <w:lastRenderedPageBreak/>
        <w:t>Following the search, the search results from each database were amalgamated using the referencing manager software, EndNote Web. References for records found through other means were added to the database, and duplicates removed. The titles and abstracts of these records were then screened to assess whether they met the inclusion criteria. The full texts of articles which passed this initial screening were obtained and authors were contacted for access or more information where necessary.</w:t>
      </w:r>
    </w:p>
    <w:p w14:paraId="40125FFD" w14:textId="77777777" w:rsidR="00923A7B" w:rsidRPr="00817A2F" w:rsidRDefault="00923A7B" w:rsidP="004A515E">
      <w:pPr>
        <w:spacing w:after="200" w:line="360" w:lineRule="auto"/>
        <w:contextualSpacing/>
        <w:rPr>
          <w:rFonts w:ascii="Calibri" w:eastAsia="Calibri" w:hAnsi="Calibri" w:cs="Times New Roman"/>
        </w:rPr>
      </w:pPr>
    </w:p>
    <w:p w14:paraId="44D19A89" w14:textId="48BAC230" w:rsidR="00817A2F" w:rsidRPr="001B697E" w:rsidRDefault="00817A2F" w:rsidP="0009618B">
      <w:pPr>
        <w:pStyle w:val="Heading3"/>
      </w:pPr>
      <w:bookmarkStart w:id="130" w:name="_Toc450214021"/>
      <w:bookmarkStart w:id="131" w:name="_Ref453250610"/>
      <w:bookmarkStart w:id="132" w:name="_Ref453250616"/>
      <w:bookmarkStart w:id="133" w:name="_Ref453251355"/>
      <w:bookmarkStart w:id="134" w:name="_Ref453573522"/>
      <w:bookmarkStart w:id="135" w:name="_Ref453573543"/>
      <w:bookmarkStart w:id="136" w:name="_Toc468285956"/>
      <w:bookmarkStart w:id="137" w:name="_Toc412534982"/>
      <w:r w:rsidRPr="001B697E">
        <w:t>Coding of studies</w:t>
      </w:r>
      <w:bookmarkEnd w:id="130"/>
      <w:bookmarkEnd w:id="131"/>
      <w:bookmarkEnd w:id="132"/>
      <w:bookmarkEnd w:id="133"/>
      <w:bookmarkEnd w:id="134"/>
      <w:bookmarkEnd w:id="135"/>
      <w:bookmarkEnd w:id="136"/>
      <w:r w:rsidRPr="001B697E">
        <w:t xml:space="preserve"> </w:t>
      </w:r>
      <w:bookmarkEnd w:id="137"/>
    </w:p>
    <w:p w14:paraId="4DBDE9FD" w14:textId="77777777" w:rsidR="007975E1" w:rsidRDefault="007975E1" w:rsidP="004A515E">
      <w:pPr>
        <w:spacing w:after="200" w:line="360" w:lineRule="auto"/>
        <w:contextualSpacing/>
        <w:rPr>
          <w:rFonts w:ascii="Calibri" w:eastAsia="Calibri" w:hAnsi="Calibri" w:cs="Times New Roman"/>
        </w:rPr>
      </w:pPr>
    </w:p>
    <w:p w14:paraId="19640889" w14:textId="5019D76B"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characteristics of each separate intervention study included in the systematic review were coded </w:t>
      </w:r>
      <w:r w:rsidR="001605AC">
        <w:rPr>
          <w:rFonts w:ascii="Calibri" w:eastAsia="Calibri" w:hAnsi="Calibri" w:cs="Times New Roman"/>
        </w:rPr>
        <w:t xml:space="preserve">by myself </w:t>
      </w:r>
      <w:r w:rsidRPr="00817A2F">
        <w:rPr>
          <w:rFonts w:ascii="Calibri" w:eastAsia="Calibri" w:hAnsi="Calibri" w:cs="Times New Roman"/>
        </w:rPr>
        <w:t>according to a coding guide developed especially for this study (see Appendix</w:t>
      </w:r>
      <w:r w:rsidR="001146C5">
        <w:rPr>
          <w:rFonts w:ascii="Calibri" w:eastAsia="Calibri" w:hAnsi="Calibri" w:cs="Times New Roman"/>
        </w:rPr>
        <w:t xml:space="preserve"> 2</w:t>
      </w:r>
      <w:r w:rsidRPr="00817A2F">
        <w:rPr>
          <w:rFonts w:ascii="Calibri" w:eastAsia="Calibri" w:hAnsi="Calibri" w:cs="Times New Roman"/>
        </w:rPr>
        <w:t xml:space="preserve">). </w:t>
      </w:r>
      <w:r w:rsidR="001605AC">
        <w:rPr>
          <w:rFonts w:ascii="Calibri" w:eastAsia="Calibri" w:hAnsi="Calibri" w:cs="Times New Roman"/>
        </w:rPr>
        <w:t>An independent coder (</w:t>
      </w:r>
      <w:r w:rsidR="001605AC" w:rsidRPr="00817A2F">
        <w:rPr>
          <w:rFonts w:ascii="Calibri" w:eastAsia="Calibri" w:hAnsi="Calibri" w:cs="Times New Roman"/>
        </w:rPr>
        <w:t xml:space="preserve">another </w:t>
      </w:r>
      <w:r w:rsidR="001605AC">
        <w:rPr>
          <w:rFonts w:ascii="Calibri" w:eastAsia="Calibri" w:hAnsi="Calibri" w:cs="Times New Roman"/>
        </w:rPr>
        <w:t xml:space="preserve">doctoral </w:t>
      </w:r>
      <w:r w:rsidR="001605AC" w:rsidRPr="00817A2F">
        <w:rPr>
          <w:rFonts w:ascii="Calibri" w:eastAsia="Calibri" w:hAnsi="Calibri" w:cs="Times New Roman"/>
        </w:rPr>
        <w:t xml:space="preserve">student researching </w:t>
      </w:r>
      <w:r w:rsidR="001605AC">
        <w:rPr>
          <w:rFonts w:ascii="Calibri" w:eastAsia="Calibri" w:hAnsi="Calibri" w:cs="Times New Roman"/>
        </w:rPr>
        <w:t xml:space="preserve">in </w:t>
      </w:r>
      <w:r w:rsidR="001605AC" w:rsidRPr="00817A2F">
        <w:rPr>
          <w:rFonts w:ascii="Calibri" w:eastAsia="Calibri" w:hAnsi="Calibri" w:cs="Times New Roman"/>
        </w:rPr>
        <w:t>a related field)</w:t>
      </w:r>
      <w:r w:rsidR="001605AC">
        <w:rPr>
          <w:rFonts w:ascii="Calibri" w:eastAsia="Calibri" w:hAnsi="Calibri" w:cs="Times New Roman"/>
        </w:rPr>
        <w:t xml:space="preserve"> </w:t>
      </w:r>
      <w:r w:rsidR="00345AC6">
        <w:rPr>
          <w:rFonts w:ascii="Calibri" w:eastAsia="Calibri" w:hAnsi="Calibri" w:cs="Times New Roman"/>
        </w:rPr>
        <w:t xml:space="preserve">was trained to double code a subset of these studies, all of those to be included in the meta-analysis, according to the coding guide. This provided an indication of the agreement rate between coders, and thus reliability. </w:t>
      </w:r>
      <w:r w:rsidR="001605AC">
        <w:rPr>
          <w:rFonts w:ascii="Calibri" w:eastAsia="Calibri" w:hAnsi="Calibri" w:cs="Times New Roman"/>
        </w:rPr>
        <w:t xml:space="preserve">It was not possible for all studies </w:t>
      </w:r>
      <w:r w:rsidR="00345AC6">
        <w:rPr>
          <w:rFonts w:ascii="Calibri" w:eastAsia="Calibri" w:hAnsi="Calibri" w:cs="Times New Roman"/>
        </w:rPr>
        <w:t xml:space="preserve">included in the entire systematic review </w:t>
      </w:r>
      <w:r w:rsidR="001605AC">
        <w:rPr>
          <w:rFonts w:ascii="Calibri" w:eastAsia="Calibri" w:hAnsi="Calibri" w:cs="Times New Roman"/>
        </w:rPr>
        <w:t>to be double coded due to the resources available.</w:t>
      </w:r>
      <w:r w:rsidR="001605AC" w:rsidRPr="00817A2F">
        <w:rPr>
          <w:rFonts w:ascii="Calibri" w:eastAsia="Calibri" w:hAnsi="Calibri" w:cs="Times New Roman"/>
        </w:rPr>
        <w:t xml:space="preserve"> </w:t>
      </w:r>
      <w:r w:rsidRPr="00817A2F">
        <w:rPr>
          <w:rFonts w:ascii="Calibri" w:eastAsia="Calibri" w:hAnsi="Calibri" w:cs="Times New Roman"/>
        </w:rPr>
        <w:t>Th</w:t>
      </w:r>
      <w:r w:rsidR="001605AC">
        <w:rPr>
          <w:rFonts w:ascii="Calibri" w:eastAsia="Calibri" w:hAnsi="Calibri" w:cs="Times New Roman"/>
        </w:rPr>
        <w:t>e</w:t>
      </w:r>
      <w:r w:rsidRPr="00817A2F">
        <w:rPr>
          <w:rFonts w:ascii="Calibri" w:eastAsia="Calibri" w:hAnsi="Calibri" w:cs="Times New Roman"/>
        </w:rPr>
        <w:t xml:space="preserve"> coding guide enabled all the necessary data to be extracted from each study consistently, avoiding the natural tendency to make different coding decisions over time, or overlook important data due to different studies presenting information differently and in different places. Importantly, coding also allowed the studies to be grouped for analysis, facilitating the synthesis and comparison of results across studies. Differences between coders were resolved by discussion and consultation with a third expert where necessary (another expert). Following this process, consensus rates reached 100%. </w:t>
      </w:r>
      <w:r w:rsidR="00543471">
        <w:rPr>
          <w:rFonts w:ascii="Calibri" w:eastAsia="Calibri" w:hAnsi="Calibri" w:cs="Times New Roman"/>
        </w:rPr>
        <w:t xml:space="preserve">For details of the Cohen’s Kappa agreement rates before discussion, please see section </w:t>
      </w:r>
      <w:r w:rsidR="00543471">
        <w:rPr>
          <w:rFonts w:ascii="Calibri" w:eastAsia="Calibri" w:hAnsi="Calibri" w:cs="Times New Roman"/>
        </w:rPr>
        <w:fldChar w:fldCharType="begin"/>
      </w:r>
      <w:r w:rsidR="00543471">
        <w:rPr>
          <w:rFonts w:ascii="Calibri" w:eastAsia="Calibri" w:hAnsi="Calibri" w:cs="Times New Roman"/>
        </w:rPr>
        <w:instrText xml:space="preserve"> REF _Ref456253837 \n \h </w:instrText>
      </w:r>
      <w:r w:rsidR="00543471">
        <w:rPr>
          <w:rFonts w:ascii="Calibri" w:eastAsia="Calibri" w:hAnsi="Calibri" w:cs="Times New Roman"/>
        </w:rPr>
      </w:r>
      <w:r w:rsidR="00543471">
        <w:rPr>
          <w:rFonts w:ascii="Calibri" w:eastAsia="Calibri" w:hAnsi="Calibri" w:cs="Times New Roman"/>
        </w:rPr>
        <w:fldChar w:fldCharType="separate"/>
      </w:r>
      <w:r w:rsidR="00152F6D">
        <w:rPr>
          <w:rFonts w:ascii="Calibri" w:eastAsia="Calibri" w:hAnsi="Calibri" w:cs="Times New Roman"/>
        </w:rPr>
        <w:t>6.2.3</w:t>
      </w:r>
      <w:r w:rsidR="00543471">
        <w:rPr>
          <w:rFonts w:ascii="Calibri" w:eastAsia="Calibri" w:hAnsi="Calibri" w:cs="Times New Roman"/>
        </w:rPr>
        <w:fldChar w:fldCharType="end"/>
      </w:r>
      <w:r w:rsidR="00543471">
        <w:rPr>
          <w:rFonts w:ascii="Calibri" w:eastAsia="Calibri" w:hAnsi="Calibri" w:cs="Times New Roman"/>
        </w:rPr>
        <w:t>.</w:t>
      </w:r>
    </w:p>
    <w:p w14:paraId="2DA82425" w14:textId="77777777" w:rsidR="00817A2F" w:rsidRPr="00817A2F" w:rsidRDefault="00817A2F" w:rsidP="00817A2F">
      <w:pPr>
        <w:spacing w:after="200" w:line="360" w:lineRule="auto"/>
        <w:contextualSpacing/>
        <w:rPr>
          <w:rFonts w:ascii="Calibri" w:eastAsia="Calibri" w:hAnsi="Calibri" w:cs="Times New Roman"/>
        </w:rPr>
      </w:pPr>
    </w:p>
    <w:p w14:paraId="267F7802" w14:textId="63FE2A55"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Demographic information extracted were participant numbers</w:t>
      </w:r>
      <w:r w:rsidR="00C315D2">
        <w:rPr>
          <w:rFonts w:ascii="Calibri" w:eastAsia="Calibri" w:hAnsi="Calibri" w:cs="Times New Roman"/>
        </w:rPr>
        <w:t>,</w:t>
      </w:r>
      <w:r w:rsidRPr="00817A2F">
        <w:rPr>
          <w:rFonts w:ascii="Calibri" w:eastAsia="Calibri" w:hAnsi="Calibri" w:cs="Times New Roman"/>
        </w:rPr>
        <w:t xml:space="preserve"> and the mean participant age and gender distribution at baseline. Study characteristics included the author details and document date, type of document found (published article, thesis or grey literature), country of intervention locat</w:t>
      </w:r>
      <w:r w:rsidR="00C315D2">
        <w:rPr>
          <w:rFonts w:ascii="Calibri" w:eastAsia="Calibri" w:hAnsi="Calibri" w:cs="Times New Roman"/>
        </w:rPr>
        <w:t>ion, the industry of the organis</w:t>
      </w:r>
      <w:r w:rsidRPr="00817A2F">
        <w:rPr>
          <w:rFonts w:ascii="Calibri" w:eastAsia="Calibri" w:hAnsi="Calibri" w:cs="Times New Roman"/>
        </w:rPr>
        <w:t>ation</w:t>
      </w:r>
      <w:r w:rsidR="00C315D2">
        <w:rPr>
          <w:rFonts w:ascii="Calibri" w:eastAsia="Calibri" w:hAnsi="Calibri" w:cs="Times New Roman"/>
        </w:rPr>
        <w:t>,</w:t>
      </w:r>
      <w:r w:rsidRPr="00817A2F">
        <w:rPr>
          <w:rFonts w:ascii="Calibri" w:eastAsia="Calibri" w:hAnsi="Calibri" w:cs="Times New Roman"/>
        </w:rPr>
        <w:t xml:space="preserve"> and whether it was public (owned, controlled, and funded by the government) or private, the core components of the intervention (e.g. workshops, coaching, assignments), intervention type (as defined in the introduction)</w:t>
      </w:r>
      <w:r w:rsidR="00C315D2">
        <w:rPr>
          <w:rFonts w:ascii="Calibri" w:eastAsia="Calibri" w:hAnsi="Calibri" w:cs="Times New Roman"/>
        </w:rPr>
        <w:t>,</w:t>
      </w:r>
      <w:r w:rsidRPr="00817A2F">
        <w:rPr>
          <w:rFonts w:ascii="Calibri" w:eastAsia="Calibri" w:hAnsi="Calibri" w:cs="Times New Roman"/>
        </w:rPr>
        <w:t xml:space="preserve"> and intervention style (whether or not the intervention was group or individually orientated, a combined group and individual intervention, or conducted purely online). Other particulars extracted included intervention duration, design (e.g. number of groups, presence of randomisation, presence of a control / referent </w:t>
      </w:r>
      <w:r w:rsidRPr="00817A2F">
        <w:rPr>
          <w:rFonts w:ascii="Calibri" w:eastAsia="Calibri" w:hAnsi="Calibri" w:cs="Times New Roman"/>
        </w:rPr>
        <w:lastRenderedPageBreak/>
        <w:t xml:space="preserve">group), the measure of work engagement used, and whether or not results were adjusted for covariates such as age and gender, and key conclusions. </w:t>
      </w:r>
    </w:p>
    <w:p w14:paraId="032BB308" w14:textId="77777777" w:rsidR="00817A2F" w:rsidRPr="00817A2F" w:rsidRDefault="00817A2F" w:rsidP="00817A2F">
      <w:pPr>
        <w:spacing w:after="200" w:line="360" w:lineRule="auto"/>
        <w:contextualSpacing/>
        <w:rPr>
          <w:rFonts w:ascii="Calibri" w:eastAsia="Calibri" w:hAnsi="Calibri" w:cs="Times New Roman"/>
        </w:rPr>
      </w:pPr>
    </w:p>
    <w:p w14:paraId="3E7FE644" w14:textId="194C113A"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Categories were generated for intervention type and style based on the literature review and the themes emerging from the data itself, and took into consideration the differences and similarities between the interventions. For example, when assessing a study for intervention type, particular attention was paid to how authors portrayed the aims of their interventions, as well as to the characteristics of interventions. For instance, if an author primarily focused discussion on vitality and health (e.g. Strijk </w:t>
      </w:r>
      <w:r w:rsidR="00B64DD5">
        <w:rPr>
          <w:rFonts w:ascii="Calibri" w:eastAsia="Calibri" w:hAnsi="Calibri" w:cs="Times New Roman"/>
        </w:rPr>
        <w:t>et al.,</w:t>
      </w:r>
      <w:r w:rsidRPr="00817A2F">
        <w:rPr>
          <w:rFonts w:ascii="Calibri" w:eastAsia="Calibri" w:hAnsi="Calibri" w:cs="Times New Roman"/>
        </w:rPr>
        <w:t xml:space="preserve"> 2013), and the intervention was presented as a health promotion programme, the intervention was classified as such. If an author primarily focused discussion on personal resources such as self-esteem (e.g. Ouweneel </w:t>
      </w:r>
      <w:r w:rsidR="00B64DD5">
        <w:rPr>
          <w:rFonts w:ascii="Calibri" w:eastAsia="Calibri" w:hAnsi="Calibri" w:cs="Times New Roman"/>
        </w:rPr>
        <w:t>et al.,</w:t>
      </w:r>
      <w:r w:rsidRPr="00817A2F">
        <w:rPr>
          <w:rFonts w:ascii="Calibri" w:eastAsia="Calibri" w:hAnsi="Calibri" w:cs="Times New Roman"/>
        </w:rPr>
        <w:t xml:space="preserve"> 2013), however, and presented their intervention as one to build personal resources, the intervention was classified as a resource building intervention.</w:t>
      </w:r>
    </w:p>
    <w:p w14:paraId="4BB18690" w14:textId="77777777" w:rsidR="00817A2F" w:rsidRPr="00817A2F" w:rsidRDefault="00817A2F" w:rsidP="00817A2F">
      <w:pPr>
        <w:spacing w:after="200" w:line="360" w:lineRule="auto"/>
        <w:contextualSpacing/>
        <w:rPr>
          <w:rFonts w:ascii="Calibri" w:eastAsia="Calibri" w:hAnsi="Calibri" w:cs="Times New Roman"/>
        </w:rPr>
      </w:pPr>
    </w:p>
    <w:p w14:paraId="74841435" w14:textId="1F735E13"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Factors highlighted by authors which may have affected the quality, implementation and success of the intervention were also noted, such as lack of participation, mergers, redundancies, and economic adversity. More specifically, factors identified in The Cochrane Collaboration’s ‘Risk of Bias’ tool were recorded (</w:t>
      </w:r>
      <w:r w:rsidR="00540E24">
        <w:rPr>
          <w:rFonts w:ascii="Calibri" w:eastAsia="Calibri" w:hAnsi="Calibri" w:cs="Times New Roman"/>
        </w:rPr>
        <w:t xml:space="preserve">method of </w:t>
      </w:r>
      <w:r w:rsidRPr="00817A2F">
        <w:rPr>
          <w:rFonts w:ascii="Calibri" w:eastAsia="Calibri" w:hAnsi="Calibri" w:cs="Times New Roman"/>
        </w:rPr>
        <w:t>randomisation</w:t>
      </w:r>
      <w:r w:rsidR="00540E24">
        <w:rPr>
          <w:rFonts w:ascii="Calibri" w:eastAsia="Calibri" w:hAnsi="Calibri" w:cs="Times New Roman"/>
        </w:rPr>
        <w:t>,</w:t>
      </w:r>
      <w:r w:rsidRPr="00817A2F">
        <w:rPr>
          <w:rFonts w:ascii="Calibri" w:eastAsia="Calibri" w:hAnsi="Calibri" w:cs="Times New Roman"/>
        </w:rPr>
        <w:t xml:space="preserve"> </w:t>
      </w:r>
      <w:r w:rsidR="00540E24">
        <w:rPr>
          <w:rFonts w:ascii="Calibri" w:eastAsia="Calibri" w:hAnsi="Calibri" w:cs="Times New Roman"/>
        </w:rPr>
        <w:t xml:space="preserve">presence of </w:t>
      </w:r>
      <w:r w:rsidRPr="00817A2F">
        <w:rPr>
          <w:rFonts w:ascii="Calibri" w:eastAsia="Calibri" w:hAnsi="Calibri" w:cs="Times New Roman"/>
        </w:rPr>
        <w:t xml:space="preserve">allocation concealment, presence of blinding of participants and personnel, presence of blinding of outcome assessment, incompleteness of outcome data, and selective reporting of results; see also Chapter 6, section </w:t>
      </w:r>
      <w:r w:rsidR="001146C5">
        <w:rPr>
          <w:rFonts w:ascii="Calibri" w:eastAsia="Calibri" w:hAnsi="Calibri" w:cs="Times New Roman"/>
        </w:rPr>
        <w:fldChar w:fldCharType="begin"/>
      </w:r>
      <w:r w:rsidR="001146C5">
        <w:rPr>
          <w:rFonts w:ascii="Calibri" w:eastAsia="Calibri" w:hAnsi="Calibri" w:cs="Times New Roman"/>
        </w:rPr>
        <w:instrText xml:space="preserve"> REF _Ref453250938 \r \h </w:instrText>
      </w:r>
      <w:r w:rsidR="001146C5">
        <w:rPr>
          <w:rFonts w:ascii="Calibri" w:eastAsia="Calibri" w:hAnsi="Calibri" w:cs="Times New Roman"/>
        </w:rPr>
      </w:r>
      <w:r w:rsidR="001146C5">
        <w:rPr>
          <w:rFonts w:ascii="Calibri" w:eastAsia="Calibri" w:hAnsi="Calibri" w:cs="Times New Roman"/>
        </w:rPr>
        <w:fldChar w:fldCharType="separate"/>
      </w:r>
      <w:r w:rsidR="00152F6D">
        <w:rPr>
          <w:rFonts w:ascii="Calibri" w:eastAsia="Calibri" w:hAnsi="Calibri" w:cs="Times New Roman"/>
        </w:rPr>
        <w:t>6.3.5</w:t>
      </w:r>
      <w:r w:rsidR="001146C5">
        <w:rPr>
          <w:rFonts w:ascii="Calibri" w:eastAsia="Calibri" w:hAnsi="Calibri" w:cs="Times New Roman"/>
        </w:rPr>
        <w:fldChar w:fldCharType="end"/>
      </w:r>
      <w:r w:rsidRPr="00817A2F">
        <w:rPr>
          <w:rFonts w:ascii="Calibri" w:eastAsia="Calibri" w:hAnsi="Calibri" w:cs="Times New Roman"/>
        </w:rPr>
        <w:t>), as well as several other factors. These other factors were intended to provide a more complete picture of study quality, and included whether the intervention was implemented as intended (fidelity), which is important for assessing the extent of internal validity</w:t>
      </w:r>
      <w:r w:rsidRPr="00817A2F">
        <w:rPr>
          <w:rFonts w:ascii="Calibri" w:eastAsia="Calibri" w:hAnsi="Calibri" w:cs="Times New Roman"/>
          <w:vertAlign w:val="superscript"/>
        </w:rPr>
        <w:footnoteReference w:id="3"/>
      </w:r>
      <w:r w:rsidRPr="00817A2F">
        <w:rPr>
          <w:rFonts w:ascii="Calibri" w:eastAsia="Calibri" w:hAnsi="Calibri" w:cs="Times New Roman"/>
        </w:rPr>
        <w:t xml:space="preserve"> (Moncher &amp; Printz, 1991), and whether there were differences between groups at baseline or between dropouts and non-dropouts. Other factors also included whether the study reported a sufficiently detailed intervention procedure, participant numbers (i.e. attendance rates, or reach), response rates, attrition rates</w:t>
      </w:r>
      <w:r w:rsidR="00540E24">
        <w:rPr>
          <w:rFonts w:ascii="Calibri" w:eastAsia="Calibri" w:hAnsi="Calibri" w:cs="Times New Roman"/>
        </w:rPr>
        <w:t>,</w:t>
      </w:r>
      <w:r w:rsidRPr="00817A2F">
        <w:rPr>
          <w:rFonts w:ascii="Calibri" w:eastAsia="Calibri" w:hAnsi="Calibri" w:cs="Times New Roman"/>
        </w:rPr>
        <w:t xml:space="preserve"> and outcomes. Together, this information helped build a picture of the overall quality of a study, </w:t>
      </w:r>
      <w:r w:rsidR="00540E24">
        <w:rPr>
          <w:rFonts w:ascii="Calibri" w:eastAsia="Calibri" w:hAnsi="Calibri" w:cs="Times New Roman"/>
        </w:rPr>
        <w:t xml:space="preserve">and </w:t>
      </w:r>
      <w:r w:rsidRPr="00817A2F">
        <w:rPr>
          <w:rFonts w:ascii="Calibri" w:eastAsia="Calibri" w:hAnsi="Calibri" w:cs="Times New Roman"/>
        </w:rPr>
        <w:t xml:space="preserve">its strengths and limitations, and thus contributed towards evaluating the effectiveness of an intervention. </w:t>
      </w:r>
    </w:p>
    <w:p w14:paraId="0A08238D" w14:textId="77777777" w:rsidR="00817A2F" w:rsidRPr="00817A2F" w:rsidRDefault="00817A2F" w:rsidP="00817A2F">
      <w:pPr>
        <w:spacing w:after="200" w:line="360" w:lineRule="auto"/>
        <w:contextualSpacing/>
        <w:rPr>
          <w:rFonts w:ascii="Calibri" w:eastAsia="Calibri" w:hAnsi="Calibri" w:cs="Times New Roman"/>
        </w:rPr>
      </w:pPr>
    </w:p>
    <w:p w14:paraId="75489A15" w14:textId="4A88DFF1" w:rsid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lastRenderedPageBreak/>
        <w:t xml:space="preserve">Without considering the type of quality information discussed here, and relying purely on a statistical evaluation of results, erroneous conclusions may be drawn. For example, in their meta-analysis, </w:t>
      </w:r>
      <w:r w:rsidR="00E067D9" w:rsidRPr="00C53B72">
        <w:t>Maricuţoiu</w:t>
      </w:r>
      <w:r w:rsidRPr="00817A2F">
        <w:rPr>
          <w:rFonts w:ascii="Calibri" w:eastAsia="Calibri" w:hAnsi="Calibri" w:cs="Times New Roman"/>
        </w:rPr>
        <w:t xml:space="preserve"> et al. (2014) found a small effect of controlled interventions on employees’ burnout. While cognitive-behavioural and relaxation interventions were effective for reducing emotional exhaustion, no effect of any type of intervention was observed on the depersonalisation and personal accomplishment subcomponents of burnout. The authors concluded that tailored burnout interventions needed to be developed. However, the study did not investigate the fidelity of the interventions, therefore it is possible that effects were not observed due to interventions being poorly im</w:t>
      </w:r>
      <w:r w:rsidR="00540E24">
        <w:rPr>
          <w:rFonts w:ascii="Calibri" w:eastAsia="Calibri" w:hAnsi="Calibri" w:cs="Times New Roman"/>
        </w:rPr>
        <w:t xml:space="preserve">plemented. </w:t>
      </w:r>
      <w:r w:rsidRPr="00817A2F">
        <w:rPr>
          <w:rFonts w:ascii="Calibri" w:eastAsia="Calibri" w:hAnsi="Calibri" w:cs="Times New Roman"/>
        </w:rPr>
        <w:t>The absence of an in-depth quality assessment demonstrates that lack of intervention effect may be erroneously attributed to factors such as intervention type, style (e.g. whether conducted in a group or one-to-one), or design (e.g. randomised or not), whereas an assessment may reveal factors contributing to a lack of effectiveness, such as high dropout rates, poor participant attendance or an inability to schedule the intervention as planned. Therefore, it is proposed that a narrative synthesis of the systematic review results, as conducted here, is necessary alongside a statistical analysis of results (as presented in Chapter 6), to fully explore and evaluate the effectiveness of intervention studies and assess their quality. This chapter therefore supports the following Chapter (Chapter 6) which details the results of a meta-analysis exploring the effectiveness of work engagement interventions, and thus the two s</w:t>
      </w:r>
      <w:r w:rsidR="00923A7B">
        <w:rPr>
          <w:rFonts w:ascii="Calibri" w:eastAsia="Calibri" w:hAnsi="Calibri" w:cs="Times New Roman"/>
        </w:rPr>
        <w:t xml:space="preserve">hould be read in conjunction. </w:t>
      </w:r>
    </w:p>
    <w:p w14:paraId="73AEFCB4" w14:textId="77777777" w:rsidR="00923A7B" w:rsidRDefault="00923A7B" w:rsidP="00817A2F">
      <w:pPr>
        <w:spacing w:after="200" w:line="360" w:lineRule="auto"/>
        <w:contextualSpacing/>
        <w:rPr>
          <w:rFonts w:ascii="Calibri" w:eastAsia="Calibri" w:hAnsi="Calibri" w:cs="Times New Roman"/>
        </w:rPr>
      </w:pPr>
    </w:p>
    <w:p w14:paraId="6949CE92" w14:textId="29BDC257" w:rsidR="00817A2F" w:rsidRPr="001B697E" w:rsidRDefault="00817A2F" w:rsidP="00B7614E">
      <w:pPr>
        <w:pStyle w:val="Thesisheading2"/>
      </w:pPr>
      <w:bookmarkStart w:id="138" w:name="_Toc450150476"/>
      <w:bookmarkStart w:id="139" w:name="_Toc450213919"/>
      <w:bookmarkStart w:id="140" w:name="_Toc450213992"/>
      <w:bookmarkStart w:id="141" w:name="_Toc450214022"/>
      <w:bookmarkStart w:id="142" w:name="_Toc450214023"/>
      <w:bookmarkStart w:id="143" w:name="_Toc468285957"/>
      <w:bookmarkEnd w:id="138"/>
      <w:bookmarkEnd w:id="139"/>
      <w:bookmarkEnd w:id="140"/>
      <w:bookmarkEnd w:id="141"/>
      <w:r w:rsidRPr="00923A7B">
        <w:t>Results</w:t>
      </w:r>
      <w:bookmarkEnd w:id="142"/>
      <w:bookmarkEnd w:id="143"/>
    </w:p>
    <w:p w14:paraId="4F86B4D8" w14:textId="77777777" w:rsidR="00817A2F" w:rsidRPr="00817A2F" w:rsidRDefault="00817A2F" w:rsidP="00817A2F">
      <w:pPr>
        <w:spacing w:after="200" w:line="276" w:lineRule="auto"/>
        <w:rPr>
          <w:rFonts w:ascii="Calibri" w:eastAsia="Calibri" w:hAnsi="Calibri" w:cs="Times New Roman"/>
        </w:rPr>
      </w:pPr>
    </w:p>
    <w:p w14:paraId="7DD49B55" w14:textId="70C9CE6B" w:rsidR="00817A2F" w:rsidRPr="001B697E" w:rsidRDefault="00817A2F" w:rsidP="0009618B">
      <w:pPr>
        <w:pStyle w:val="Heading3"/>
      </w:pPr>
      <w:bookmarkStart w:id="144" w:name="_Toc450214024"/>
      <w:bookmarkStart w:id="145" w:name="_Ref453574020"/>
      <w:bookmarkStart w:id="146" w:name="_Toc468285958"/>
      <w:r w:rsidRPr="001B697E">
        <w:t>Search results</w:t>
      </w:r>
      <w:bookmarkEnd w:id="144"/>
      <w:bookmarkEnd w:id="145"/>
      <w:bookmarkEnd w:id="146"/>
    </w:p>
    <w:p w14:paraId="3A7B8F9B" w14:textId="77777777" w:rsidR="00923A7B" w:rsidRDefault="00923A7B" w:rsidP="00817A2F">
      <w:pPr>
        <w:spacing w:after="200" w:line="360" w:lineRule="auto"/>
        <w:contextualSpacing/>
        <w:rPr>
          <w:rFonts w:ascii="Calibri" w:eastAsia="Calibri" w:hAnsi="Calibri" w:cs="Times New Roman"/>
        </w:rPr>
      </w:pPr>
    </w:p>
    <w:p w14:paraId="6057F60D" w14:textId="2ABDC695"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systematic search revealed a total of 726 records. Following the removal of duplicates, 688 references remained. Titles and abstracts were screened, resulting in 634 records being excluded. The full text of the r</w:t>
      </w:r>
      <w:r w:rsidR="009370D0">
        <w:rPr>
          <w:rFonts w:ascii="Calibri" w:eastAsia="Calibri" w:hAnsi="Calibri" w:cs="Times New Roman"/>
        </w:rPr>
        <w:t>emaining 55</w:t>
      </w:r>
      <w:r w:rsidRPr="00817A2F">
        <w:rPr>
          <w:rFonts w:ascii="Calibri" w:eastAsia="Calibri" w:hAnsi="Calibri" w:cs="Times New Roman"/>
        </w:rPr>
        <w:t xml:space="preserve"> articles were obtained and further assessed for inclusion. Thirty-three of these studies (from 40 records) were assessed as meeting the in</w:t>
      </w:r>
      <w:r w:rsidR="009370D0">
        <w:rPr>
          <w:rFonts w:ascii="Calibri" w:eastAsia="Calibri" w:hAnsi="Calibri" w:cs="Times New Roman"/>
        </w:rPr>
        <w:t>clusion criteria. Reasons for 15</w:t>
      </w:r>
      <w:r w:rsidRPr="00817A2F">
        <w:rPr>
          <w:rFonts w:ascii="Calibri" w:eastAsia="Calibri" w:hAnsi="Calibri" w:cs="Times New Roman"/>
        </w:rPr>
        <w:t xml:space="preserve"> records being rejected at this stage included lack of access to studies</w:t>
      </w:r>
      <w:r w:rsidR="00540E24">
        <w:rPr>
          <w:rFonts w:ascii="Calibri" w:eastAsia="Calibri" w:hAnsi="Calibri" w:cs="Times New Roman"/>
        </w:rPr>
        <w:t>,</w:t>
      </w:r>
      <w:r w:rsidRPr="00817A2F">
        <w:rPr>
          <w:rFonts w:ascii="Calibri" w:eastAsia="Calibri" w:hAnsi="Calibri" w:cs="Times New Roman"/>
        </w:rPr>
        <w:t xml:space="preserve"> and n</w:t>
      </w:r>
      <w:r w:rsidR="001146C5">
        <w:rPr>
          <w:rFonts w:ascii="Calibri" w:eastAsia="Calibri" w:hAnsi="Calibri" w:cs="Times New Roman"/>
        </w:rPr>
        <w:t xml:space="preserve">o measure of engagement. </w:t>
      </w:r>
      <w:r w:rsidR="001146C5">
        <w:rPr>
          <w:rFonts w:ascii="Calibri" w:eastAsia="Calibri" w:hAnsi="Calibri" w:cs="Times New Roman"/>
        </w:rPr>
        <w:fldChar w:fldCharType="begin"/>
      </w:r>
      <w:r w:rsidR="001146C5">
        <w:rPr>
          <w:rFonts w:ascii="Calibri" w:eastAsia="Calibri" w:hAnsi="Calibri" w:cs="Times New Roman"/>
        </w:rPr>
        <w:instrText xml:space="preserve"> REF _Ref453251008 \h </w:instrText>
      </w:r>
      <w:r w:rsidR="001146C5">
        <w:rPr>
          <w:rFonts w:ascii="Calibri" w:eastAsia="Calibri" w:hAnsi="Calibri" w:cs="Times New Roman"/>
        </w:rPr>
      </w:r>
      <w:r w:rsidR="001146C5">
        <w:rPr>
          <w:rFonts w:ascii="Calibri" w:eastAsia="Calibri" w:hAnsi="Calibri" w:cs="Times New Roman"/>
        </w:rPr>
        <w:fldChar w:fldCharType="separate"/>
      </w:r>
      <w:r w:rsidR="00152F6D">
        <w:t xml:space="preserve">Figure </w:t>
      </w:r>
      <w:r w:rsidR="00152F6D">
        <w:rPr>
          <w:noProof/>
        </w:rPr>
        <w:t>5</w:t>
      </w:r>
      <w:r w:rsidR="00152F6D">
        <w:t>.</w:t>
      </w:r>
      <w:r w:rsidR="00152F6D">
        <w:rPr>
          <w:noProof/>
        </w:rPr>
        <w:t>1</w:t>
      </w:r>
      <w:r w:rsidR="001146C5">
        <w:rPr>
          <w:rFonts w:ascii="Calibri" w:eastAsia="Calibri" w:hAnsi="Calibri" w:cs="Times New Roman"/>
        </w:rPr>
        <w:fldChar w:fldCharType="end"/>
      </w:r>
      <w:r w:rsidRPr="00817A2F">
        <w:rPr>
          <w:rFonts w:ascii="Calibri" w:eastAsia="Calibri" w:hAnsi="Calibri" w:cs="Times New Roman"/>
        </w:rPr>
        <w:t xml:space="preserve"> depicts the search results and reasons for decisions made in more detail. In accordance with the Cochrane Collaboration’s (2011) guidelines, a more detailed table describing the studies which were followed up for eligibility but eventually rejected, along with reasons for their rejection, can be found in Appendix 3a (</w:t>
      </w:r>
      <w:r w:rsidRPr="00817A2F">
        <w:rPr>
          <w:rFonts w:ascii="Calibri" w:eastAsia="Calibri" w:hAnsi="Calibri" w:cs="Times New Roman"/>
          <w:i/>
        </w:rPr>
        <w:t>k=</w:t>
      </w:r>
      <w:r w:rsidR="004D0E09">
        <w:rPr>
          <w:rFonts w:ascii="Calibri" w:eastAsia="Calibri" w:hAnsi="Calibri" w:cs="Times New Roman"/>
        </w:rPr>
        <w:t>15</w:t>
      </w:r>
      <w:r w:rsidRPr="00817A2F">
        <w:rPr>
          <w:rFonts w:ascii="Calibri" w:eastAsia="Calibri" w:hAnsi="Calibri" w:cs="Times New Roman"/>
        </w:rPr>
        <w:t xml:space="preserve">). </w:t>
      </w:r>
    </w:p>
    <w:p w14:paraId="29873966" w14:textId="77777777" w:rsidR="00817A2F" w:rsidRPr="00817A2F" w:rsidRDefault="00817A2F" w:rsidP="00817A2F">
      <w:pPr>
        <w:spacing w:after="200" w:line="360" w:lineRule="auto"/>
        <w:contextualSpacing/>
        <w:rPr>
          <w:rFonts w:ascii="Calibri" w:eastAsia="Calibri" w:hAnsi="Calibri" w:cs="Times New Roman"/>
        </w:rPr>
      </w:pPr>
    </w:p>
    <w:p w14:paraId="23928076" w14:textId="2D395AB8" w:rsidR="00732887" w:rsidRDefault="001F0C9C" w:rsidP="00732887">
      <w:pPr>
        <w:keepNext/>
        <w:spacing w:after="200" w:line="360" w:lineRule="auto"/>
        <w:contextualSpacing/>
      </w:pPr>
      <w:r w:rsidRPr="001F0C9C">
        <w:rPr>
          <w:noProof/>
          <w:lang w:eastAsia="en-GB"/>
        </w:rPr>
        <w:lastRenderedPageBreak/>
        <w:drawing>
          <wp:inline distT="0" distB="0" distL="0" distR="0" wp14:anchorId="0C5A22CF" wp14:editId="7A2E09DC">
            <wp:extent cx="5731510" cy="500888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008880"/>
                    </a:xfrm>
                    <a:prstGeom prst="rect">
                      <a:avLst/>
                    </a:prstGeom>
                  </pic:spPr>
                </pic:pic>
              </a:graphicData>
            </a:graphic>
          </wp:inline>
        </w:drawing>
      </w:r>
    </w:p>
    <w:p w14:paraId="487835AD" w14:textId="133936AB" w:rsidR="00AE3CFA" w:rsidRPr="00AE3CFA" w:rsidRDefault="00732887" w:rsidP="005852AD">
      <w:pPr>
        <w:pStyle w:val="Figurestyle"/>
        <w:rPr>
          <w:vanish/>
          <w:specVanish/>
        </w:rPr>
      </w:pPr>
      <w:bookmarkStart w:id="147" w:name="_Ref453251008"/>
      <w:bookmarkStart w:id="148" w:name="_Toc453238912"/>
      <w:bookmarkStart w:id="149" w:name="_Ref453573284"/>
      <w:bookmarkStart w:id="150" w:name="_Toc468286102"/>
      <w:r>
        <w:t xml:space="preserve">Figure </w:t>
      </w:r>
      <w:r w:rsidR="00245D68">
        <w:fldChar w:fldCharType="begin"/>
      </w:r>
      <w:r w:rsidR="00245D68">
        <w:instrText xml:space="preserve"> STYLEREF 1 \s </w:instrText>
      </w:r>
      <w:r w:rsidR="00245D68">
        <w:fldChar w:fldCharType="separate"/>
      </w:r>
      <w:r w:rsidR="00152F6D">
        <w:rPr>
          <w:noProof/>
        </w:rPr>
        <w:t>5</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1</w:t>
      </w:r>
      <w:r w:rsidR="00245D68">
        <w:rPr>
          <w:noProof/>
        </w:rPr>
        <w:fldChar w:fldCharType="end"/>
      </w:r>
      <w:bookmarkEnd w:id="147"/>
      <w:r>
        <w:t xml:space="preserve"> </w:t>
      </w:r>
      <w:r w:rsidRPr="00B57E99">
        <w:t>A flow diagram of the systematic literature search results</w:t>
      </w:r>
      <w:bookmarkEnd w:id="148"/>
      <w:bookmarkEnd w:id="149"/>
      <w:bookmarkEnd w:id="150"/>
    </w:p>
    <w:p w14:paraId="085260CD" w14:textId="1C2166FA" w:rsidR="0068449F" w:rsidRDefault="00732887" w:rsidP="005852AD">
      <w:pPr>
        <w:pStyle w:val="Figurestyle"/>
      </w:pPr>
      <w:r w:rsidRPr="004D339B">
        <w:t>, including reasons for decisions made during the process of excluding / including studies</w:t>
      </w:r>
      <w:r w:rsidR="00AE3CFA">
        <w:t xml:space="preserve"> </w:t>
      </w:r>
    </w:p>
    <w:p w14:paraId="20C79890" w14:textId="77777777" w:rsidR="00817A2F" w:rsidRPr="00817A2F" w:rsidRDefault="00817A2F" w:rsidP="00817A2F">
      <w:pPr>
        <w:spacing w:after="200" w:line="276" w:lineRule="auto"/>
        <w:rPr>
          <w:rFonts w:ascii="Calibri" w:eastAsia="Calibri" w:hAnsi="Calibri" w:cs="Times New Roman"/>
        </w:rPr>
      </w:pPr>
      <w:bookmarkStart w:id="151" w:name="_Toc450150479"/>
      <w:bookmarkEnd w:id="151"/>
    </w:p>
    <w:p w14:paraId="24349153" w14:textId="34A85A0B" w:rsidR="00817A2F" w:rsidRPr="001B697E" w:rsidRDefault="00817A2F" w:rsidP="0009618B">
      <w:pPr>
        <w:pStyle w:val="Heading3"/>
      </w:pPr>
      <w:bookmarkStart w:id="152" w:name="_Toc450150480"/>
      <w:bookmarkStart w:id="153" w:name="_Toc450150481"/>
      <w:bookmarkStart w:id="154" w:name="_Toc450150482"/>
      <w:bookmarkStart w:id="155" w:name="_Toc450150483"/>
      <w:bookmarkStart w:id="156" w:name="_Toc450150484"/>
      <w:bookmarkStart w:id="157" w:name="_Toc450214026"/>
      <w:bookmarkStart w:id="158" w:name="_Toc468285959"/>
      <w:bookmarkEnd w:id="152"/>
      <w:bookmarkEnd w:id="153"/>
      <w:bookmarkEnd w:id="154"/>
      <w:bookmarkEnd w:id="155"/>
      <w:bookmarkEnd w:id="156"/>
      <w:r w:rsidRPr="001B697E">
        <w:t>Characteristics of the studies</w:t>
      </w:r>
      <w:bookmarkEnd w:id="157"/>
      <w:bookmarkEnd w:id="158"/>
    </w:p>
    <w:p w14:paraId="24D776B1" w14:textId="77777777" w:rsidR="001B697E" w:rsidRDefault="001B697E" w:rsidP="00817A2F">
      <w:pPr>
        <w:spacing w:after="200" w:line="360" w:lineRule="auto"/>
        <w:contextualSpacing/>
        <w:rPr>
          <w:rFonts w:ascii="Calibri" w:eastAsia="Calibri" w:hAnsi="Calibri" w:cs="Times New Roman"/>
        </w:rPr>
      </w:pPr>
    </w:p>
    <w:p w14:paraId="0FB7DBCC" w14:textId="64F708F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following four sections (</w:t>
      </w:r>
      <w:r w:rsidR="001146C5">
        <w:rPr>
          <w:rFonts w:ascii="Calibri" w:eastAsia="Calibri" w:hAnsi="Calibri" w:cs="Times New Roman"/>
        </w:rPr>
        <w:fldChar w:fldCharType="begin"/>
      </w:r>
      <w:r w:rsidR="001146C5">
        <w:rPr>
          <w:rFonts w:ascii="Calibri" w:eastAsia="Calibri" w:hAnsi="Calibri" w:cs="Times New Roman"/>
        </w:rPr>
        <w:instrText xml:space="preserve"> REF _Ref453251083 \r \h </w:instrText>
      </w:r>
      <w:r w:rsidR="001146C5">
        <w:rPr>
          <w:rFonts w:ascii="Calibri" w:eastAsia="Calibri" w:hAnsi="Calibri" w:cs="Times New Roman"/>
        </w:rPr>
      </w:r>
      <w:r w:rsidR="001146C5">
        <w:rPr>
          <w:rFonts w:ascii="Calibri" w:eastAsia="Calibri" w:hAnsi="Calibri" w:cs="Times New Roman"/>
        </w:rPr>
        <w:fldChar w:fldCharType="separate"/>
      </w:r>
      <w:r w:rsidR="00152F6D">
        <w:rPr>
          <w:rFonts w:ascii="Calibri" w:eastAsia="Calibri" w:hAnsi="Calibri" w:cs="Times New Roman"/>
        </w:rPr>
        <w:t>5.3.4</w:t>
      </w:r>
      <w:r w:rsidR="001146C5">
        <w:rPr>
          <w:rFonts w:ascii="Calibri" w:eastAsia="Calibri" w:hAnsi="Calibri" w:cs="Times New Roman"/>
        </w:rPr>
        <w:fldChar w:fldCharType="end"/>
      </w:r>
      <w:r w:rsidRPr="00817A2F">
        <w:rPr>
          <w:rFonts w:ascii="Calibri" w:eastAsia="Calibri" w:hAnsi="Calibri" w:cs="Times New Roman"/>
        </w:rPr>
        <w:t>-</w:t>
      </w:r>
      <w:r w:rsidR="001146C5">
        <w:rPr>
          <w:rFonts w:ascii="Calibri" w:eastAsia="Calibri" w:hAnsi="Calibri" w:cs="Times New Roman"/>
        </w:rPr>
        <w:fldChar w:fldCharType="begin"/>
      </w:r>
      <w:r w:rsidR="001146C5">
        <w:rPr>
          <w:rFonts w:ascii="Calibri" w:eastAsia="Calibri" w:hAnsi="Calibri" w:cs="Times New Roman"/>
        </w:rPr>
        <w:instrText xml:space="preserve"> REF _Ref453251117 \r \h </w:instrText>
      </w:r>
      <w:r w:rsidR="001146C5">
        <w:rPr>
          <w:rFonts w:ascii="Calibri" w:eastAsia="Calibri" w:hAnsi="Calibri" w:cs="Times New Roman"/>
        </w:rPr>
      </w:r>
      <w:r w:rsidR="001146C5">
        <w:rPr>
          <w:rFonts w:ascii="Calibri" w:eastAsia="Calibri" w:hAnsi="Calibri" w:cs="Times New Roman"/>
        </w:rPr>
        <w:fldChar w:fldCharType="separate"/>
      </w:r>
      <w:r w:rsidR="00152F6D">
        <w:rPr>
          <w:rFonts w:ascii="Calibri" w:eastAsia="Calibri" w:hAnsi="Calibri" w:cs="Times New Roman"/>
        </w:rPr>
        <w:t>5.3.6</w:t>
      </w:r>
      <w:r w:rsidR="001146C5">
        <w:rPr>
          <w:rFonts w:ascii="Calibri" w:eastAsia="Calibri" w:hAnsi="Calibri" w:cs="Times New Roman"/>
        </w:rPr>
        <w:fldChar w:fldCharType="end"/>
      </w:r>
      <w:r w:rsidRPr="00817A2F">
        <w:rPr>
          <w:rFonts w:ascii="Calibri" w:eastAsia="Calibri" w:hAnsi="Calibri" w:cs="Times New Roman"/>
        </w:rPr>
        <w:t>) describe the results obtained from the literature review for each of the four types of work engagement intervention identified: 1) personal resource building interventions; 2) job resource building interventions; 3) leadership training interventions; and 4) h</w:t>
      </w:r>
      <w:r w:rsidR="00364F98">
        <w:rPr>
          <w:rFonts w:ascii="Calibri" w:eastAsia="Calibri" w:hAnsi="Calibri" w:cs="Times New Roman"/>
        </w:rPr>
        <w:t xml:space="preserve">ealth promotion interventions. </w:t>
      </w:r>
      <w:r w:rsidRPr="00817A2F">
        <w:rPr>
          <w:rFonts w:ascii="Calibri" w:eastAsia="Calibri" w:hAnsi="Calibri" w:cs="Times New Roman"/>
        </w:rPr>
        <w:t xml:space="preserve">Given the substantial differences between interventions, it is intended that structuring the review according to intervention type will facilitate a more meaningful synthesis of the data than could otherwise be achieved. Organising the review according to any of the other study characteristics would be inappropriate as they either contain too few categories (e.g. organisation type), making the synthesis of data little easier than if all studies were compared </w:t>
      </w:r>
      <w:r w:rsidRPr="00817A2F">
        <w:rPr>
          <w:rFonts w:ascii="Calibri" w:eastAsia="Calibri" w:hAnsi="Calibri" w:cs="Times New Roman"/>
        </w:rPr>
        <w:lastRenderedPageBreak/>
        <w:t>together, or too few studies within each category (e.g. intervention style), preventing meaningful comparisons from being made.</w:t>
      </w:r>
    </w:p>
    <w:p w14:paraId="1B77CEE5" w14:textId="77777777" w:rsidR="00817A2F" w:rsidRPr="00817A2F" w:rsidRDefault="00817A2F" w:rsidP="00817A2F">
      <w:pPr>
        <w:spacing w:after="200" w:line="360" w:lineRule="auto"/>
        <w:contextualSpacing/>
        <w:rPr>
          <w:rFonts w:ascii="Calibri" w:eastAsia="Calibri" w:hAnsi="Calibri" w:cs="Times New Roman"/>
        </w:rPr>
      </w:pPr>
    </w:p>
    <w:p w14:paraId="5E48D9FE"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Each section describes the characteristics of interventions found within each category, the characteristics of research designs, the outcomes measured, including those besides work engagement and its subcomponents, the findings, both work engagement and non-work engagement specific, and the quality of the studies, concluding with a summary of the results. Six tables containing this information in detail can be found in Appendices 4a-4f.  </w:t>
      </w:r>
    </w:p>
    <w:p w14:paraId="2BDFC4F5" w14:textId="77777777" w:rsidR="00817A2F" w:rsidRPr="00817A2F" w:rsidRDefault="00817A2F" w:rsidP="00817A2F">
      <w:pPr>
        <w:spacing w:after="200" w:line="360" w:lineRule="auto"/>
        <w:contextualSpacing/>
        <w:rPr>
          <w:rFonts w:ascii="Calibri" w:eastAsia="Calibri" w:hAnsi="Calibri" w:cs="Times New Roman"/>
        </w:rPr>
      </w:pPr>
    </w:p>
    <w:p w14:paraId="4293C31F" w14:textId="3F01F7AD" w:rsidR="00817A2F" w:rsidRPr="001B697E" w:rsidRDefault="00817A2F" w:rsidP="0009618B">
      <w:pPr>
        <w:pStyle w:val="Heading3"/>
      </w:pPr>
      <w:bookmarkStart w:id="159" w:name="_Toc450214027"/>
      <w:bookmarkStart w:id="160" w:name="_Toc468285960"/>
      <w:r w:rsidRPr="001B697E">
        <w:t>Personal resource building interventions</w:t>
      </w:r>
      <w:bookmarkEnd w:id="159"/>
      <w:bookmarkEnd w:id="160"/>
    </w:p>
    <w:p w14:paraId="738F9450" w14:textId="77777777" w:rsidR="001B697E" w:rsidRDefault="001B697E" w:rsidP="00817A2F">
      <w:pPr>
        <w:spacing w:after="200" w:line="360" w:lineRule="auto"/>
        <w:contextualSpacing/>
        <w:rPr>
          <w:rFonts w:ascii="Calibri" w:eastAsia="Calibri" w:hAnsi="Calibri" w:cs="Times New Roman"/>
        </w:rPr>
      </w:pPr>
    </w:p>
    <w:p w14:paraId="39B1471E" w14:textId="053DAAF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Eight studies measured the effect of interventions to increase personal resources on work engagement, and four more were identified to be at least at the protocol stage. This section describes the characteristics of these eight completed studies (see also Appendices 4a &amp; 4b), discusses their findings (Appendix 4c), and assesses their quality and implementation success (Appendices 4d-4f). Four of the eight studies are published research articles, two are PhD theses, one is a conference paper (Sodani </w:t>
      </w:r>
      <w:r w:rsidR="00B64DD5">
        <w:rPr>
          <w:rFonts w:ascii="Calibri" w:eastAsia="Calibri" w:hAnsi="Calibri" w:cs="Times New Roman"/>
        </w:rPr>
        <w:t>et al.,</w:t>
      </w:r>
      <w:r w:rsidRPr="00817A2F">
        <w:rPr>
          <w:rFonts w:ascii="Calibri" w:eastAsia="Calibri" w:hAnsi="Calibri" w:cs="Times New Roman"/>
        </w:rPr>
        <w:t xml:space="preserve"> 2011), and one is a PDF of powerpoint slides presented at a conference (Ijntema, 2014). The studies took place in a variety of countries, two occurred in The Netherlands, and one occurred in each of Finland, Australia, the USA, the UK, Israel and Iran. The organisations in which these interventions took place were also heterogeneous, and included financial organisations, hospitals and a welfare organisation. Two studies were conducted with employees from various organisations (Ouweneel </w:t>
      </w:r>
      <w:r w:rsidR="00B64DD5">
        <w:rPr>
          <w:rFonts w:ascii="Calibri" w:eastAsia="Calibri" w:hAnsi="Calibri" w:cs="Times New Roman"/>
        </w:rPr>
        <w:t>et al.,</w:t>
      </w:r>
      <w:r w:rsidRPr="00817A2F">
        <w:rPr>
          <w:rFonts w:ascii="Calibri" w:eastAsia="Calibri" w:hAnsi="Calibri" w:cs="Times New Roman"/>
        </w:rPr>
        <w:t xml:space="preserve"> 2013 &amp; Vuori </w:t>
      </w:r>
      <w:r w:rsidR="00B64DD5">
        <w:rPr>
          <w:rFonts w:ascii="Calibri" w:eastAsia="Calibri" w:hAnsi="Calibri" w:cs="Times New Roman"/>
        </w:rPr>
        <w:t>et al.,</w:t>
      </w:r>
      <w:r w:rsidRPr="00817A2F">
        <w:rPr>
          <w:rFonts w:ascii="Calibri" w:eastAsia="Calibri" w:hAnsi="Calibri" w:cs="Times New Roman"/>
        </w:rPr>
        <w:t xml:space="preserve"> 2012). More specific details regarding the design, interventions conducted, and findings will be described throughout this section.</w:t>
      </w:r>
    </w:p>
    <w:p w14:paraId="61020EFB"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 </w:t>
      </w:r>
    </w:p>
    <w:p w14:paraId="27059F28" w14:textId="77310070" w:rsidR="00817A2F" w:rsidRPr="001B697E" w:rsidRDefault="00817A2F" w:rsidP="00C7793C">
      <w:pPr>
        <w:pStyle w:val="Heading4"/>
        <w:rPr>
          <w:rFonts w:eastAsia="Times New Roman"/>
        </w:rPr>
      </w:pPr>
      <w:r w:rsidRPr="001B697E">
        <w:rPr>
          <w:rFonts w:eastAsia="Times New Roman"/>
        </w:rPr>
        <w:t>Interventions covered</w:t>
      </w:r>
    </w:p>
    <w:p w14:paraId="1DB7918F" w14:textId="77777777" w:rsidR="00817A2F" w:rsidRPr="00817A2F" w:rsidRDefault="00817A2F" w:rsidP="00817A2F">
      <w:pPr>
        <w:spacing w:after="200" w:line="360" w:lineRule="auto"/>
        <w:contextualSpacing/>
        <w:rPr>
          <w:rFonts w:ascii="Calibri" w:eastAsia="Calibri" w:hAnsi="Calibri" w:cs="Times New Roman"/>
        </w:rPr>
      </w:pPr>
    </w:p>
    <w:p w14:paraId="2657CE21" w14:textId="299F7A6B"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Six of the studies described face-to-face group interventions, one described an intervention conducted face-to-face with individuals (Ijntema, 2014), and one described an intervention conducted purely online (Ouweneel</w:t>
      </w:r>
      <w:r w:rsidR="00D77E72">
        <w:rPr>
          <w:rFonts w:ascii="Calibri" w:eastAsia="Calibri" w:hAnsi="Calibri" w:cs="Times New Roman"/>
        </w:rPr>
        <w:t xml:space="preserve"> et al.</w:t>
      </w:r>
      <w:r w:rsidRPr="00817A2F">
        <w:rPr>
          <w:rFonts w:ascii="Calibri" w:eastAsia="Calibri" w:hAnsi="Calibri" w:cs="Times New Roman"/>
        </w:rPr>
        <w:t xml:space="preserve">, 2013). The content of the interventions varied considerably, although there was some commonality between them. For example, group interventions tended to focus on learning and training, with a variety of methods being employed including role play (e.g. Carter, 2010; Vuori </w:t>
      </w:r>
      <w:r w:rsidR="00B64DD5">
        <w:rPr>
          <w:rFonts w:ascii="Calibri" w:eastAsia="Calibri" w:hAnsi="Calibri" w:cs="Times New Roman"/>
        </w:rPr>
        <w:t>et al.,</w:t>
      </w:r>
      <w:r w:rsidRPr="00817A2F">
        <w:rPr>
          <w:rFonts w:ascii="Calibri" w:eastAsia="Calibri" w:hAnsi="Calibri" w:cs="Times New Roman"/>
        </w:rPr>
        <w:t xml:space="preserve"> 2012), vicarious learning (Carter, 2010), and workshops focusing on problem-solving and perspec</w:t>
      </w:r>
      <w:r w:rsidR="000D4C05">
        <w:rPr>
          <w:rFonts w:ascii="Calibri" w:eastAsia="Calibri" w:hAnsi="Calibri" w:cs="Times New Roman"/>
        </w:rPr>
        <w:t>tive-taking (Sodani et al., 2011</w:t>
      </w:r>
      <w:r w:rsidRPr="00817A2F">
        <w:rPr>
          <w:rFonts w:ascii="Calibri" w:eastAsia="Calibri" w:hAnsi="Calibri" w:cs="Times New Roman"/>
        </w:rPr>
        <w:t xml:space="preserve">). One study </w:t>
      </w:r>
      <w:r w:rsidRPr="00817A2F">
        <w:rPr>
          <w:rFonts w:ascii="Calibri" w:eastAsia="Calibri" w:hAnsi="Calibri" w:cs="Times New Roman"/>
        </w:rPr>
        <w:lastRenderedPageBreak/>
        <w:t xml:space="preserve">(Chen </w:t>
      </w:r>
      <w:r w:rsidR="00B64DD5">
        <w:rPr>
          <w:rFonts w:ascii="Calibri" w:eastAsia="Calibri" w:hAnsi="Calibri" w:cs="Times New Roman"/>
        </w:rPr>
        <w:t>et al.,</w:t>
      </w:r>
      <w:r w:rsidRPr="00817A2F">
        <w:rPr>
          <w:rFonts w:ascii="Calibri" w:eastAsia="Calibri" w:hAnsi="Calibri" w:cs="Times New Roman"/>
        </w:rPr>
        <w:t xml:space="preserve"> 2009) involved a ‘systemic’ component, </w:t>
      </w:r>
      <w:r w:rsidR="00801C4F">
        <w:rPr>
          <w:rFonts w:ascii="Calibri" w:eastAsia="Calibri" w:hAnsi="Calibri" w:cs="Times New Roman"/>
        </w:rPr>
        <w:t>in which</w:t>
      </w:r>
      <w:r w:rsidRPr="00817A2F">
        <w:rPr>
          <w:rFonts w:ascii="Calibri" w:eastAsia="Calibri" w:hAnsi="Calibri" w:cs="Times New Roman"/>
        </w:rPr>
        <w:t xml:space="preserve"> a new computer system was introduced prior to a ‘resource building’ workshop. Bishop (2013) employed a different approach, utilising </w:t>
      </w:r>
      <w:r w:rsidR="00160731">
        <w:rPr>
          <w:rFonts w:ascii="Calibri" w:eastAsia="Calibri" w:hAnsi="Calibri" w:cs="Times New Roman"/>
        </w:rPr>
        <w:t>the principles of appreciative i</w:t>
      </w:r>
      <w:r w:rsidRPr="00817A2F">
        <w:rPr>
          <w:rFonts w:ascii="Calibri" w:eastAsia="Calibri" w:hAnsi="Calibri" w:cs="Times New Roman"/>
        </w:rPr>
        <w:t>nquiry</w:t>
      </w:r>
      <w:r w:rsidR="00761B9B">
        <w:rPr>
          <w:rFonts w:ascii="Calibri" w:eastAsia="Calibri" w:hAnsi="Calibri" w:cs="Times New Roman"/>
        </w:rPr>
        <w:t xml:space="preserve"> (for a definition, see Workshop 1,</w:t>
      </w:r>
      <w:r w:rsidR="00160731">
        <w:rPr>
          <w:rFonts w:ascii="Calibri" w:eastAsia="Calibri" w:hAnsi="Calibri" w:cs="Times New Roman"/>
        </w:rPr>
        <w:t xml:space="preserve"> section</w:t>
      </w:r>
      <w:r w:rsidR="00761B9B">
        <w:rPr>
          <w:rFonts w:ascii="Calibri" w:eastAsia="Calibri" w:hAnsi="Calibri" w:cs="Times New Roman"/>
        </w:rPr>
        <w:t xml:space="preserve"> </w:t>
      </w:r>
      <w:r w:rsidR="00160731">
        <w:rPr>
          <w:rFonts w:ascii="Calibri" w:eastAsia="Calibri" w:hAnsi="Calibri" w:cs="Times New Roman"/>
        </w:rPr>
        <w:fldChar w:fldCharType="begin"/>
      </w:r>
      <w:r w:rsidR="00160731">
        <w:rPr>
          <w:rFonts w:ascii="Calibri" w:eastAsia="Calibri" w:hAnsi="Calibri" w:cs="Times New Roman"/>
        </w:rPr>
        <w:instrText xml:space="preserve"> REF _Ref456778275 \n \h </w:instrText>
      </w:r>
      <w:r w:rsidR="00160731">
        <w:rPr>
          <w:rFonts w:ascii="Calibri" w:eastAsia="Calibri" w:hAnsi="Calibri" w:cs="Times New Roman"/>
        </w:rPr>
      </w:r>
      <w:r w:rsidR="00160731">
        <w:rPr>
          <w:rFonts w:ascii="Calibri" w:eastAsia="Calibri" w:hAnsi="Calibri" w:cs="Times New Roman"/>
        </w:rPr>
        <w:fldChar w:fldCharType="separate"/>
      </w:r>
      <w:r w:rsidR="00152F6D">
        <w:rPr>
          <w:rFonts w:ascii="Calibri" w:eastAsia="Calibri" w:hAnsi="Calibri" w:cs="Times New Roman"/>
        </w:rPr>
        <w:t>7.4</w:t>
      </w:r>
      <w:r w:rsidR="00160731">
        <w:rPr>
          <w:rFonts w:ascii="Calibri" w:eastAsia="Calibri" w:hAnsi="Calibri" w:cs="Times New Roman"/>
        </w:rPr>
        <w:fldChar w:fldCharType="end"/>
      </w:r>
      <w:r w:rsidR="00160731">
        <w:rPr>
          <w:rFonts w:ascii="Calibri" w:eastAsia="Calibri" w:hAnsi="Calibri" w:cs="Times New Roman"/>
        </w:rPr>
        <w:t>)</w:t>
      </w:r>
      <w:r w:rsidRPr="00817A2F">
        <w:rPr>
          <w:rFonts w:ascii="Calibri" w:eastAsia="Calibri" w:hAnsi="Calibri" w:cs="Times New Roman"/>
        </w:rPr>
        <w:t xml:space="preserve"> to create an environment of caring, sharing and support duri</w:t>
      </w:r>
      <w:r w:rsidR="00801C4F">
        <w:rPr>
          <w:rFonts w:ascii="Calibri" w:eastAsia="Calibri" w:hAnsi="Calibri" w:cs="Times New Roman"/>
        </w:rPr>
        <w:t xml:space="preserve">ng a retreat for older nurses. </w:t>
      </w:r>
      <w:r w:rsidRPr="00817A2F">
        <w:rPr>
          <w:rFonts w:ascii="Calibri" w:eastAsia="Calibri" w:hAnsi="Calibri" w:cs="Times New Roman"/>
        </w:rPr>
        <w:t xml:space="preserve">A different approach again was taken by Maclean (2013), who employed acceptance-commitment therapy (ACT) and mindfulness techniques within a group programme to improve ‘psychological flexibility’ and </w:t>
      </w:r>
      <w:r w:rsidR="001D6140">
        <w:rPr>
          <w:rFonts w:ascii="Calibri" w:eastAsia="Calibri" w:hAnsi="Calibri" w:cs="Times New Roman"/>
        </w:rPr>
        <w:t>well-being</w:t>
      </w:r>
      <w:r w:rsidRPr="00817A2F">
        <w:rPr>
          <w:rFonts w:ascii="Calibri" w:eastAsia="Calibri" w:hAnsi="Calibri" w:cs="Times New Roman"/>
        </w:rPr>
        <w:t xml:space="preserve"> in mental health service staff. </w:t>
      </w:r>
    </w:p>
    <w:p w14:paraId="118B7DCA" w14:textId="77777777" w:rsidR="00817A2F" w:rsidRPr="00817A2F" w:rsidRDefault="00817A2F" w:rsidP="00817A2F">
      <w:pPr>
        <w:spacing w:after="200" w:line="360" w:lineRule="auto"/>
        <w:contextualSpacing/>
        <w:rPr>
          <w:rFonts w:ascii="Calibri" w:eastAsia="Calibri" w:hAnsi="Calibri" w:cs="Times New Roman"/>
        </w:rPr>
      </w:pPr>
    </w:p>
    <w:p w14:paraId="2F6571E5" w14:textId="1B340DF9"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one intervention study conducted face-to-face with individuals (Ijntema, 2014) involved one-to-one professional coaching, the details of which are not yet available although the study has been completed. Ouweneel </w:t>
      </w:r>
      <w:r w:rsidR="00D77E72">
        <w:rPr>
          <w:rFonts w:ascii="Calibri" w:eastAsia="Calibri" w:hAnsi="Calibri" w:cs="Times New Roman"/>
        </w:rPr>
        <w:t>and colleagues’</w:t>
      </w:r>
      <w:r w:rsidRPr="00817A2F">
        <w:rPr>
          <w:rFonts w:ascii="Calibri" w:eastAsia="Calibri" w:hAnsi="Calibri" w:cs="Times New Roman"/>
        </w:rPr>
        <w:t xml:space="preserve"> (2013) online study focused on some of the same elements as the group workshops (e.g. goal-setting), as well as incorporating other elements (e.g. happiness and gratitude), and encouraged the development of skills through practical homework assignments as opp</w:t>
      </w:r>
      <w:r w:rsidR="00D77E72">
        <w:rPr>
          <w:rFonts w:ascii="Calibri" w:eastAsia="Calibri" w:hAnsi="Calibri" w:cs="Times New Roman"/>
        </w:rPr>
        <w:t>osed to role-play. Both Ijntema’</w:t>
      </w:r>
      <w:r w:rsidRPr="00817A2F">
        <w:rPr>
          <w:rFonts w:ascii="Calibri" w:eastAsia="Calibri" w:hAnsi="Calibri" w:cs="Times New Roman"/>
        </w:rPr>
        <w:t xml:space="preserve">s and Ouweneel </w:t>
      </w:r>
      <w:r w:rsidR="00D77E72">
        <w:rPr>
          <w:rFonts w:ascii="Calibri" w:eastAsia="Calibri" w:hAnsi="Calibri" w:cs="Times New Roman"/>
        </w:rPr>
        <w:t>and colleagues’</w:t>
      </w:r>
      <w:r w:rsidRPr="00817A2F">
        <w:rPr>
          <w:rFonts w:ascii="Calibri" w:eastAsia="Calibri" w:hAnsi="Calibri" w:cs="Times New Roman"/>
        </w:rPr>
        <w:t xml:space="preserve"> studies also provided e-</w:t>
      </w:r>
      <w:r w:rsidR="0013012B">
        <w:rPr>
          <w:rFonts w:ascii="Calibri" w:eastAsia="Calibri" w:hAnsi="Calibri" w:cs="Times New Roman"/>
        </w:rPr>
        <w:t>c</w:t>
      </w:r>
      <w:r w:rsidRPr="00817A2F">
        <w:rPr>
          <w:rFonts w:ascii="Calibri" w:eastAsia="Calibri" w:hAnsi="Calibri" w:cs="Times New Roman"/>
        </w:rPr>
        <w:t xml:space="preserve">oaching. </w:t>
      </w:r>
    </w:p>
    <w:p w14:paraId="61CF2AEB" w14:textId="77777777" w:rsidR="00817A2F" w:rsidRPr="00817A2F" w:rsidRDefault="00817A2F" w:rsidP="00817A2F">
      <w:pPr>
        <w:spacing w:after="200" w:line="360" w:lineRule="auto"/>
        <w:contextualSpacing/>
        <w:rPr>
          <w:rFonts w:ascii="Calibri" w:eastAsia="Calibri" w:hAnsi="Calibri" w:cs="Times New Roman"/>
        </w:rPr>
      </w:pPr>
    </w:p>
    <w:p w14:paraId="63AE5335" w14:textId="3524AAD8"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Interestingly, the four ongoing studies categorised in this section also employ a variety of intervention techniques, ranging from web-based training sessions (Yuan,</w:t>
      </w:r>
      <w:r w:rsidR="00004C6F">
        <w:rPr>
          <w:rFonts w:ascii="Calibri" w:eastAsia="Calibri" w:hAnsi="Calibri" w:cs="Times New Roman"/>
        </w:rPr>
        <w:t xml:space="preserve"> Liu, Tang, &amp; Zhang,</w:t>
      </w:r>
      <w:r w:rsidRPr="00817A2F">
        <w:rPr>
          <w:rFonts w:ascii="Calibri" w:eastAsia="Calibri" w:hAnsi="Calibri" w:cs="Times New Roman"/>
        </w:rPr>
        <w:t xml:space="preserve"> 2014)</w:t>
      </w:r>
      <w:r w:rsidR="0013012B">
        <w:rPr>
          <w:rFonts w:ascii="Calibri" w:eastAsia="Calibri" w:hAnsi="Calibri" w:cs="Times New Roman"/>
        </w:rPr>
        <w:t>,</w:t>
      </w:r>
      <w:r w:rsidRPr="00817A2F">
        <w:rPr>
          <w:rFonts w:ascii="Calibri" w:eastAsia="Calibri" w:hAnsi="Calibri" w:cs="Times New Roman"/>
        </w:rPr>
        <w:t xml:space="preserve"> to supervisor training sessions (Koolhaas,</w:t>
      </w:r>
      <w:r w:rsidR="00D64ECC">
        <w:rPr>
          <w:rFonts w:ascii="Calibri" w:eastAsia="Calibri" w:hAnsi="Calibri" w:cs="Times New Roman"/>
        </w:rPr>
        <w:t xml:space="preserve"> Brouwer, Groothoff, &amp; van der Klink,</w:t>
      </w:r>
      <w:r w:rsidRPr="00817A2F">
        <w:rPr>
          <w:rFonts w:ascii="Calibri" w:eastAsia="Calibri" w:hAnsi="Calibri" w:cs="Times New Roman"/>
        </w:rPr>
        <w:t xml:space="preserve"> 2010)</w:t>
      </w:r>
      <w:r w:rsidR="0013012B">
        <w:rPr>
          <w:rFonts w:ascii="Calibri" w:eastAsia="Calibri" w:hAnsi="Calibri" w:cs="Times New Roman"/>
        </w:rPr>
        <w:t>,</w:t>
      </w:r>
      <w:r w:rsidRPr="00817A2F">
        <w:rPr>
          <w:rFonts w:ascii="Calibri" w:eastAsia="Calibri" w:hAnsi="Calibri" w:cs="Times New Roman"/>
        </w:rPr>
        <w:t xml:space="preserve"> to participatory action techniques (Schelvis </w:t>
      </w:r>
      <w:r w:rsidR="00B64DD5">
        <w:rPr>
          <w:rFonts w:ascii="Calibri" w:eastAsia="Calibri" w:hAnsi="Calibri" w:cs="Times New Roman"/>
        </w:rPr>
        <w:t>et al.,</w:t>
      </w:r>
      <w:r w:rsidRPr="00817A2F">
        <w:rPr>
          <w:rFonts w:ascii="Calibri" w:eastAsia="Calibri" w:hAnsi="Calibri" w:cs="Times New Roman"/>
        </w:rPr>
        <w:t xml:space="preserve"> 2013). More detail on each of these interventions can be found in Appendices 4a and 4b.</w:t>
      </w:r>
    </w:p>
    <w:p w14:paraId="31BB104A" w14:textId="77777777" w:rsidR="00817A2F" w:rsidRPr="00817A2F" w:rsidRDefault="00817A2F" w:rsidP="00817A2F">
      <w:pPr>
        <w:spacing w:after="200" w:line="276" w:lineRule="auto"/>
        <w:rPr>
          <w:rFonts w:ascii="Calibri" w:eastAsia="Calibri" w:hAnsi="Calibri" w:cs="Times New Roman"/>
        </w:rPr>
      </w:pPr>
    </w:p>
    <w:p w14:paraId="706CC045" w14:textId="35C1321D" w:rsidR="00817A2F" w:rsidRPr="00817A2F" w:rsidRDefault="00817A2F" w:rsidP="00C7793C">
      <w:pPr>
        <w:pStyle w:val="Heading4"/>
        <w:rPr>
          <w:rFonts w:eastAsia="Times New Roman"/>
        </w:rPr>
      </w:pPr>
      <w:r w:rsidRPr="00817A2F">
        <w:rPr>
          <w:rFonts w:eastAsia="Times New Roman"/>
        </w:rPr>
        <w:t>Research designs</w:t>
      </w:r>
    </w:p>
    <w:p w14:paraId="17190BA8" w14:textId="77777777" w:rsidR="00817A2F" w:rsidRPr="00817A2F" w:rsidRDefault="00817A2F" w:rsidP="00817A2F">
      <w:pPr>
        <w:spacing w:after="200" w:line="360" w:lineRule="auto"/>
        <w:contextualSpacing/>
        <w:rPr>
          <w:rFonts w:ascii="Calibri" w:eastAsia="Calibri" w:hAnsi="Calibri" w:cs="Times New Roman"/>
        </w:rPr>
      </w:pPr>
    </w:p>
    <w:p w14:paraId="36E0F7C9" w14:textId="05FB8AB4"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All of the studies were longitudinal; seven included three waves of data collection (pre- and post- intervention, plus follow-up), and one (Sodani </w:t>
      </w:r>
      <w:r w:rsidR="00B64DD5">
        <w:rPr>
          <w:rFonts w:ascii="Calibri" w:eastAsia="Calibri" w:hAnsi="Calibri" w:cs="Times New Roman"/>
        </w:rPr>
        <w:t>et al.,</w:t>
      </w:r>
      <w:r w:rsidRPr="00817A2F">
        <w:rPr>
          <w:rFonts w:ascii="Calibri" w:eastAsia="Calibri" w:hAnsi="Calibri" w:cs="Times New Roman"/>
        </w:rPr>
        <w:t xml:space="preserve"> 2011) included two waves (pre- and post- intervention). Five of the studies were randomised at either the individual or department level, and one of these was cluster randomised (Chen </w:t>
      </w:r>
      <w:r w:rsidR="00B64DD5">
        <w:rPr>
          <w:rFonts w:ascii="Calibri" w:eastAsia="Calibri" w:hAnsi="Calibri" w:cs="Times New Roman"/>
        </w:rPr>
        <w:t>et al.,</w:t>
      </w:r>
      <w:r w:rsidRPr="00817A2F">
        <w:rPr>
          <w:rFonts w:ascii="Calibri" w:eastAsia="Calibri" w:hAnsi="Calibri" w:cs="Times New Roman"/>
        </w:rPr>
        <w:t xml:space="preserve"> 2009). Three of these studies, however, did not clearly report how the randomisation procedure was carried out (Carter, 2010; Chen </w:t>
      </w:r>
      <w:r w:rsidR="00B64DD5">
        <w:rPr>
          <w:rFonts w:ascii="Calibri" w:eastAsia="Calibri" w:hAnsi="Calibri" w:cs="Times New Roman"/>
        </w:rPr>
        <w:t>et al.,</w:t>
      </w:r>
      <w:r w:rsidRPr="00817A2F">
        <w:rPr>
          <w:rFonts w:ascii="Calibri" w:eastAsia="Calibri" w:hAnsi="Calibri" w:cs="Times New Roman"/>
        </w:rPr>
        <w:t xml:space="preserve"> 2009; Sodani </w:t>
      </w:r>
      <w:r w:rsidR="00B64DD5">
        <w:rPr>
          <w:rFonts w:ascii="Calibri" w:eastAsia="Calibri" w:hAnsi="Calibri" w:cs="Times New Roman"/>
        </w:rPr>
        <w:t>et al.,</w:t>
      </w:r>
      <w:r w:rsidRPr="00817A2F">
        <w:rPr>
          <w:rFonts w:ascii="Calibri" w:eastAsia="Calibri" w:hAnsi="Calibri" w:cs="Times New Roman"/>
        </w:rPr>
        <w:t xml:space="preserve"> 2011), and a fourth (Ijntema, 2014) has not yet published this information. All of the studies also had a control or comparison group. Allocation concealment was claimed by one study (Vuori </w:t>
      </w:r>
      <w:r w:rsidR="00B64DD5">
        <w:rPr>
          <w:rFonts w:ascii="Calibri" w:eastAsia="Calibri" w:hAnsi="Calibri" w:cs="Times New Roman"/>
        </w:rPr>
        <w:t>et al.,</w:t>
      </w:r>
      <w:r w:rsidRPr="00817A2F">
        <w:rPr>
          <w:rFonts w:ascii="Calibri" w:eastAsia="Calibri" w:hAnsi="Calibri" w:cs="Times New Roman"/>
        </w:rPr>
        <w:t xml:space="preserve"> 2012), </w:t>
      </w:r>
      <w:r w:rsidR="007243FC">
        <w:rPr>
          <w:rFonts w:ascii="Calibri" w:eastAsia="Calibri" w:hAnsi="Calibri" w:cs="Times New Roman"/>
        </w:rPr>
        <w:t>but</w:t>
      </w:r>
      <w:r w:rsidRPr="00817A2F">
        <w:rPr>
          <w:rFonts w:ascii="Calibri" w:eastAsia="Calibri" w:hAnsi="Calibri" w:cs="Times New Roman"/>
        </w:rPr>
        <w:t xml:space="preserve"> blinding of participants, personnel and outcome assessment was not claimed by any. This is due to the nature of the interventions, which makes it impossible to hide from participants whether they are in an intervention or control group, and is al</w:t>
      </w:r>
      <w:r w:rsidR="007243FC">
        <w:rPr>
          <w:rFonts w:ascii="Calibri" w:eastAsia="Calibri" w:hAnsi="Calibri" w:cs="Times New Roman"/>
        </w:rPr>
        <w:t xml:space="preserve">so due to researchers and </w:t>
      </w:r>
      <w:r w:rsidR="007243FC">
        <w:rPr>
          <w:rFonts w:ascii="Calibri" w:eastAsia="Calibri" w:hAnsi="Calibri" w:cs="Times New Roman"/>
        </w:rPr>
        <w:lastRenderedPageBreak/>
        <w:t>informed personnel</w:t>
      </w:r>
      <w:r w:rsidRPr="00817A2F">
        <w:rPr>
          <w:rFonts w:ascii="Calibri" w:eastAsia="Calibri" w:hAnsi="Calibri" w:cs="Times New Roman"/>
        </w:rPr>
        <w:t xml:space="preserve"> carrying out the interventions and conducting the analyses</w:t>
      </w:r>
      <w:r w:rsidR="007243FC">
        <w:rPr>
          <w:rFonts w:ascii="Calibri" w:eastAsia="Calibri" w:hAnsi="Calibri" w:cs="Times New Roman"/>
        </w:rPr>
        <w:t xml:space="preserve"> themselves</w:t>
      </w:r>
      <w:r w:rsidRPr="00817A2F">
        <w:rPr>
          <w:rFonts w:ascii="Calibri" w:eastAsia="Calibri" w:hAnsi="Calibri" w:cs="Times New Roman"/>
        </w:rPr>
        <w:t>. The duration of the interventions was highly variable across studies, with the time between pre- and post- measurements ranging between one</w:t>
      </w:r>
      <w:r w:rsidR="007243FC">
        <w:rPr>
          <w:rFonts w:ascii="Calibri" w:eastAsia="Calibri" w:hAnsi="Calibri" w:cs="Times New Roman"/>
        </w:rPr>
        <w:t xml:space="preserve"> week (Vuori et al., 2012) and five</w:t>
      </w:r>
      <w:r w:rsidRPr="00817A2F">
        <w:rPr>
          <w:rFonts w:ascii="Calibri" w:eastAsia="Calibri" w:hAnsi="Calibri" w:cs="Times New Roman"/>
        </w:rPr>
        <w:t xml:space="preserve"> months (Carter, 2010). Follow-up measurements occurred betw</w:t>
      </w:r>
      <w:r w:rsidR="007243FC">
        <w:rPr>
          <w:rFonts w:ascii="Calibri" w:eastAsia="Calibri" w:hAnsi="Calibri" w:cs="Times New Roman"/>
        </w:rPr>
        <w:t>een 60 days (Bishop, 2013) and eight</w:t>
      </w:r>
      <w:r w:rsidRPr="00817A2F">
        <w:rPr>
          <w:rFonts w:ascii="Calibri" w:eastAsia="Calibri" w:hAnsi="Calibri" w:cs="Times New Roman"/>
        </w:rPr>
        <w:t xml:space="preserve"> months (Carter, 2010) after pr</w:t>
      </w:r>
      <w:r w:rsidR="007243FC">
        <w:rPr>
          <w:rFonts w:ascii="Calibri" w:eastAsia="Calibri" w:hAnsi="Calibri" w:cs="Times New Roman"/>
        </w:rPr>
        <w:t>e- intervention measurements.</w:t>
      </w:r>
    </w:p>
    <w:p w14:paraId="6F8EA5FF" w14:textId="77777777" w:rsidR="00817A2F" w:rsidRPr="00817A2F" w:rsidRDefault="00817A2F" w:rsidP="00817A2F">
      <w:pPr>
        <w:spacing w:after="200" w:line="360" w:lineRule="auto"/>
        <w:contextualSpacing/>
        <w:rPr>
          <w:rFonts w:ascii="Calibri" w:eastAsia="Calibri" w:hAnsi="Calibri" w:cs="Times New Roman"/>
        </w:rPr>
      </w:pPr>
    </w:p>
    <w:p w14:paraId="4E830885" w14:textId="382E6324" w:rsidR="00817A2F" w:rsidRPr="00C7793C" w:rsidRDefault="00817A2F" w:rsidP="00C7793C">
      <w:pPr>
        <w:pStyle w:val="Heading4"/>
        <w:rPr>
          <w:rFonts w:eastAsia="Times New Roman"/>
        </w:rPr>
      </w:pPr>
      <w:r w:rsidRPr="00C7793C">
        <w:rPr>
          <w:rFonts w:eastAsia="Times New Roman"/>
        </w:rPr>
        <w:t>Outcomes measured and findings</w:t>
      </w:r>
    </w:p>
    <w:p w14:paraId="13EAAAEA" w14:textId="77777777" w:rsidR="00817A2F" w:rsidRPr="00817A2F" w:rsidRDefault="00817A2F" w:rsidP="00817A2F">
      <w:pPr>
        <w:spacing w:after="200" w:line="360" w:lineRule="auto"/>
        <w:contextualSpacing/>
        <w:rPr>
          <w:rFonts w:ascii="Calibri" w:eastAsia="Calibri" w:hAnsi="Calibri" w:cs="Times New Roman"/>
        </w:rPr>
      </w:pPr>
    </w:p>
    <w:p w14:paraId="2CAB8942" w14:textId="3D320A51"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Al</w:t>
      </w:r>
      <w:r w:rsidR="007243FC">
        <w:rPr>
          <w:rFonts w:ascii="Calibri" w:eastAsia="Calibri" w:hAnsi="Calibri" w:cs="Times New Roman"/>
        </w:rPr>
        <w:t>l of the studies measured work e</w:t>
      </w:r>
      <w:r w:rsidRPr="00817A2F">
        <w:rPr>
          <w:rFonts w:ascii="Calibri" w:eastAsia="Calibri" w:hAnsi="Calibri" w:cs="Times New Roman"/>
        </w:rPr>
        <w:t>ngagement using the UWES and thus adopted Schaufeli et al</w:t>
      </w:r>
      <w:r w:rsidR="007243FC">
        <w:rPr>
          <w:rFonts w:ascii="Calibri" w:eastAsia="Calibri" w:hAnsi="Calibri" w:cs="Times New Roman"/>
        </w:rPr>
        <w:t>.</w:t>
      </w:r>
      <w:r w:rsidRPr="00817A2F">
        <w:rPr>
          <w:rFonts w:ascii="Calibri" w:eastAsia="Calibri" w:hAnsi="Calibri" w:cs="Times New Roman"/>
        </w:rPr>
        <w:t xml:space="preserve">’s (2002) definition. Three of the eight studies used the full version, the UWES-17, and three used the abbreviated version, the UWES-9. Two did not specify which version was used (Maclean, 2013; Iljntema, 2014). </w:t>
      </w:r>
      <w:r w:rsidR="007243FC">
        <w:rPr>
          <w:rFonts w:ascii="Calibri" w:eastAsia="Calibri" w:hAnsi="Calibri" w:cs="Times New Roman"/>
        </w:rPr>
        <w:t>Seven studies provided overall work e</w:t>
      </w:r>
      <w:r w:rsidRPr="00817A2F">
        <w:rPr>
          <w:rFonts w:ascii="Calibri" w:eastAsia="Calibri" w:hAnsi="Calibri" w:cs="Times New Roman"/>
        </w:rPr>
        <w:t xml:space="preserve">ngagement scores, whereas one provided scores for the subcomponent vigour only (Chen et al., 2009). Two provided scores for all three of the subcomponents as well as for work engagement overall (Carter 2010; Sodani et al., 2011). Six of the studies also reported a variety, and sometimes extensive, range of outcomes besides work engagement and its subcomponents. Common ones included self-efficacy, job resources (e.g. social support), aspects of mental health and </w:t>
      </w:r>
      <w:r w:rsidR="001D6140">
        <w:rPr>
          <w:rFonts w:ascii="Calibri" w:eastAsia="Calibri" w:hAnsi="Calibri" w:cs="Times New Roman"/>
        </w:rPr>
        <w:t>well-being</w:t>
      </w:r>
      <w:r w:rsidRPr="00817A2F">
        <w:rPr>
          <w:rFonts w:ascii="Calibri" w:eastAsia="Calibri" w:hAnsi="Calibri" w:cs="Times New Roman"/>
        </w:rPr>
        <w:t xml:space="preserve"> (e.g. depressive symptoms, anxiety, job satisfaction), and performance (including sickness absence and turnover). Please see Appendix 4c for more information about the outcomes measured and findings from each study (summarised below). </w:t>
      </w:r>
    </w:p>
    <w:p w14:paraId="4BBD6FEF" w14:textId="77777777" w:rsidR="00817A2F" w:rsidRPr="00817A2F" w:rsidRDefault="00817A2F" w:rsidP="00817A2F">
      <w:pPr>
        <w:spacing w:after="200" w:line="360" w:lineRule="auto"/>
        <w:contextualSpacing/>
        <w:rPr>
          <w:rFonts w:ascii="Calibri" w:eastAsia="Calibri" w:hAnsi="Calibri" w:cs="Times New Roman"/>
        </w:rPr>
      </w:pPr>
    </w:p>
    <w:p w14:paraId="3D7BFE30" w14:textId="77777777" w:rsidR="00817A2F" w:rsidRPr="00923A7B" w:rsidRDefault="00817A2F" w:rsidP="00923A7B">
      <w:pPr>
        <w:rPr>
          <w:b/>
        </w:rPr>
      </w:pPr>
      <w:r w:rsidRPr="00923A7B">
        <w:rPr>
          <w:b/>
        </w:rPr>
        <w:t>Findings relating to work engagement</w:t>
      </w:r>
    </w:p>
    <w:p w14:paraId="58D35386"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In relation to work engagement and its subcomponents, significant effects were observed for two studies (Sodani et al., 2011; Bishop, 2013). Preliminary results from a third study (Ijntema, 2014) also suggest a positive influence on work engagement. No significant effects were observed by four studies (Vuori et al., 2012; Maclean 2013; Chen et al., 2009; Carter, 2010). One study found a positive effect for those initially low in engagement, but not for those medium or high in engagement (Ouweneel et al., 2013).  </w:t>
      </w:r>
    </w:p>
    <w:p w14:paraId="3E381E96" w14:textId="77777777" w:rsidR="00817A2F" w:rsidRPr="00817A2F" w:rsidRDefault="00817A2F" w:rsidP="00817A2F">
      <w:pPr>
        <w:spacing w:after="200" w:line="360" w:lineRule="auto"/>
        <w:contextualSpacing/>
        <w:rPr>
          <w:rFonts w:ascii="Calibri" w:eastAsia="Calibri" w:hAnsi="Calibri" w:cs="Times New Roman"/>
        </w:rPr>
      </w:pPr>
    </w:p>
    <w:p w14:paraId="09FA3158" w14:textId="77777777" w:rsidR="00817A2F" w:rsidRPr="00923A7B" w:rsidRDefault="00817A2F" w:rsidP="00923A7B">
      <w:pPr>
        <w:rPr>
          <w:b/>
        </w:rPr>
      </w:pPr>
      <w:r w:rsidRPr="00923A7B">
        <w:rPr>
          <w:b/>
        </w:rPr>
        <w:t>Findings relating to other outcomes</w:t>
      </w:r>
    </w:p>
    <w:p w14:paraId="5E43B011" w14:textId="1AF1F610"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In relation to the other outcomes, four studies reported positive findings. Ouweneel et al. (2013) found a stronger increase in positive emotions and self-efficacy in the intervention group compared to the control, using the Job-Related Affective </w:t>
      </w:r>
      <w:r w:rsidR="001D6140">
        <w:rPr>
          <w:rFonts w:ascii="Calibri" w:eastAsia="Calibri" w:hAnsi="Calibri" w:cs="Times New Roman"/>
        </w:rPr>
        <w:t>Well-being</w:t>
      </w:r>
      <w:r w:rsidRPr="00817A2F">
        <w:rPr>
          <w:rFonts w:ascii="Calibri" w:eastAsia="Calibri" w:hAnsi="Calibri" w:cs="Times New Roman"/>
        </w:rPr>
        <w:t xml:space="preserve"> scale</w:t>
      </w:r>
      <w:r w:rsidR="007243FC">
        <w:rPr>
          <w:rFonts w:ascii="Calibri" w:eastAsia="Calibri" w:hAnsi="Calibri" w:cs="Times New Roman"/>
        </w:rPr>
        <w:t>,</w:t>
      </w:r>
      <w:r w:rsidRPr="00817A2F">
        <w:rPr>
          <w:rFonts w:ascii="Calibri" w:eastAsia="Calibri" w:hAnsi="Calibri" w:cs="Times New Roman"/>
        </w:rPr>
        <w:t xml:space="preserve"> and a purposefully constructed measure of self-efficacy. Ijntema (2014) found positive effects on outcomes such as resilience, autonomy and task performance; the precise results have not yet been made available and it is not yet clear which measures were used. Carter (2010) observed a positive increase in task specific </w:t>
      </w:r>
      <w:r w:rsidRPr="00817A2F">
        <w:rPr>
          <w:rFonts w:ascii="Calibri" w:eastAsia="Calibri" w:hAnsi="Calibri" w:cs="Times New Roman"/>
        </w:rPr>
        <w:lastRenderedPageBreak/>
        <w:t xml:space="preserve">workplace self-efficacy and work performance between pre and post measurements, using a self-constructed scale for self-efficacy. Chen et al. (2009) noted a significant increase between the intervention and control groups in ‘means efficacy’ of users of a new IT resource, also using a scale specially developed for the study. Chen and colleagues also noted greater dissatisfaction and exhaustion in the control group, using Kunin’s Faces Scale and the MBI-GS, respectively. Vuori et al. (2012) observed no effects on career management preparedness, depressive symptoms, exhaustion, mental resources and intention to retire early. All of these outcomes were measured using standard scales, except for career management </w:t>
      </w:r>
      <w:r w:rsidR="007243FC">
        <w:rPr>
          <w:rFonts w:ascii="Calibri" w:eastAsia="Calibri" w:hAnsi="Calibri" w:cs="Times New Roman"/>
        </w:rPr>
        <w:t>preparedness, which was measured</w:t>
      </w:r>
      <w:r w:rsidRPr="00817A2F">
        <w:rPr>
          <w:rFonts w:ascii="Calibri" w:eastAsia="Calibri" w:hAnsi="Calibri" w:cs="Times New Roman"/>
        </w:rPr>
        <w:t xml:space="preserve"> using a scale developed specially for the study. Maclean (2013) also observed no effects on measures of psychological flexibility (using the Acceptance and Action Questionnaire; AAQ-II), value based living (Valuing Questionnaire), mental health (General Health Questionnaire; GHQ-12), job satisfaction (Michigan Organisational Assessment Questionnaire: Job Satisfaction Subscale; MOAS:JSS) and anxiety and depression (Hospital Anxiety and Depression Scale; HADS).  </w:t>
      </w:r>
    </w:p>
    <w:p w14:paraId="65C677BB" w14:textId="77777777" w:rsidR="00817A2F" w:rsidRPr="00817A2F" w:rsidRDefault="00817A2F" w:rsidP="00817A2F">
      <w:pPr>
        <w:spacing w:after="200" w:line="360" w:lineRule="auto"/>
        <w:contextualSpacing/>
        <w:rPr>
          <w:rFonts w:ascii="Calibri" w:eastAsia="Calibri" w:hAnsi="Calibri" w:cs="Times New Roman"/>
        </w:rPr>
      </w:pPr>
    </w:p>
    <w:p w14:paraId="09EC2EEF" w14:textId="41EE79F6" w:rsidR="00817A2F" w:rsidRPr="00817A2F" w:rsidRDefault="00817A2F" w:rsidP="00C7793C">
      <w:pPr>
        <w:pStyle w:val="Heading4"/>
        <w:rPr>
          <w:rFonts w:eastAsia="Times New Roman"/>
        </w:rPr>
      </w:pPr>
      <w:bookmarkStart w:id="161" w:name="_Ref453575361"/>
      <w:r w:rsidRPr="00817A2F">
        <w:rPr>
          <w:rFonts w:eastAsia="Times New Roman"/>
        </w:rPr>
        <w:t>Quality of the studies</w:t>
      </w:r>
      <w:bookmarkEnd w:id="161"/>
    </w:p>
    <w:p w14:paraId="44D12CD0" w14:textId="77777777" w:rsidR="00817A2F" w:rsidRPr="00817A2F" w:rsidRDefault="00817A2F" w:rsidP="00817A2F">
      <w:pPr>
        <w:spacing w:after="200" w:line="360" w:lineRule="auto"/>
        <w:contextualSpacing/>
        <w:rPr>
          <w:rFonts w:ascii="Calibri" w:eastAsia="Calibri" w:hAnsi="Calibri" w:cs="Times New Roman"/>
        </w:rPr>
      </w:pPr>
    </w:p>
    <w:p w14:paraId="27B104ED" w14:textId="2A95B42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This section explores the quality of the studies, taking into account factors identified by The Cochrane Collaboration’s ‘Risk of Bias’ tool as well as several other factors (section </w:t>
      </w:r>
      <w:r w:rsidR="00225D32">
        <w:rPr>
          <w:rFonts w:ascii="Calibri" w:eastAsia="Calibri" w:hAnsi="Calibri" w:cs="Times New Roman"/>
        </w:rPr>
        <w:fldChar w:fldCharType="begin"/>
      </w:r>
      <w:r w:rsidR="00225D32">
        <w:rPr>
          <w:rFonts w:ascii="Calibri" w:eastAsia="Calibri" w:hAnsi="Calibri" w:cs="Times New Roman"/>
        </w:rPr>
        <w:instrText xml:space="preserve"> REF _Ref453251355 \r \h </w:instrText>
      </w:r>
      <w:r w:rsidR="00225D32">
        <w:rPr>
          <w:rFonts w:ascii="Calibri" w:eastAsia="Calibri" w:hAnsi="Calibri" w:cs="Times New Roman"/>
        </w:rPr>
      </w:r>
      <w:r w:rsidR="00225D32">
        <w:rPr>
          <w:rFonts w:ascii="Calibri" w:eastAsia="Calibri" w:hAnsi="Calibri" w:cs="Times New Roman"/>
        </w:rPr>
        <w:fldChar w:fldCharType="separate"/>
      </w:r>
      <w:r w:rsidR="00152F6D">
        <w:rPr>
          <w:rFonts w:ascii="Calibri" w:eastAsia="Calibri" w:hAnsi="Calibri" w:cs="Times New Roman"/>
        </w:rPr>
        <w:t>5.2.2</w:t>
      </w:r>
      <w:r w:rsidR="00225D32">
        <w:rPr>
          <w:rFonts w:ascii="Calibri" w:eastAsia="Calibri" w:hAnsi="Calibri" w:cs="Times New Roman"/>
        </w:rPr>
        <w:fldChar w:fldCharType="end"/>
      </w:r>
      <w:r w:rsidRPr="00817A2F">
        <w:rPr>
          <w:rFonts w:ascii="Calibri" w:eastAsia="Calibri" w:hAnsi="Calibri" w:cs="Times New Roman"/>
        </w:rPr>
        <w:t>). To summarise, they included whether the intervention was implemented as intended (fidelity), and whether there were differences between groups at baseline or between dropouts and non-dropouts. Other factors also included whether the study reported the intervention procedure, participant numbers, response rates, attrition rates</w:t>
      </w:r>
      <w:r w:rsidR="007243FC">
        <w:rPr>
          <w:rFonts w:ascii="Calibri" w:eastAsia="Calibri" w:hAnsi="Calibri" w:cs="Times New Roman"/>
        </w:rPr>
        <w:t>,</w:t>
      </w:r>
      <w:r w:rsidRPr="00817A2F">
        <w:rPr>
          <w:rFonts w:ascii="Calibri" w:eastAsia="Calibri" w:hAnsi="Calibri" w:cs="Times New Roman"/>
        </w:rPr>
        <w:t xml:space="preserve"> and outcomes. This information helped build a picture of the overall quality of a study, its strengths and its limitations, and thus contributed towards evaluating the effectiveness of an intervention. Appendices 4d-4f summarise this information for each of the eight completed studies discussed here, as well as for the four planned / ongoing studies. </w:t>
      </w:r>
    </w:p>
    <w:p w14:paraId="4D16B803" w14:textId="77777777" w:rsidR="00817A2F" w:rsidRPr="00817A2F" w:rsidRDefault="00817A2F" w:rsidP="00817A2F">
      <w:pPr>
        <w:spacing w:after="200" w:line="360" w:lineRule="auto"/>
        <w:contextualSpacing/>
        <w:rPr>
          <w:rFonts w:ascii="Calibri" w:eastAsia="Calibri" w:hAnsi="Calibri" w:cs="Times New Roman"/>
        </w:rPr>
      </w:pPr>
    </w:p>
    <w:p w14:paraId="6ACCD091" w14:textId="5CDE8329" w:rsidR="00225D32" w:rsidRDefault="00817A2F" w:rsidP="00225D32">
      <w:pPr>
        <w:spacing w:after="200" w:line="360" w:lineRule="auto"/>
        <w:contextualSpacing/>
        <w:rPr>
          <w:rFonts w:ascii="Calibri" w:eastAsia="Calibri" w:hAnsi="Calibri" w:cs="Times New Roman"/>
        </w:rPr>
      </w:pPr>
      <w:r w:rsidRPr="00817A2F">
        <w:rPr>
          <w:rFonts w:ascii="Calibri" w:eastAsia="Calibri" w:hAnsi="Calibri" w:cs="Times New Roman"/>
        </w:rPr>
        <w:t xml:space="preserve">In general, all of the studies were well reported, with the interventions described in appropriate detail, participant numbers at each time point reported, and all outcomes reported. However, five studies did not provide a baseline response rate and only four provided an attrition rate. All of the studies except one (Carter, 2010) used self-report measures only, which is commonplace for this type of research. The objective measures adopted by Carter (2010) involved obtaining organisational data for the number of appointments made and products sold by branch employees. Four of the studies explicitly reported comparing intervention and control groups at baseline to determine if </w:t>
      </w:r>
      <w:r w:rsidRPr="00817A2F">
        <w:rPr>
          <w:rFonts w:ascii="Calibri" w:eastAsia="Calibri" w:hAnsi="Calibri" w:cs="Times New Roman"/>
        </w:rPr>
        <w:lastRenderedPageBreak/>
        <w:t xml:space="preserve">there were any differences. Most compared the groups in terms of demographics only and found no differences. Indeed, only one study reported a difference, and this was in education level (Ouweneel </w:t>
      </w:r>
      <w:r w:rsidR="00B64DD5">
        <w:rPr>
          <w:rFonts w:ascii="Calibri" w:eastAsia="Calibri" w:hAnsi="Calibri" w:cs="Times New Roman"/>
        </w:rPr>
        <w:t>et al.,</w:t>
      </w:r>
      <w:r w:rsidRPr="00817A2F">
        <w:rPr>
          <w:rFonts w:ascii="Calibri" w:eastAsia="Calibri" w:hAnsi="Calibri" w:cs="Times New Roman"/>
        </w:rPr>
        <w:t xml:space="preserve"> 2013).</w:t>
      </w:r>
    </w:p>
    <w:p w14:paraId="5F5AB4E7" w14:textId="77777777" w:rsidR="004A515E" w:rsidRDefault="004A515E" w:rsidP="00225D32">
      <w:pPr>
        <w:spacing w:after="200" w:line="360" w:lineRule="auto"/>
        <w:contextualSpacing/>
        <w:rPr>
          <w:rFonts w:ascii="Calibri" w:eastAsia="Calibri" w:hAnsi="Calibri" w:cs="Times New Roman"/>
        </w:rPr>
      </w:pPr>
    </w:p>
    <w:p w14:paraId="7F4E6F34" w14:textId="1882BE5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Two of the studies (Vuori et al., 2012; Maclean, 2013) evaluated the implementation of the intervention in detail, discussing aspects such as the fidelity of the intervention, the compliance of participants, reach, in terms of participant attendance, and reasons for attrition. Vuori et al. (2012) reported that their intervention was delivered according to plan in each organisation, and that they checked that control group participants complied with instructions to read literature they had been given. They found that 6% of those in the intervention group did not attend any of the workshops, and a statistical comparison of these participants with the rest of the intervention group revealed that they scored higher in career management preparedness and were more often employed by the government. To avoid selection bias, they analysed the results based on the complete sample, including no-shows. Reasons for attrition were not discussed. The authors note that as the participants were not able to be randomly selected or screened there may be a self-selection bias, and, indeed, a large majority were female, white collar workers. It is not discussed whether crossover effects from the intervention group to the control group may have occurred, however, these may have been possible due to both groups being recruited from the same organisation. </w:t>
      </w:r>
    </w:p>
    <w:p w14:paraId="7F0D0DE8" w14:textId="77777777" w:rsidR="00817A2F" w:rsidRPr="00817A2F" w:rsidRDefault="00817A2F" w:rsidP="00817A2F">
      <w:pPr>
        <w:spacing w:after="200" w:line="360" w:lineRule="auto"/>
        <w:contextualSpacing/>
        <w:rPr>
          <w:rFonts w:ascii="Calibri" w:eastAsia="Calibri" w:hAnsi="Calibri" w:cs="Times New Roman"/>
        </w:rPr>
      </w:pPr>
    </w:p>
    <w:p w14:paraId="32DB6C67"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Maclean (2013) indicates that the ACT intervention was conducted as planned by the author, and that sessions were audio-recorded and assessed by an ACT expert for competence and fidelity. 36% of intervention participants missed sessions, and reasons for attrition included sickness, bad weather, bereavement, heavy workload and competing work demands. An evaluation survey revealed that 72% thought the facilitation of the intervention was ‘excellent’, 77% thought the training was ‘very useful’, and 94% would recommend it to a friend. The author was fully involved in all aspects of the study, from recruitment to intervention facilitation to data analysis, which may naturally have implications for the robustness of results from such evaluations. The author also notes a gender imbalance (92% were female) in the intervention group and a small sample size, and speculates that the lack of effects observed may be due to the fact that the intervention is best suited to those reporting high stress and low work engagement at baseline. Few participants did so in this study. </w:t>
      </w:r>
    </w:p>
    <w:p w14:paraId="26DA6D48" w14:textId="77777777" w:rsidR="00817A2F" w:rsidRPr="00817A2F" w:rsidRDefault="00817A2F" w:rsidP="00817A2F">
      <w:pPr>
        <w:spacing w:after="200" w:line="360" w:lineRule="auto"/>
        <w:contextualSpacing/>
        <w:rPr>
          <w:rFonts w:ascii="Calibri" w:eastAsia="Calibri" w:hAnsi="Calibri" w:cs="Times New Roman"/>
        </w:rPr>
      </w:pPr>
    </w:p>
    <w:p w14:paraId="249F3009" w14:textId="34813FE5"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None of the other studies in this section discussed the implementation of their interventions in terms of fidelity, compliance, reach, reasons for attrition, and differences between dropouts and </w:t>
      </w:r>
      <w:r w:rsidRPr="00817A2F">
        <w:rPr>
          <w:rFonts w:ascii="Calibri" w:eastAsia="Calibri" w:hAnsi="Calibri" w:cs="Times New Roman"/>
        </w:rPr>
        <w:lastRenderedPageBreak/>
        <w:t xml:space="preserve">non-dropouts, thus it is difficult to evaluate their effectiveness on these factors. Since one of these studies has not yet been published (Ijntema, 2014), however, these factors may be made available for this study in due course. Interestingly, the four planned studies all report an intention to collect and evaluate data relating to the implementation of the intervention. One explicitly specifies an intention to conceal group allocation from participants (Shaw </w:t>
      </w:r>
      <w:r w:rsidR="00B64DD5">
        <w:rPr>
          <w:rFonts w:ascii="Calibri" w:eastAsia="Calibri" w:hAnsi="Calibri" w:cs="Times New Roman"/>
        </w:rPr>
        <w:t>et al.,</w:t>
      </w:r>
      <w:r w:rsidRPr="00817A2F">
        <w:rPr>
          <w:rFonts w:ascii="Calibri" w:eastAsia="Calibri" w:hAnsi="Calibri" w:cs="Times New Roman"/>
        </w:rPr>
        <w:t xml:space="preserve"> 2014), minimising selection bias.  </w:t>
      </w:r>
    </w:p>
    <w:p w14:paraId="0A028AB0" w14:textId="77777777" w:rsidR="00817A2F" w:rsidRPr="00817A2F" w:rsidRDefault="00817A2F" w:rsidP="00817A2F">
      <w:pPr>
        <w:spacing w:after="200" w:line="360" w:lineRule="auto"/>
        <w:contextualSpacing/>
        <w:rPr>
          <w:rFonts w:ascii="Calibri" w:eastAsia="Calibri" w:hAnsi="Calibri" w:cs="Times New Roman"/>
        </w:rPr>
      </w:pPr>
    </w:p>
    <w:p w14:paraId="1E8F2502"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Despite the lack of a formal process evaluation in most of the studies (i.e. an evaluation of intervention implementation), all reported study limitations and information which aids the assessment of study quality. In general, studies cited limited generaliseability, the use of self-report measures and sometimes small sample sizes as factors limiting the robustness of results. In particular, Ouweneel et al. (2013) acknowledged a self-selection bias due to participants choosing to take part in a self-enhancement (intervention) or a self-monitoring (control) group, though each group was recruited via a separate website and thus participants would not have known about the two arms to the study. Ouweneel et al. (2013) also compared dropouts from the intervention group to non-dropouts, and found that dropouts were significantly lower on self-efficacy, and almost significantly lower on positive emotions and work engagement. This is interesting given the potential for the intervention to increase scores on all three of these measures. Additionally, dropouts differed significantly in age, being younger, gender, the majority being female, and educational level, which was lower. In addition, Carter (2010) reported the announcement of a proposed corporate merger and an economic downturn during his study which may have affected scores on outcome measures. For example, it is conceivable that the number of products sold by each participant may have been directly affected by an economic downturn. </w:t>
      </w:r>
    </w:p>
    <w:p w14:paraId="748B7180" w14:textId="77777777" w:rsidR="00817A2F" w:rsidRPr="00817A2F" w:rsidRDefault="00817A2F" w:rsidP="00817A2F">
      <w:pPr>
        <w:spacing w:after="200" w:line="276" w:lineRule="auto"/>
        <w:rPr>
          <w:rFonts w:ascii="Calibri" w:eastAsia="Calibri" w:hAnsi="Calibri" w:cs="Times New Roman"/>
        </w:rPr>
      </w:pPr>
    </w:p>
    <w:p w14:paraId="248E290C" w14:textId="335BA22B" w:rsidR="00817A2F" w:rsidRPr="00817A2F" w:rsidRDefault="00817A2F" w:rsidP="007975E1">
      <w:pPr>
        <w:pStyle w:val="Heading4"/>
        <w:rPr>
          <w:rFonts w:eastAsia="Times New Roman"/>
        </w:rPr>
      </w:pPr>
      <w:r w:rsidRPr="00817A2F">
        <w:rPr>
          <w:rFonts w:eastAsia="Times New Roman"/>
        </w:rPr>
        <w:t>Summary of findings from studies building personal resources</w:t>
      </w:r>
    </w:p>
    <w:p w14:paraId="7CC97A69" w14:textId="77777777" w:rsidR="00817A2F" w:rsidRPr="00817A2F" w:rsidRDefault="00817A2F" w:rsidP="00817A2F">
      <w:pPr>
        <w:spacing w:after="200" w:line="360" w:lineRule="auto"/>
        <w:contextualSpacing/>
        <w:rPr>
          <w:rFonts w:ascii="Calibri" w:eastAsia="Calibri" w:hAnsi="Calibri" w:cs="Times New Roman"/>
        </w:rPr>
      </w:pPr>
    </w:p>
    <w:p w14:paraId="586A122B"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key findings from intervention studies designed to build personal resources and increase work engagement are presented below.</w:t>
      </w:r>
    </w:p>
    <w:p w14:paraId="7847D78E" w14:textId="77777777" w:rsidR="00817A2F" w:rsidRPr="00817A2F" w:rsidRDefault="00817A2F" w:rsidP="00817A2F">
      <w:pPr>
        <w:spacing w:after="200" w:line="360" w:lineRule="auto"/>
        <w:contextualSpacing/>
        <w:rPr>
          <w:rFonts w:ascii="Calibri" w:eastAsia="Calibri" w:hAnsi="Calibri" w:cs="Times New Roman"/>
        </w:rPr>
      </w:pPr>
    </w:p>
    <w:p w14:paraId="77255DEA" w14:textId="1125EDFE" w:rsidR="00817A2F" w:rsidRPr="007975E1" w:rsidRDefault="00817A2F" w:rsidP="007975E1">
      <w:pPr>
        <w:rPr>
          <w:b/>
        </w:rPr>
      </w:pPr>
      <w:r w:rsidRPr="007975E1">
        <w:rPr>
          <w:b/>
        </w:rPr>
        <w:t>Summary of evidence regarding the effectiveness of interventions to increase work engagement</w:t>
      </w:r>
    </w:p>
    <w:p w14:paraId="6F90D99C" w14:textId="77752AA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Significant increases in work engagement were observed for two of the eight studies (Sodani </w:t>
      </w:r>
      <w:r w:rsidR="00B64DD5">
        <w:rPr>
          <w:rFonts w:ascii="Calibri" w:eastAsia="Calibri" w:hAnsi="Calibri" w:cs="Times New Roman"/>
        </w:rPr>
        <w:t>et al.,</w:t>
      </w:r>
      <w:r w:rsidRPr="00817A2F">
        <w:rPr>
          <w:rFonts w:ascii="Calibri" w:eastAsia="Calibri" w:hAnsi="Calibri" w:cs="Times New Roman"/>
        </w:rPr>
        <w:t xml:space="preserve"> 2011; Bishop, 2013) and a third indicated a positive increase (Ijntema, 2014). One study which reported no overall increase in work engagement, did report an increase for those low in e</w:t>
      </w:r>
      <w:r w:rsidR="00D77E72">
        <w:rPr>
          <w:rFonts w:ascii="Calibri" w:eastAsia="Calibri" w:hAnsi="Calibri" w:cs="Times New Roman"/>
        </w:rPr>
        <w:t>ngagement at baseline (Ouweneel et al.,</w:t>
      </w:r>
      <w:r w:rsidRPr="00817A2F">
        <w:rPr>
          <w:rFonts w:ascii="Calibri" w:eastAsia="Calibri" w:hAnsi="Calibri" w:cs="Times New Roman"/>
        </w:rPr>
        <w:t xml:space="preserve"> 2013). However, these results should be interpreted in consideration with information regarding the q</w:t>
      </w:r>
      <w:r w:rsidR="00225D32">
        <w:rPr>
          <w:rFonts w:ascii="Calibri" w:eastAsia="Calibri" w:hAnsi="Calibri" w:cs="Times New Roman"/>
        </w:rPr>
        <w:t>uality of studies (see below</w:t>
      </w:r>
      <w:r w:rsidRPr="00817A2F">
        <w:rPr>
          <w:rFonts w:ascii="Calibri" w:eastAsia="Calibri" w:hAnsi="Calibri" w:cs="Times New Roman"/>
        </w:rPr>
        <w:t xml:space="preserve">). It should also be noted that four studies reported no effect of their interventions on work engagement. The heterogeneous </w:t>
      </w:r>
      <w:r w:rsidRPr="00817A2F">
        <w:rPr>
          <w:rFonts w:ascii="Calibri" w:eastAsia="Calibri" w:hAnsi="Calibri" w:cs="Times New Roman"/>
        </w:rPr>
        <w:lastRenderedPageBreak/>
        <w:t xml:space="preserve">nature of these interventions, and indeed their variable quality </w:t>
      </w:r>
      <w:r w:rsidR="00225D32">
        <w:rPr>
          <w:rFonts w:ascii="Calibri" w:eastAsia="Calibri" w:hAnsi="Calibri" w:cs="Times New Roman"/>
        </w:rPr>
        <w:t>(</w:t>
      </w:r>
      <w:r w:rsidRPr="00817A2F">
        <w:rPr>
          <w:rFonts w:ascii="Calibri" w:eastAsia="Calibri" w:hAnsi="Calibri" w:cs="Times New Roman"/>
        </w:rPr>
        <w:t xml:space="preserve">see </w:t>
      </w:r>
      <w:r w:rsidR="00225D32">
        <w:rPr>
          <w:rFonts w:ascii="Calibri" w:eastAsia="Calibri" w:hAnsi="Calibri" w:cs="Times New Roman"/>
        </w:rPr>
        <w:t>below</w:t>
      </w:r>
      <w:r w:rsidRPr="00817A2F">
        <w:rPr>
          <w:rFonts w:ascii="Calibri" w:eastAsia="Calibri" w:hAnsi="Calibri" w:cs="Times New Roman"/>
        </w:rPr>
        <w:t xml:space="preserve">), makes it difficult to compare the results or make conclusions about the types of personal resource building interventions which might be most useful for increasing work engagement. </w:t>
      </w:r>
    </w:p>
    <w:p w14:paraId="22F91C67" w14:textId="77777777" w:rsidR="00817A2F" w:rsidRPr="00817A2F" w:rsidRDefault="00817A2F" w:rsidP="00817A2F">
      <w:pPr>
        <w:spacing w:after="200" w:line="360" w:lineRule="auto"/>
        <w:contextualSpacing/>
        <w:rPr>
          <w:rFonts w:ascii="Calibri" w:eastAsia="Calibri" w:hAnsi="Calibri" w:cs="Times New Roman"/>
        </w:rPr>
      </w:pPr>
    </w:p>
    <w:p w14:paraId="49C35018" w14:textId="77777777" w:rsidR="00817A2F" w:rsidRPr="007975E1" w:rsidRDefault="00817A2F" w:rsidP="007975E1">
      <w:pPr>
        <w:rPr>
          <w:b/>
        </w:rPr>
      </w:pPr>
      <w:r w:rsidRPr="007975E1">
        <w:rPr>
          <w:b/>
        </w:rPr>
        <w:t xml:space="preserve">Summary of evidence regarding the effectiveness of studies on other outcomes </w:t>
      </w:r>
    </w:p>
    <w:p w14:paraId="64E476CB" w14:textId="64E97BCB"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most common outcome measured in the studies besides work engagement was self-efficacy. A mix of other outcomes was also measured, including a variety of job resources, measures of mental health, and a mix of work performance measures. Four of the studies noted an increase in work-related self-efficacy (Ouweneel </w:t>
      </w:r>
      <w:r w:rsidR="00B64DD5">
        <w:rPr>
          <w:rFonts w:ascii="Calibri" w:eastAsia="Calibri" w:hAnsi="Calibri" w:cs="Times New Roman"/>
        </w:rPr>
        <w:t>et al.,</w:t>
      </w:r>
      <w:r w:rsidRPr="00817A2F">
        <w:rPr>
          <w:rFonts w:ascii="Calibri" w:eastAsia="Calibri" w:hAnsi="Calibri" w:cs="Times New Roman"/>
        </w:rPr>
        <w:t xml:space="preserve"> 2013; Chen </w:t>
      </w:r>
      <w:r w:rsidR="00B64DD5">
        <w:rPr>
          <w:rFonts w:ascii="Calibri" w:eastAsia="Calibri" w:hAnsi="Calibri" w:cs="Times New Roman"/>
        </w:rPr>
        <w:t>et al.,</w:t>
      </w:r>
      <w:r w:rsidRPr="00817A2F">
        <w:rPr>
          <w:rFonts w:ascii="Calibri" w:eastAsia="Calibri" w:hAnsi="Calibri" w:cs="Times New Roman"/>
        </w:rPr>
        <w:t xml:space="preserve"> 2009; Carter, 2010; Ilntema, 2014), and one also noted an increase in another personal resource, resilience (Ijntema, 2014). Three of these studies also noted positive increases in positive emotions (Ouweneel </w:t>
      </w:r>
      <w:r w:rsidR="00B64DD5">
        <w:rPr>
          <w:rFonts w:ascii="Calibri" w:eastAsia="Calibri" w:hAnsi="Calibri" w:cs="Times New Roman"/>
        </w:rPr>
        <w:t>et al.,</w:t>
      </w:r>
      <w:r w:rsidRPr="00817A2F">
        <w:rPr>
          <w:rFonts w:ascii="Calibri" w:eastAsia="Calibri" w:hAnsi="Calibri" w:cs="Times New Roman"/>
        </w:rPr>
        <w:t xml:space="preserve"> 2013), autonomy (Ijntema, 2014) and work performance (Carter, 2010; Ijntema, 2014) in the intervention group compared to the control group, and one noted an increase in dissatisfaction and exhaustion in the control group (Chen </w:t>
      </w:r>
      <w:r w:rsidR="00B64DD5">
        <w:rPr>
          <w:rFonts w:ascii="Calibri" w:eastAsia="Calibri" w:hAnsi="Calibri" w:cs="Times New Roman"/>
        </w:rPr>
        <w:t>et al.,</w:t>
      </w:r>
      <w:r w:rsidRPr="00817A2F">
        <w:rPr>
          <w:rFonts w:ascii="Calibri" w:eastAsia="Calibri" w:hAnsi="Calibri" w:cs="Times New Roman"/>
        </w:rPr>
        <w:t xml:space="preserve"> 2009). This suggests that these interventions may be effective not only for increasing work engagement, but other positive individual and organisational outcomes. However, the low number of studies reporting similar findings, and the heterogeneity of the interventions, makes it difficult to assess the robustness of these results or generalise these findings. It should also be noted that the other three studies which measured other outcomes besides work engagement reported no effects in these other outcomes, which included self-efficacy and measures of mental health. </w:t>
      </w:r>
    </w:p>
    <w:p w14:paraId="2BAE2DED" w14:textId="77777777" w:rsidR="00817A2F" w:rsidRPr="00817A2F" w:rsidRDefault="00817A2F" w:rsidP="00817A2F">
      <w:pPr>
        <w:spacing w:after="200" w:line="360" w:lineRule="auto"/>
        <w:contextualSpacing/>
        <w:rPr>
          <w:rFonts w:ascii="Calibri" w:eastAsia="Calibri" w:hAnsi="Calibri" w:cs="Times New Roman"/>
          <w:b/>
        </w:rPr>
      </w:pPr>
    </w:p>
    <w:p w14:paraId="5424B151" w14:textId="77777777" w:rsidR="00817A2F" w:rsidRPr="007975E1" w:rsidRDefault="00817A2F" w:rsidP="007975E1">
      <w:pPr>
        <w:rPr>
          <w:b/>
        </w:rPr>
      </w:pPr>
      <w:r w:rsidRPr="007975E1">
        <w:rPr>
          <w:b/>
        </w:rPr>
        <w:t xml:space="preserve">Summary of evidence regarding the quality of studies </w:t>
      </w:r>
    </w:p>
    <w:p w14:paraId="1EB35090" w14:textId="1D2AA77E"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Evidence regarding the quality of studies was mixed, both in terms of reporting standards and findings. Five of the studies employed the traditional ‘gold standard’ randomised design, although this is not necessarily an indication of study quality, given that issues with implementing interventions may severely affect the ability to draw conclusions about the effectiveness of an intervention (Nielsen et al., 2007; Nielsen, Taris et al., 2010). Seven of the studies were three wave longitudinal studies. Most clearly reported intervention details and particulars concerning participant characteristics, response rates, numbers recruited, outcomes assessed etc. Attrition rates and the reasons for attrition were less well reported, and the majority of studies did not report, or only partially reported, details concerning how well the intervention was implemented in terms of fidelity, reach and compliance, though all commented to some degree on study limitations. To reiterate, the key advantage of a more formal assessment of how well an intervention is implemented is that a greater understanding of why an intervention may or may not be successful, and how that intervention may or may not work, can be gained which may then help inform the </w:t>
      </w:r>
      <w:r w:rsidRPr="00817A2F">
        <w:rPr>
          <w:rFonts w:ascii="Calibri" w:eastAsia="Calibri" w:hAnsi="Calibri" w:cs="Times New Roman"/>
        </w:rPr>
        <w:lastRenderedPageBreak/>
        <w:t>design of future interventions (Nielsen, 2013; Nielsen et al., 2007, Nielsen, Taris et al., 2010). In accordance with Nielsen</w:t>
      </w:r>
      <w:r w:rsidR="008E423B">
        <w:rPr>
          <w:rFonts w:ascii="Calibri" w:eastAsia="Calibri" w:hAnsi="Calibri" w:cs="Times New Roman"/>
        </w:rPr>
        <w:t xml:space="preserve"> and colleagues (2007)</w:t>
      </w:r>
      <w:r w:rsidRPr="00817A2F">
        <w:rPr>
          <w:rFonts w:ascii="Calibri" w:eastAsia="Calibri" w:hAnsi="Calibri" w:cs="Times New Roman"/>
        </w:rPr>
        <w:t xml:space="preserve">, this study supports the view that journals </w:t>
      </w:r>
      <w:r w:rsidR="008F6182">
        <w:rPr>
          <w:rFonts w:ascii="Calibri" w:eastAsia="Calibri" w:hAnsi="Calibri" w:cs="Times New Roman"/>
        </w:rPr>
        <w:t>sh</w:t>
      </w:r>
      <w:r w:rsidRPr="00817A2F">
        <w:rPr>
          <w:rFonts w:ascii="Calibri" w:eastAsia="Calibri" w:hAnsi="Calibri" w:cs="Times New Roman"/>
        </w:rPr>
        <w:t xml:space="preserve">ould encourage the standard reporting of such factors alongside a traditional statistical analysis of the results as a matter of course. Indeed, it was pleasing to note that all of the planned studies discussed in this section intend to formally assess these issues, perhaps indicating an increasing trend. Completed studies which did discuss these factors mostly reported a high rate of fidelity but variable, and sometimes poor, rates of attendance, attrition and compliance. </w:t>
      </w:r>
    </w:p>
    <w:p w14:paraId="60265983" w14:textId="77777777" w:rsidR="00817A2F" w:rsidRPr="00817A2F" w:rsidRDefault="00817A2F" w:rsidP="00817A2F">
      <w:pPr>
        <w:spacing w:after="200" w:line="360" w:lineRule="auto"/>
        <w:contextualSpacing/>
        <w:rPr>
          <w:rFonts w:ascii="Calibri" w:eastAsia="Calibri" w:hAnsi="Calibri" w:cs="Times New Roman"/>
        </w:rPr>
      </w:pPr>
    </w:p>
    <w:p w14:paraId="3A44CF15" w14:textId="1AA2FE1C"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These results echo previous research (e.g. Nielsen, Taris et al., 2010) by highlighting the difficulties in carrying out research in dynamic environments such as organisations, where challenges may include unexpected events which impact adversely on outcomes, negotiating the terms of a research design, and motivating employees to participate and fill in surveys. Indeed, most of the studies detailed here reported such challenges (see Appendix 4f) suggesting that the relationship between the researcher and the organisation is essential for the success of interventions conducted within organisations and thus researchers and organisations need to work even more closely together in order to overcome challenges faced. Even the most carefully designed intervention will yield poor quality results if that intervention is not able to be executed and fulfilled as planned. In conclusion, it seems that the results of many of the studies discussed here may have been adversely affected by factors affecting the successful implem</w:t>
      </w:r>
      <w:r w:rsidR="00822D31">
        <w:rPr>
          <w:rFonts w:ascii="Calibri" w:eastAsia="Calibri" w:hAnsi="Calibri" w:cs="Times New Roman"/>
        </w:rPr>
        <w:t xml:space="preserve">entation of the interventions. </w:t>
      </w:r>
      <w:r w:rsidRPr="00817A2F">
        <w:rPr>
          <w:rFonts w:ascii="Calibri" w:eastAsia="Calibri" w:hAnsi="Calibri" w:cs="Times New Roman"/>
        </w:rPr>
        <w:t xml:space="preserve">The degree to which this may have occurred, however, is unknown. </w:t>
      </w:r>
    </w:p>
    <w:p w14:paraId="7CC91FF5" w14:textId="77777777" w:rsidR="00817A2F" w:rsidRPr="00817A2F" w:rsidRDefault="00817A2F" w:rsidP="00817A2F">
      <w:pPr>
        <w:spacing w:after="200" w:line="360" w:lineRule="auto"/>
        <w:contextualSpacing/>
        <w:rPr>
          <w:rFonts w:ascii="Calibri" w:eastAsia="Calibri" w:hAnsi="Calibri" w:cs="Times New Roman"/>
        </w:rPr>
      </w:pPr>
    </w:p>
    <w:p w14:paraId="4ADBF735" w14:textId="77777777" w:rsidR="00817A2F" w:rsidRPr="00817A2F" w:rsidRDefault="00817A2F" w:rsidP="0009618B">
      <w:pPr>
        <w:pStyle w:val="Heading3"/>
      </w:pPr>
      <w:bookmarkStart w:id="162" w:name="_Toc450214028"/>
      <w:bookmarkStart w:id="163" w:name="_Ref453251083"/>
      <w:bookmarkStart w:id="164" w:name="_Toc468285961"/>
      <w:r w:rsidRPr="00817A2F">
        <w:t>Job resource building interventions</w:t>
      </w:r>
      <w:bookmarkEnd w:id="162"/>
      <w:bookmarkEnd w:id="163"/>
      <w:bookmarkEnd w:id="164"/>
    </w:p>
    <w:p w14:paraId="57ABE78C" w14:textId="77777777" w:rsidR="00C7793C" w:rsidRDefault="00C7793C" w:rsidP="00817A2F">
      <w:pPr>
        <w:spacing w:after="200" w:line="360" w:lineRule="auto"/>
        <w:contextualSpacing/>
        <w:rPr>
          <w:rFonts w:ascii="Calibri" w:eastAsia="Calibri" w:hAnsi="Calibri" w:cs="Times New Roman"/>
        </w:rPr>
      </w:pPr>
    </w:p>
    <w:p w14:paraId="73A79A2C" w14:textId="740048D1"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Six studies measured the effect of interventions to increase job resources on work engagement. No ongoing studies were identified in this category. This section describes the characteristics of the six studies (see also Appendices 4a &amp; 4b), discusses their findings (Appendix 4c), and assesses their quality and implementation success (Appendix 4d-4f). Five of the studies are published research articles, and one was a PDF of a conference presentation (Kawakami et al., 2012). The studies took place in a variety of countries; two occurred in Japan (Naruse </w:t>
      </w:r>
      <w:r w:rsidR="00B64DD5">
        <w:rPr>
          <w:rFonts w:ascii="Calibri" w:eastAsia="Calibri" w:hAnsi="Calibri" w:cs="Times New Roman"/>
        </w:rPr>
        <w:t>et al.,</w:t>
      </w:r>
      <w:r w:rsidRPr="00817A2F">
        <w:rPr>
          <w:rFonts w:ascii="Calibri" w:eastAsia="Calibri" w:hAnsi="Calibri" w:cs="Times New Roman"/>
        </w:rPr>
        <w:t xml:space="preserve"> 2014; Kawakami</w:t>
      </w:r>
      <w:r w:rsidR="00D64ECC">
        <w:rPr>
          <w:rFonts w:ascii="Calibri" w:eastAsia="Calibri" w:hAnsi="Calibri" w:cs="Times New Roman"/>
        </w:rPr>
        <w:t xml:space="preserve"> et al.</w:t>
      </w:r>
      <w:r w:rsidRPr="00817A2F">
        <w:rPr>
          <w:rFonts w:ascii="Calibri" w:eastAsia="Calibri" w:hAnsi="Calibri" w:cs="Times New Roman"/>
        </w:rPr>
        <w:t xml:space="preserve">, 2012), one in Spain (Cifre </w:t>
      </w:r>
      <w:r w:rsidR="00B64DD5">
        <w:rPr>
          <w:rFonts w:ascii="Calibri" w:eastAsia="Calibri" w:hAnsi="Calibri" w:cs="Times New Roman"/>
        </w:rPr>
        <w:t>et al.,</w:t>
      </w:r>
      <w:r w:rsidRPr="00817A2F">
        <w:rPr>
          <w:rFonts w:ascii="Calibri" w:eastAsia="Calibri" w:hAnsi="Calibri" w:cs="Times New Roman"/>
        </w:rPr>
        <w:t xml:space="preserve"> 2011), one in Finland (Coffeng </w:t>
      </w:r>
      <w:r w:rsidR="00B64DD5">
        <w:rPr>
          <w:rFonts w:ascii="Calibri" w:eastAsia="Calibri" w:hAnsi="Calibri" w:cs="Times New Roman"/>
        </w:rPr>
        <w:t>et al.,</w:t>
      </w:r>
      <w:r w:rsidRPr="00817A2F">
        <w:rPr>
          <w:rFonts w:ascii="Calibri" w:eastAsia="Calibri" w:hAnsi="Calibri" w:cs="Times New Roman"/>
        </w:rPr>
        <w:t xml:space="preserve"> 2014), one in Norway (Martinussen</w:t>
      </w:r>
      <w:r w:rsidR="00E067D9">
        <w:rPr>
          <w:rFonts w:ascii="Calibri" w:eastAsia="Calibri" w:hAnsi="Calibri" w:cs="Times New Roman"/>
        </w:rPr>
        <w:t xml:space="preserve">, Adolfsen, Lauritzen, &amp; Richardsen, </w:t>
      </w:r>
      <w:r w:rsidRPr="00817A2F">
        <w:rPr>
          <w:rFonts w:ascii="Calibri" w:eastAsia="Calibri" w:hAnsi="Calibri" w:cs="Times New Roman"/>
        </w:rPr>
        <w:t xml:space="preserve">2012), and one in Australia (Rickard </w:t>
      </w:r>
      <w:r w:rsidR="00B64DD5">
        <w:rPr>
          <w:rFonts w:ascii="Calibri" w:eastAsia="Calibri" w:hAnsi="Calibri" w:cs="Times New Roman"/>
        </w:rPr>
        <w:t>et al.,</w:t>
      </w:r>
      <w:r w:rsidRPr="00817A2F">
        <w:rPr>
          <w:rFonts w:ascii="Calibri" w:eastAsia="Calibri" w:hAnsi="Calibri" w:cs="Times New Roman"/>
        </w:rPr>
        <w:t xml:space="preserve"> 2012). The organisations in which these interventions took place were heterogeneous, and included financial organisations (Coffeng </w:t>
      </w:r>
      <w:r w:rsidR="00B64DD5">
        <w:rPr>
          <w:rFonts w:ascii="Calibri" w:eastAsia="Calibri" w:hAnsi="Calibri" w:cs="Times New Roman"/>
        </w:rPr>
        <w:t>et al.,</w:t>
      </w:r>
      <w:r w:rsidRPr="00817A2F">
        <w:rPr>
          <w:rFonts w:ascii="Calibri" w:eastAsia="Calibri" w:hAnsi="Calibri" w:cs="Times New Roman"/>
        </w:rPr>
        <w:t xml:space="preserve"> 2014), hospitals and community nursing organisations (Rickard </w:t>
      </w:r>
      <w:r w:rsidR="00B64DD5">
        <w:rPr>
          <w:rFonts w:ascii="Calibri" w:eastAsia="Calibri" w:hAnsi="Calibri" w:cs="Times New Roman"/>
        </w:rPr>
        <w:t>et al.,</w:t>
      </w:r>
      <w:r w:rsidRPr="00817A2F">
        <w:rPr>
          <w:rFonts w:ascii="Calibri" w:eastAsia="Calibri" w:hAnsi="Calibri" w:cs="Times New Roman"/>
        </w:rPr>
        <w:t xml:space="preserve"> 2012 &amp; Naruse </w:t>
      </w:r>
      <w:r w:rsidR="00B64DD5">
        <w:rPr>
          <w:rFonts w:ascii="Calibri" w:eastAsia="Calibri" w:hAnsi="Calibri" w:cs="Times New Roman"/>
        </w:rPr>
        <w:t>et al.,</w:t>
      </w:r>
      <w:r w:rsidRPr="00817A2F">
        <w:rPr>
          <w:rFonts w:ascii="Calibri" w:eastAsia="Calibri" w:hAnsi="Calibri" w:cs="Times New Roman"/>
        </w:rPr>
        <w:t xml:space="preserve"> 2014, respectively), welfare services (Martinussen </w:t>
      </w:r>
      <w:r w:rsidR="00B64DD5">
        <w:rPr>
          <w:rFonts w:ascii="Calibri" w:eastAsia="Calibri" w:hAnsi="Calibri" w:cs="Times New Roman"/>
        </w:rPr>
        <w:t>et al.,</w:t>
      </w:r>
      <w:r w:rsidRPr="00817A2F">
        <w:rPr>
          <w:rFonts w:ascii="Calibri" w:eastAsia="Calibri" w:hAnsi="Calibri" w:cs="Times New Roman"/>
        </w:rPr>
        <w:t xml:space="preserve"> 2012), </w:t>
      </w:r>
      <w:r w:rsidR="00BD2640">
        <w:rPr>
          <w:rFonts w:ascii="Calibri" w:eastAsia="Calibri" w:hAnsi="Calibri" w:cs="Times New Roman"/>
        </w:rPr>
        <w:t xml:space="preserve">the </w:t>
      </w:r>
      <w:r w:rsidRPr="00817A2F">
        <w:rPr>
          <w:rFonts w:ascii="Calibri" w:eastAsia="Calibri" w:hAnsi="Calibri" w:cs="Times New Roman"/>
        </w:rPr>
        <w:lastRenderedPageBreak/>
        <w:t>manufacturing</w:t>
      </w:r>
      <w:r w:rsidR="00BD2640">
        <w:rPr>
          <w:rFonts w:ascii="Calibri" w:eastAsia="Calibri" w:hAnsi="Calibri" w:cs="Times New Roman"/>
        </w:rPr>
        <w:t xml:space="preserve"> industry</w:t>
      </w:r>
      <w:r w:rsidRPr="00817A2F">
        <w:rPr>
          <w:rFonts w:ascii="Calibri" w:eastAsia="Calibri" w:hAnsi="Calibri" w:cs="Times New Roman"/>
        </w:rPr>
        <w:t xml:space="preserve"> (Cifre </w:t>
      </w:r>
      <w:r w:rsidR="00B64DD5">
        <w:rPr>
          <w:rFonts w:ascii="Calibri" w:eastAsia="Calibri" w:hAnsi="Calibri" w:cs="Times New Roman"/>
        </w:rPr>
        <w:t>et al.,</w:t>
      </w:r>
      <w:r w:rsidRPr="00817A2F">
        <w:rPr>
          <w:rFonts w:ascii="Calibri" w:eastAsia="Calibri" w:hAnsi="Calibri" w:cs="Times New Roman"/>
        </w:rPr>
        <w:t xml:space="preserve"> 2011)</w:t>
      </w:r>
      <w:r w:rsidR="00BD2640">
        <w:rPr>
          <w:rFonts w:ascii="Calibri" w:eastAsia="Calibri" w:hAnsi="Calibri" w:cs="Times New Roman"/>
        </w:rPr>
        <w:t>,</w:t>
      </w:r>
      <w:r w:rsidRPr="00817A2F">
        <w:rPr>
          <w:rFonts w:ascii="Calibri" w:eastAsia="Calibri" w:hAnsi="Calibri" w:cs="Times New Roman"/>
        </w:rPr>
        <w:t xml:space="preserve"> and a web survey company (Kawakami, 2012). More specific details regarding the design, interventions conducted, and findings will be described throughout this section.</w:t>
      </w:r>
    </w:p>
    <w:p w14:paraId="7FD275BA" w14:textId="77777777" w:rsidR="00817A2F" w:rsidRPr="00817A2F" w:rsidRDefault="00817A2F" w:rsidP="00817A2F">
      <w:pPr>
        <w:spacing w:after="200" w:line="276" w:lineRule="auto"/>
        <w:rPr>
          <w:rFonts w:ascii="Calibri" w:eastAsia="Calibri" w:hAnsi="Calibri" w:cs="Times New Roman"/>
        </w:rPr>
      </w:pPr>
    </w:p>
    <w:p w14:paraId="47FB6891" w14:textId="77777777" w:rsidR="00817A2F" w:rsidRPr="00817A2F" w:rsidRDefault="00817A2F" w:rsidP="00923A7B">
      <w:pPr>
        <w:pStyle w:val="Heading4"/>
        <w:rPr>
          <w:rFonts w:eastAsia="Times New Roman"/>
        </w:rPr>
      </w:pPr>
      <w:r w:rsidRPr="00817A2F">
        <w:rPr>
          <w:rFonts w:eastAsia="Times New Roman"/>
        </w:rPr>
        <w:t>Interventions covered</w:t>
      </w:r>
    </w:p>
    <w:p w14:paraId="4FD3F0BA" w14:textId="77777777" w:rsidR="00923A7B" w:rsidRDefault="00923A7B" w:rsidP="00817A2F">
      <w:pPr>
        <w:spacing w:after="200" w:line="360" w:lineRule="auto"/>
        <w:contextualSpacing/>
        <w:rPr>
          <w:rFonts w:ascii="Calibri" w:eastAsia="Calibri" w:hAnsi="Calibri" w:cs="Times New Roman"/>
        </w:rPr>
      </w:pPr>
    </w:p>
    <w:p w14:paraId="12E7503B" w14:textId="23E88F3E"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Two of the studies described interventions which were conducted with individuals (Cifre </w:t>
      </w:r>
      <w:r w:rsidR="00B64DD5">
        <w:rPr>
          <w:rFonts w:ascii="Calibri" w:eastAsia="Calibri" w:hAnsi="Calibri" w:cs="Times New Roman"/>
        </w:rPr>
        <w:t>et al.,</w:t>
      </w:r>
      <w:r w:rsidRPr="00817A2F">
        <w:rPr>
          <w:rFonts w:ascii="Calibri" w:eastAsia="Calibri" w:hAnsi="Calibri" w:cs="Times New Roman"/>
        </w:rPr>
        <w:t xml:space="preserve"> 2011; Naruse </w:t>
      </w:r>
      <w:r w:rsidR="00B64DD5">
        <w:rPr>
          <w:rFonts w:ascii="Calibri" w:eastAsia="Calibri" w:hAnsi="Calibri" w:cs="Times New Roman"/>
        </w:rPr>
        <w:t>et al.,</w:t>
      </w:r>
      <w:r w:rsidRPr="00817A2F">
        <w:rPr>
          <w:rFonts w:ascii="Calibri" w:eastAsia="Calibri" w:hAnsi="Calibri" w:cs="Times New Roman"/>
        </w:rPr>
        <w:t xml:space="preserve"> 2014), one described an intervention with both a group and individual component (Martinussen </w:t>
      </w:r>
      <w:r w:rsidR="00B64DD5">
        <w:rPr>
          <w:rFonts w:ascii="Calibri" w:eastAsia="Calibri" w:hAnsi="Calibri" w:cs="Times New Roman"/>
        </w:rPr>
        <w:t>et al.,</w:t>
      </w:r>
      <w:r w:rsidRPr="00817A2F">
        <w:rPr>
          <w:rFonts w:ascii="Calibri" w:eastAsia="Calibri" w:hAnsi="Calibri" w:cs="Times New Roman"/>
        </w:rPr>
        <w:t xml:space="preserve"> 2012), one described a group intervention which was also focused on changing the environment of the participating organisation (Coffeng </w:t>
      </w:r>
      <w:r w:rsidR="00B64DD5">
        <w:rPr>
          <w:rFonts w:ascii="Calibri" w:eastAsia="Calibri" w:hAnsi="Calibri" w:cs="Times New Roman"/>
        </w:rPr>
        <w:t>et al.,</w:t>
      </w:r>
      <w:r w:rsidRPr="00817A2F">
        <w:rPr>
          <w:rFonts w:ascii="Calibri" w:eastAsia="Calibri" w:hAnsi="Calibri" w:cs="Times New Roman"/>
        </w:rPr>
        <w:t xml:space="preserve"> 2014), and two described a systemic intervention (Rickard </w:t>
      </w:r>
      <w:r w:rsidR="00B64DD5">
        <w:rPr>
          <w:rFonts w:ascii="Calibri" w:eastAsia="Calibri" w:hAnsi="Calibri" w:cs="Times New Roman"/>
        </w:rPr>
        <w:t>et al.,</w:t>
      </w:r>
      <w:r w:rsidRPr="00817A2F">
        <w:rPr>
          <w:rFonts w:ascii="Calibri" w:eastAsia="Calibri" w:hAnsi="Calibri" w:cs="Times New Roman"/>
        </w:rPr>
        <w:t xml:space="preserve"> 2012; Kawakami </w:t>
      </w:r>
      <w:r w:rsidR="00B64DD5">
        <w:rPr>
          <w:rFonts w:ascii="Calibri" w:eastAsia="Calibri" w:hAnsi="Calibri" w:cs="Times New Roman"/>
        </w:rPr>
        <w:t>et al.,</w:t>
      </w:r>
      <w:r w:rsidRPr="00817A2F">
        <w:rPr>
          <w:rFonts w:ascii="Calibri" w:eastAsia="Calibri" w:hAnsi="Calibri" w:cs="Times New Roman"/>
        </w:rPr>
        <w:t xml:space="preserve"> 2012). The approach and content of each intervention was quite different, although the type of job resources each aimed to increase were sometimes similar. For example, both Naruse </w:t>
      </w:r>
      <w:r w:rsidR="00671EEB">
        <w:rPr>
          <w:rFonts w:ascii="Calibri" w:eastAsia="Calibri" w:hAnsi="Calibri" w:cs="Times New Roman"/>
        </w:rPr>
        <w:t>and colleagues’</w:t>
      </w:r>
      <w:r w:rsidRPr="00817A2F">
        <w:rPr>
          <w:rFonts w:ascii="Calibri" w:eastAsia="Calibri" w:hAnsi="Calibri" w:cs="Times New Roman"/>
        </w:rPr>
        <w:t xml:space="preserve"> (2014) and Rickard </w:t>
      </w:r>
      <w:r w:rsidR="00D77E72">
        <w:rPr>
          <w:rFonts w:ascii="Calibri" w:eastAsia="Calibri" w:hAnsi="Calibri" w:cs="Times New Roman"/>
        </w:rPr>
        <w:t>and colleagues’</w:t>
      </w:r>
      <w:r w:rsidRPr="00817A2F">
        <w:rPr>
          <w:rFonts w:ascii="Calibri" w:eastAsia="Calibri" w:hAnsi="Calibri" w:cs="Times New Roman"/>
        </w:rPr>
        <w:t xml:space="preserve"> (2012) studies aimed to increase staff numbers and Cifre </w:t>
      </w:r>
      <w:r w:rsidR="008F6182">
        <w:rPr>
          <w:rFonts w:ascii="Calibri" w:eastAsia="Calibri" w:hAnsi="Calibri" w:cs="Times New Roman"/>
        </w:rPr>
        <w:t>and colleagues’</w:t>
      </w:r>
      <w:r w:rsidRPr="00817A2F">
        <w:rPr>
          <w:rFonts w:ascii="Calibri" w:eastAsia="Calibri" w:hAnsi="Calibri" w:cs="Times New Roman"/>
        </w:rPr>
        <w:t xml:space="preserve"> (2011), Rickard </w:t>
      </w:r>
      <w:r w:rsidR="00D77E72">
        <w:rPr>
          <w:rFonts w:ascii="Calibri" w:eastAsia="Calibri" w:hAnsi="Calibri" w:cs="Times New Roman"/>
        </w:rPr>
        <w:t>and colleagues’</w:t>
      </w:r>
      <w:r w:rsidRPr="00817A2F">
        <w:rPr>
          <w:rFonts w:ascii="Calibri" w:eastAsia="Calibri" w:hAnsi="Calibri" w:cs="Times New Roman"/>
        </w:rPr>
        <w:t xml:space="preserve"> (2012), and Martinussen </w:t>
      </w:r>
      <w:r w:rsidR="00E067D9">
        <w:rPr>
          <w:rFonts w:ascii="Calibri" w:eastAsia="Calibri" w:hAnsi="Calibri" w:cs="Times New Roman"/>
        </w:rPr>
        <w:t>and colleagues’</w:t>
      </w:r>
      <w:r w:rsidRPr="00817A2F">
        <w:rPr>
          <w:rFonts w:ascii="Calibri" w:eastAsia="Calibri" w:hAnsi="Calibri" w:cs="Times New Roman"/>
        </w:rPr>
        <w:t xml:space="preserve"> (2012) studies all aimed, at least in part, to increase training and development opportunities. More specifically, Cifre et al</w:t>
      </w:r>
      <w:r w:rsidR="008F6182">
        <w:rPr>
          <w:rFonts w:ascii="Calibri" w:eastAsia="Calibri" w:hAnsi="Calibri" w:cs="Times New Roman"/>
        </w:rPr>
        <w:t>.</w:t>
      </w:r>
      <w:r w:rsidRPr="00817A2F">
        <w:rPr>
          <w:rFonts w:ascii="Calibri" w:eastAsia="Calibri" w:hAnsi="Calibri" w:cs="Times New Roman"/>
        </w:rPr>
        <w:t xml:space="preserve"> (2011) adopted an action-research approach to redesign the role of the supervisor of the intervention department and Coffeng et al</w:t>
      </w:r>
      <w:r w:rsidR="008F6182">
        <w:rPr>
          <w:rFonts w:ascii="Calibri" w:eastAsia="Calibri" w:hAnsi="Calibri" w:cs="Times New Roman"/>
        </w:rPr>
        <w:t>.</w:t>
      </w:r>
      <w:r w:rsidRPr="00817A2F">
        <w:rPr>
          <w:rFonts w:ascii="Calibri" w:eastAsia="Calibri" w:hAnsi="Calibri" w:cs="Times New Roman"/>
        </w:rPr>
        <w:t xml:space="preserve"> (2014) investigated the effect of a combined social and environmental intervention. The social component involved group motivational interviewing by team leaders and the physical component involved changing the work environment by creating ‘zones’, for example, coffee zones with comfy chairs and meeting zones. These two examples highlight how different interventions to increase job resources may be, and further details can be found about these, and each of the other interventions in this</w:t>
      </w:r>
      <w:r w:rsidR="00BD2640">
        <w:rPr>
          <w:rFonts w:ascii="Calibri" w:eastAsia="Calibri" w:hAnsi="Calibri" w:cs="Times New Roman"/>
        </w:rPr>
        <w:t xml:space="preserve"> section, in Appendices 4a &amp; 4b</w:t>
      </w:r>
      <w:r w:rsidRPr="00817A2F">
        <w:rPr>
          <w:rFonts w:ascii="Calibri" w:eastAsia="Calibri" w:hAnsi="Calibri" w:cs="Times New Roman"/>
        </w:rPr>
        <w:t>.</w:t>
      </w:r>
    </w:p>
    <w:p w14:paraId="4EFD9AD5" w14:textId="77777777" w:rsidR="00817A2F" w:rsidRPr="00817A2F" w:rsidRDefault="00817A2F" w:rsidP="00817A2F">
      <w:pPr>
        <w:spacing w:after="200" w:line="360" w:lineRule="auto"/>
        <w:contextualSpacing/>
        <w:rPr>
          <w:rFonts w:ascii="Calibri" w:eastAsia="Calibri" w:hAnsi="Calibri" w:cs="Times New Roman"/>
        </w:rPr>
      </w:pPr>
    </w:p>
    <w:p w14:paraId="7229CE71" w14:textId="77777777" w:rsidR="00817A2F" w:rsidRPr="00817A2F" w:rsidRDefault="00817A2F" w:rsidP="00923A7B">
      <w:pPr>
        <w:pStyle w:val="Heading4"/>
        <w:rPr>
          <w:rFonts w:eastAsia="Times New Roman"/>
        </w:rPr>
      </w:pPr>
      <w:bookmarkStart w:id="165" w:name="_Ref453251759"/>
      <w:r w:rsidRPr="00817A2F">
        <w:rPr>
          <w:rFonts w:eastAsia="Times New Roman"/>
        </w:rPr>
        <w:t>Research designs</w:t>
      </w:r>
      <w:bookmarkEnd w:id="165"/>
    </w:p>
    <w:p w14:paraId="468E7DFA" w14:textId="77777777" w:rsidR="00923A7B" w:rsidRDefault="00923A7B" w:rsidP="00817A2F">
      <w:pPr>
        <w:spacing w:after="200" w:line="360" w:lineRule="auto"/>
        <w:contextualSpacing/>
        <w:rPr>
          <w:rFonts w:ascii="Calibri" w:eastAsia="Calibri" w:hAnsi="Calibri" w:cs="Times New Roman"/>
        </w:rPr>
      </w:pPr>
    </w:p>
    <w:p w14:paraId="48E1C8ED" w14:textId="7657EB1F"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Five of the six studies were longitudinal and one was cross-sectional, measuring outcomes post-intervention only (Martinussen </w:t>
      </w:r>
      <w:r w:rsidR="00B64DD5">
        <w:rPr>
          <w:rFonts w:ascii="Calibri" w:eastAsia="Calibri" w:hAnsi="Calibri" w:cs="Times New Roman"/>
        </w:rPr>
        <w:t>et al.,</w:t>
      </w:r>
      <w:r w:rsidRPr="00817A2F">
        <w:rPr>
          <w:rFonts w:ascii="Calibri" w:eastAsia="Calibri" w:hAnsi="Calibri" w:cs="Times New Roman"/>
        </w:rPr>
        <w:t xml:space="preserve"> 2012). Two of the five studies measured variables pre- and post- intervention only and three included a follow-up (Cifre </w:t>
      </w:r>
      <w:r w:rsidR="00B64DD5">
        <w:rPr>
          <w:rFonts w:ascii="Calibri" w:eastAsia="Calibri" w:hAnsi="Calibri" w:cs="Times New Roman"/>
        </w:rPr>
        <w:t>et al.,</w:t>
      </w:r>
      <w:r w:rsidRPr="00817A2F">
        <w:rPr>
          <w:rFonts w:ascii="Calibri" w:eastAsia="Calibri" w:hAnsi="Calibri" w:cs="Times New Roman"/>
        </w:rPr>
        <w:t xml:space="preserve"> 2011; Coffeng </w:t>
      </w:r>
      <w:r w:rsidR="00B64DD5">
        <w:rPr>
          <w:rFonts w:ascii="Calibri" w:eastAsia="Calibri" w:hAnsi="Calibri" w:cs="Times New Roman"/>
        </w:rPr>
        <w:t>et al.,</w:t>
      </w:r>
      <w:r w:rsidRPr="00817A2F">
        <w:rPr>
          <w:rFonts w:ascii="Calibri" w:eastAsia="Calibri" w:hAnsi="Calibri" w:cs="Times New Roman"/>
        </w:rPr>
        <w:t xml:space="preserve"> 2014; Kawakami </w:t>
      </w:r>
      <w:r w:rsidR="00B64DD5">
        <w:rPr>
          <w:rFonts w:ascii="Calibri" w:eastAsia="Calibri" w:hAnsi="Calibri" w:cs="Times New Roman"/>
        </w:rPr>
        <w:t>et al.,</w:t>
      </w:r>
      <w:r w:rsidRPr="00817A2F">
        <w:rPr>
          <w:rFonts w:ascii="Calibri" w:eastAsia="Calibri" w:hAnsi="Calibri" w:cs="Times New Roman"/>
        </w:rPr>
        <w:t xml:space="preserve"> 2012). Four of the studies were non-randomised, one was randomised at department level according to the number of employees in each department resulting in departments which were matched pairwise before randomisation (Coffeng </w:t>
      </w:r>
      <w:r w:rsidR="00B64DD5">
        <w:rPr>
          <w:rFonts w:ascii="Calibri" w:eastAsia="Calibri" w:hAnsi="Calibri" w:cs="Times New Roman"/>
        </w:rPr>
        <w:t>et al.,</w:t>
      </w:r>
      <w:r w:rsidRPr="00817A2F">
        <w:rPr>
          <w:rFonts w:ascii="Calibri" w:eastAsia="Calibri" w:hAnsi="Calibri" w:cs="Times New Roman"/>
        </w:rPr>
        <w:t xml:space="preserve"> 2014), and one adopted a simple randomised controlled study approach (Kawakami </w:t>
      </w:r>
      <w:r w:rsidR="00B64DD5">
        <w:rPr>
          <w:rFonts w:ascii="Calibri" w:eastAsia="Calibri" w:hAnsi="Calibri" w:cs="Times New Roman"/>
        </w:rPr>
        <w:t>et al.,</w:t>
      </w:r>
      <w:r w:rsidRPr="00817A2F">
        <w:rPr>
          <w:rFonts w:ascii="Calibri" w:eastAsia="Calibri" w:hAnsi="Calibri" w:cs="Times New Roman"/>
        </w:rPr>
        <w:t xml:space="preserve"> 2012). Neither of the two randomised studies clearly explained how this randomisation process occurred. Three studies </w:t>
      </w:r>
      <w:r w:rsidRPr="00817A2F">
        <w:rPr>
          <w:rFonts w:ascii="Calibri" w:eastAsia="Calibri" w:hAnsi="Calibri" w:cs="Times New Roman"/>
        </w:rPr>
        <w:lastRenderedPageBreak/>
        <w:t xml:space="preserve">reported a non-randomised, comparison group and one had no control group (Rickard </w:t>
      </w:r>
      <w:r w:rsidR="00B64DD5">
        <w:rPr>
          <w:rFonts w:ascii="Calibri" w:eastAsia="Calibri" w:hAnsi="Calibri" w:cs="Times New Roman"/>
        </w:rPr>
        <w:t>et al.,</w:t>
      </w:r>
      <w:r w:rsidRPr="00817A2F">
        <w:rPr>
          <w:rFonts w:ascii="Calibri" w:eastAsia="Calibri" w:hAnsi="Calibri" w:cs="Times New Roman"/>
        </w:rPr>
        <w:t xml:space="preserve"> 2012). One study claimed to achieve allocation concealment (Coffeng </w:t>
      </w:r>
      <w:r w:rsidR="00B64DD5">
        <w:rPr>
          <w:rFonts w:ascii="Calibri" w:eastAsia="Calibri" w:hAnsi="Calibri" w:cs="Times New Roman"/>
        </w:rPr>
        <w:t>et al.,</w:t>
      </w:r>
      <w:r w:rsidRPr="00817A2F">
        <w:rPr>
          <w:rFonts w:ascii="Calibri" w:eastAsia="Calibri" w:hAnsi="Calibri" w:cs="Times New Roman"/>
        </w:rPr>
        <w:t xml:space="preserve"> 2014), however, none claimed to achieve blinding of outcome assessment or of participants and personnel. The duration of the interventions ranged between one month (Kawakami et al., 2012) and three years (Martinussen et al., 2012). For those studies which included a follow-up, th</w:t>
      </w:r>
      <w:r w:rsidR="00BD2640">
        <w:rPr>
          <w:rFonts w:ascii="Calibri" w:eastAsia="Calibri" w:hAnsi="Calibri" w:cs="Times New Roman"/>
        </w:rPr>
        <w:t>e measurement occurred between four</w:t>
      </w:r>
      <w:r w:rsidRPr="00817A2F">
        <w:rPr>
          <w:rFonts w:ascii="Calibri" w:eastAsia="Calibri" w:hAnsi="Calibri" w:cs="Times New Roman"/>
        </w:rPr>
        <w:t xml:space="preserve"> months (Kawakami </w:t>
      </w:r>
      <w:r w:rsidR="00B64DD5">
        <w:rPr>
          <w:rFonts w:ascii="Calibri" w:eastAsia="Calibri" w:hAnsi="Calibri" w:cs="Times New Roman"/>
        </w:rPr>
        <w:t>et al.,</w:t>
      </w:r>
      <w:r w:rsidRPr="00817A2F">
        <w:rPr>
          <w:rFonts w:ascii="Calibri" w:eastAsia="Calibri" w:hAnsi="Calibri" w:cs="Times New Roman"/>
        </w:rPr>
        <w:t xml:space="preserve"> 2012) a</w:t>
      </w:r>
      <w:r w:rsidR="00BD2640">
        <w:rPr>
          <w:rFonts w:ascii="Calibri" w:eastAsia="Calibri" w:hAnsi="Calibri" w:cs="Times New Roman"/>
        </w:rPr>
        <w:t>nd 12</w:t>
      </w:r>
      <w:r w:rsidR="00294B34">
        <w:rPr>
          <w:rFonts w:ascii="Calibri" w:eastAsia="Calibri" w:hAnsi="Calibri" w:cs="Times New Roman"/>
        </w:rPr>
        <w:t xml:space="preserve"> months (Hengel </w:t>
      </w:r>
      <w:r w:rsidR="00B64DD5">
        <w:rPr>
          <w:rFonts w:ascii="Calibri" w:eastAsia="Calibri" w:hAnsi="Calibri" w:cs="Times New Roman"/>
        </w:rPr>
        <w:t>et al.,</w:t>
      </w:r>
      <w:r w:rsidR="00294B34">
        <w:rPr>
          <w:rFonts w:ascii="Calibri" w:eastAsia="Calibri" w:hAnsi="Calibri" w:cs="Times New Roman"/>
        </w:rPr>
        <w:t xml:space="preserve"> 2012</w:t>
      </w:r>
      <w:r w:rsidRPr="00817A2F">
        <w:rPr>
          <w:rFonts w:ascii="Calibri" w:eastAsia="Calibri" w:hAnsi="Calibri" w:cs="Times New Roman"/>
        </w:rPr>
        <w:t xml:space="preserve">) after baseline measurements. These results demonstrate variable quality across the six studies. Two employed randomised controlled designs and one was cross-sectional (Martinussen </w:t>
      </w:r>
      <w:r w:rsidR="00B64DD5">
        <w:rPr>
          <w:rFonts w:ascii="Calibri" w:eastAsia="Calibri" w:hAnsi="Calibri" w:cs="Times New Roman"/>
        </w:rPr>
        <w:t>et al.,</w:t>
      </w:r>
      <w:r w:rsidRPr="00817A2F">
        <w:rPr>
          <w:rFonts w:ascii="Calibri" w:eastAsia="Calibri" w:hAnsi="Calibri" w:cs="Times New Roman"/>
        </w:rPr>
        <w:t xml:space="preserve"> 2012), preventing a statistical investigation of the success of this intervention, or the causal relationships between variables. Studies were not able to incorporate blinding of participants, personnel, and researchers, which, as stated in the discussion of personal resource building interventions, is inevitable with organisational research. </w:t>
      </w:r>
    </w:p>
    <w:p w14:paraId="18E5F9F3" w14:textId="77777777" w:rsidR="00817A2F" w:rsidRPr="00817A2F" w:rsidRDefault="00817A2F" w:rsidP="00817A2F">
      <w:pPr>
        <w:spacing w:after="200" w:line="276" w:lineRule="auto"/>
        <w:rPr>
          <w:rFonts w:ascii="Calibri" w:eastAsia="Calibri" w:hAnsi="Calibri" w:cs="Times New Roman"/>
        </w:rPr>
      </w:pPr>
    </w:p>
    <w:p w14:paraId="49B2AE8D" w14:textId="77777777" w:rsidR="00817A2F" w:rsidRPr="00817A2F" w:rsidRDefault="00817A2F" w:rsidP="00923A7B">
      <w:pPr>
        <w:pStyle w:val="Heading4"/>
        <w:rPr>
          <w:rFonts w:eastAsia="Times New Roman"/>
        </w:rPr>
      </w:pPr>
      <w:r w:rsidRPr="00817A2F">
        <w:rPr>
          <w:rFonts w:eastAsia="Times New Roman"/>
        </w:rPr>
        <w:t>Outcomes measured and findings</w:t>
      </w:r>
    </w:p>
    <w:p w14:paraId="0DBAF899" w14:textId="77777777" w:rsidR="00923A7B" w:rsidRDefault="00923A7B" w:rsidP="00817A2F">
      <w:pPr>
        <w:spacing w:after="200" w:line="360" w:lineRule="auto"/>
        <w:rPr>
          <w:rFonts w:ascii="Calibri" w:eastAsia="Calibri" w:hAnsi="Calibri" w:cs="Times New Roman"/>
        </w:rPr>
      </w:pPr>
    </w:p>
    <w:p w14:paraId="66DF37CE" w14:textId="00FF0DC7" w:rsidR="00817A2F" w:rsidRPr="00817A2F" w:rsidRDefault="00817A2F" w:rsidP="00817A2F">
      <w:pPr>
        <w:spacing w:after="200" w:line="360" w:lineRule="auto"/>
        <w:rPr>
          <w:rFonts w:ascii="Calibri" w:eastAsia="Calibri" w:hAnsi="Calibri" w:cs="Times New Roman"/>
        </w:rPr>
      </w:pPr>
      <w:r w:rsidRPr="00817A2F">
        <w:rPr>
          <w:rFonts w:ascii="Calibri" w:eastAsia="Calibri" w:hAnsi="Calibri" w:cs="Times New Roman"/>
        </w:rPr>
        <w:t>A</w:t>
      </w:r>
      <w:r w:rsidR="00BD2640">
        <w:rPr>
          <w:rFonts w:ascii="Calibri" w:eastAsia="Calibri" w:hAnsi="Calibri" w:cs="Times New Roman"/>
        </w:rPr>
        <w:t>ll six of the studies measured work e</w:t>
      </w:r>
      <w:r w:rsidRPr="00817A2F">
        <w:rPr>
          <w:rFonts w:ascii="Calibri" w:eastAsia="Calibri" w:hAnsi="Calibri" w:cs="Times New Roman"/>
        </w:rPr>
        <w:t xml:space="preserve">ngagement using the UWES. Two used the full version (UWES-17), and four used the abbreviated version (UWES-9). Four of the studies measured work engagement as a composite score only, one additionally measured each of the three sub-components (Coffeng </w:t>
      </w:r>
      <w:r w:rsidR="00B64DD5">
        <w:rPr>
          <w:rFonts w:ascii="Calibri" w:eastAsia="Calibri" w:hAnsi="Calibri" w:cs="Times New Roman"/>
        </w:rPr>
        <w:t>et al.,</w:t>
      </w:r>
      <w:r w:rsidRPr="00817A2F">
        <w:rPr>
          <w:rFonts w:ascii="Calibri" w:eastAsia="Calibri" w:hAnsi="Calibri" w:cs="Times New Roman"/>
        </w:rPr>
        <w:t xml:space="preserve"> 2014), and one measured vigour and dedication only (Cifre </w:t>
      </w:r>
      <w:r w:rsidR="00B64DD5">
        <w:rPr>
          <w:rFonts w:ascii="Calibri" w:eastAsia="Calibri" w:hAnsi="Calibri" w:cs="Times New Roman"/>
        </w:rPr>
        <w:t>et al.,</w:t>
      </w:r>
      <w:r w:rsidRPr="00817A2F">
        <w:rPr>
          <w:rFonts w:ascii="Calibri" w:eastAsia="Calibri" w:hAnsi="Calibri" w:cs="Times New Roman"/>
        </w:rPr>
        <w:t xml:space="preserve"> 2012). Four of the studies also measured a variety of other outcomes, including job resources such as autonomy (Cifre </w:t>
      </w:r>
      <w:r w:rsidR="00B64DD5">
        <w:rPr>
          <w:rFonts w:ascii="Calibri" w:eastAsia="Calibri" w:hAnsi="Calibri" w:cs="Times New Roman"/>
        </w:rPr>
        <w:t>et al.,</w:t>
      </w:r>
      <w:r w:rsidRPr="00817A2F">
        <w:rPr>
          <w:rFonts w:ascii="Calibri" w:eastAsia="Calibri" w:hAnsi="Calibri" w:cs="Times New Roman"/>
        </w:rPr>
        <w:t xml:space="preserve"> 2011), social support (Rickard </w:t>
      </w:r>
      <w:r w:rsidR="00B64DD5">
        <w:rPr>
          <w:rFonts w:ascii="Calibri" w:eastAsia="Calibri" w:hAnsi="Calibri" w:cs="Times New Roman"/>
        </w:rPr>
        <w:t>et al.,</w:t>
      </w:r>
      <w:r w:rsidRPr="00817A2F">
        <w:rPr>
          <w:rFonts w:ascii="Calibri" w:eastAsia="Calibri" w:hAnsi="Calibri" w:cs="Times New Roman"/>
        </w:rPr>
        <w:t xml:space="preserve"> 2012; Martinussen </w:t>
      </w:r>
      <w:r w:rsidR="00B64DD5">
        <w:rPr>
          <w:rFonts w:ascii="Calibri" w:eastAsia="Calibri" w:hAnsi="Calibri" w:cs="Times New Roman"/>
        </w:rPr>
        <w:t>et al.,</w:t>
      </w:r>
      <w:r w:rsidRPr="00817A2F">
        <w:rPr>
          <w:rFonts w:ascii="Calibri" w:eastAsia="Calibri" w:hAnsi="Calibri" w:cs="Times New Roman"/>
        </w:rPr>
        <w:t xml:space="preserve"> 2012), aspects of organisational climate (Rickard </w:t>
      </w:r>
      <w:r w:rsidR="00B64DD5">
        <w:rPr>
          <w:rFonts w:ascii="Calibri" w:eastAsia="Calibri" w:hAnsi="Calibri" w:cs="Times New Roman"/>
        </w:rPr>
        <w:t>et al.,</w:t>
      </w:r>
      <w:r w:rsidRPr="00817A2F">
        <w:rPr>
          <w:rFonts w:ascii="Calibri" w:eastAsia="Calibri" w:hAnsi="Calibri" w:cs="Times New Roman"/>
        </w:rPr>
        <w:t xml:space="preserve"> 2012; Martinussen </w:t>
      </w:r>
      <w:r w:rsidR="00B64DD5">
        <w:rPr>
          <w:rFonts w:ascii="Calibri" w:eastAsia="Calibri" w:hAnsi="Calibri" w:cs="Times New Roman"/>
        </w:rPr>
        <w:t>et al.,</w:t>
      </w:r>
      <w:r w:rsidR="00BD2640">
        <w:rPr>
          <w:rFonts w:ascii="Calibri" w:eastAsia="Calibri" w:hAnsi="Calibri" w:cs="Times New Roman"/>
        </w:rPr>
        <w:t xml:space="preserve"> 2012) and</w:t>
      </w:r>
      <w:r w:rsidRPr="00817A2F">
        <w:rPr>
          <w:rFonts w:ascii="Calibri" w:eastAsia="Calibri" w:hAnsi="Calibri" w:cs="Times New Roman"/>
        </w:rPr>
        <w:t xml:space="preserve"> culture (Martinussen </w:t>
      </w:r>
      <w:r w:rsidR="00B64DD5">
        <w:rPr>
          <w:rFonts w:ascii="Calibri" w:eastAsia="Calibri" w:hAnsi="Calibri" w:cs="Times New Roman"/>
        </w:rPr>
        <w:t>et al.,</w:t>
      </w:r>
      <w:r w:rsidRPr="00817A2F">
        <w:rPr>
          <w:rFonts w:ascii="Calibri" w:eastAsia="Calibri" w:hAnsi="Calibri" w:cs="Times New Roman"/>
        </w:rPr>
        <w:t xml:space="preserve"> 2012)</w:t>
      </w:r>
      <w:r w:rsidR="00BD2640">
        <w:rPr>
          <w:rFonts w:ascii="Calibri" w:eastAsia="Calibri" w:hAnsi="Calibri" w:cs="Times New Roman"/>
        </w:rPr>
        <w:t>,</w:t>
      </w:r>
      <w:r w:rsidRPr="00817A2F">
        <w:rPr>
          <w:rFonts w:ascii="Calibri" w:eastAsia="Calibri" w:hAnsi="Calibri" w:cs="Times New Roman"/>
        </w:rPr>
        <w:t xml:space="preserve"> organisational training (Rickard </w:t>
      </w:r>
      <w:r w:rsidR="00B64DD5">
        <w:rPr>
          <w:rFonts w:ascii="Calibri" w:eastAsia="Calibri" w:hAnsi="Calibri" w:cs="Times New Roman"/>
        </w:rPr>
        <w:t>et al.,</w:t>
      </w:r>
      <w:r w:rsidRPr="00817A2F">
        <w:rPr>
          <w:rFonts w:ascii="Calibri" w:eastAsia="Calibri" w:hAnsi="Calibri" w:cs="Times New Roman"/>
        </w:rPr>
        <w:t xml:space="preserve"> 2012), personal resources such as professional self-efficacy and perceived competence (Rickard </w:t>
      </w:r>
      <w:r w:rsidR="00B64DD5">
        <w:rPr>
          <w:rFonts w:ascii="Calibri" w:eastAsia="Calibri" w:hAnsi="Calibri" w:cs="Times New Roman"/>
        </w:rPr>
        <w:t>et al.,</w:t>
      </w:r>
      <w:r w:rsidR="00BD2640">
        <w:rPr>
          <w:rFonts w:ascii="Calibri" w:eastAsia="Calibri" w:hAnsi="Calibri" w:cs="Times New Roman"/>
        </w:rPr>
        <w:t xml:space="preserve"> 2012),</w:t>
      </w:r>
      <w:r w:rsidRPr="00817A2F">
        <w:rPr>
          <w:rFonts w:ascii="Calibri" w:eastAsia="Calibri" w:hAnsi="Calibri" w:cs="Times New Roman"/>
        </w:rPr>
        <w:t xml:space="preserve"> job demands such as workload and role conflict (Cifre </w:t>
      </w:r>
      <w:r w:rsidR="00B64DD5">
        <w:rPr>
          <w:rFonts w:ascii="Calibri" w:eastAsia="Calibri" w:hAnsi="Calibri" w:cs="Times New Roman"/>
        </w:rPr>
        <w:t>et al.,</w:t>
      </w:r>
      <w:r w:rsidRPr="00817A2F">
        <w:rPr>
          <w:rFonts w:ascii="Calibri" w:eastAsia="Calibri" w:hAnsi="Calibri" w:cs="Times New Roman"/>
        </w:rPr>
        <w:t xml:space="preserve"> 2012; Rickard </w:t>
      </w:r>
      <w:r w:rsidR="00B64DD5">
        <w:rPr>
          <w:rFonts w:ascii="Calibri" w:eastAsia="Calibri" w:hAnsi="Calibri" w:cs="Times New Roman"/>
        </w:rPr>
        <w:t>et al.,</w:t>
      </w:r>
      <w:r w:rsidRPr="00817A2F">
        <w:rPr>
          <w:rFonts w:ascii="Calibri" w:eastAsia="Calibri" w:hAnsi="Calibri" w:cs="Times New Roman"/>
        </w:rPr>
        <w:t xml:space="preserve"> 2012; Martinussen </w:t>
      </w:r>
      <w:r w:rsidR="00B64DD5">
        <w:rPr>
          <w:rFonts w:ascii="Calibri" w:eastAsia="Calibri" w:hAnsi="Calibri" w:cs="Times New Roman"/>
        </w:rPr>
        <w:t>et al.,</w:t>
      </w:r>
      <w:r w:rsidRPr="00817A2F">
        <w:rPr>
          <w:rFonts w:ascii="Calibri" w:eastAsia="Calibri" w:hAnsi="Calibri" w:cs="Times New Roman"/>
        </w:rPr>
        <w:t xml:space="preserve"> 2012), and work-family pressures (Martinussen </w:t>
      </w:r>
      <w:r w:rsidR="00B64DD5">
        <w:rPr>
          <w:rFonts w:ascii="Calibri" w:eastAsia="Calibri" w:hAnsi="Calibri" w:cs="Times New Roman"/>
        </w:rPr>
        <w:t>et al.,</w:t>
      </w:r>
      <w:r w:rsidRPr="00817A2F">
        <w:rPr>
          <w:rFonts w:ascii="Calibri" w:eastAsia="Calibri" w:hAnsi="Calibri" w:cs="Times New Roman"/>
        </w:rPr>
        <w:t xml:space="preserve"> 2012). Aspects of mental health and </w:t>
      </w:r>
      <w:r w:rsidR="001D6140">
        <w:rPr>
          <w:rFonts w:ascii="Calibri" w:eastAsia="Calibri" w:hAnsi="Calibri" w:cs="Times New Roman"/>
        </w:rPr>
        <w:t>well-being</w:t>
      </w:r>
      <w:r w:rsidRPr="00817A2F">
        <w:rPr>
          <w:rFonts w:ascii="Calibri" w:eastAsia="Calibri" w:hAnsi="Calibri" w:cs="Times New Roman"/>
        </w:rPr>
        <w:t xml:space="preserve"> were also commonly measured, including occupational distress (Rickard </w:t>
      </w:r>
      <w:r w:rsidR="00B64DD5">
        <w:rPr>
          <w:rFonts w:ascii="Calibri" w:eastAsia="Calibri" w:hAnsi="Calibri" w:cs="Times New Roman"/>
        </w:rPr>
        <w:t>et al.,</w:t>
      </w:r>
      <w:r w:rsidRPr="00817A2F">
        <w:rPr>
          <w:rFonts w:ascii="Calibri" w:eastAsia="Calibri" w:hAnsi="Calibri" w:cs="Times New Roman"/>
        </w:rPr>
        <w:t xml:space="preserve"> 2012), emotional exhaustion (Cifre </w:t>
      </w:r>
      <w:r w:rsidR="00B64DD5">
        <w:rPr>
          <w:rFonts w:ascii="Calibri" w:eastAsia="Calibri" w:hAnsi="Calibri" w:cs="Times New Roman"/>
        </w:rPr>
        <w:t>et al.,</w:t>
      </w:r>
      <w:r w:rsidRPr="00817A2F">
        <w:rPr>
          <w:rFonts w:ascii="Calibri" w:eastAsia="Calibri" w:hAnsi="Calibri" w:cs="Times New Roman"/>
        </w:rPr>
        <w:t xml:space="preserve"> 2012; Rickard </w:t>
      </w:r>
      <w:r w:rsidR="00B64DD5">
        <w:rPr>
          <w:rFonts w:ascii="Calibri" w:eastAsia="Calibri" w:hAnsi="Calibri" w:cs="Times New Roman"/>
        </w:rPr>
        <w:t>et al.,</w:t>
      </w:r>
      <w:r w:rsidRPr="00817A2F">
        <w:rPr>
          <w:rFonts w:ascii="Calibri" w:eastAsia="Calibri" w:hAnsi="Calibri" w:cs="Times New Roman"/>
        </w:rPr>
        <w:t xml:space="preserve"> 2012; Martinussen </w:t>
      </w:r>
      <w:r w:rsidR="00B64DD5">
        <w:rPr>
          <w:rFonts w:ascii="Calibri" w:eastAsia="Calibri" w:hAnsi="Calibri" w:cs="Times New Roman"/>
        </w:rPr>
        <w:t>et al.,</w:t>
      </w:r>
      <w:r w:rsidRPr="00817A2F">
        <w:rPr>
          <w:rFonts w:ascii="Calibri" w:eastAsia="Calibri" w:hAnsi="Calibri" w:cs="Times New Roman"/>
        </w:rPr>
        <w:t xml:space="preserve"> 2012), anxiety and depression (Cifre </w:t>
      </w:r>
      <w:r w:rsidR="00B64DD5">
        <w:rPr>
          <w:rFonts w:ascii="Calibri" w:eastAsia="Calibri" w:hAnsi="Calibri" w:cs="Times New Roman"/>
        </w:rPr>
        <w:t>et al.,</w:t>
      </w:r>
      <w:r w:rsidRPr="00817A2F">
        <w:rPr>
          <w:rFonts w:ascii="Calibri" w:eastAsia="Calibri" w:hAnsi="Calibri" w:cs="Times New Roman"/>
        </w:rPr>
        <w:t xml:space="preserve"> 2012), presenteeism and absenteeism (Coffeng </w:t>
      </w:r>
      <w:r w:rsidR="00B64DD5">
        <w:rPr>
          <w:rFonts w:ascii="Calibri" w:eastAsia="Calibri" w:hAnsi="Calibri" w:cs="Times New Roman"/>
        </w:rPr>
        <w:t>et al.,</w:t>
      </w:r>
      <w:r w:rsidRPr="00817A2F">
        <w:rPr>
          <w:rFonts w:ascii="Calibri" w:eastAsia="Calibri" w:hAnsi="Calibri" w:cs="Times New Roman"/>
        </w:rPr>
        <w:t xml:space="preserve"> 2014), and job satisfaction (Cifre </w:t>
      </w:r>
      <w:r w:rsidR="00B64DD5">
        <w:rPr>
          <w:rFonts w:ascii="Calibri" w:eastAsia="Calibri" w:hAnsi="Calibri" w:cs="Times New Roman"/>
        </w:rPr>
        <w:t>et al.,</w:t>
      </w:r>
      <w:r w:rsidRPr="00817A2F">
        <w:rPr>
          <w:rFonts w:ascii="Calibri" w:eastAsia="Calibri" w:hAnsi="Calibri" w:cs="Times New Roman"/>
        </w:rPr>
        <w:t xml:space="preserve"> 2012; Rickard </w:t>
      </w:r>
      <w:r w:rsidR="00B64DD5">
        <w:rPr>
          <w:rFonts w:ascii="Calibri" w:eastAsia="Calibri" w:hAnsi="Calibri" w:cs="Times New Roman"/>
        </w:rPr>
        <w:t>et al.,</w:t>
      </w:r>
      <w:r w:rsidRPr="00817A2F">
        <w:rPr>
          <w:rFonts w:ascii="Calibri" w:eastAsia="Calibri" w:hAnsi="Calibri" w:cs="Times New Roman"/>
        </w:rPr>
        <w:t xml:space="preserve"> 2012). Other measures included work performance (Coffeng </w:t>
      </w:r>
      <w:r w:rsidR="00B64DD5">
        <w:rPr>
          <w:rFonts w:ascii="Calibri" w:eastAsia="Calibri" w:hAnsi="Calibri" w:cs="Times New Roman"/>
        </w:rPr>
        <w:t>et al.,</w:t>
      </w:r>
      <w:r w:rsidRPr="00817A2F">
        <w:rPr>
          <w:rFonts w:ascii="Calibri" w:eastAsia="Calibri" w:hAnsi="Calibri" w:cs="Times New Roman"/>
        </w:rPr>
        <w:t xml:space="preserve"> 2014) and perceived service quality (Martinussen, 2012). Please see Appendix 4c for specific details. </w:t>
      </w:r>
    </w:p>
    <w:p w14:paraId="44D7A4DE" w14:textId="77777777" w:rsidR="00E02932" w:rsidRDefault="00E02932">
      <w:pPr>
        <w:spacing w:after="160"/>
        <w:rPr>
          <w:rFonts w:ascii="Calibri" w:eastAsia="Calibri" w:hAnsi="Calibri" w:cs="Times New Roman"/>
          <w:b/>
        </w:rPr>
      </w:pPr>
      <w:r>
        <w:rPr>
          <w:rFonts w:ascii="Calibri" w:eastAsia="Calibri" w:hAnsi="Calibri" w:cs="Times New Roman"/>
          <w:b/>
        </w:rPr>
        <w:br w:type="page"/>
      </w:r>
    </w:p>
    <w:p w14:paraId="11FC1C99" w14:textId="4B6D8D6E"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lastRenderedPageBreak/>
        <w:t>Findings relating to work engagement</w:t>
      </w:r>
    </w:p>
    <w:p w14:paraId="0FE1E32A" w14:textId="2BCC1351"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Four of the five longitudinal studies noted positive changes in work engagement foll</w:t>
      </w:r>
      <w:r w:rsidR="00E02932">
        <w:rPr>
          <w:rFonts w:ascii="Calibri" w:eastAsia="Calibri" w:hAnsi="Calibri" w:cs="Times New Roman"/>
        </w:rPr>
        <w:t xml:space="preserve">owing the intervention period. </w:t>
      </w:r>
      <w:r w:rsidRPr="00817A2F">
        <w:rPr>
          <w:rFonts w:ascii="Calibri" w:eastAsia="Calibri" w:hAnsi="Calibri" w:cs="Times New Roman"/>
        </w:rPr>
        <w:t xml:space="preserve">Kawakami </w:t>
      </w:r>
      <w:r w:rsidR="00E02932">
        <w:rPr>
          <w:rFonts w:ascii="Calibri" w:eastAsia="Calibri" w:hAnsi="Calibri" w:cs="Times New Roman"/>
        </w:rPr>
        <w:t>and colleagues</w:t>
      </w:r>
      <w:r w:rsidRPr="00817A2F">
        <w:rPr>
          <w:rFonts w:ascii="Calibri" w:eastAsia="Calibri" w:hAnsi="Calibri" w:cs="Times New Roman"/>
        </w:rPr>
        <w:t xml:space="preserve"> (2012) observed a statist</w:t>
      </w:r>
      <w:r w:rsidR="00E02932">
        <w:rPr>
          <w:rFonts w:ascii="Calibri" w:eastAsia="Calibri" w:hAnsi="Calibri" w:cs="Times New Roman"/>
        </w:rPr>
        <w:t>ically significant increase at four</w:t>
      </w:r>
      <w:r w:rsidRPr="00817A2F">
        <w:rPr>
          <w:rFonts w:ascii="Calibri" w:eastAsia="Calibri" w:hAnsi="Calibri" w:cs="Times New Roman"/>
        </w:rPr>
        <w:t xml:space="preserve"> months for those who were initially low in engagement, and Naruse </w:t>
      </w:r>
      <w:r w:rsidR="00E02932">
        <w:rPr>
          <w:rFonts w:ascii="Calibri" w:eastAsia="Calibri" w:hAnsi="Calibri" w:cs="Times New Roman"/>
        </w:rPr>
        <w:t>and colleagues</w:t>
      </w:r>
      <w:r w:rsidRPr="00817A2F">
        <w:rPr>
          <w:rFonts w:ascii="Calibri" w:eastAsia="Calibri" w:hAnsi="Calibri" w:cs="Times New Roman"/>
        </w:rPr>
        <w:t xml:space="preserve"> (2014) observed a general, positive increase in work e</w:t>
      </w:r>
      <w:r w:rsidR="00E02932">
        <w:rPr>
          <w:rFonts w:ascii="Calibri" w:eastAsia="Calibri" w:hAnsi="Calibri" w:cs="Times New Roman"/>
        </w:rPr>
        <w:t>ngagement over time. Cifre and colleagues</w:t>
      </w:r>
      <w:r w:rsidRPr="00817A2F">
        <w:rPr>
          <w:rFonts w:ascii="Calibri" w:eastAsia="Calibri" w:hAnsi="Calibri" w:cs="Times New Roman"/>
        </w:rPr>
        <w:t xml:space="preserve"> (2012) noted non-statistically significant, positive increases in the two subcomponents, vigour and dedication, and Coffeng </w:t>
      </w:r>
      <w:r w:rsidR="00E02932">
        <w:rPr>
          <w:rFonts w:ascii="Calibri" w:eastAsia="Calibri" w:hAnsi="Calibri" w:cs="Times New Roman"/>
        </w:rPr>
        <w:t>and colleagues</w:t>
      </w:r>
      <w:r w:rsidRPr="00817A2F">
        <w:rPr>
          <w:rFonts w:ascii="Calibri" w:eastAsia="Calibri" w:hAnsi="Calibri" w:cs="Times New Roman"/>
        </w:rPr>
        <w:t xml:space="preserve"> (2014) noted a non-statistically significant increase in absorption following their physical environmental intervention. They also noted a non-statistically significant decrease in dedication for those in their combined social and physical environmental intervention group. Martinussen </w:t>
      </w:r>
      <w:r w:rsidR="00E067D9">
        <w:rPr>
          <w:rFonts w:ascii="Calibri" w:eastAsia="Calibri" w:hAnsi="Calibri" w:cs="Times New Roman"/>
        </w:rPr>
        <w:t>and colleagues’</w:t>
      </w:r>
      <w:r w:rsidRPr="00817A2F">
        <w:rPr>
          <w:rFonts w:ascii="Calibri" w:eastAsia="Calibri" w:hAnsi="Calibri" w:cs="Times New Roman"/>
        </w:rPr>
        <w:t xml:space="preserve"> (2012) cross sectional study observed an association between work engagement and the other variables measured, and regression analyses demonstrated that work engagement was predicted by job demands and resources after controlling for demographic variables and participation in the intervention. However, caution should be used when considering these results, given the inability of cross-sectional designs to determine causal relationships between variables. </w:t>
      </w:r>
    </w:p>
    <w:p w14:paraId="67D483F8" w14:textId="77777777" w:rsidR="00817A2F" w:rsidRPr="00817A2F" w:rsidRDefault="00817A2F" w:rsidP="00817A2F">
      <w:pPr>
        <w:spacing w:after="200" w:line="360" w:lineRule="auto"/>
        <w:contextualSpacing/>
        <w:rPr>
          <w:rFonts w:ascii="Calibri" w:eastAsia="Calibri" w:hAnsi="Calibri" w:cs="Times New Roman"/>
        </w:rPr>
      </w:pPr>
    </w:p>
    <w:p w14:paraId="5ED7A665"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Findings relating to other outcomes</w:t>
      </w:r>
    </w:p>
    <w:p w14:paraId="121760B6" w14:textId="47BB7454"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All of the four studies measuring other outcomes besides work engagement reported at least some positive findings, though these were not always statistically significant. Rickard</w:t>
      </w:r>
      <w:r w:rsidR="00D77E72">
        <w:rPr>
          <w:rFonts w:ascii="Calibri" w:eastAsia="Calibri" w:hAnsi="Calibri" w:cs="Times New Roman"/>
        </w:rPr>
        <w:t xml:space="preserve"> </w:t>
      </w:r>
      <w:r w:rsidR="00E02932">
        <w:rPr>
          <w:rFonts w:ascii="Calibri" w:eastAsia="Calibri" w:hAnsi="Calibri" w:cs="Times New Roman"/>
        </w:rPr>
        <w:t>and colleagues</w:t>
      </w:r>
      <w:r w:rsidRPr="00817A2F">
        <w:rPr>
          <w:rFonts w:ascii="Calibri" w:eastAsia="Calibri" w:hAnsi="Calibri" w:cs="Times New Roman"/>
        </w:rPr>
        <w:t xml:space="preserve"> (2012) reported statistically significant increases in job satisfaction, job resources, communication and adaptability of organisational culture as well as significant decreases in psychological distress, emotional exhaustion (burnout)</w:t>
      </w:r>
      <w:r w:rsidR="00E02932">
        <w:rPr>
          <w:rFonts w:ascii="Calibri" w:eastAsia="Calibri" w:hAnsi="Calibri" w:cs="Times New Roman"/>
        </w:rPr>
        <w:t>,</w:t>
      </w:r>
      <w:r w:rsidRPr="00817A2F">
        <w:rPr>
          <w:rFonts w:ascii="Calibri" w:eastAsia="Calibri" w:hAnsi="Calibri" w:cs="Times New Roman"/>
        </w:rPr>
        <w:t xml:space="preserve"> and job demands. These outcomes were largely measured using well known and validated questionnaires such as the General Health Questionnaire-12 (Goldberg &amp; Williams, 1991) to assess distress, the Maslach Burnout Inventory to measure emotional exhaustion (MBI, Schaufeli </w:t>
      </w:r>
      <w:r w:rsidR="00B64DD5">
        <w:rPr>
          <w:rFonts w:ascii="Calibri" w:eastAsia="Calibri" w:hAnsi="Calibri" w:cs="Times New Roman"/>
        </w:rPr>
        <w:t>et al.,</w:t>
      </w:r>
      <w:r w:rsidRPr="00817A2F">
        <w:rPr>
          <w:rFonts w:ascii="Calibri" w:eastAsia="Calibri" w:hAnsi="Calibri" w:cs="Times New Roman"/>
        </w:rPr>
        <w:t xml:space="preserve"> 1996), and the Job Content Questionnaire (JCQ, Karasek </w:t>
      </w:r>
      <w:r w:rsidR="00B64DD5">
        <w:rPr>
          <w:rFonts w:ascii="Calibri" w:eastAsia="Calibri" w:hAnsi="Calibri" w:cs="Times New Roman"/>
        </w:rPr>
        <w:t>et al.,</w:t>
      </w:r>
      <w:r w:rsidRPr="00817A2F">
        <w:rPr>
          <w:rFonts w:ascii="Calibri" w:eastAsia="Calibri" w:hAnsi="Calibri" w:cs="Times New Roman"/>
        </w:rPr>
        <w:t xml:space="preserve"> 1998) to measure job resources. Communication and adaptability of the organisational culture was measured using a scale which has yet to be validated, although it demonstrated excellent reliability (Rickard </w:t>
      </w:r>
      <w:r w:rsidR="00B64DD5">
        <w:rPr>
          <w:rFonts w:ascii="Calibri" w:eastAsia="Calibri" w:hAnsi="Calibri" w:cs="Times New Roman"/>
        </w:rPr>
        <w:t>et al.,</w:t>
      </w:r>
      <w:r w:rsidRPr="00817A2F">
        <w:rPr>
          <w:rFonts w:ascii="Calibri" w:eastAsia="Calibri" w:hAnsi="Calibri" w:cs="Times New Roman"/>
        </w:rPr>
        <w:t xml:space="preserve"> 2012). Given the lack of control or comparison group in this study, however, it cannot be ascertained whether these results would have been observed whether or not the intervention took place, and thus the results should be i</w:t>
      </w:r>
      <w:r w:rsidR="00E02932">
        <w:rPr>
          <w:rFonts w:ascii="Calibri" w:eastAsia="Calibri" w:hAnsi="Calibri" w:cs="Times New Roman"/>
        </w:rPr>
        <w:t>nterpreted with caution. Cifre and colleagues</w:t>
      </w:r>
      <w:r w:rsidRPr="00817A2F">
        <w:rPr>
          <w:rFonts w:ascii="Calibri" w:eastAsia="Calibri" w:hAnsi="Calibri" w:cs="Times New Roman"/>
        </w:rPr>
        <w:t xml:space="preserve"> (2011) noted statistically non-significant positive increases in the job resource, innovation climate, using the relevant items in the FOCUS Organisational Culture Questionnaire (Van Muijen </w:t>
      </w:r>
      <w:r w:rsidR="00B64DD5">
        <w:rPr>
          <w:rFonts w:ascii="Calibri" w:eastAsia="Calibri" w:hAnsi="Calibri" w:cs="Times New Roman"/>
        </w:rPr>
        <w:t>et al.,</w:t>
      </w:r>
      <w:r w:rsidRPr="00817A2F">
        <w:rPr>
          <w:rFonts w:ascii="Calibri" w:eastAsia="Calibri" w:hAnsi="Calibri" w:cs="Times New Roman"/>
        </w:rPr>
        <w:t xml:space="preserve"> 1999). They additionally noted positive increases in the personal resources, self-efficacy, using a scale adapted from a generalised self-efficacy scale (Schwarzer, 1999), and perceived competence, using the MBI–</w:t>
      </w:r>
      <w:r w:rsidRPr="00817A2F">
        <w:rPr>
          <w:rFonts w:ascii="Calibri" w:eastAsia="Calibri" w:hAnsi="Calibri" w:cs="Times New Roman"/>
        </w:rPr>
        <w:lastRenderedPageBreak/>
        <w:t xml:space="preserve">General Survey (Schaufeli </w:t>
      </w:r>
      <w:r w:rsidR="00B64DD5">
        <w:rPr>
          <w:rFonts w:ascii="Calibri" w:eastAsia="Calibri" w:hAnsi="Calibri" w:cs="Times New Roman"/>
        </w:rPr>
        <w:t>et al.,</w:t>
      </w:r>
      <w:r w:rsidRPr="00817A2F">
        <w:rPr>
          <w:rFonts w:ascii="Calibri" w:eastAsia="Calibri" w:hAnsi="Calibri" w:cs="Times New Roman"/>
        </w:rPr>
        <w:t xml:space="preserve"> 1996). All of these scales demonstrated acceptable, or higher, reliabilities (Cifre </w:t>
      </w:r>
      <w:r w:rsidR="00B64DD5">
        <w:rPr>
          <w:rFonts w:ascii="Calibri" w:eastAsia="Calibri" w:hAnsi="Calibri" w:cs="Times New Roman"/>
        </w:rPr>
        <w:t>et al.,</w:t>
      </w:r>
      <w:r w:rsidRPr="00817A2F">
        <w:rPr>
          <w:rFonts w:ascii="Calibri" w:eastAsia="Calibri" w:hAnsi="Calibri" w:cs="Times New Roman"/>
        </w:rPr>
        <w:t xml:space="preserve"> 2012). Coffeng et al (2014) observed an increase in task performance in those exposed to the social environmental intervention only, and a decrease in contextual performance for those in the combined intervention, using the validated Individual Work Performance Questionnaire (IWPQ, Koopmans </w:t>
      </w:r>
      <w:r w:rsidR="00B64DD5">
        <w:rPr>
          <w:rFonts w:ascii="Calibri" w:eastAsia="Calibri" w:hAnsi="Calibri" w:cs="Times New Roman"/>
        </w:rPr>
        <w:t>et al.,</w:t>
      </w:r>
      <w:r w:rsidRPr="00817A2F">
        <w:rPr>
          <w:rFonts w:ascii="Calibri" w:eastAsia="Calibri" w:hAnsi="Calibri" w:cs="Times New Roman"/>
        </w:rPr>
        <w:t xml:space="preserve"> 2013). Finally, Martinussen et al’s (2012) cross-sectional study concluded that collaboration increased significantly in the intervention group but that perceived service quality did not. C</w:t>
      </w:r>
      <w:r w:rsidR="00E02932">
        <w:rPr>
          <w:rFonts w:ascii="Calibri" w:eastAsia="Calibri" w:hAnsi="Calibri" w:cs="Times New Roman"/>
        </w:rPr>
        <w:t>ollaboration was measured by a five</w:t>
      </w:r>
      <w:r w:rsidRPr="00817A2F">
        <w:rPr>
          <w:rFonts w:ascii="Calibri" w:eastAsia="Calibri" w:hAnsi="Calibri" w:cs="Times New Roman"/>
        </w:rPr>
        <w:t xml:space="preserve"> item scale developed specially for this study and which demonstrated acceptable reliability (alpha= &gt;.70). However, no exploration of this scales’ validity was reported. Se</w:t>
      </w:r>
      <w:r w:rsidR="00E02932">
        <w:rPr>
          <w:rFonts w:ascii="Calibri" w:eastAsia="Calibri" w:hAnsi="Calibri" w:cs="Times New Roman"/>
        </w:rPr>
        <w:t>rvice quality was assessed via two</w:t>
      </w:r>
      <w:r w:rsidRPr="00817A2F">
        <w:rPr>
          <w:rFonts w:ascii="Calibri" w:eastAsia="Calibri" w:hAnsi="Calibri" w:cs="Times New Roman"/>
        </w:rPr>
        <w:t xml:space="preserve"> items, one of which was again specially formulated. </w:t>
      </w:r>
    </w:p>
    <w:p w14:paraId="25E5EECD" w14:textId="77777777" w:rsidR="00817A2F" w:rsidRPr="00817A2F" w:rsidRDefault="00817A2F" w:rsidP="00817A2F">
      <w:pPr>
        <w:spacing w:after="200" w:line="360" w:lineRule="auto"/>
        <w:contextualSpacing/>
        <w:rPr>
          <w:rFonts w:ascii="Calibri" w:eastAsia="Calibri" w:hAnsi="Calibri" w:cs="Times New Roman"/>
        </w:rPr>
      </w:pPr>
    </w:p>
    <w:p w14:paraId="0106E94C"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overwhelming majority of these results are positive, suggesting that interventions which aim to increase work engagement by increasing job resources may have a variety of other positive effects. However, it is worth interpreting these results in light of the quality of the studies, which has been alluded to in this and previous subsections, and which will now be discussed in more depth below. </w:t>
      </w:r>
    </w:p>
    <w:p w14:paraId="0130AC48" w14:textId="77777777" w:rsidR="00817A2F" w:rsidRPr="00817A2F" w:rsidRDefault="00817A2F" w:rsidP="00817A2F">
      <w:pPr>
        <w:spacing w:after="200" w:line="360" w:lineRule="auto"/>
        <w:contextualSpacing/>
        <w:rPr>
          <w:rFonts w:ascii="Calibri" w:eastAsia="Calibri" w:hAnsi="Calibri" w:cs="Times New Roman"/>
        </w:rPr>
      </w:pPr>
    </w:p>
    <w:p w14:paraId="434DE4F4" w14:textId="77777777" w:rsidR="00817A2F" w:rsidRPr="00817A2F" w:rsidRDefault="00817A2F" w:rsidP="00923A7B">
      <w:pPr>
        <w:pStyle w:val="Heading4"/>
        <w:rPr>
          <w:rFonts w:eastAsia="Times New Roman"/>
        </w:rPr>
      </w:pPr>
      <w:bookmarkStart w:id="166" w:name="_Ref453575384"/>
      <w:r w:rsidRPr="00817A2F">
        <w:rPr>
          <w:rFonts w:eastAsia="Times New Roman"/>
        </w:rPr>
        <w:t>Quality of the studies</w:t>
      </w:r>
      <w:bookmarkEnd w:id="166"/>
    </w:p>
    <w:p w14:paraId="1679C406" w14:textId="77777777" w:rsidR="00923A7B" w:rsidRDefault="00923A7B" w:rsidP="00817A2F">
      <w:pPr>
        <w:spacing w:after="200" w:line="360" w:lineRule="auto"/>
        <w:contextualSpacing/>
        <w:rPr>
          <w:rFonts w:ascii="Calibri" w:eastAsia="Calibri" w:hAnsi="Calibri" w:cs="Times New Roman"/>
        </w:rPr>
      </w:pPr>
    </w:p>
    <w:p w14:paraId="1E553CB8" w14:textId="1A2DDAC0"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This section explores the quality of the six studies building job resources. As in the previous section, it takes into account factors identified by The Cochrane Collaboration’s ‘Risk of Bias’ tool, as well as several other factors such as how well the intervention was implemented and whether there were differences between groups at baseline or bet</w:t>
      </w:r>
      <w:r w:rsidR="00225D32">
        <w:rPr>
          <w:rFonts w:ascii="Calibri" w:eastAsia="Calibri" w:hAnsi="Calibri" w:cs="Times New Roman"/>
        </w:rPr>
        <w:t>ween dropouts and non-dropouts</w:t>
      </w:r>
      <w:r w:rsidRPr="00817A2F">
        <w:rPr>
          <w:rFonts w:ascii="Calibri" w:eastAsia="Calibri" w:hAnsi="Calibri" w:cs="Times New Roman"/>
        </w:rPr>
        <w:t xml:space="preserve">. Other factors also included whether the study reported pertinent information such as the intervention procedure, participant numbers, response rates, attrition rates and outcomes. Appendices 4d-4f summarise this information for each of the studies. The quality of the research designs is discussed in section </w:t>
      </w:r>
      <w:r w:rsidR="00225D32">
        <w:rPr>
          <w:rFonts w:ascii="Calibri" w:eastAsia="Calibri" w:hAnsi="Calibri" w:cs="Times New Roman"/>
        </w:rPr>
        <w:fldChar w:fldCharType="begin"/>
      </w:r>
      <w:r w:rsidR="00225D32">
        <w:rPr>
          <w:rFonts w:ascii="Calibri" w:eastAsia="Calibri" w:hAnsi="Calibri" w:cs="Times New Roman"/>
        </w:rPr>
        <w:instrText xml:space="preserve"> REF _Ref453251759 \r \h </w:instrText>
      </w:r>
      <w:r w:rsidR="00225D32">
        <w:rPr>
          <w:rFonts w:ascii="Calibri" w:eastAsia="Calibri" w:hAnsi="Calibri" w:cs="Times New Roman"/>
        </w:rPr>
      </w:r>
      <w:r w:rsidR="00225D32">
        <w:rPr>
          <w:rFonts w:ascii="Calibri" w:eastAsia="Calibri" w:hAnsi="Calibri" w:cs="Times New Roman"/>
        </w:rPr>
        <w:fldChar w:fldCharType="separate"/>
      </w:r>
      <w:r w:rsidR="00152F6D">
        <w:rPr>
          <w:rFonts w:ascii="Calibri" w:eastAsia="Calibri" w:hAnsi="Calibri" w:cs="Times New Roman"/>
        </w:rPr>
        <w:t>5.3.4.2</w:t>
      </w:r>
      <w:r w:rsidR="00225D32">
        <w:rPr>
          <w:rFonts w:ascii="Calibri" w:eastAsia="Calibri" w:hAnsi="Calibri" w:cs="Times New Roman"/>
        </w:rPr>
        <w:fldChar w:fldCharType="end"/>
      </w:r>
      <w:r w:rsidR="00225D32">
        <w:rPr>
          <w:rFonts w:ascii="Calibri" w:eastAsia="Calibri" w:hAnsi="Calibri" w:cs="Times New Roman"/>
        </w:rPr>
        <w:t xml:space="preserve"> </w:t>
      </w:r>
      <w:r w:rsidRPr="00817A2F">
        <w:rPr>
          <w:rFonts w:ascii="Calibri" w:eastAsia="Calibri" w:hAnsi="Calibri" w:cs="Times New Roman"/>
        </w:rPr>
        <w:t xml:space="preserve">above and thus will not be discussed again here. </w:t>
      </w:r>
    </w:p>
    <w:p w14:paraId="4707226E" w14:textId="77777777" w:rsidR="00817A2F" w:rsidRPr="00817A2F" w:rsidRDefault="00817A2F" w:rsidP="00817A2F">
      <w:pPr>
        <w:spacing w:after="200" w:line="360" w:lineRule="auto"/>
        <w:contextualSpacing/>
        <w:rPr>
          <w:rFonts w:ascii="Calibri" w:eastAsia="Calibri" w:hAnsi="Calibri" w:cs="Times New Roman"/>
        </w:rPr>
      </w:pPr>
    </w:p>
    <w:p w14:paraId="77C0A9A7"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All of the studies, except one, were well reported, with the interventions described in appropriate detail, including participant numbers at each time point and all outcomes. The one study which did not report the intervention in much detail was an unpublished study described in a PDF version of a powerpoint presentation which had been presented at a conference. Baseline response rates were provided by four of the five longitudinal studies. The way in which participants are recruited can affect the ability to provide a baseline response rate, and this explains why one study did not provide such rates. Kawakami et al. (2012) recruited participants until a certain number was reached </w:t>
      </w:r>
      <w:r w:rsidRPr="00817A2F">
        <w:rPr>
          <w:rFonts w:ascii="Calibri" w:eastAsia="Calibri" w:hAnsi="Calibri" w:cs="Times New Roman"/>
        </w:rPr>
        <w:lastRenderedPageBreak/>
        <w:t xml:space="preserve">(1200), all of whom completed the baseline questionnaire. As a sampling frame and target population were not employed, it was not possible for a baseline response rate to be provided. Of those who did provide a baseline response rate, Rickard et al. (2012) reported the lowest rate, 13.7%, for participants within one of their two intervention hospitals, and Naruse et al. (2014) reported the highest rate, 77.4%, for participants across both intervention and control groups. Four of the five longitudinal studies provided attrition rates, or information from which attrition rates could be calculated. Notably, one reported no loss due to attrition at all (Cifre et al., 2011), which may reflect the low numbers in the intervention group at baseline (n=9). Rickard et al. (2012) did not provide an attrition rate, which may have been due to the nature of the systemic intervention and the degree of turnover in the intervention hospitals during the study period (28-45%).  </w:t>
      </w:r>
    </w:p>
    <w:p w14:paraId="353967C0" w14:textId="77777777" w:rsidR="00817A2F" w:rsidRPr="00817A2F" w:rsidRDefault="00817A2F" w:rsidP="00817A2F">
      <w:pPr>
        <w:spacing w:after="200" w:line="360" w:lineRule="auto"/>
        <w:contextualSpacing/>
        <w:rPr>
          <w:rFonts w:ascii="Calibri" w:eastAsia="Calibri" w:hAnsi="Calibri" w:cs="Times New Roman"/>
        </w:rPr>
      </w:pPr>
    </w:p>
    <w:p w14:paraId="764E02CB" w14:textId="666E677F"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All of the studies used self-report measures only. Two studies reported assessing groups for pre-intervention differences. Cifre et al. (2011) found that the control group was higher in work overload at baseline and that they perceived training to be better quality than the intervent</w:t>
      </w:r>
      <w:r w:rsidR="00D64ECC">
        <w:rPr>
          <w:rFonts w:ascii="Calibri" w:eastAsia="Calibri" w:hAnsi="Calibri" w:cs="Times New Roman"/>
        </w:rPr>
        <w:t>ion group. Kawakami et al. (2012</w:t>
      </w:r>
      <w:r w:rsidRPr="00817A2F">
        <w:rPr>
          <w:rFonts w:ascii="Calibri" w:eastAsia="Calibri" w:hAnsi="Calibri" w:cs="Times New Roman"/>
        </w:rPr>
        <w:t xml:space="preserve">) found significantly more males in the control group. These results may indicate bias in the results obtained.  </w:t>
      </w:r>
    </w:p>
    <w:p w14:paraId="29CE21FB" w14:textId="77777777" w:rsidR="00817A2F" w:rsidRPr="00817A2F" w:rsidRDefault="00817A2F" w:rsidP="00817A2F">
      <w:pPr>
        <w:spacing w:after="200" w:line="360" w:lineRule="auto"/>
        <w:contextualSpacing/>
        <w:rPr>
          <w:rFonts w:ascii="Calibri" w:eastAsia="Calibri" w:hAnsi="Calibri" w:cs="Times New Roman"/>
        </w:rPr>
      </w:pPr>
    </w:p>
    <w:p w14:paraId="63FA53F4"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One study provided a detailed evaluation of the implementation of the intervention (Coffeng et al., 2014), discussing factors such as the fidelity of the intervention (i.e. the extent to which the interventions were implemented according to protocol), reach (i.e. the percentage who attended / used the interventions at least once), dose delivered and received (i.e. the extent to which the interventions were delivered and the frequency with which the interventions were attended / used, respectively) and reasons for attrition. Indeed, this study published a separate process evaluation to discuss these issues (Coffeng et al., 2013). None of the other studies provided such a discussion. </w:t>
      </w:r>
    </w:p>
    <w:p w14:paraId="15739335" w14:textId="77777777" w:rsidR="00817A2F" w:rsidRPr="00817A2F" w:rsidRDefault="00817A2F" w:rsidP="00817A2F">
      <w:pPr>
        <w:spacing w:after="200" w:line="360" w:lineRule="auto"/>
        <w:contextualSpacing/>
        <w:rPr>
          <w:rFonts w:ascii="Calibri" w:eastAsia="Calibri" w:hAnsi="Calibri" w:cs="Times New Roman"/>
        </w:rPr>
      </w:pPr>
    </w:p>
    <w:p w14:paraId="0DE30A62" w14:textId="4F0DE371"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Coffeng et al. (2014) reported the reach of their study to vary between 45% (physical environmental condition) and 76% (social environmental condition) and considered this reasonable. Mean satisfaction with the combined social and physical environmental condition was 6.9 (out of 10), with team leaders giving a significantly higher rating for the group motivational interviewing (GMI) sessions. The mean dose delivered was 92% for the social environmental condition and 88% for the physical environmental condition, which was also considered acceptable. The less than 100% rates were due to 75% of </w:t>
      </w:r>
      <w:r w:rsidR="008F6182">
        <w:rPr>
          <w:rFonts w:ascii="Calibri" w:eastAsia="Calibri" w:hAnsi="Calibri" w:cs="Times New Roman"/>
        </w:rPr>
        <w:t>four</w:t>
      </w:r>
      <w:r w:rsidRPr="00817A2F">
        <w:rPr>
          <w:rFonts w:ascii="Calibri" w:eastAsia="Calibri" w:hAnsi="Calibri" w:cs="Times New Roman"/>
        </w:rPr>
        <w:t xml:space="preserve"> GMI sessions being delivered in the social condition, and an inability to apply posters to walls and install curtains in the physical condition. Fidelity was 83% in the social condition, which was due to not all planned GMI sessions being carried out. Fidelity was 60% in the </w:t>
      </w:r>
      <w:r w:rsidRPr="00817A2F">
        <w:rPr>
          <w:rFonts w:ascii="Calibri" w:eastAsia="Calibri" w:hAnsi="Calibri" w:cs="Times New Roman"/>
        </w:rPr>
        <w:lastRenderedPageBreak/>
        <w:t xml:space="preserve">physical condition due to additional lighting having to be installed in coffee corner zones, ‘sitting balls’ becoming unstable over time, bar chairs being added to standing meeting tables, and a table tennis table having to be removed from a ‘Hall Zone’. Team leaders stated several barriers to GMI training, including low support from management, no time to practise GMI, and resistance from employees and reported non-attendance to be due to lack of time and a perception that the training wasn’t useful. Employees also mentioned lack of time as a reason for non-attendance, as well as being on holiday. Barriers to the physical environmental condition included time constraints, difficulty in using the zones which were created, and lack of motivation to use the zones. Coffeng et al. (2014) also noted that males, and highly educated workers, were overrepresented, which does not represent the general Dutch population, and thus could bias the results. This careful, in-depth analysis illustrates how difficult it is to implement interventions in organisations, and how important providing this information is, as it may help to explain the non-significant results observed and feed into the design and delivery of future intervention studies. </w:t>
      </w:r>
    </w:p>
    <w:p w14:paraId="5A1218EF" w14:textId="77777777" w:rsidR="00817A2F" w:rsidRPr="00817A2F" w:rsidRDefault="00817A2F" w:rsidP="00817A2F">
      <w:pPr>
        <w:spacing w:after="200" w:line="360" w:lineRule="auto"/>
        <w:contextualSpacing/>
        <w:rPr>
          <w:rFonts w:ascii="Calibri" w:eastAsia="Calibri" w:hAnsi="Calibri" w:cs="Times New Roman"/>
        </w:rPr>
      </w:pPr>
    </w:p>
    <w:p w14:paraId="03535FAC"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Kawakami et al. (2012) was the only other study to provide some indication of compliance, and reported that 50% or less of the intervention group accessed the web-based information resource about stress, which formed their intervention. They also reported that 24% of the control group accessed information about stress from elsewhere, which may have biased the results. Cifre et al. (2011) noted limitations to the quality of their study, including a very low sample size in the intervention group, and management choosing the intervention group. Similarly, Naruse et al. (2014) reported that the community nursing organisation they worked with chose intervention agencies based on their degree of perceived motivation to engage and Rickard et al. (2012) reported a very small sample size in their matched sample (n=13, hospital 1; n=19, hospital 2), which can affect the robustness of results. This is likely to have been due to the high staff turnover rate during the intervention. Nevertheless, the matched sample was found to be representative of the nursing population in terms of age and gender, increasing the robustness of the results. </w:t>
      </w:r>
    </w:p>
    <w:p w14:paraId="3089EA9B" w14:textId="77777777" w:rsidR="00817A2F" w:rsidRPr="00817A2F" w:rsidRDefault="00817A2F" w:rsidP="00817A2F">
      <w:pPr>
        <w:spacing w:after="200" w:line="360" w:lineRule="auto"/>
        <w:contextualSpacing/>
        <w:rPr>
          <w:rFonts w:ascii="Calibri" w:eastAsia="Calibri" w:hAnsi="Calibri" w:cs="Times New Roman"/>
        </w:rPr>
      </w:pPr>
    </w:p>
    <w:p w14:paraId="521487D0" w14:textId="573FE2A5" w:rsidR="00225D32" w:rsidRDefault="00817A2F" w:rsidP="00E02932">
      <w:pPr>
        <w:spacing w:after="200" w:line="360" w:lineRule="auto"/>
        <w:contextualSpacing/>
        <w:rPr>
          <w:rFonts w:ascii="Calibri" w:eastAsia="Calibri" w:hAnsi="Calibri" w:cs="Times New Roman"/>
        </w:rPr>
      </w:pPr>
      <w:r w:rsidRPr="00817A2F">
        <w:rPr>
          <w:rFonts w:ascii="Calibri" w:eastAsia="Calibri" w:hAnsi="Calibri" w:cs="Times New Roman"/>
        </w:rPr>
        <w:t xml:space="preserve">Although study limitations were discussed by each study, these discussions cannot replace a formal assessment of how well an intervention is implemented. The results discussed here illustrate the many challenges involved in carrying out interventions with organisations and the insights that can be provided by process evaluations. Indeed, it would be easy to erroneously attribute the reasons for the lack of observed effects without taking process evaluations into account (see Nielsen et al., 2007; Nielsen, Taris et al., 2010; and Chapter 4 for a deeper discussion of the value of process evaluations). Again, the evidence presented here suggests that researchers should endeavour to </w:t>
      </w:r>
      <w:r w:rsidRPr="00817A2F">
        <w:rPr>
          <w:rFonts w:ascii="Calibri" w:eastAsia="Calibri" w:hAnsi="Calibri" w:cs="Times New Roman"/>
        </w:rPr>
        <w:lastRenderedPageBreak/>
        <w:t xml:space="preserve">conduct such evaluations as a matter of course. This would be useful for directing further research and developing the field more swiftly than would otherwise be possible. </w:t>
      </w:r>
    </w:p>
    <w:p w14:paraId="48E6ACBB" w14:textId="77777777" w:rsidR="00E02932" w:rsidRDefault="00E02932" w:rsidP="00E02932">
      <w:pPr>
        <w:spacing w:after="200" w:line="360" w:lineRule="auto"/>
        <w:contextualSpacing/>
        <w:rPr>
          <w:rFonts w:ascii="Calibri" w:eastAsia="Calibri" w:hAnsi="Calibri" w:cs="Times New Roman"/>
        </w:rPr>
      </w:pPr>
    </w:p>
    <w:p w14:paraId="78AB1305" w14:textId="77777777" w:rsidR="00817A2F" w:rsidRPr="00817A2F" w:rsidRDefault="00817A2F" w:rsidP="007975E1">
      <w:pPr>
        <w:pStyle w:val="Heading4"/>
        <w:rPr>
          <w:rFonts w:eastAsia="Times New Roman"/>
        </w:rPr>
      </w:pPr>
      <w:r w:rsidRPr="00817A2F">
        <w:rPr>
          <w:rFonts w:eastAsia="Times New Roman"/>
        </w:rPr>
        <w:t>Summary of findings from studies building job resources</w:t>
      </w:r>
    </w:p>
    <w:p w14:paraId="5605AC90" w14:textId="77777777" w:rsidR="00817A2F" w:rsidRPr="00817A2F" w:rsidRDefault="00817A2F" w:rsidP="00817A2F">
      <w:pPr>
        <w:spacing w:after="200" w:line="360" w:lineRule="auto"/>
        <w:contextualSpacing/>
        <w:rPr>
          <w:rFonts w:ascii="Calibri" w:eastAsia="Calibri" w:hAnsi="Calibri" w:cs="Times New Roman"/>
        </w:rPr>
      </w:pPr>
    </w:p>
    <w:p w14:paraId="32B9F2FF"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key findings from intervention studies designed to build job resources and increase work engagement are presented below.</w:t>
      </w:r>
    </w:p>
    <w:p w14:paraId="22ABDC95" w14:textId="77777777" w:rsidR="00817A2F" w:rsidRPr="00817A2F" w:rsidRDefault="00817A2F" w:rsidP="00817A2F">
      <w:pPr>
        <w:spacing w:after="200" w:line="360" w:lineRule="auto"/>
        <w:contextualSpacing/>
        <w:rPr>
          <w:rFonts w:ascii="Calibri" w:eastAsia="Calibri" w:hAnsi="Calibri" w:cs="Times New Roman"/>
        </w:rPr>
      </w:pPr>
    </w:p>
    <w:p w14:paraId="3639FF98"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Summary of evidence regarding the effectiveness of interventions to increase work engagement</w:t>
      </w:r>
    </w:p>
    <w:p w14:paraId="6A0F3E49"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Significant increases in work engagement were observed for one study only, and this was for a subset which was initially low in engagement (Kawakami et al., 2012). Some non-statistically significant positive increases in work engagement or its sub-components were noted in three other studies (Naruse et al., 2014; Cifre et al., 2012; Coffeng et al., 2014).  One study reported no significant effects (Rickard et al., 2012) and one was cross-sectional, preventing an evaluation of the effect of the intervention. Once again, the limited number, heterogeneous nature, and variable quality of these interventions, makes it difficult to compare the results or make conclusions about the types of job resource building interventions which might be most useful for increasing work engagement. </w:t>
      </w:r>
    </w:p>
    <w:p w14:paraId="65D56F14" w14:textId="77777777" w:rsidR="00817A2F" w:rsidRPr="00817A2F" w:rsidRDefault="00817A2F" w:rsidP="00817A2F">
      <w:pPr>
        <w:spacing w:after="200" w:line="360" w:lineRule="auto"/>
        <w:contextualSpacing/>
        <w:rPr>
          <w:rFonts w:ascii="Calibri" w:eastAsia="Calibri" w:hAnsi="Calibri" w:cs="Times New Roman"/>
        </w:rPr>
      </w:pPr>
    </w:p>
    <w:p w14:paraId="48133612"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 xml:space="preserve">Summary of evidence regarding the effectiveness of studies on other outcomes </w:t>
      </w:r>
    </w:p>
    <w:p w14:paraId="4E2C2088" w14:textId="216E26B6" w:rsidR="008D6A1F" w:rsidRDefault="00817A2F" w:rsidP="002C37D4">
      <w:pPr>
        <w:spacing w:after="200" w:line="360" w:lineRule="auto"/>
        <w:contextualSpacing/>
        <w:rPr>
          <w:rFonts w:ascii="Calibri" w:eastAsia="Calibri" w:hAnsi="Calibri" w:cs="Times New Roman"/>
          <w:b/>
        </w:rPr>
      </w:pPr>
      <w:r w:rsidRPr="00817A2F">
        <w:rPr>
          <w:rFonts w:ascii="Calibri" w:eastAsia="Calibri" w:hAnsi="Calibri" w:cs="Times New Roman"/>
        </w:rPr>
        <w:t>Four studies measured a large variety of other outcomes, including job resources, personal resources, mental health, and performance, using mainly well validated questionnaires. Rickard et al. (2012) found increases in job satisfaction, job resources, communication and adaptability of organisational culture, and decreases in psychological distress, emotional exhaustion and job demands, Cifre et al. (2011) found increases in innovation climate, self-efficacy and perceived competence, Coffeng et al. (2014) found an increase in task performance and Martinussen</w:t>
      </w:r>
      <w:r w:rsidR="00E067D9">
        <w:rPr>
          <w:rFonts w:ascii="Calibri" w:eastAsia="Calibri" w:hAnsi="Calibri" w:cs="Times New Roman"/>
        </w:rPr>
        <w:t xml:space="preserve"> and colleagues’</w:t>
      </w:r>
      <w:r w:rsidRPr="00817A2F">
        <w:rPr>
          <w:rFonts w:ascii="Calibri" w:eastAsia="Calibri" w:hAnsi="Calibri" w:cs="Times New Roman"/>
        </w:rPr>
        <w:t xml:space="preserve"> (2012) cross-sectional study concluded that collaboration increased. One negative finding was apparent, with Coffeng et al</w:t>
      </w:r>
      <w:r w:rsidR="008F6182">
        <w:rPr>
          <w:rFonts w:ascii="Calibri" w:eastAsia="Calibri" w:hAnsi="Calibri" w:cs="Times New Roman"/>
        </w:rPr>
        <w:t>.</w:t>
      </w:r>
      <w:r w:rsidRPr="00817A2F">
        <w:rPr>
          <w:rFonts w:ascii="Calibri" w:eastAsia="Calibri" w:hAnsi="Calibri" w:cs="Times New Roman"/>
        </w:rPr>
        <w:t xml:space="preserve"> (2014) noting a decrease in contextual performance. This suggests that interventions to increase work engagement by building job resources may have many positive outcomes. However, the lack of a control group in one study, and pre-test measures in another, limits the ability to draw robust conclusions about the effects of interventions. Furthermore, and as noted above, the lack of the number of studies reporting similar findings, and the heterogeneity of the interventions, increases the difficulty in assessing the robustness of results or generalising findings. </w:t>
      </w:r>
    </w:p>
    <w:p w14:paraId="0DE8DB19"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b/>
        </w:rPr>
        <w:lastRenderedPageBreak/>
        <w:t>Summary of evidence regarding the quality of studies</w:t>
      </w:r>
      <w:r w:rsidRPr="00817A2F">
        <w:rPr>
          <w:rFonts w:ascii="Calibri" w:eastAsia="Calibri" w:hAnsi="Calibri" w:cs="Times New Roman"/>
        </w:rPr>
        <w:t xml:space="preserve"> </w:t>
      </w:r>
    </w:p>
    <w:p w14:paraId="392A11D1" w14:textId="62DB37CC"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Evidence regarding the quality of studies was mixed, both in terms of study designs and repor</w:t>
      </w:r>
      <w:r w:rsidR="002C37D4">
        <w:rPr>
          <w:rFonts w:ascii="Calibri" w:eastAsia="Calibri" w:hAnsi="Calibri" w:cs="Times New Roman"/>
        </w:rPr>
        <w:t xml:space="preserve">ting standards. One study was </w:t>
      </w:r>
      <w:r w:rsidRPr="00817A2F">
        <w:rPr>
          <w:rFonts w:ascii="Calibri" w:eastAsia="Calibri" w:hAnsi="Calibri" w:cs="Times New Roman"/>
        </w:rPr>
        <w:t xml:space="preserve">presented as a powerpoint presentation, and contained limited information regarding study quality, making it difficult to assess the robustness of results (Kawakami </w:t>
      </w:r>
      <w:r w:rsidR="00B64DD5">
        <w:rPr>
          <w:rFonts w:ascii="Calibri" w:eastAsia="Calibri" w:hAnsi="Calibri" w:cs="Times New Roman"/>
        </w:rPr>
        <w:t>et al.,</w:t>
      </w:r>
      <w:r w:rsidRPr="00817A2F">
        <w:rPr>
          <w:rFonts w:ascii="Calibri" w:eastAsia="Calibri" w:hAnsi="Calibri" w:cs="Times New Roman"/>
        </w:rPr>
        <w:t xml:space="preserve"> 2012). Two of the studies adopted a randomised, controlled design (Coffeng </w:t>
      </w:r>
      <w:r w:rsidR="00B64DD5">
        <w:rPr>
          <w:rFonts w:ascii="Calibri" w:eastAsia="Calibri" w:hAnsi="Calibri" w:cs="Times New Roman"/>
        </w:rPr>
        <w:t>et al.,</w:t>
      </w:r>
      <w:r w:rsidRPr="00817A2F">
        <w:rPr>
          <w:rFonts w:ascii="Calibri" w:eastAsia="Calibri" w:hAnsi="Calibri" w:cs="Times New Roman"/>
        </w:rPr>
        <w:t xml:space="preserve"> 2014; Kawakami </w:t>
      </w:r>
      <w:r w:rsidR="00B64DD5">
        <w:rPr>
          <w:rFonts w:ascii="Calibri" w:eastAsia="Calibri" w:hAnsi="Calibri" w:cs="Times New Roman"/>
        </w:rPr>
        <w:t>et al.,</w:t>
      </w:r>
      <w:r w:rsidRPr="00817A2F">
        <w:rPr>
          <w:rFonts w:ascii="Calibri" w:eastAsia="Calibri" w:hAnsi="Calibri" w:cs="Times New Roman"/>
        </w:rPr>
        <w:t xml:space="preserve"> 2012), however, one study did not contain a control group (Rickard </w:t>
      </w:r>
      <w:r w:rsidR="00B64DD5">
        <w:rPr>
          <w:rFonts w:ascii="Calibri" w:eastAsia="Calibri" w:hAnsi="Calibri" w:cs="Times New Roman"/>
        </w:rPr>
        <w:t>et al.,</w:t>
      </w:r>
      <w:r w:rsidRPr="00817A2F">
        <w:rPr>
          <w:rFonts w:ascii="Calibri" w:eastAsia="Calibri" w:hAnsi="Calibri" w:cs="Times New Roman"/>
        </w:rPr>
        <w:t xml:space="preserve"> 2012) and one did not collect baseline measures (Martinussen </w:t>
      </w:r>
      <w:r w:rsidR="00B64DD5">
        <w:rPr>
          <w:rFonts w:ascii="Calibri" w:eastAsia="Calibri" w:hAnsi="Calibri" w:cs="Times New Roman"/>
        </w:rPr>
        <w:t>et al.,</w:t>
      </w:r>
      <w:r w:rsidRPr="00817A2F">
        <w:rPr>
          <w:rFonts w:ascii="Calibri" w:eastAsia="Calibri" w:hAnsi="Calibri" w:cs="Times New Roman"/>
        </w:rPr>
        <w:t xml:space="preserve"> 2012). Most studies clearly reported intervention details and particulars concerning participant characteristics, response rates, numbers recruited and outcomes assessed. As seen in previous sections, attrition rates and reasons for attrition were less well reported, and the majority of studies did not report, or only partially reported, details concerning how well the intervention was implemented in terms of fidelity, reach and compliance. Indeed, only one study explored this latter topic in depth (Coffeng </w:t>
      </w:r>
      <w:r w:rsidR="00B64DD5">
        <w:rPr>
          <w:rFonts w:ascii="Calibri" w:eastAsia="Calibri" w:hAnsi="Calibri" w:cs="Times New Roman"/>
        </w:rPr>
        <w:t>et al.,</w:t>
      </w:r>
      <w:r w:rsidRPr="00817A2F">
        <w:rPr>
          <w:rFonts w:ascii="Calibri" w:eastAsia="Calibri" w:hAnsi="Calibri" w:cs="Times New Roman"/>
        </w:rPr>
        <w:t xml:space="preserve"> 2014), and published an article focused on it. This study reported variable rates of fidelity, reach and provision of the interventions as planned across the intervention conditions which highlighted the difficulties in carrying out research in organisational environments. Challenges included lack of time, intervention materials being inappropriate, and lack of support from management. Similar challenges have been reported by studies in other sections and again highlight the importance of the relationship between the researcher and the organisation for the success of interventions. Moreover, the importance of carrying out a detailed evaluation of the implementation of interventions is illustrated by the ability to consider, and perhaps explain, the lack of effects observed by Coffeng et al</w:t>
      </w:r>
      <w:r w:rsidR="002C37D4">
        <w:rPr>
          <w:rFonts w:ascii="Calibri" w:eastAsia="Calibri" w:hAnsi="Calibri" w:cs="Times New Roman"/>
        </w:rPr>
        <w:t>.</w:t>
      </w:r>
      <w:r w:rsidRPr="00817A2F">
        <w:rPr>
          <w:rFonts w:ascii="Calibri" w:eastAsia="Calibri" w:hAnsi="Calibri" w:cs="Times New Roman"/>
        </w:rPr>
        <w:t>’s (2014) study in light of this evaluation. In conclusion, the evidence presented here supports Nielsen’s work (e.g. Nielsen et al., 2007; Nielsen, Taris et al., 2010; and Chapter 4) and thus it seems imperative that all researchers carrying out work engagement interventions should aspire to carry</w:t>
      </w:r>
      <w:r w:rsidR="008F6182">
        <w:rPr>
          <w:rFonts w:ascii="Calibri" w:eastAsia="Calibri" w:hAnsi="Calibri" w:cs="Times New Roman"/>
        </w:rPr>
        <w:t>ing</w:t>
      </w:r>
      <w:r w:rsidRPr="00817A2F">
        <w:rPr>
          <w:rFonts w:ascii="Calibri" w:eastAsia="Calibri" w:hAnsi="Calibri" w:cs="Times New Roman"/>
        </w:rPr>
        <w:t xml:space="preserve"> out process evaluations. This may help speed the process of discovering how and why interventions work and developing successful interventions in future. </w:t>
      </w:r>
    </w:p>
    <w:p w14:paraId="1DFA608F" w14:textId="77777777" w:rsidR="00817A2F" w:rsidRPr="00817A2F" w:rsidRDefault="00817A2F" w:rsidP="00817A2F">
      <w:pPr>
        <w:spacing w:after="200" w:line="360" w:lineRule="auto"/>
        <w:contextualSpacing/>
        <w:rPr>
          <w:rFonts w:ascii="Calibri" w:eastAsia="Calibri" w:hAnsi="Calibri" w:cs="Times New Roman"/>
        </w:rPr>
      </w:pPr>
    </w:p>
    <w:p w14:paraId="29571B6D" w14:textId="77777777" w:rsidR="00817A2F" w:rsidRPr="00817A2F" w:rsidRDefault="00817A2F" w:rsidP="0009618B">
      <w:pPr>
        <w:pStyle w:val="Heading3"/>
      </w:pPr>
      <w:bookmarkStart w:id="167" w:name="_Toc450214029"/>
      <w:bookmarkStart w:id="168" w:name="_Toc468285962"/>
      <w:r w:rsidRPr="00817A2F">
        <w:t>Leadership training interventions</w:t>
      </w:r>
      <w:bookmarkEnd w:id="167"/>
      <w:bookmarkEnd w:id="168"/>
      <w:r w:rsidRPr="00817A2F">
        <w:t xml:space="preserve"> </w:t>
      </w:r>
    </w:p>
    <w:p w14:paraId="00FA5DC7" w14:textId="77777777" w:rsidR="00923A7B" w:rsidRDefault="00923A7B" w:rsidP="00817A2F">
      <w:pPr>
        <w:spacing w:after="200" w:line="360" w:lineRule="auto"/>
        <w:contextualSpacing/>
        <w:rPr>
          <w:rFonts w:ascii="Calibri" w:eastAsia="Calibri" w:hAnsi="Calibri" w:cs="Times New Roman"/>
        </w:rPr>
      </w:pPr>
    </w:p>
    <w:p w14:paraId="0DC3F766" w14:textId="47B29791"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Five separate studies measured the effect of leadership interventions on the work engagement of direct employees of managers and supervisors. One further study was identified to be ongoing. This section describes the characteristics of the five studies which have been completed (see also Appendices 4a &amp; 4b), discusses their findings (Appendix 4c), and assesses their quality and implemen</w:t>
      </w:r>
      <w:r w:rsidR="00E649D3">
        <w:rPr>
          <w:rFonts w:ascii="Calibri" w:eastAsia="Calibri" w:hAnsi="Calibri" w:cs="Times New Roman"/>
        </w:rPr>
        <w:t>tation success (Appendices 4d-</w:t>
      </w:r>
      <w:r w:rsidRPr="00817A2F">
        <w:rPr>
          <w:rFonts w:ascii="Calibri" w:eastAsia="Calibri" w:hAnsi="Calibri" w:cs="Times New Roman"/>
        </w:rPr>
        <w:t xml:space="preserve">4f). Two of the five studies were published research articles (Angelo </w:t>
      </w:r>
      <w:r w:rsidR="005726FB">
        <w:rPr>
          <w:rFonts w:ascii="Calibri" w:eastAsia="Calibri" w:hAnsi="Calibri" w:cs="Times New Roman"/>
        </w:rPr>
        <w:t>&amp; Chambel, 2013;</w:t>
      </w:r>
      <w:r w:rsidRPr="00817A2F">
        <w:rPr>
          <w:rFonts w:ascii="Calibri" w:eastAsia="Calibri" w:hAnsi="Calibri" w:cs="Times New Roman"/>
        </w:rPr>
        <w:t xml:space="preserve"> Biggs </w:t>
      </w:r>
      <w:r w:rsidR="00B64DD5">
        <w:rPr>
          <w:rFonts w:ascii="Calibri" w:eastAsia="Calibri" w:hAnsi="Calibri" w:cs="Times New Roman"/>
        </w:rPr>
        <w:t>et al.,</w:t>
      </w:r>
      <w:r w:rsidR="00A54063">
        <w:rPr>
          <w:rFonts w:ascii="Calibri" w:eastAsia="Calibri" w:hAnsi="Calibri" w:cs="Times New Roman"/>
        </w:rPr>
        <w:t xml:space="preserve"> 2014</w:t>
      </w:r>
      <w:r w:rsidRPr="00817A2F">
        <w:rPr>
          <w:rFonts w:ascii="Calibri" w:eastAsia="Calibri" w:hAnsi="Calibri" w:cs="Times New Roman"/>
        </w:rPr>
        <w:t xml:space="preserve">), one was a PhD thesis (Kmiec, 2010), and two were </w:t>
      </w:r>
      <w:r w:rsidRPr="00817A2F">
        <w:rPr>
          <w:rFonts w:ascii="Calibri" w:eastAsia="Calibri" w:hAnsi="Calibri" w:cs="Times New Roman"/>
        </w:rPr>
        <w:lastRenderedPageBreak/>
        <w:t xml:space="preserve">described in a report (Rigotti </w:t>
      </w:r>
      <w:r w:rsidR="00B64DD5">
        <w:rPr>
          <w:rFonts w:ascii="Calibri" w:eastAsia="Calibri" w:hAnsi="Calibri" w:cs="Times New Roman"/>
        </w:rPr>
        <w:t>et al.,</w:t>
      </w:r>
      <w:r w:rsidRPr="00817A2F">
        <w:rPr>
          <w:rFonts w:ascii="Calibri" w:eastAsia="Calibri" w:hAnsi="Calibri" w:cs="Times New Roman"/>
        </w:rPr>
        <w:t xml:space="preserve"> 2014). The studies took place in a variety of countries, one occurred in Australia (Biggs </w:t>
      </w:r>
      <w:r w:rsidR="00B64DD5">
        <w:rPr>
          <w:rFonts w:ascii="Calibri" w:eastAsia="Calibri" w:hAnsi="Calibri" w:cs="Times New Roman"/>
        </w:rPr>
        <w:t>et al.,</w:t>
      </w:r>
      <w:r w:rsidR="00A54063">
        <w:rPr>
          <w:rFonts w:ascii="Calibri" w:eastAsia="Calibri" w:hAnsi="Calibri" w:cs="Times New Roman"/>
        </w:rPr>
        <w:t xml:space="preserve"> 2014</w:t>
      </w:r>
      <w:r w:rsidRPr="00817A2F">
        <w:rPr>
          <w:rFonts w:ascii="Calibri" w:eastAsia="Calibri" w:hAnsi="Calibri" w:cs="Times New Roman"/>
        </w:rPr>
        <w:t>), one in Portugal (</w:t>
      </w:r>
      <w:r w:rsidR="005726FB">
        <w:rPr>
          <w:rFonts w:ascii="Calibri" w:eastAsia="Calibri" w:hAnsi="Calibri" w:cs="Times New Roman"/>
        </w:rPr>
        <w:t>Angelo &amp; Chambel</w:t>
      </w:r>
      <w:r w:rsidRPr="00817A2F">
        <w:rPr>
          <w:rFonts w:ascii="Calibri" w:eastAsia="Calibri" w:hAnsi="Calibri" w:cs="Times New Roman"/>
        </w:rPr>
        <w:t xml:space="preserve">, 2013), one in Germany (Rigotti </w:t>
      </w:r>
      <w:r w:rsidR="00B64DD5">
        <w:rPr>
          <w:rFonts w:ascii="Calibri" w:eastAsia="Calibri" w:hAnsi="Calibri" w:cs="Times New Roman"/>
        </w:rPr>
        <w:t>et al.,</w:t>
      </w:r>
      <w:r w:rsidRPr="00817A2F">
        <w:rPr>
          <w:rFonts w:ascii="Calibri" w:eastAsia="Calibri" w:hAnsi="Calibri" w:cs="Times New Roman"/>
        </w:rPr>
        <w:t xml:space="preserve"> 2014), one in Sweden (Rigotti </w:t>
      </w:r>
      <w:r w:rsidR="00B64DD5">
        <w:rPr>
          <w:rFonts w:ascii="Calibri" w:eastAsia="Calibri" w:hAnsi="Calibri" w:cs="Times New Roman"/>
        </w:rPr>
        <w:t>et al.,</w:t>
      </w:r>
      <w:r w:rsidRPr="00817A2F">
        <w:rPr>
          <w:rFonts w:ascii="Calibri" w:eastAsia="Calibri" w:hAnsi="Calibri" w:cs="Times New Roman"/>
        </w:rPr>
        <w:t xml:space="preserve"> 2014), and one in the USA (Kmiec, 2010). The organisations in which these interventions took place included the fire service (Angelo &amp; Chambel, 2013), the police service (Biggs</w:t>
      </w:r>
      <w:r w:rsidR="00365A2D">
        <w:rPr>
          <w:rFonts w:ascii="Calibri" w:eastAsia="Calibri" w:hAnsi="Calibri" w:cs="Times New Roman"/>
        </w:rPr>
        <w:t xml:space="preserve"> et al.,</w:t>
      </w:r>
      <w:r w:rsidRPr="00817A2F">
        <w:rPr>
          <w:rFonts w:ascii="Calibri" w:eastAsia="Calibri" w:hAnsi="Calibri" w:cs="Times New Roman"/>
        </w:rPr>
        <w:t xml:space="preserve">2014), and a manufacturing organisation (Kmiec, 2010). One study was conducted with employees from both private and public organisations (Rigotti </w:t>
      </w:r>
      <w:r w:rsidR="00B64DD5">
        <w:rPr>
          <w:rFonts w:ascii="Calibri" w:eastAsia="Calibri" w:hAnsi="Calibri" w:cs="Times New Roman"/>
        </w:rPr>
        <w:t>et al.,</w:t>
      </w:r>
      <w:r w:rsidRPr="00817A2F">
        <w:rPr>
          <w:rFonts w:ascii="Calibri" w:eastAsia="Calibri" w:hAnsi="Calibri" w:cs="Times New Roman"/>
        </w:rPr>
        <w:t xml:space="preserve"> 2014). More specific details regarding the design, interventions conducted, and findings will be described throughout this section.</w:t>
      </w:r>
    </w:p>
    <w:p w14:paraId="31F6AC84" w14:textId="77777777" w:rsidR="00817A2F" w:rsidRPr="00817A2F" w:rsidRDefault="00817A2F" w:rsidP="00817A2F">
      <w:pPr>
        <w:spacing w:after="200" w:line="276" w:lineRule="auto"/>
        <w:rPr>
          <w:rFonts w:ascii="Calibri" w:eastAsia="Calibri" w:hAnsi="Calibri" w:cs="Times New Roman"/>
        </w:rPr>
      </w:pPr>
    </w:p>
    <w:p w14:paraId="5F452116" w14:textId="77777777" w:rsidR="00817A2F" w:rsidRPr="00817A2F" w:rsidRDefault="00817A2F" w:rsidP="008D6A1F">
      <w:pPr>
        <w:pStyle w:val="Heading4"/>
        <w:rPr>
          <w:rFonts w:eastAsia="Times New Roman"/>
        </w:rPr>
      </w:pPr>
      <w:r w:rsidRPr="00817A2F">
        <w:rPr>
          <w:rFonts w:eastAsia="Times New Roman"/>
        </w:rPr>
        <w:t>Interventions covered</w:t>
      </w:r>
    </w:p>
    <w:p w14:paraId="611AE9A5" w14:textId="77777777" w:rsidR="00923A7B" w:rsidRDefault="00923A7B" w:rsidP="00817A2F">
      <w:pPr>
        <w:spacing w:after="200" w:line="360" w:lineRule="auto"/>
        <w:contextualSpacing/>
        <w:rPr>
          <w:rFonts w:ascii="Calibri" w:eastAsia="Calibri" w:hAnsi="Calibri" w:cs="Times New Roman"/>
        </w:rPr>
      </w:pPr>
    </w:p>
    <w:p w14:paraId="7A1340B9" w14:textId="4962ABA0"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Two of the five studies were purely group interventions, and three consisted of both a group and an individu</w:t>
      </w:r>
      <w:r w:rsidR="00A54063">
        <w:rPr>
          <w:rFonts w:ascii="Calibri" w:eastAsia="Calibri" w:hAnsi="Calibri" w:cs="Times New Roman"/>
        </w:rPr>
        <w:t>al component (Biggs et al., 2014</w:t>
      </w:r>
      <w:r w:rsidRPr="00817A2F">
        <w:rPr>
          <w:rFonts w:ascii="Calibri" w:eastAsia="Calibri" w:hAnsi="Calibri" w:cs="Times New Roman"/>
        </w:rPr>
        <w:t xml:space="preserve">; Rigotti </w:t>
      </w:r>
      <w:r w:rsidR="00B64DD5">
        <w:rPr>
          <w:rFonts w:ascii="Calibri" w:eastAsia="Calibri" w:hAnsi="Calibri" w:cs="Times New Roman"/>
        </w:rPr>
        <w:t>et al.,</w:t>
      </w:r>
      <w:r w:rsidRPr="00817A2F">
        <w:rPr>
          <w:rFonts w:ascii="Calibri" w:eastAsia="Calibri" w:hAnsi="Calibri" w:cs="Times New Roman"/>
        </w:rPr>
        <w:t xml:space="preserve"> 2014). Although the interventions varied between studies, key elements were common to many. In particular, the group component of interventions tended to take the form of a series of workshops providing psycho-education on a range of different topics (e.g. stress, coping strategies, leadership styles, communication, social support, work-life balance). This was coupled with a problem solving action element involving leaders developing plans to deal with problems they identified, implementing them, and reviewing them on an ongoing basis. The additional individual component in three of the studies involved individual coaching for leaders. As part of this, Rigotti </w:t>
      </w:r>
      <w:r w:rsidR="00D77E72">
        <w:rPr>
          <w:rFonts w:ascii="Calibri" w:eastAsia="Calibri" w:hAnsi="Calibri" w:cs="Times New Roman"/>
        </w:rPr>
        <w:t>and colleagues’</w:t>
      </w:r>
      <w:r w:rsidRPr="00817A2F">
        <w:rPr>
          <w:rFonts w:ascii="Calibri" w:eastAsia="Calibri" w:hAnsi="Calibri" w:cs="Times New Roman"/>
        </w:rPr>
        <w:t xml:space="preserve"> (2014) two studies involved observations of leaders and individual feedback on these. Further details can be found in Appendices 4a and 4b). The one intervention which is ongoing did not report the intervention in enough detail to determine whether both a group and individual element are involved, or what these components might consist of (White, Wells, &amp; Butterworth, 2014).</w:t>
      </w:r>
    </w:p>
    <w:p w14:paraId="4FA70373" w14:textId="77777777" w:rsidR="00817A2F" w:rsidRPr="00817A2F" w:rsidRDefault="00817A2F" w:rsidP="00817A2F">
      <w:pPr>
        <w:spacing w:after="200" w:line="276" w:lineRule="auto"/>
        <w:rPr>
          <w:rFonts w:ascii="Calibri" w:eastAsia="Calibri" w:hAnsi="Calibri" w:cs="Times New Roman"/>
        </w:rPr>
      </w:pPr>
    </w:p>
    <w:p w14:paraId="553C3190" w14:textId="77777777" w:rsidR="00817A2F" w:rsidRPr="00817A2F" w:rsidRDefault="00817A2F" w:rsidP="008D6A1F">
      <w:pPr>
        <w:pStyle w:val="Heading4"/>
        <w:rPr>
          <w:rFonts w:eastAsia="Times New Roman"/>
        </w:rPr>
      </w:pPr>
      <w:bookmarkStart w:id="169" w:name="_Ref453252304"/>
      <w:r w:rsidRPr="00817A2F">
        <w:rPr>
          <w:rFonts w:eastAsia="Times New Roman"/>
        </w:rPr>
        <w:t>Research designs</w:t>
      </w:r>
      <w:bookmarkEnd w:id="169"/>
    </w:p>
    <w:p w14:paraId="5770115F" w14:textId="77777777" w:rsidR="008D6A1F" w:rsidRDefault="008D6A1F" w:rsidP="00817A2F">
      <w:pPr>
        <w:spacing w:after="200" w:line="360" w:lineRule="auto"/>
        <w:contextualSpacing/>
        <w:rPr>
          <w:rFonts w:ascii="Calibri" w:eastAsia="Calibri" w:hAnsi="Calibri" w:cs="Times New Roman"/>
        </w:rPr>
      </w:pPr>
    </w:p>
    <w:p w14:paraId="0146328A" w14:textId="27AED700"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All of the studies were longitudinal, three were two wave, and two were three wave (Rigotti </w:t>
      </w:r>
      <w:r w:rsidR="00B64DD5">
        <w:rPr>
          <w:rFonts w:ascii="Calibri" w:eastAsia="Calibri" w:hAnsi="Calibri" w:cs="Times New Roman"/>
        </w:rPr>
        <w:t>et al.,</w:t>
      </w:r>
      <w:r w:rsidRPr="00817A2F">
        <w:rPr>
          <w:rFonts w:ascii="Calibri" w:eastAsia="Calibri" w:hAnsi="Calibri" w:cs="Times New Roman"/>
        </w:rPr>
        <w:t xml:space="preserve"> 2014). One study was randomised at the district level (Angelo and Chambel, 2013), however, the randomisation process itself was not specified. All of the studies contained a comparison group and two had a matched comparison group (Rigotti </w:t>
      </w:r>
      <w:r w:rsidR="00B64DD5">
        <w:rPr>
          <w:rFonts w:ascii="Calibri" w:eastAsia="Calibri" w:hAnsi="Calibri" w:cs="Times New Roman"/>
        </w:rPr>
        <w:t>et al.,</w:t>
      </w:r>
      <w:r w:rsidRPr="00817A2F">
        <w:rPr>
          <w:rFonts w:ascii="Calibri" w:eastAsia="Calibri" w:hAnsi="Calibri" w:cs="Times New Roman"/>
        </w:rPr>
        <w:t xml:space="preserve"> 2014). One study contained only a non-matched control group and one study contained a wait list control group (Angelo &amp; Chambel, 2013). Allocation concealment and blinding of participants, personnel and outcome assessment was not possible given the research designs and nature of the interventions, which makes it impossible to </w:t>
      </w:r>
      <w:r w:rsidRPr="00817A2F">
        <w:rPr>
          <w:rFonts w:ascii="Calibri" w:eastAsia="Calibri" w:hAnsi="Calibri" w:cs="Times New Roman"/>
        </w:rPr>
        <w:lastRenderedPageBreak/>
        <w:t xml:space="preserve">conceal from participants whether they are in an intervention or </w:t>
      </w:r>
      <w:r w:rsidR="00537C7E">
        <w:rPr>
          <w:rFonts w:ascii="Calibri" w:eastAsia="Calibri" w:hAnsi="Calibri" w:cs="Times New Roman"/>
        </w:rPr>
        <w:t xml:space="preserve">a </w:t>
      </w:r>
      <w:r w:rsidRPr="00817A2F">
        <w:rPr>
          <w:rFonts w:ascii="Calibri" w:eastAsia="Calibri" w:hAnsi="Calibri" w:cs="Times New Roman"/>
        </w:rPr>
        <w:t xml:space="preserve">control group. The duration of the interventions varied considerably across studies, ranging from 90 days (Kmiec, 2010) to 14 months (Rigotti </w:t>
      </w:r>
      <w:r w:rsidR="00B64DD5">
        <w:rPr>
          <w:rFonts w:ascii="Calibri" w:eastAsia="Calibri" w:hAnsi="Calibri" w:cs="Times New Roman"/>
        </w:rPr>
        <w:t>et al.,</w:t>
      </w:r>
      <w:r w:rsidRPr="00817A2F">
        <w:rPr>
          <w:rFonts w:ascii="Calibri" w:eastAsia="Calibri" w:hAnsi="Calibri" w:cs="Times New Roman"/>
        </w:rPr>
        <w:t xml:space="preserve"> 2014). For the two studies which were three wave, follow-up measurements occurred 20 months after pre- intervention measurements, and this was</w:t>
      </w:r>
      <w:r w:rsidR="00537C7E">
        <w:rPr>
          <w:rFonts w:ascii="Calibri" w:eastAsia="Calibri" w:hAnsi="Calibri" w:cs="Times New Roman"/>
        </w:rPr>
        <w:t xml:space="preserve"> six</w:t>
      </w:r>
      <w:r w:rsidRPr="00817A2F">
        <w:rPr>
          <w:rFonts w:ascii="Calibri" w:eastAsia="Calibri" w:hAnsi="Calibri" w:cs="Times New Roman"/>
        </w:rPr>
        <w:t xml:space="preserve"> months after post-intervention measurements (Rigotti </w:t>
      </w:r>
      <w:r w:rsidR="00B64DD5">
        <w:rPr>
          <w:rFonts w:ascii="Calibri" w:eastAsia="Calibri" w:hAnsi="Calibri" w:cs="Times New Roman"/>
        </w:rPr>
        <w:t>et al.,</w:t>
      </w:r>
      <w:r w:rsidRPr="00817A2F">
        <w:rPr>
          <w:rFonts w:ascii="Calibri" w:eastAsia="Calibri" w:hAnsi="Calibri" w:cs="Times New Roman"/>
        </w:rPr>
        <w:t xml:space="preserve"> 2014). </w:t>
      </w:r>
    </w:p>
    <w:p w14:paraId="7D0D87B5" w14:textId="77777777" w:rsidR="00817A2F" w:rsidRPr="00817A2F" w:rsidRDefault="00817A2F" w:rsidP="00817A2F">
      <w:pPr>
        <w:spacing w:after="200" w:line="276" w:lineRule="auto"/>
        <w:rPr>
          <w:rFonts w:ascii="Calibri" w:eastAsia="Calibri" w:hAnsi="Calibri" w:cs="Times New Roman"/>
        </w:rPr>
      </w:pPr>
    </w:p>
    <w:p w14:paraId="0B1C3813" w14:textId="77777777" w:rsidR="00817A2F" w:rsidRPr="00817A2F" w:rsidRDefault="00817A2F" w:rsidP="008D6A1F">
      <w:pPr>
        <w:pStyle w:val="Heading4"/>
        <w:rPr>
          <w:rFonts w:eastAsia="Times New Roman"/>
        </w:rPr>
      </w:pPr>
      <w:r w:rsidRPr="00817A2F">
        <w:rPr>
          <w:rFonts w:eastAsia="Times New Roman"/>
        </w:rPr>
        <w:t>Outcomes measured and findings</w:t>
      </w:r>
    </w:p>
    <w:p w14:paraId="3A05FCDC" w14:textId="77777777" w:rsidR="008D6A1F" w:rsidRDefault="008D6A1F" w:rsidP="00817A2F">
      <w:pPr>
        <w:spacing w:after="200" w:line="360" w:lineRule="auto"/>
        <w:contextualSpacing/>
        <w:rPr>
          <w:rFonts w:ascii="Calibri" w:eastAsia="Calibri" w:hAnsi="Calibri" w:cs="Times New Roman"/>
        </w:rPr>
      </w:pPr>
    </w:p>
    <w:p w14:paraId="549FDF95" w14:textId="79FE0104" w:rsidR="00817A2F" w:rsidRPr="00817A2F" w:rsidRDefault="00537C7E" w:rsidP="00817A2F">
      <w:pPr>
        <w:spacing w:after="200" w:line="360" w:lineRule="auto"/>
        <w:contextualSpacing/>
        <w:rPr>
          <w:rFonts w:ascii="Calibri" w:eastAsia="Calibri" w:hAnsi="Calibri" w:cs="Times New Roman"/>
        </w:rPr>
      </w:pPr>
      <w:r>
        <w:rPr>
          <w:rFonts w:ascii="Calibri" w:eastAsia="Calibri" w:hAnsi="Calibri" w:cs="Times New Roman"/>
        </w:rPr>
        <w:t>All of the studies measured work e</w:t>
      </w:r>
      <w:r w:rsidR="00817A2F" w:rsidRPr="00817A2F">
        <w:rPr>
          <w:rFonts w:ascii="Calibri" w:eastAsia="Calibri" w:hAnsi="Calibri" w:cs="Times New Roman"/>
        </w:rPr>
        <w:t xml:space="preserve">ngagement using the UWES. Two of the five studies used the full version, the UWES-17, one used the abbreviated version, the UWES-9 (Biggs </w:t>
      </w:r>
      <w:r w:rsidR="00B64DD5">
        <w:rPr>
          <w:rFonts w:ascii="Calibri" w:eastAsia="Calibri" w:hAnsi="Calibri" w:cs="Times New Roman"/>
        </w:rPr>
        <w:t>et al.,</w:t>
      </w:r>
      <w:r w:rsidR="00817A2F" w:rsidRPr="00817A2F">
        <w:rPr>
          <w:rFonts w:ascii="Calibri" w:eastAsia="Calibri" w:hAnsi="Calibri" w:cs="Times New Roman"/>
        </w:rPr>
        <w:t xml:space="preserve"> 2014), and two used a six item version of the UWES (Rigotti </w:t>
      </w:r>
      <w:r w:rsidR="00B64DD5">
        <w:rPr>
          <w:rFonts w:ascii="Calibri" w:eastAsia="Calibri" w:hAnsi="Calibri" w:cs="Times New Roman"/>
        </w:rPr>
        <w:t>et al.,</w:t>
      </w:r>
      <w:r w:rsidR="00817A2F" w:rsidRPr="00817A2F">
        <w:rPr>
          <w:rFonts w:ascii="Calibri" w:eastAsia="Calibri" w:hAnsi="Calibri" w:cs="Times New Roman"/>
        </w:rPr>
        <w:t xml:space="preserve"> 2014)</w:t>
      </w:r>
      <w:r>
        <w:rPr>
          <w:rFonts w:ascii="Calibri" w:eastAsia="Calibri" w:hAnsi="Calibri" w:cs="Times New Roman"/>
        </w:rPr>
        <w:t>,</w:t>
      </w:r>
      <w:r w:rsidR="00817A2F" w:rsidRPr="00817A2F">
        <w:rPr>
          <w:rFonts w:ascii="Calibri" w:eastAsia="Calibri" w:hAnsi="Calibri" w:cs="Times New Roman"/>
        </w:rPr>
        <w:t xml:space="preserve"> which contained two items for each sub-domain and which has demonstrated high reliability (Schaufel</w:t>
      </w:r>
      <w:r w:rsidR="00992B4C">
        <w:rPr>
          <w:rFonts w:ascii="Calibri" w:eastAsia="Calibri" w:hAnsi="Calibri" w:cs="Times New Roman"/>
        </w:rPr>
        <w:t>i, Bakker &amp; Salanova, 2006). Three</w:t>
      </w:r>
      <w:r w:rsidR="00817A2F" w:rsidRPr="00817A2F">
        <w:rPr>
          <w:rFonts w:ascii="Calibri" w:eastAsia="Calibri" w:hAnsi="Calibri" w:cs="Times New Roman"/>
        </w:rPr>
        <w:t xml:space="preserve"> studies provided results for overall work engagement only (</w:t>
      </w:r>
      <w:r w:rsidR="00992B4C">
        <w:rPr>
          <w:rFonts w:ascii="Calibri" w:eastAsia="Calibri" w:hAnsi="Calibri" w:cs="Times New Roman"/>
        </w:rPr>
        <w:t xml:space="preserve">Biggs et al. 2014; </w:t>
      </w:r>
      <w:r w:rsidR="00817A2F" w:rsidRPr="00817A2F">
        <w:rPr>
          <w:rFonts w:ascii="Calibri" w:eastAsia="Calibri" w:hAnsi="Calibri" w:cs="Times New Roman"/>
        </w:rPr>
        <w:t xml:space="preserve">Rigotti </w:t>
      </w:r>
      <w:r w:rsidR="00B64DD5">
        <w:rPr>
          <w:rFonts w:ascii="Calibri" w:eastAsia="Calibri" w:hAnsi="Calibri" w:cs="Times New Roman"/>
        </w:rPr>
        <w:t>et al.,</w:t>
      </w:r>
      <w:r w:rsidR="00817A2F" w:rsidRPr="00817A2F">
        <w:rPr>
          <w:rFonts w:ascii="Calibri" w:eastAsia="Calibri" w:hAnsi="Calibri" w:cs="Times New Roman"/>
        </w:rPr>
        <w:t xml:space="preserve"> 2014), one provided results for work engagement as well as one of its sub-components, dedication (Kmiec, 2010), and one provided results for vigour and dedication only (Angelo &amp; Chambel, 2013). Four of the studies also reported a variety and extensive range of other outcomes, including job resources such as social support, autonomy and role clarity, job demands such as workload and organisational stressors, aspects of leadership such as leadership styles and support, aspects of </w:t>
      </w:r>
      <w:r w:rsidR="001D6140">
        <w:rPr>
          <w:rFonts w:ascii="Calibri" w:eastAsia="Calibri" w:hAnsi="Calibri" w:cs="Times New Roman"/>
        </w:rPr>
        <w:t>well-being</w:t>
      </w:r>
      <w:r w:rsidR="00817A2F" w:rsidRPr="00817A2F">
        <w:rPr>
          <w:rFonts w:ascii="Calibri" w:eastAsia="Calibri" w:hAnsi="Calibri" w:cs="Times New Roman"/>
        </w:rPr>
        <w:t xml:space="preserve"> such as exhaustion, stress and job satisfaction, and aspects of performance, such as sickness absence and turnover intentions. Specific details pertaining to each study can be found in Appendix 4c.</w:t>
      </w:r>
    </w:p>
    <w:p w14:paraId="14513731" w14:textId="77777777" w:rsidR="00817A2F" w:rsidRPr="00817A2F" w:rsidRDefault="00817A2F" w:rsidP="00817A2F">
      <w:pPr>
        <w:spacing w:after="200" w:line="360" w:lineRule="auto"/>
        <w:contextualSpacing/>
        <w:rPr>
          <w:rFonts w:ascii="Calibri" w:eastAsia="Calibri" w:hAnsi="Calibri" w:cs="Times New Roman"/>
        </w:rPr>
      </w:pPr>
    </w:p>
    <w:p w14:paraId="0ABF0109"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Findings relating to work engagement</w:t>
      </w:r>
    </w:p>
    <w:p w14:paraId="5C976C84" w14:textId="0F0E933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None of the studies observed significant differences between groups. In relation to work engagement or its subcomponents, however, four studies observed positive, albeit non-significant, increases (Appendix 4c). Rigotti et al</w:t>
      </w:r>
      <w:r w:rsidR="008F6182">
        <w:rPr>
          <w:rFonts w:ascii="Calibri" w:eastAsia="Calibri" w:hAnsi="Calibri" w:cs="Times New Roman"/>
        </w:rPr>
        <w:t>.</w:t>
      </w:r>
      <w:r w:rsidRPr="00817A2F">
        <w:rPr>
          <w:rFonts w:ascii="Calibri" w:eastAsia="Calibri" w:hAnsi="Calibri" w:cs="Times New Roman"/>
        </w:rPr>
        <w:t xml:space="preserve"> (2014) noted borderline significant results between intervention and control groups in their German study, but found no such differences in their Swedish study. Kmiec (2010) noted higher work engagement and dedication in the intervention group, with the difference between groups widening over time. However, these results should be interpreted with caution given that no significant differences were observed across time in either</w:t>
      </w:r>
      <w:r w:rsidR="005726FB">
        <w:rPr>
          <w:rFonts w:ascii="Calibri" w:eastAsia="Calibri" w:hAnsi="Calibri" w:cs="Times New Roman"/>
        </w:rPr>
        <w:t xml:space="preserve"> of the groups. Angelo and Chambel</w:t>
      </w:r>
      <w:r w:rsidRPr="00817A2F">
        <w:rPr>
          <w:rFonts w:ascii="Calibri" w:eastAsia="Calibri" w:hAnsi="Calibri" w:cs="Times New Roman"/>
        </w:rPr>
        <w:t xml:space="preserve"> (2013) reported a marginal increase in vigour, and Biggs et al. (2014) noted positive effects on </w:t>
      </w:r>
      <w:r w:rsidR="00992B4C">
        <w:rPr>
          <w:rFonts w:ascii="Calibri" w:eastAsia="Calibri" w:hAnsi="Calibri" w:cs="Times New Roman"/>
        </w:rPr>
        <w:t xml:space="preserve">work engagement </w:t>
      </w:r>
      <w:r w:rsidR="00992B4C" w:rsidRPr="00817A2F">
        <w:rPr>
          <w:rFonts w:ascii="Calibri" w:eastAsia="Calibri" w:hAnsi="Calibri" w:cs="Times New Roman"/>
          <w:iCs/>
        </w:rPr>
        <w:t>when their intervention was mediated by employees’ perceptions of work-culture support and strategic alignment</w:t>
      </w:r>
      <w:r w:rsidRPr="00817A2F">
        <w:rPr>
          <w:rFonts w:ascii="Calibri" w:eastAsia="Calibri" w:hAnsi="Calibri" w:cs="Times New Roman"/>
        </w:rPr>
        <w:t xml:space="preserve">. These results suggest that interventions designed to increase the work engagement of employees by providing leadership training to managers may be effective. An exploration of the quality of these studies may provide </w:t>
      </w:r>
      <w:r w:rsidRPr="00817A2F">
        <w:rPr>
          <w:rFonts w:ascii="Calibri" w:eastAsia="Calibri" w:hAnsi="Calibri" w:cs="Times New Roman"/>
        </w:rPr>
        <w:lastRenderedPageBreak/>
        <w:t xml:space="preserve">insight into why the positive results observed were not significant, and will be discussed in section 3.4.4 below.  </w:t>
      </w:r>
    </w:p>
    <w:p w14:paraId="382AF146" w14:textId="77777777" w:rsidR="00817A2F" w:rsidRPr="00817A2F" w:rsidRDefault="00817A2F" w:rsidP="00817A2F">
      <w:pPr>
        <w:spacing w:after="200" w:line="360" w:lineRule="auto"/>
        <w:contextualSpacing/>
        <w:rPr>
          <w:rFonts w:ascii="Calibri" w:eastAsia="Calibri" w:hAnsi="Calibri" w:cs="Times New Roman"/>
        </w:rPr>
      </w:pPr>
    </w:p>
    <w:p w14:paraId="6276E4CB"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Findings relating to other outcomes</w:t>
      </w:r>
    </w:p>
    <w:p w14:paraId="06341BD6" w14:textId="147A86DF"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Three of the four studies which reported measuring findings other than work engagement reported positive results. Angelo and Chambel (2013) noted a significant increase in social support using the well validated Job Cont</w:t>
      </w:r>
      <w:r w:rsidR="00D64ECC">
        <w:rPr>
          <w:rFonts w:ascii="Calibri" w:eastAsia="Calibri" w:hAnsi="Calibri" w:cs="Times New Roman"/>
        </w:rPr>
        <w:t>ent Questionnaire (Karasek et al., 1998</w:t>
      </w:r>
      <w:r w:rsidRPr="00817A2F">
        <w:rPr>
          <w:rFonts w:ascii="Calibri" w:eastAsia="Calibri" w:hAnsi="Calibri" w:cs="Times New Roman"/>
        </w:rPr>
        <w:t>), as well as a significant increase in chronic demands, using a measure developed specially for the study. Biggs et al</w:t>
      </w:r>
      <w:r w:rsidR="0097015F">
        <w:rPr>
          <w:rFonts w:ascii="Calibri" w:eastAsia="Calibri" w:hAnsi="Calibri" w:cs="Times New Roman"/>
        </w:rPr>
        <w:t>.</w:t>
      </w:r>
      <w:r w:rsidRPr="00817A2F">
        <w:rPr>
          <w:rFonts w:ascii="Calibri" w:eastAsia="Calibri" w:hAnsi="Calibri" w:cs="Times New Roman"/>
        </w:rPr>
        <w:t xml:space="preserve"> (2014) noted an increase in work-culture support using a recently developed measure, and also noted an increase in chronic demands using a well-known and well validated measure (Wall, Jackson &amp; Mularkey, 1995). Rigotti et al</w:t>
      </w:r>
      <w:r w:rsidR="0097015F">
        <w:rPr>
          <w:rFonts w:ascii="Calibri" w:eastAsia="Calibri" w:hAnsi="Calibri" w:cs="Times New Roman"/>
        </w:rPr>
        <w:t>.</w:t>
      </w:r>
      <w:r w:rsidRPr="00817A2F">
        <w:rPr>
          <w:rFonts w:ascii="Calibri" w:eastAsia="Calibri" w:hAnsi="Calibri" w:cs="Times New Roman"/>
        </w:rPr>
        <w:t xml:space="preserve"> (2014) found that leadership behaviour, self-efficacy and team climate improved in both their German and Swedish studies, using a variety of scales, several of which were validated in Norway (e.g. measures of fair leadership &amp; occupational self-efficacy). The reliabilities of these measures were all high. Sustained effects of leadership behaviour were not observed over time, however.  Rigotti </w:t>
      </w:r>
      <w:r w:rsidR="00D77E72">
        <w:rPr>
          <w:rFonts w:ascii="Calibri" w:eastAsia="Calibri" w:hAnsi="Calibri" w:cs="Times New Roman"/>
        </w:rPr>
        <w:t>and colleagues’</w:t>
      </w:r>
      <w:r w:rsidRPr="00817A2F">
        <w:rPr>
          <w:rFonts w:ascii="Calibri" w:eastAsia="Calibri" w:hAnsi="Calibri" w:cs="Times New Roman"/>
        </w:rPr>
        <w:t xml:space="preserve"> (2014) Swedish study also noted increases in role clarity and autonomy, using the Copenhagen Psychological Questionnaire (COPSOQ-II; Pejtersen, </w:t>
      </w:r>
      <w:r w:rsidRPr="00817A2F">
        <w:rPr>
          <w:rFonts w:ascii="Calibri" w:eastAsia="Calibri" w:hAnsi="Calibri" w:cs="Times New Roman"/>
          <w:bCs/>
          <w:iCs/>
        </w:rPr>
        <w:t>Søndergård Kristensen</w:t>
      </w:r>
      <w:r w:rsidRPr="00817A2F">
        <w:rPr>
          <w:rFonts w:ascii="Calibri" w:eastAsia="Calibri" w:hAnsi="Calibri" w:cs="Times New Roman"/>
        </w:rPr>
        <w:t xml:space="preserve">, Borg &amp; Bjorner, 2010) and a measure </w:t>
      </w:r>
      <w:r w:rsidR="00D57101">
        <w:rPr>
          <w:rFonts w:ascii="Calibri" w:eastAsia="Calibri" w:hAnsi="Calibri" w:cs="Times New Roman"/>
        </w:rPr>
        <w:t>developed by Guest, Isaksson &amp; d</w:t>
      </w:r>
      <w:r w:rsidRPr="00817A2F">
        <w:rPr>
          <w:rFonts w:ascii="Calibri" w:eastAsia="Calibri" w:hAnsi="Calibri" w:cs="Times New Roman"/>
        </w:rPr>
        <w:t>e Witte (2010), respectively. Both of these measures demonstrated acceptable reliability (&gt;.70). The use of less well known measures raises questions about the reliability and validity of the measures in comparison to more established measures, and makes comparing the results of studies measuring similar variables with different measures difficult. Indeed, the use of a varied set of variables and measures across the studies discussed in this section makes it difficult to draw conclusions, however, what is apparent is that positive effec</w:t>
      </w:r>
      <w:r w:rsidR="00992B4C">
        <w:rPr>
          <w:rFonts w:ascii="Calibri" w:eastAsia="Calibri" w:hAnsi="Calibri" w:cs="Times New Roman"/>
        </w:rPr>
        <w:t>ts were observed.</w:t>
      </w:r>
      <w:r w:rsidRPr="00817A2F">
        <w:rPr>
          <w:rFonts w:ascii="Calibri" w:eastAsia="Calibri" w:hAnsi="Calibri" w:cs="Times New Roman"/>
        </w:rPr>
        <w:t xml:space="preserve"> This suggests that leadership training may have a wide range of beneficial effects for employees beyond simply work engagement.   </w:t>
      </w:r>
    </w:p>
    <w:p w14:paraId="181C9D49" w14:textId="77777777" w:rsidR="00817A2F" w:rsidRPr="00817A2F" w:rsidRDefault="00817A2F" w:rsidP="00817A2F">
      <w:pPr>
        <w:spacing w:after="200" w:line="276" w:lineRule="auto"/>
        <w:rPr>
          <w:rFonts w:ascii="Calibri" w:eastAsia="Calibri" w:hAnsi="Calibri" w:cs="Times New Roman"/>
        </w:rPr>
      </w:pPr>
    </w:p>
    <w:p w14:paraId="1CCACA5F" w14:textId="77777777" w:rsidR="00817A2F" w:rsidRPr="00817A2F" w:rsidRDefault="00817A2F" w:rsidP="008D6A1F">
      <w:pPr>
        <w:pStyle w:val="Heading4"/>
        <w:rPr>
          <w:rFonts w:eastAsia="Times New Roman"/>
        </w:rPr>
      </w:pPr>
      <w:bookmarkStart w:id="170" w:name="_Ref453575395"/>
      <w:r w:rsidRPr="00817A2F">
        <w:rPr>
          <w:rFonts w:eastAsia="Times New Roman"/>
        </w:rPr>
        <w:t>Quality of the studies</w:t>
      </w:r>
      <w:bookmarkEnd w:id="170"/>
    </w:p>
    <w:p w14:paraId="7F81E891" w14:textId="77777777" w:rsidR="008D6A1F" w:rsidRDefault="008D6A1F" w:rsidP="00817A2F">
      <w:pPr>
        <w:spacing w:after="200" w:line="360" w:lineRule="auto"/>
        <w:contextualSpacing/>
        <w:rPr>
          <w:rFonts w:ascii="Calibri" w:eastAsia="Calibri" w:hAnsi="Calibri" w:cs="Times New Roman"/>
        </w:rPr>
      </w:pPr>
    </w:p>
    <w:p w14:paraId="2AC2519D" w14:textId="32D4764A"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This section explores the quality of the studies, taking into account factors identified by The Cochrane Collaboration’s ‘Risk of Bias’ tool, as well as several other factors such as how well the intervention was implemented and whether there were differences between groups at baseline or be</w:t>
      </w:r>
      <w:r w:rsidR="008D6A1F">
        <w:rPr>
          <w:rFonts w:ascii="Calibri" w:eastAsia="Calibri" w:hAnsi="Calibri" w:cs="Times New Roman"/>
        </w:rPr>
        <w:t>tween dropouts and non-dropouts</w:t>
      </w:r>
      <w:r w:rsidRPr="00817A2F">
        <w:rPr>
          <w:rFonts w:ascii="Calibri" w:eastAsia="Calibri" w:hAnsi="Calibri" w:cs="Times New Roman"/>
        </w:rPr>
        <w:t xml:space="preserve">. Other factors also included whether the study reported pertinent information such as the intervention procedure, participant numbers, response rates, attrition rates and outcomes. Appendices 4d-4f summarise this information for each of the six </w:t>
      </w:r>
      <w:r w:rsidRPr="00817A2F">
        <w:rPr>
          <w:rFonts w:ascii="Calibri" w:eastAsia="Calibri" w:hAnsi="Calibri" w:cs="Times New Roman"/>
        </w:rPr>
        <w:lastRenderedPageBreak/>
        <w:t xml:space="preserve">completed studies, as well as for the one ongoing study in this section. The quality of the research designs is discussed in section </w:t>
      </w:r>
      <w:r w:rsidR="008D6A1F">
        <w:rPr>
          <w:rFonts w:ascii="Calibri" w:eastAsia="Calibri" w:hAnsi="Calibri" w:cs="Times New Roman"/>
        </w:rPr>
        <w:fldChar w:fldCharType="begin"/>
      </w:r>
      <w:r w:rsidR="008D6A1F">
        <w:rPr>
          <w:rFonts w:ascii="Calibri" w:eastAsia="Calibri" w:hAnsi="Calibri" w:cs="Times New Roman"/>
        </w:rPr>
        <w:instrText xml:space="preserve"> REF _Ref453252304 \r \h </w:instrText>
      </w:r>
      <w:r w:rsidR="008D6A1F">
        <w:rPr>
          <w:rFonts w:ascii="Calibri" w:eastAsia="Calibri" w:hAnsi="Calibri" w:cs="Times New Roman"/>
        </w:rPr>
      </w:r>
      <w:r w:rsidR="008D6A1F">
        <w:rPr>
          <w:rFonts w:ascii="Calibri" w:eastAsia="Calibri" w:hAnsi="Calibri" w:cs="Times New Roman"/>
        </w:rPr>
        <w:fldChar w:fldCharType="separate"/>
      </w:r>
      <w:r w:rsidR="00152F6D">
        <w:rPr>
          <w:rFonts w:ascii="Calibri" w:eastAsia="Calibri" w:hAnsi="Calibri" w:cs="Times New Roman"/>
        </w:rPr>
        <w:t>5.3.5.2</w:t>
      </w:r>
      <w:r w:rsidR="008D6A1F">
        <w:rPr>
          <w:rFonts w:ascii="Calibri" w:eastAsia="Calibri" w:hAnsi="Calibri" w:cs="Times New Roman"/>
        </w:rPr>
        <w:fldChar w:fldCharType="end"/>
      </w:r>
      <w:r w:rsidRPr="00817A2F">
        <w:rPr>
          <w:rFonts w:ascii="Calibri" w:eastAsia="Calibri" w:hAnsi="Calibri" w:cs="Times New Roman"/>
        </w:rPr>
        <w:t xml:space="preserve"> above and thus will not be discussed again here. </w:t>
      </w:r>
    </w:p>
    <w:p w14:paraId="7BC1C93A" w14:textId="77777777" w:rsidR="00817A2F" w:rsidRPr="00817A2F" w:rsidRDefault="00817A2F" w:rsidP="00817A2F">
      <w:pPr>
        <w:spacing w:after="200" w:line="360" w:lineRule="auto"/>
        <w:contextualSpacing/>
        <w:rPr>
          <w:rFonts w:ascii="Calibri" w:eastAsia="Calibri" w:hAnsi="Calibri" w:cs="Times New Roman"/>
        </w:rPr>
      </w:pPr>
    </w:p>
    <w:p w14:paraId="5451A410" w14:textId="17C35033"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In general, all of the studies were well reported, with the interventions described in appropriate detail, participant numbers at each time point reported, and all outcomes reported. However, one of the five studies did not provide a baseline response rate (Angelo &amp; Chambel, 2013) and two did not provide an attrition rate (Angelo &amp; Chambel, 2013; Kmiec, 2010). The baseline response rates ranged from low (24.2%, Biggs </w:t>
      </w:r>
      <w:r w:rsidR="00B64DD5">
        <w:rPr>
          <w:rFonts w:ascii="Calibri" w:eastAsia="Calibri" w:hAnsi="Calibri" w:cs="Times New Roman"/>
        </w:rPr>
        <w:t>et al.,</w:t>
      </w:r>
      <w:r w:rsidR="00A54063">
        <w:rPr>
          <w:rFonts w:ascii="Calibri" w:eastAsia="Calibri" w:hAnsi="Calibri" w:cs="Times New Roman"/>
        </w:rPr>
        <w:t xml:space="preserve"> 2014</w:t>
      </w:r>
      <w:r w:rsidRPr="00817A2F">
        <w:rPr>
          <w:rFonts w:ascii="Calibri" w:eastAsia="Calibri" w:hAnsi="Calibri" w:cs="Times New Roman"/>
        </w:rPr>
        <w:t xml:space="preserve">) to very high (93.8% for the intervention group, Kmiec, 2010), with the majority between 60-75%. Attrition rates were quite high, 92.6% in Rigotti </w:t>
      </w:r>
      <w:r w:rsidR="0071411A">
        <w:rPr>
          <w:rFonts w:ascii="Calibri" w:eastAsia="Calibri" w:hAnsi="Calibri" w:cs="Times New Roman"/>
        </w:rPr>
        <w:t>and colleagues’</w:t>
      </w:r>
      <w:r w:rsidRPr="00817A2F">
        <w:rPr>
          <w:rFonts w:ascii="Calibri" w:eastAsia="Calibri" w:hAnsi="Calibri" w:cs="Times New Roman"/>
        </w:rPr>
        <w:t xml:space="preserve"> (2014) Swedish study, 56% in Biggs </w:t>
      </w:r>
      <w:r w:rsidR="0097015F">
        <w:rPr>
          <w:rFonts w:ascii="Calibri" w:eastAsia="Calibri" w:hAnsi="Calibri" w:cs="Times New Roman"/>
        </w:rPr>
        <w:t>and colleagues’</w:t>
      </w:r>
      <w:r w:rsidRPr="00817A2F">
        <w:rPr>
          <w:rFonts w:ascii="Calibri" w:eastAsia="Calibri" w:hAnsi="Calibri" w:cs="Times New Roman"/>
        </w:rPr>
        <w:t xml:space="preserve"> (2014) study, and 45.8% in Rigotti </w:t>
      </w:r>
      <w:r w:rsidR="0071411A">
        <w:rPr>
          <w:rFonts w:ascii="Calibri" w:eastAsia="Calibri" w:hAnsi="Calibri" w:cs="Times New Roman"/>
        </w:rPr>
        <w:t>and colleagues’</w:t>
      </w:r>
      <w:r w:rsidRPr="00817A2F">
        <w:rPr>
          <w:rFonts w:ascii="Calibri" w:eastAsia="Calibri" w:hAnsi="Calibri" w:cs="Times New Roman"/>
        </w:rPr>
        <w:t xml:space="preserve"> German study. All of the studies used self-report measures only, which is commonplace for this type of research. Two of the studies statistically compared intervention and control groups at baseline and both found differences between them. Angelo and Chambel (2013) observed significantly higher social support in the control, and Biggs et al</w:t>
      </w:r>
      <w:r w:rsidR="0097015F">
        <w:rPr>
          <w:rFonts w:ascii="Calibri" w:eastAsia="Calibri" w:hAnsi="Calibri" w:cs="Times New Roman"/>
        </w:rPr>
        <w:t>.</w:t>
      </w:r>
      <w:r w:rsidRPr="00817A2F">
        <w:rPr>
          <w:rFonts w:ascii="Calibri" w:eastAsia="Calibri" w:hAnsi="Calibri" w:cs="Times New Roman"/>
        </w:rPr>
        <w:t xml:space="preserve"> (2014) noted that rank and tenure was significantly higher in the intervention group and that supportive leadership and work-culture support was significantly lower. A further two studies noted differences between groups at baseline but did not test these statistically (Rigotti </w:t>
      </w:r>
      <w:r w:rsidR="00B64DD5">
        <w:rPr>
          <w:rFonts w:ascii="Calibri" w:eastAsia="Calibri" w:hAnsi="Calibri" w:cs="Times New Roman"/>
        </w:rPr>
        <w:t>et al.,</w:t>
      </w:r>
      <w:r w:rsidRPr="00817A2F">
        <w:rPr>
          <w:rFonts w:ascii="Calibri" w:eastAsia="Calibri" w:hAnsi="Calibri" w:cs="Times New Roman"/>
        </w:rPr>
        <w:t xml:space="preserve"> 2014).       </w:t>
      </w:r>
    </w:p>
    <w:p w14:paraId="5B0FEC87" w14:textId="77777777" w:rsidR="00817A2F" w:rsidRPr="00817A2F" w:rsidRDefault="00817A2F" w:rsidP="00817A2F">
      <w:pPr>
        <w:spacing w:after="200" w:line="360" w:lineRule="auto"/>
        <w:contextualSpacing/>
        <w:rPr>
          <w:rFonts w:ascii="Calibri" w:eastAsia="Calibri" w:hAnsi="Calibri" w:cs="Times New Roman"/>
        </w:rPr>
      </w:pPr>
    </w:p>
    <w:p w14:paraId="0CF1D468" w14:textId="5C0201D8"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Two of the studies (Rigotti </w:t>
      </w:r>
      <w:r w:rsidR="00B64DD5">
        <w:rPr>
          <w:rFonts w:ascii="Calibri" w:eastAsia="Calibri" w:hAnsi="Calibri" w:cs="Times New Roman"/>
        </w:rPr>
        <w:t>et al.,</w:t>
      </w:r>
      <w:r w:rsidRPr="00817A2F">
        <w:rPr>
          <w:rFonts w:ascii="Calibri" w:eastAsia="Calibri" w:hAnsi="Calibri" w:cs="Times New Roman"/>
        </w:rPr>
        <w:t xml:space="preserve"> 2014) evaluated the intervention in detail, discussing aspects such as the fidelity of the intervention, the compliance of participants, participant attendance, and reasons for attrition. Two more discussed some of these issues to a lesser degree. In particular, Rigotti et al</w:t>
      </w:r>
      <w:r w:rsidR="008F6182">
        <w:rPr>
          <w:rFonts w:ascii="Calibri" w:eastAsia="Calibri" w:hAnsi="Calibri" w:cs="Times New Roman"/>
        </w:rPr>
        <w:t>.</w:t>
      </w:r>
      <w:r w:rsidRPr="00817A2F">
        <w:rPr>
          <w:rFonts w:ascii="Calibri" w:eastAsia="Calibri" w:hAnsi="Calibri" w:cs="Times New Roman"/>
        </w:rPr>
        <w:t xml:space="preserve"> (2014) compared how well their study was implemented in Germany and Sweden. They found that there was less variation in how the intervention was conducted across teams in Sweden, as opposed to Germany, however, the number of teams taking part in each aspect of the intervention differed, ranging from 50% for diary writing to 100% for team workshops and observations. Less than 50% of team leaders in Sweden volunteered for coaching, which may have been due to leaders having participated in a leadership programme previously.</w:t>
      </w:r>
    </w:p>
    <w:p w14:paraId="346E59B2" w14:textId="77777777" w:rsidR="00817A2F" w:rsidRPr="00817A2F" w:rsidRDefault="00817A2F" w:rsidP="00817A2F">
      <w:pPr>
        <w:spacing w:after="200" w:line="360" w:lineRule="auto"/>
        <w:contextualSpacing/>
        <w:rPr>
          <w:rFonts w:ascii="Calibri" w:eastAsia="Calibri" w:hAnsi="Calibri" w:cs="Times New Roman"/>
        </w:rPr>
      </w:pPr>
    </w:p>
    <w:p w14:paraId="0873D92F" w14:textId="4E0B89E1"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In contrast, in Germany, the intervention was much harder to carry out as planned, due to some teams lacking internet access and being unreachable by phone. Scheduling of workshops was also difficult due to study teams residing in different cities. To some extent, the intervention had to be tailored to individuals to overcome these issues. In Germany, however, most leaders did take part in coaching sessions and the number of teams participating in each aspect of the intervention ranged from 66%, for leaders</w:t>
      </w:r>
      <w:r w:rsidR="0097015F">
        <w:rPr>
          <w:rFonts w:ascii="Calibri" w:eastAsia="Calibri" w:hAnsi="Calibri" w:cs="Times New Roman"/>
        </w:rPr>
        <w:t>’</w:t>
      </w:r>
      <w:r w:rsidRPr="00817A2F">
        <w:rPr>
          <w:rFonts w:ascii="Calibri" w:eastAsia="Calibri" w:hAnsi="Calibri" w:cs="Times New Roman"/>
        </w:rPr>
        <w:t xml:space="preserve"> workshops and coaching sessions, to 100% for team workshops, one of the </w:t>
      </w:r>
      <w:r w:rsidRPr="00817A2F">
        <w:rPr>
          <w:rFonts w:ascii="Calibri" w:eastAsia="Calibri" w:hAnsi="Calibri" w:cs="Times New Roman"/>
        </w:rPr>
        <w:lastRenderedPageBreak/>
        <w:t>leader</w:t>
      </w:r>
      <w:r w:rsidR="0097015F">
        <w:rPr>
          <w:rFonts w:ascii="Calibri" w:eastAsia="Calibri" w:hAnsi="Calibri" w:cs="Times New Roman"/>
        </w:rPr>
        <w:t>s’</w:t>
      </w:r>
      <w:r w:rsidRPr="00817A2F">
        <w:rPr>
          <w:rFonts w:ascii="Calibri" w:eastAsia="Calibri" w:hAnsi="Calibri" w:cs="Times New Roman"/>
        </w:rPr>
        <w:t xml:space="preserve"> workshops, and the observation component. Three intervention teams did not participate at all, and drop out was highest for the diary writing component. Heavy workloads, time pressures and periods of restructuring were cited as reasons for why it was difficult to schedule workshops. For both studies, the authors checked that participants had not changed roles over the course of the intervention, for example, from team member to team leader, which could have affected the results.</w:t>
      </w:r>
    </w:p>
    <w:p w14:paraId="5F5F998B" w14:textId="77777777" w:rsidR="00817A2F" w:rsidRPr="00817A2F" w:rsidRDefault="00817A2F" w:rsidP="00817A2F">
      <w:pPr>
        <w:spacing w:after="200" w:line="360" w:lineRule="auto"/>
        <w:contextualSpacing/>
        <w:rPr>
          <w:rFonts w:ascii="Calibri" w:eastAsia="Calibri" w:hAnsi="Calibri" w:cs="Times New Roman"/>
        </w:rPr>
      </w:pPr>
    </w:p>
    <w:p w14:paraId="71924F8C"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Participants in both studies reported satisfaction with the training and that it had met its aim to positively change leaders’ behaviours. Interestingly, in Germany, 4 out of 10 leaders considered coaching as being the most positive aspect of the training, suggesting that when leaders agreed to undergo coaching, it proved useful. In both studies, there were several reasons which may have impinged on the success of the intervention. In Germany, additional projects, including health promoting projects, were occurring alongside the intervention, which should be taken into account when interpreting the results. Furthermore, 33% of leaders reported a lack of resources, 54% reported ongoing construction work, 59% moved during the intervention and almost all teams reported team changes. In Sweden, leaders felt that the duration of the intervention (16m) was too long as momentum was lost between intervention activities, several leaders reported a lack of support from direct managers, and the number of team members participating in each component of the intervention varied, making it difficult for individuals to get the most out of the intervention. </w:t>
      </w:r>
    </w:p>
    <w:p w14:paraId="150296D6" w14:textId="77777777" w:rsidR="00817A2F" w:rsidRPr="00817A2F" w:rsidRDefault="00817A2F" w:rsidP="00817A2F">
      <w:pPr>
        <w:spacing w:after="200" w:line="360" w:lineRule="auto"/>
        <w:contextualSpacing/>
        <w:rPr>
          <w:rFonts w:ascii="Calibri" w:eastAsia="Calibri" w:hAnsi="Calibri" w:cs="Times New Roman"/>
        </w:rPr>
      </w:pPr>
    </w:p>
    <w:p w14:paraId="1F6155A7" w14:textId="287C5E93"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A comparison between intervention drop-outs and non-dropouts was not conducted, however, a comparison between control dropouts and non-dropouts was conducted, and revealed several differences; in Germany, dropouts tended to be women, reported fewer cognitive demands and symptoms of stress and higher </w:t>
      </w:r>
      <w:r w:rsidR="001D6140">
        <w:rPr>
          <w:rFonts w:ascii="Calibri" w:eastAsia="Calibri" w:hAnsi="Calibri" w:cs="Times New Roman"/>
        </w:rPr>
        <w:t>well-being</w:t>
      </w:r>
      <w:r w:rsidRPr="00817A2F">
        <w:rPr>
          <w:rFonts w:ascii="Calibri" w:eastAsia="Calibri" w:hAnsi="Calibri" w:cs="Times New Roman"/>
        </w:rPr>
        <w:t xml:space="preserve">, </w:t>
      </w:r>
      <w:r w:rsidR="0097015F">
        <w:rPr>
          <w:rFonts w:ascii="Calibri" w:eastAsia="Calibri" w:hAnsi="Calibri" w:cs="Times New Roman"/>
        </w:rPr>
        <w:t>and</w:t>
      </w:r>
      <w:r w:rsidRPr="00817A2F">
        <w:rPr>
          <w:rFonts w:ascii="Calibri" w:eastAsia="Calibri" w:hAnsi="Calibri" w:cs="Times New Roman"/>
        </w:rPr>
        <w:t xml:space="preserve"> reported leaders which were less transformational and more abusive. In Sweden, dropouts had higher workloads and cognitive demands and, like those in Germany, reported better </w:t>
      </w:r>
      <w:r w:rsidR="001D6140">
        <w:rPr>
          <w:rFonts w:ascii="Calibri" w:eastAsia="Calibri" w:hAnsi="Calibri" w:cs="Times New Roman"/>
        </w:rPr>
        <w:t>well-being</w:t>
      </w:r>
      <w:r w:rsidRPr="00817A2F">
        <w:rPr>
          <w:rFonts w:ascii="Calibri" w:eastAsia="Calibri" w:hAnsi="Calibri" w:cs="Times New Roman"/>
        </w:rPr>
        <w:t xml:space="preserve">. In addition, they reported greater opportunities for skill utilisation.  It would be interesting to know whether similar attrition bias would have been observed in the respective intervention group dropouts. Taken together, these findings once again illustrate how difficult it is to organise and implement interventions in organisations, and how difficult it is to interpret the results in light of problems implementing the intervention, and differences between groups, both at baseline and post-intervention.   </w:t>
      </w:r>
    </w:p>
    <w:p w14:paraId="741FAD33" w14:textId="77777777" w:rsidR="00817A2F" w:rsidRPr="00817A2F" w:rsidRDefault="00817A2F" w:rsidP="00817A2F">
      <w:pPr>
        <w:spacing w:after="200" w:line="360" w:lineRule="auto"/>
        <w:contextualSpacing/>
        <w:rPr>
          <w:rFonts w:ascii="Calibri" w:eastAsia="Calibri" w:hAnsi="Calibri" w:cs="Times New Roman"/>
        </w:rPr>
      </w:pPr>
    </w:p>
    <w:p w14:paraId="7E446CF1"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Kmiec (2010) reported two unforeseen events which may have impacted on the results of this empowerment programme: 1) a pay and technical restructure occurred during the first 30 days of the 90 day intervention; and 2) a plant fire occurred during the last 30 days. This latter factor </w:t>
      </w:r>
      <w:r w:rsidRPr="00817A2F">
        <w:rPr>
          <w:rFonts w:ascii="Calibri" w:eastAsia="Calibri" w:hAnsi="Calibri" w:cs="Times New Roman"/>
        </w:rPr>
        <w:lastRenderedPageBreak/>
        <w:t xml:space="preserve">increased the workload of employees and the amount of overtime workers engaged in. An increase in physical labour was also noted, as well as motivational issues and problems concerning individuals' performance.  </w:t>
      </w:r>
    </w:p>
    <w:p w14:paraId="22145DA7" w14:textId="77777777" w:rsidR="00817A2F" w:rsidRPr="00817A2F" w:rsidRDefault="00817A2F" w:rsidP="00817A2F">
      <w:pPr>
        <w:spacing w:after="200" w:line="360" w:lineRule="auto"/>
        <w:contextualSpacing/>
        <w:rPr>
          <w:rFonts w:ascii="Calibri" w:eastAsia="Calibri" w:hAnsi="Calibri" w:cs="Times New Roman"/>
        </w:rPr>
      </w:pPr>
    </w:p>
    <w:p w14:paraId="02598C24"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Once again, the evidence presented here indicates that the lack of a process evaluation can lead to variable reporting standards, making it difficult to assess the robustness of results and fully evaluate the success of interventions. The detailed information provided by two of the six studies in this section enables a much deeper understanding of why certain intervention components may or may not have been successful, and again, this should be encouraged as standard when reporting intervention studies.  </w:t>
      </w:r>
    </w:p>
    <w:p w14:paraId="4061E498" w14:textId="77777777" w:rsidR="00817A2F" w:rsidRPr="00817A2F" w:rsidRDefault="00817A2F" w:rsidP="00817A2F">
      <w:pPr>
        <w:spacing w:after="200" w:line="276" w:lineRule="auto"/>
        <w:rPr>
          <w:rFonts w:ascii="Calibri" w:eastAsia="Calibri" w:hAnsi="Calibri" w:cs="Times New Roman"/>
        </w:rPr>
      </w:pPr>
    </w:p>
    <w:p w14:paraId="068B78CF" w14:textId="77777777" w:rsidR="00817A2F" w:rsidRPr="00817A2F" w:rsidRDefault="00817A2F" w:rsidP="008D6A1F">
      <w:pPr>
        <w:pStyle w:val="Heading4"/>
        <w:rPr>
          <w:rFonts w:eastAsia="Times New Roman"/>
        </w:rPr>
      </w:pPr>
      <w:r w:rsidRPr="00817A2F">
        <w:rPr>
          <w:rFonts w:eastAsia="Times New Roman"/>
        </w:rPr>
        <w:t xml:space="preserve">Summary of findings from leadership training interventions </w:t>
      </w:r>
    </w:p>
    <w:p w14:paraId="2FA662A9" w14:textId="77777777" w:rsidR="00817A2F" w:rsidRPr="00817A2F" w:rsidRDefault="00817A2F" w:rsidP="00817A2F">
      <w:pPr>
        <w:spacing w:after="200" w:line="360" w:lineRule="auto"/>
        <w:contextualSpacing/>
        <w:rPr>
          <w:rFonts w:ascii="Calibri" w:eastAsia="Calibri" w:hAnsi="Calibri" w:cs="Times New Roman"/>
        </w:rPr>
      </w:pPr>
    </w:p>
    <w:p w14:paraId="1D23AF7C"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key findings from intervention studies designed to provide leadership training for leaders and increase the work engagement of employees are presented below.</w:t>
      </w:r>
    </w:p>
    <w:p w14:paraId="7D0FE376" w14:textId="77777777" w:rsidR="00817A2F" w:rsidRPr="00817A2F" w:rsidRDefault="00817A2F" w:rsidP="00817A2F">
      <w:pPr>
        <w:spacing w:after="200" w:line="360" w:lineRule="auto"/>
        <w:contextualSpacing/>
        <w:rPr>
          <w:rFonts w:ascii="Calibri" w:eastAsia="Calibri" w:hAnsi="Calibri" w:cs="Times New Roman"/>
        </w:rPr>
      </w:pPr>
    </w:p>
    <w:p w14:paraId="659627A4"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Summary of evidence regarding the effectiveness of interventions to increase work engagement</w:t>
      </w:r>
    </w:p>
    <w:p w14:paraId="4C7BAF7F" w14:textId="37B344D5"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No significant differences were observed between groups in relation to work engagement or its subcomponents, for any of the studies. However, positive increases in these outcomes were noted across four studies. Kmiec (2010) and Rigotti et al</w:t>
      </w:r>
      <w:r w:rsidR="0097015F">
        <w:rPr>
          <w:rFonts w:ascii="Calibri" w:eastAsia="Calibri" w:hAnsi="Calibri" w:cs="Times New Roman"/>
        </w:rPr>
        <w:t>.</w:t>
      </w:r>
      <w:r w:rsidRPr="00817A2F">
        <w:rPr>
          <w:rFonts w:ascii="Calibri" w:eastAsia="Calibri" w:hAnsi="Calibri" w:cs="Times New Roman"/>
        </w:rPr>
        <w:t xml:space="preserve"> (2014) noted an increase in overall work engagement scores, Biggs et al</w:t>
      </w:r>
      <w:r w:rsidR="0097015F">
        <w:rPr>
          <w:rFonts w:ascii="Calibri" w:eastAsia="Calibri" w:hAnsi="Calibri" w:cs="Times New Roman"/>
        </w:rPr>
        <w:t>.</w:t>
      </w:r>
      <w:r w:rsidRPr="00817A2F">
        <w:rPr>
          <w:rFonts w:ascii="Calibri" w:eastAsia="Calibri" w:hAnsi="Calibri" w:cs="Times New Roman"/>
        </w:rPr>
        <w:t xml:space="preserve"> (201</w:t>
      </w:r>
      <w:r w:rsidR="00A54063">
        <w:rPr>
          <w:rFonts w:ascii="Calibri" w:eastAsia="Calibri" w:hAnsi="Calibri" w:cs="Times New Roman"/>
        </w:rPr>
        <w:t>4</w:t>
      </w:r>
      <w:r w:rsidRPr="00817A2F">
        <w:rPr>
          <w:rFonts w:ascii="Calibri" w:eastAsia="Calibri" w:hAnsi="Calibri" w:cs="Times New Roman"/>
        </w:rPr>
        <w:t xml:space="preserve">) noted increases in </w:t>
      </w:r>
      <w:r w:rsidR="00992B4C">
        <w:rPr>
          <w:rFonts w:ascii="Calibri" w:eastAsia="Calibri" w:hAnsi="Calibri" w:cs="Times New Roman"/>
        </w:rPr>
        <w:t>work engagement when mediated by</w:t>
      </w:r>
      <w:r w:rsidR="00992B4C" w:rsidRPr="00817A2F">
        <w:rPr>
          <w:rFonts w:ascii="Calibri" w:eastAsia="Calibri" w:hAnsi="Calibri" w:cs="Times New Roman"/>
          <w:iCs/>
        </w:rPr>
        <w:t xml:space="preserve"> employees’ perceptions of work-culture support and strategic alignment</w:t>
      </w:r>
      <w:r w:rsidR="00992B4C">
        <w:rPr>
          <w:rFonts w:ascii="Calibri" w:eastAsia="Calibri" w:hAnsi="Calibri" w:cs="Times New Roman"/>
          <w:iCs/>
        </w:rPr>
        <w:t>,</w:t>
      </w:r>
      <w:r w:rsidRPr="00817A2F">
        <w:rPr>
          <w:rFonts w:ascii="Calibri" w:eastAsia="Calibri" w:hAnsi="Calibri" w:cs="Times New Roman"/>
        </w:rPr>
        <w:t xml:space="preserve"> </w:t>
      </w:r>
      <w:r w:rsidR="005726FB">
        <w:rPr>
          <w:rFonts w:ascii="Calibri" w:eastAsia="Calibri" w:hAnsi="Calibri" w:cs="Times New Roman"/>
        </w:rPr>
        <w:t xml:space="preserve">Angelo &amp; Chambel </w:t>
      </w:r>
      <w:r w:rsidRPr="00817A2F">
        <w:rPr>
          <w:rFonts w:ascii="Calibri" w:eastAsia="Calibri" w:hAnsi="Calibri" w:cs="Times New Roman"/>
        </w:rPr>
        <w:t xml:space="preserve">(2013) noted an increase in vigour, and Kmiec (2010) noted an increase in dedication. This suggests that leadership training may have a positive effect on the work engagement of employees. </w:t>
      </w:r>
    </w:p>
    <w:p w14:paraId="40086AB6"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However, and as noted in other sections, the differences between interventions, and their variable quality (see Finding 3), makes it difficult to compare the results or draw definitive conclusions about the effectiveness of leadership training for increasing work engagement. </w:t>
      </w:r>
    </w:p>
    <w:p w14:paraId="1DF29E36" w14:textId="77777777" w:rsidR="00817A2F" w:rsidRPr="00817A2F" w:rsidRDefault="00817A2F" w:rsidP="00817A2F">
      <w:pPr>
        <w:spacing w:after="200" w:line="360" w:lineRule="auto"/>
        <w:contextualSpacing/>
        <w:rPr>
          <w:rFonts w:ascii="Calibri" w:eastAsia="Calibri" w:hAnsi="Calibri" w:cs="Times New Roman"/>
        </w:rPr>
      </w:pPr>
    </w:p>
    <w:p w14:paraId="7FAC4C23"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 xml:space="preserve">Summary of evidence regarding the effectiveness of studies on other outcomes </w:t>
      </w:r>
    </w:p>
    <w:p w14:paraId="0FF1E8B5" w14:textId="54E5FF4C"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In relation to outcomes besides work engagement, positive increases were observed for social support (Angelo &amp; Chambel, 2013), work-culture support (Biggs </w:t>
      </w:r>
      <w:r w:rsidR="00B64DD5">
        <w:rPr>
          <w:rFonts w:ascii="Calibri" w:eastAsia="Calibri" w:hAnsi="Calibri" w:cs="Times New Roman"/>
        </w:rPr>
        <w:t>et al.,</w:t>
      </w:r>
      <w:r w:rsidRPr="00817A2F">
        <w:rPr>
          <w:rFonts w:ascii="Calibri" w:eastAsia="Calibri" w:hAnsi="Calibri" w:cs="Times New Roman"/>
        </w:rPr>
        <w:t xml:space="preserve"> 2014) and leadership behaviour, team climate</w:t>
      </w:r>
      <w:r w:rsidR="0097015F">
        <w:rPr>
          <w:rFonts w:ascii="Calibri" w:eastAsia="Calibri" w:hAnsi="Calibri" w:cs="Times New Roman"/>
        </w:rPr>
        <w:t>,</w:t>
      </w:r>
      <w:r w:rsidRPr="00817A2F">
        <w:rPr>
          <w:rFonts w:ascii="Calibri" w:eastAsia="Calibri" w:hAnsi="Calibri" w:cs="Times New Roman"/>
        </w:rPr>
        <w:t xml:space="preserve"> and self-efficacy (Rigotti </w:t>
      </w:r>
      <w:r w:rsidR="00B64DD5">
        <w:rPr>
          <w:rFonts w:ascii="Calibri" w:eastAsia="Calibri" w:hAnsi="Calibri" w:cs="Times New Roman"/>
        </w:rPr>
        <w:t>et al.,</w:t>
      </w:r>
      <w:r w:rsidRPr="00817A2F">
        <w:rPr>
          <w:rFonts w:ascii="Calibri" w:eastAsia="Calibri" w:hAnsi="Calibri" w:cs="Times New Roman"/>
        </w:rPr>
        <w:t xml:space="preserve"> 2014). This suggests that leadership training interventions may have wider reaching positive effects beyond work engagement. However, the low number of studies reporting similar findings, and the use of less well-known and widely validated </w:t>
      </w:r>
      <w:r w:rsidRPr="00817A2F">
        <w:rPr>
          <w:rFonts w:ascii="Calibri" w:eastAsia="Calibri" w:hAnsi="Calibri" w:cs="Times New Roman"/>
        </w:rPr>
        <w:lastRenderedPageBreak/>
        <w:t>measures in some studies, makes it difficult to assess the robustness of the results or generalise the findings.</w:t>
      </w:r>
    </w:p>
    <w:p w14:paraId="4E792352" w14:textId="77777777" w:rsidR="00817A2F" w:rsidRPr="00817A2F" w:rsidRDefault="00817A2F" w:rsidP="00817A2F">
      <w:pPr>
        <w:spacing w:after="200" w:line="360" w:lineRule="auto"/>
        <w:contextualSpacing/>
        <w:rPr>
          <w:rFonts w:ascii="Calibri" w:eastAsia="Calibri" w:hAnsi="Calibri" w:cs="Times New Roman"/>
          <w:b/>
        </w:rPr>
      </w:pPr>
    </w:p>
    <w:p w14:paraId="184CEA24"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b/>
        </w:rPr>
        <w:t>Summary of evidence regarding the quality of studies</w:t>
      </w:r>
      <w:r w:rsidRPr="00817A2F">
        <w:rPr>
          <w:rFonts w:ascii="Calibri" w:eastAsia="Calibri" w:hAnsi="Calibri" w:cs="Times New Roman"/>
        </w:rPr>
        <w:t xml:space="preserve"> </w:t>
      </w:r>
    </w:p>
    <w:p w14:paraId="59BF2963"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quality of studies was variable, in terms of reporting standards and findings. None of the studies employed a randomised design, though this is not an indication of study quality, as previously discussed (see Chapter 4 and above sections), and three were two-wave only. The inclusion of additional measurement time points can contribute towards a more robust assessment of causality. Most studies clearly reported intervention details and particulars concerning participant characteristics, response rates, numbers recruited and outcomes assessed. Attrition rates and the reasons for attrition were less well reported, and four studies did not report, or only partially reported, details concerning how well the intervention was implemented in terms of fidelity, compliance, and attendance, though all commented to some degree on study limitations.  Those studies which did discuss these factors reported a variety of factors which may have affected the success of interventions, and which should be taken into account when interpreting the results, from variable attendance rates and degrees of fidelity, to organisational restructuring and unexpected adverse events such as the plant fire during Kmiec’s (2010) study. Once again, these results highlight the difficulties in carrying out research in dynamic environments such as organisations. </w:t>
      </w:r>
    </w:p>
    <w:p w14:paraId="15A3B1A7" w14:textId="77777777" w:rsidR="00817A2F" w:rsidRPr="00817A2F" w:rsidRDefault="00817A2F" w:rsidP="00817A2F">
      <w:pPr>
        <w:spacing w:after="200" w:line="360" w:lineRule="auto"/>
        <w:contextualSpacing/>
        <w:rPr>
          <w:rFonts w:ascii="Calibri" w:eastAsia="Calibri" w:hAnsi="Calibri" w:cs="Times New Roman"/>
        </w:rPr>
      </w:pPr>
    </w:p>
    <w:p w14:paraId="43E322B8" w14:textId="69FE6C29" w:rsidR="00817A2F" w:rsidRPr="00817A2F" w:rsidRDefault="00817A2F" w:rsidP="0009618B">
      <w:pPr>
        <w:pStyle w:val="Heading3"/>
      </w:pPr>
      <w:bookmarkStart w:id="171" w:name="_Toc450214030"/>
      <w:bookmarkStart w:id="172" w:name="_Ref453251117"/>
      <w:bookmarkStart w:id="173" w:name="_Toc468285963"/>
      <w:r w:rsidRPr="00817A2F">
        <w:t>Health pro</w:t>
      </w:r>
      <w:r w:rsidR="00E1645F">
        <w:t>motion</w:t>
      </w:r>
      <w:r w:rsidRPr="00817A2F">
        <w:t xml:space="preserve"> interventions</w:t>
      </w:r>
      <w:bookmarkEnd w:id="171"/>
      <w:bookmarkEnd w:id="172"/>
      <w:bookmarkEnd w:id="173"/>
    </w:p>
    <w:p w14:paraId="21622326" w14:textId="77777777" w:rsidR="007975E1" w:rsidRDefault="007975E1" w:rsidP="00817A2F">
      <w:pPr>
        <w:spacing w:after="200" w:line="360" w:lineRule="auto"/>
        <w:contextualSpacing/>
        <w:rPr>
          <w:rFonts w:ascii="Calibri" w:eastAsia="Calibri" w:hAnsi="Calibri" w:cs="Times New Roman"/>
        </w:rPr>
      </w:pPr>
    </w:p>
    <w:p w14:paraId="7BB7B885" w14:textId="5138D263"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Seven studies measured the effect of health promotion interventions on work engagement, and two more were identified to be ongoing (Wiezer, Roozeboom, &amp; Oprins, 2013; </w:t>
      </w:r>
      <w:r w:rsidRPr="00817A2F">
        <w:rPr>
          <w:rFonts w:ascii="Calibri" w:eastAsia="Calibri" w:hAnsi="Calibri" w:cs="Times New Roman"/>
          <w:lang w:val="de-DE"/>
        </w:rPr>
        <w:t>Ebert</w:t>
      </w:r>
      <w:r w:rsidR="00A006F4">
        <w:rPr>
          <w:rFonts w:ascii="Calibri" w:eastAsia="Calibri" w:hAnsi="Calibri" w:cs="Times New Roman"/>
          <w:lang w:val="de-DE"/>
        </w:rPr>
        <w:t xml:space="preserve"> et al.</w:t>
      </w:r>
      <w:r w:rsidRPr="00817A2F">
        <w:rPr>
          <w:rFonts w:ascii="Calibri" w:eastAsia="Calibri" w:hAnsi="Calibri" w:cs="Times New Roman"/>
          <w:lang w:val="de-DE"/>
        </w:rPr>
        <w:t>,</w:t>
      </w:r>
      <w:r w:rsidRPr="00817A2F">
        <w:rPr>
          <w:rFonts w:ascii="Calibri" w:eastAsia="Calibri" w:hAnsi="Calibri" w:cs="Times New Roman"/>
        </w:rPr>
        <w:t xml:space="preserve"> 2014). As with all the above sections, this section describes the characteristics of the seven completed studies (see also Appendices 4a &amp; 4b), discusses their findings (Appendix 4c), and assesses their quality and implementation success (Appendices 4d-4f). Five of the seven studies are published research articles, three of them took place in The Netherlands, one in the USA, and one in Japan. Two are PhD theses (Biggs, 2011; Calitz, 2013). The organisations in which these interventions took place were variable; one took place in two hospitals (Strijk </w:t>
      </w:r>
      <w:r w:rsidR="00B64DD5">
        <w:rPr>
          <w:rFonts w:ascii="Calibri" w:eastAsia="Calibri" w:hAnsi="Calibri" w:cs="Times New Roman"/>
        </w:rPr>
        <w:t>et al.,</w:t>
      </w:r>
      <w:r w:rsidR="00E1645F">
        <w:rPr>
          <w:rFonts w:ascii="Calibri" w:eastAsia="Calibri" w:hAnsi="Calibri" w:cs="Times New Roman"/>
        </w:rPr>
        <w:t xml:space="preserve"> 2013), one in </w:t>
      </w:r>
      <w:r w:rsidRPr="00817A2F">
        <w:rPr>
          <w:rFonts w:ascii="Calibri" w:eastAsia="Calibri" w:hAnsi="Calibri" w:cs="Times New Roman"/>
        </w:rPr>
        <w:t>construction organisations (Hengel, 2012), one in a Chemical company (</w:t>
      </w:r>
      <w:r w:rsidRPr="00817A2F">
        <w:rPr>
          <w:rFonts w:ascii="Calibri" w:eastAsia="Calibri" w:hAnsi="Calibri" w:cs="Times New Roman"/>
          <w:lang w:val="sv-SE"/>
        </w:rPr>
        <w:t>Aikens</w:t>
      </w:r>
      <w:r w:rsidR="00D77E72">
        <w:rPr>
          <w:rFonts w:ascii="Calibri" w:eastAsia="Calibri" w:hAnsi="Calibri" w:cs="Times New Roman"/>
          <w:lang w:val="sv-SE"/>
        </w:rPr>
        <w:t xml:space="preserve"> et al.,</w:t>
      </w:r>
      <w:r w:rsidR="00D77E72">
        <w:rPr>
          <w:rFonts w:ascii="Calibri" w:eastAsia="Calibri" w:hAnsi="Calibri" w:cs="Times New Roman"/>
        </w:rPr>
        <w:t xml:space="preserve"> 2014</w:t>
      </w:r>
      <w:r w:rsidRPr="00817A2F">
        <w:rPr>
          <w:rFonts w:ascii="Calibri" w:eastAsia="Calibri" w:hAnsi="Calibri" w:cs="Times New Roman"/>
        </w:rPr>
        <w:t xml:space="preserve">), one in research institutes (Van Berkel </w:t>
      </w:r>
      <w:r w:rsidR="00B64DD5">
        <w:rPr>
          <w:rFonts w:ascii="Calibri" w:eastAsia="Calibri" w:hAnsi="Calibri" w:cs="Times New Roman"/>
        </w:rPr>
        <w:t>et al.,</w:t>
      </w:r>
      <w:r w:rsidRPr="00817A2F">
        <w:rPr>
          <w:rFonts w:ascii="Calibri" w:eastAsia="Calibri" w:hAnsi="Calibri" w:cs="Times New Roman"/>
        </w:rPr>
        <w:t xml:space="preserve"> 2014), one in the police service (Biggs, 2011), one in an IT company (Imamura et al., 2015)</w:t>
      </w:r>
      <w:r w:rsidR="00E1645F">
        <w:rPr>
          <w:rFonts w:ascii="Calibri" w:eastAsia="Calibri" w:hAnsi="Calibri" w:cs="Times New Roman"/>
        </w:rPr>
        <w:t>,</w:t>
      </w:r>
      <w:r w:rsidRPr="00817A2F">
        <w:rPr>
          <w:rFonts w:ascii="Calibri" w:eastAsia="Calibri" w:hAnsi="Calibri" w:cs="Times New Roman"/>
        </w:rPr>
        <w:t xml:space="preserve"> and one approached participants from a variety of welfare organisations in which social workers might work (Calitz, 2013). </w:t>
      </w:r>
    </w:p>
    <w:p w14:paraId="522EB1B0" w14:textId="77777777" w:rsidR="00817A2F" w:rsidRPr="00817A2F" w:rsidRDefault="00817A2F" w:rsidP="00817A2F">
      <w:pPr>
        <w:spacing w:after="200" w:line="276" w:lineRule="auto"/>
        <w:rPr>
          <w:rFonts w:ascii="Calibri" w:eastAsia="Calibri" w:hAnsi="Calibri" w:cs="Times New Roman"/>
        </w:rPr>
      </w:pPr>
    </w:p>
    <w:p w14:paraId="64639204" w14:textId="77777777" w:rsidR="00817A2F" w:rsidRPr="00817A2F" w:rsidRDefault="00817A2F" w:rsidP="007975E1">
      <w:pPr>
        <w:pStyle w:val="Heading4"/>
        <w:rPr>
          <w:rFonts w:eastAsia="Times New Roman"/>
        </w:rPr>
      </w:pPr>
      <w:r w:rsidRPr="00817A2F">
        <w:rPr>
          <w:rFonts w:eastAsia="Times New Roman"/>
        </w:rPr>
        <w:lastRenderedPageBreak/>
        <w:t>Interventions covered</w:t>
      </w:r>
    </w:p>
    <w:p w14:paraId="5AE57E91" w14:textId="77777777" w:rsidR="00817A2F" w:rsidRPr="00817A2F" w:rsidRDefault="00817A2F" w:rsidP="00817A2F">
      <w:pPr>
        <w:spacing w:after="200" w:line="360" w:lineRule="auto"/>
        <w:contextualSpacing/>
        <w:rPr>
          <w:rFonts w:ascii="Calibri" w:eastAsia="Calibri" w:hAnsi="Calibri" w:cs="Times New Roman"/>
        </w:rPr>
      </w:pPr>
    </w:p>
    <w:p w14:paraId="313555B8" w14:textId="2ED5EB6E"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Six of the seven studies focused on health promotion involved a group component, and three of these also involved an individual component (Strijk </w:t>
      </w:r>
      <w:r w:rsidR="00B64DD5">
        <w:rPr>
          <w:rFonts w:ascii="Calibri" w:eastAsia="Calibri" w:hAnsi="Calibri" w:cs="Times New Roman"/>
        </w:rPr>
        <w:t>et al.,</w:t>
      </w:r>
      <w:r w:rsidRPr="00817A2F">
        <w:rPr>
          <w:rFonts w:ascii="Calibri" w:eastAsia="Calibri" w:hAnsi="Calibri" w:cs="Times New Roman"/>
        </w:rPr>
        <w:t xml:space="preserve"> 2013; Hengel </w:t>
      </w:r>
      <w:r w:rsidR="00B64DD5">
        <w:rPr>
          <w:rFonts w:ascii="Calibri" w:eastAsia="Calibri" w:hAnsi="Calibri" w:cs="Times New Roman"/>
        </w:rPr>
        <w:t>et al.,</w:t>
      </w:r>
      <w:r w:rsidRPr="00817A2F">
        <w:rPr>
          <w:rFonts w:ascii="Calibri" w:eastAsia="Calibri" w:hAnsi="Calibri" w:cs="Times New Roman"/>
        </w:rPr>
        <w:t xml:space="preserve"> 2012; Van Berkel </w:t>
      </w:r>
      <w:r w:rsidR="00B64DD5">
        <w:rPr>
          <w:rFonts w:ascii="Calibri" w:eastAsia="Calibri" w:hAnsi="Calibri" w:cs="Times New Roman"/>
        </w:rPr>
        <w:t>et al.,</w:t>
      </w:r>
      <w:r w:rsidRPr="00817A2F">
        <w:rPr>
          <w:rFonts w:ascii="Calibri" w:eastAsia="Calibri" w:hAnsi="Calibri" w:cs="Times New Roman"/>
        </w:rPr>
        <w:t xml:space="preserve"> 2014). One study involved only an individual component (Imamura et al., 2015). Despite these similarities, the interventions themselves were quite different. One consisted of a two day psycho-education and active learning programme focusing on work engagement, burnout, stress and job satisfaction (Calitz, 2013), one consisted of a guided yoga and aerobic exercise programme, a personal vitality coach, and the provision of free fruit around the workplace (Strijk </w:t>
      </w:r>
      <w:r w:rsidR="00B64DD5">
        <w:rPr>
          <w:rFonts w:ascii="Calibri" w:eastAsia="Calibri" w:hAnsi="Calibri" w:cs="Times New Roman"/>
        </w:rPr>
        <w:t>et al.,</w:t>
      </w:r>
      <w:r w:rsidRPr="00817A2F">
        <w:rPr>
          <w:rFonts w:ascii="Calibri" w:eastAsia="Calibri" w:hAnsi="Calibri" w:cs="Times New Roman"/>
        </w:rPr>
        <w:t xml:space="preserve"> 2013), one involved group empowerment sessions, individual sessions to lower the physical workload of construction workers, and a rest-break tool to encourage the taking of rest-breaks (Hengel </w:t>
      </w:r>
      <w:r w:rsidR="00B64DD5">
        <w:rPr>
          <w:rFonts w:ascii="Calibri" w:eastAsia="Calibri" w:hAnsi="Calibri" w:cs="Times New Roman"/>
        </w:rPr>
        <w:t>et al.,</w:t>
      </w:r>
      <w:r w:rsidRPr="00817A2F">
        <w:rPr>
          <w:rFonts w:ascii="Calibri" w:eastAsia="Calibri" w:hAnsi="Calibri" w:cs="Times New Roman"/>
        </w:rPr>
        <w:t xml:space="preserve"> 2012), one comprised stress management training (Biggs, 2011), and two involved mindfulness training accompanied by homework exercises and e-coaching (Van Berkel </w:t>
      </w:r>
      <w:r w:rsidR="00B64DD5">
        <w:rPr>
          <w:rFonts w:ascii="Calibri" w:eastAsia="Calibri" w:hAnsi="Calibri" w:cs="Times New Roman"/>
        </w:rPr>
        <w:t>et al.,</w:t>
      </w:r>
      <w:r w:rsidRPr="00817A2F">
        <w:rPr>
          <w:rFonts w:ascii="Calibri" w:eastAsia="Calibri" w:hAnsi="Calibri" w:cs="Times New Roman"/>
        </w:rPr>
        <w:t xml:space="preserve"> 2014; Aikens </w:t>
      </w:r>
      <w:r w:rsidR="00B64DD5">
        <w:rPr>
          <w:rFonts w:ascii="Calibri" w:eastAsia="Calibri" w:hAnsi="Calibri" w:cs="Times New Roman"/>
        </w:rPr>
        <w:t>et al.,</w:t>
      </w:r>
      <w:r w:rsidRPr="00817A2F">
        <w:rPr>
          <w:rFonts w:ascii="Calibri" w:eastAsia="Calibri" w:hAnsi="Calibri" w:cs="Times New Roman"/>
        </w:rPr>
        <w:t xml:space="preserve"> 2014). One of these mindfulness training interventions took place virtually, with participants gathered in one room and the trainer delivering each session via the Web (Aikens </w:t>
      </w:r>
      <w:r w:rsidR="00B64DD5">
        <w:rPr>
          <w:rFonts w:ascii="Calibri" w:eastAsia="Calibri" w:hAnsi="Calibri" w:cs="Times New Roman"/>
        </w:rPr>
        <w:t>et al.,</w:t>
      </w:r>
      <w:r w:rsidRPr="00817A2F">
        <w:rPr>
          <w:rFonts w:ascii="Calibri" w:eastAsia="Calibri" w:hAnsi="Calibri" w:cs="Times New Roman"/>
        </w:rPr>
        <w:t xml:space="preserve"> 2014). Van Berkel and colleagues’ study also involved the provision of free fruit and snacks, a buddy system to encourage social support, and supporting materials such as a web page and logbook. The study which involved an individual component only was web-based and consisted of a weekly 30 minute training session in stress management skills using cognitive behavioural therapy techniques. Homework was optional. </w:t>
      </w:r>
    </w:p>
    <w:p w14:paraId="662653E6" w14:textId="77777777" w:rsidR="00817A2F" w:rsidRPr="00817A2F" w:rsidRDefault="00817A2F" w:rsidP="00817A2F">
      <w:pPr>
        <w:spacing w:after="200" w:line="360" w:lineRule="auto"/>
        <w:contextualSpacing/>
        <w:rPr>
          <w:rFonts w:ascii="Calibri" w:eastAsia="Calibri" w:hAnsi="Calibri" w:cs="Times New Roman"/>
        </w:rPr>
      </w:pPr>
    </w:p>
    <w:p w14:paraId="72A71333" w14:textId="3FF14A54" w:rsidR="008D6A1F" w:rsidRDefault="00817A2F" w:rsidP="00590913">
      <w:pPr>
        <w:spacing w:after="200" w:line="360" w:lineRule="auto"/>
        <w:contextualSpacing/>
        <w:rPr>
          <w:rFonts w:ascii="Calibri" w:eastAsia="Calibri" w:hAnsi="Calibri" w:cs="Times New Roman"/>
        </w:rPr>
      </w:pPr>
      <w:r w:rsidRPr="00817A2F">
        <w:rPr>
          <w:rFonts w:ascii="Calibri" w:eastAsia="Calibri" w:hAnsi="Calibri" w:cs="Times New Roman"/>
        </w:rPr>
        <w:t>One of the ongoing studies also involved a group compon</w:t>
      </w:r>
      <w:r w:rsidR="00DF21FC">
        <w:rPr>
          <w:rFonts w:ascii="Calibri" w:eastAsia="Calibri" w:hAnsi="Calibri" w:cs="Times New Roman"/>
        </w:rPr>
        <w:t xml:space="preserve">ent (Wiezer </w:t>
      </w:r>
      <w:r w:rsidR="00B64DD5">
        <w:rPr>
          <w:rFonts w:ascii="Calibri" w:eastAsia="Calibri" w:hAnsi="Calibri" w:cs="Times New Roman"/>
        </w:rPr>
        <w:t>et al.,</w:t>
      </w:r>
      <w:r w:rsidR="00DF21FC">
        <w:rPr>
          <w:rFonts w:ascii="Calibri" w:eastAsia="Calibri" w:hAnsi="Calibri" w:cs="Times New Roman"/>
        </w:rPr>
        <w:t xml:space="preserve"> 2013</w:t>
      </w:r>
      <w:r w:rsidRPr="00817A2F">
        <w:rPr>
          <w:rFonts w:ascii="Calibri" w:eastAsia="Calibri" w:hAnsi="Calibri" w:cs="Times New Roman"/>
        </w:rPr>
        <w:t>). This was described as a ‘serious gaming’ intervention which aimed to raise managers’ awareness of their role in developing the work engagement of their employees and in managing work-related stress. In contrast, Ebert et al</w:t>
      </w:r>
      <w:r w:rsidR="008F6182">
        <w:rPr>
          <w:rFonts w:ascii="Calibri" w:eastAsia="Calibri" w:hAnsi="Calibri" w:cs="Times New Roman"/>
        </w:rPr>
        <w:t>.</w:t>
      </w:r>
      <w:r w:rsidRPr="00817A2F">
        <w:rPr>
          <w:rFonts w:ascii="Calibri" w:eastAsia="Calibri" w:hAnsi="Calibri" w:cs="Times New Roman"/>
        </w:rPr>
        <w:t xml:space="preserve"> (2014) describe an internet and mobile based stress management intervention which consisted of 8 sessions focused on problem solving and emotion regulation which individuals could take via the Web, and which were supported by an e-coach. Individual coaching, whether via email or face-to-face, seems to be a popular form of supporting health promotion interventions, appearing in over half of the interventions discussed here (two of the completed interventions and both of the ongoing ones). Further details pertaining to each study can be found in Appendix 4a &amp; 4b).   </w:t>
      </w:r>
    </w:p>
    <w:p w14:paraId="64521E74" w14:textId="00FCD7D8" w:rsidR="00590913" w:rsidRDefault="00590913" w:rsidP="00590913">
      <w:pPr>
        <w:spacing w:after="200" w:line="360" w:lineRule="auto"/>
        <w:contextualSpacing/>
        <w:rPr>
          <w:rFonts w:ascii="Calibri" w:eastAsia="Calibri" w:hAnsi="Calibri" w:cs="Times New Roman"/>
        </w:rPr>
      </w:pPr>
    </w:p>
    <w:p w14:paraId="7EF12633" w14:textId="77777777" w:rsidR="00590913" w:rsidRDefault="00590913" w:rsidP="00590913">
      <w:pPr>
        <w:spacing w:after="200" w:line="360" w:lineRule="auto"/>
        <w:contextualSpacing/>
        <w:rPr>
          <w:rFonts w:ascii="Calibri" w:eastAsia="Calibri" w:hAnsi="Calibri" w:cs="Times New Roman"/>
        </w:rPr>
      </w:pPr>
    </w:p>
    <w:p w14:paraId="0E9878DA" w14:textId="77777777" w:rsidR="00817A2F" w:rsidRPr="00817A2F" w:rsidRDefault="00817A2F" w:rsidP="007975E1">
      <w:pPr>
        <w:pStyle w:val="Heading4"/>
        <w:rPr>
          <w:rFonts w:eastAsia="Times New Roman"/>
        </w:rPr>
      </w:pPr>
      <w:bookmarkStart w:id="174" w:name="_Ref453252349"/>
      <w:r w:rsidRPr="00817A2F">
        <w:rPr>
          <w:rFonts w:eastAsia="Times New Roman"/>
        </w:rPr>
        <w:lastRenderedPageBreak/>
        <w:t>Research designs</w:t>
      </w:r>
      <w:bookmarkEnd w:id="174"/>
    </w:p>
    <w:p w14:paraId="0A60F746" w14:textId="77777777" w:rsidR="00817A2F" w:rsidRPr="00817A2F" w:rsidRDefault="00817A2F" w:rsidP="00817A2F">
      <w:pPr>
        <w:spacing w:after="200" w:line="360" w:lineRule="auto"/>
        <w:contextualSpacing/>
        <w:rPr>
          <w:rFonts w:ascii="Calibri" w:eastAsia="Calibri" w:hAnsi="Calibri" w:cs="Times New Roman"/>
        </w:rPr>
      </w:pPr>
    </w:p>
    <w:p w14:paraId="44FAF51F" w14:textId="3E8D498A"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Six of the studies were longitudinal and included three waves of data collection, and one was two wave (Biggs, 2011). All except two (Biggs, 2011; Calitz, 2013) were randomised; four were randomised at the </w:t>
      </w:r>
      <w:r w:rsidR="00597B3B">
        <w:rPr>
          <w:rFonts w:ascii="Calibri" w:eastAsia="Calibri" w:hAnsi="Calibri" w:cs="Times New Roman"/>
        </w:rPr>
        <w:t>individual-level</w:t>
      </w:r>
      <w:r w:rsidRPr="00817A2F">
        <w:rPr>
          <w:rFonts w:ascii="Calibri" w:eastAsia="Calibri" w:hAnsi="Calibri" w:cs="Times New Roman"/>
        </w:rPr>
        <w:t xml:space="preserve"> using a computer algorithm / special computer software</w:t>
      </w:r>
      <w:r w:rsidR="00E1645F">
        <w:rPr>
          <w:rFonts w:ascii="Calibri" w:eastAsia="Calibri" w:hAnsi="Calibri" w:cs="Times New Roman"/>
        </w:rPr>
        <w:t>,</w:t>
      </w:r>
      <w:r w:rsidRPr="00817A2F">
        <w:rPr>
          <w:rFonts w:ascii="Calibri" w:eastAsia="Calibri" w:hAnsi="Calibri" w:cs="Times New Roman"/>
        </w:rPr>
        <w:t xml:space="preserve"> and one was cluster randomised at department level (Hengel </w:t>
      </w:r>
      <w:r w:rsidR="00B64DD5">
        <w:rPr>
          <w:rFonts w:ascii="Calibri" w:eastAsia="Calibri" w:hAnsi="Calibri" w:cs="Times New Roman"/>
        </w:rPr>
        <w:t>et al.,</w:t>
      </w:r>
      <w:r w:rsidRPr="00817A2F">
        <w:rPr>
          <w:rFonts w:ascii="Calibri" w:eastAsia="Calibri" w:hAnsi="Calibri" w:cs="Times New Roman"/>
        </w:rPr>
        <w:t xml:space="preserve"> 2012). It is not known how the cluster randomisation occurred, although it is specified that an independent researcher undertook the randomisation process. All of the randomised studies had a control group allocated </w:t>
      </w:r>
      <w:r w:rsidR="00E1645F">
        <w:rPr>
          <w:rFonts w:ascii="Calibri" w:eastAsia="Calibri" w:hAnsi="Calibri" w:cs="Times New Roman"/>
        </w:rPr>
        <w:t>by the randomisation procedure.</w:t>
      </w:r>
      <w:r w:rsidRPr="00817A2F">
        <w:rPr>
          <w:rFonts w:ascii="Calibri" w:eastAsia="Calibri" w:hAnsi="Calibri" w:cs="Times New Roman"/>
        </w:rPr>
        <w:t xml:space="preserve"> The non-randomised study had both a matched and a non-matched comparison group (Biggs, 2011). Allocation concealment was impossible in all studies due to the nature of the interventions, as individuals were inevitably aware of which group they were allocated to due to having to attend and participate in sessions. One study claimed to achieve blinding of outcome assessment due to the data analyst not being informed which group participants were in (Strijk </w:t>
      </w:r>
      <w:r w:rsidR="00B64DD5">
        <w:rPr>
          <w:rFonts w:ascii="Calibri" w:eastAsia="Calibri" w:hAnsi="Calibri" w:cs="Times New Roman"/>
        </w:rPr>
        <w:t>et al.,</w:t>
      </w:r>
      <w:r w:rsidRPr="00817A2F">
        <w:rPr>
          <w:rFonts w:ascii="Calibri" w:eastAsia="Calibri" w:hAnsi="Calibri" w:cs="Times New Roman"/>
        </w:rPr>
        <w:t xml:space="preserve"> 2013). However, blinding of participants and personnel was not reported in any study. The duration of the interventions ranged betwe</w:t>
      </w:r>
      <w:r w:rsidR="00E1645F">
        <w:rPr>
          <w:rFonts w:ascii="Calibri" w:eastAsia="Calibri" w:hAnsi="Calibri" w:cs="Times New Roman"/>
        </w:rPr>
        <w:t>en 32 hours (Calitz, 2013) and seven</w:t>
      </w:r>
      <w:r w:rsidRPr="00817A2F">
        <w:rPr>
          <w:rFonts w:ascii="Calibri" w:eastAsia="Calibri" w:hAnsi="Calibri" w:cs="Times New Roman"/>
        </w:rPr>
        <w:t xml:space="preserve"> months (Biggs, 2011), with follow up measurements ranging between one month (Calitz, 2013) and 12 months (Hengel </w:t>
      </w:r>
      <w:r w:rsidR="00B64DD5">
        <w:rPr>
          <w:rFonts w:ascii="Calibri" w:eastAsia="Calibri" w:hAnsi="Calibri" w:cs="Times New Roman"/>
        </w:rPr>
        <w:t>et al.,</w:t>
      </w:r>
      <w:r w:rsidRPr="00817A2F">
        <w:rPr>
          <w:rFonts w:ascii="Calibri" w:eastAsia="Calibri" w:hAnsi="Calibri" w:cs="Times New Roman"/>
        </w:rPr>
        <w:t xml:space="preserve"> 2012) after pre-intervention measurements.  </w:t>
      </w:r>
    </w:p>
    <w:p w14:paraId="6A9A850B" w14:textId="77777777" w:rsidR="00817A2F" w:rsidRPr="00817A2F" w:rsidRDefault="00817A2F" w:rsidP="00817A2F">
      <w:pPr>
        <w:spacing w:after="200" w:line="276" w:lineRule="auto"/>
        <w:rPr>
          <w:rFonts w:ascii="Calibri" w:eastAsia="Calibri" w:hAnsi="Calibri" w:cs="Times New Roman"/>
        </w:rPr>
      </w:pPr>
    </w:p>
    <w:p w14:paraId="44EEEE95" w14:textId="77777777" w:rsidR="00817A2F" w:rsidRPr="00817A2F" w:rsidRDefault="00817A2F" w:rsidP="007975E1">
      <w:pPr>
        <w:pStyle w:val="Heading4"/>
        <w:rPr>
          <w:rFonts w:eastAsia="Times New Roman"/>
        </w:rPr>
      </w:pPr>
      <w:r w:rsidRPr="00817A2F">
        <w:rPr>
          <w:rFonts w:eastAsia="Times New Roman"/>
        </w:rPr>
        <w:t>Outcomes measured and findings</w:t>
      </w:r>
    </w:p>
    <w:p w14:paraId="1D43A013" w14:textId="77777777" w:rsidR="00817A2F" w:rsidRPr="00817A2F" w:rsidRDefault="00817A2F" w:rsidP="00817A2F">
      <w:pPr>
        <w:spacing w:after="200" w:line="276" w:lineRule="auto"/>
        <w:rPr>
          <w:rFonts w:ascii="Calibri" w:eastAsia="Calibri" w:hAnsi="Calibri" w:cs="Times New Roman"/>
        </w:rPr>
      </w:pPr>
    </w:p>
    <w:p w14:paraId="4660B97E" w14:textId="613F26A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All of the seven studies, except one, measured </w:t>
      </w:r>
      <w:r w:rsidR="00E1645F">
        <w:rPr>
          <w:rFonts w:ascii="Calibri" w:eastAsia="Calibri" w:hAnsi="Calibri" w:cs="Times New Roman"/>
        </w:rPr>
        <w:t>work e</w:t>
      </w:r>
      <w:r w:rsidRPr="00817A2F">
        <w:rPr>
          <w:rFonts w:ascii="Calibri" w:eastAsia="Calibri" w:hAnsi="Calibri" w:cs="Times New Roman"/>
        </w:rPr>
        <w:t xml:space="preserve">ngagement using the UWES. Three used the full version (UWES-17), and two used the abbreviated version (UWES-9). The one exception used the Shirom Vigour Scale (Aikens </w:t>
      </w:r>
      <w:r w:rsidR="00B64DD5">
        <w:rPr>
          <w:rFonts w:ascii="Calibri" w:eastAsia="Calibri" w:hAnsi="Calibri" w:cs="Times New Roman"/>
        </w:rPr>
        <w:t>et al.,</w:t>
      </w:r>
      <w:r w:rsidRPr="00817A2F">
        <w:rPr>
          <w:rFonts w:ascii="Calibri" w:eastAsia="Calibri" w:hAnsi="Calibri" w:cs="Times New Roman"/>
        </w:rPr>
        <w:t xml:space="preserve"> 2013), which is a measure of engagement which, like the UWES, measures a physical aspect (physical strength), a cognitive aspect (cognitive liveliness), and an emotional aspect (emotional energy). Of the five studies employing the UWES, two measured tot</w:t>
      </w:r>
      <w:r w:rsidR="00E1645F">
        <w:rPr>
          <w:rFonts w:ascii="Calibri" w:eastAsia="Calibri" w:hAnsi="Calibri" w:cs="Times New Roman"/>
        </w:rPr>
        <w:t>al work e</w:t>
      </w:r>
      <w:r w:rsidRPr="00817A2F">
        <w:rPr>
          <w:rFonts w:ascii="Calibri" w:eastAsia="Calibri" w:hAnsi="Calibri" w:cs="Times New Roman"/>
        </w:rPr>
        <w:t xml:space="preserve">ngagement only (Imamura et al., 2015; Van Berkel et al., 2014), two measured each of the three sub-components as well as providing an overall score (Calitz, 2013; Hengel et al., 2012), one measured vigour as well as overall work engagement (Strijk et al., 2013), and one measured each of the three subcomponents but not total work engagement (Biggs, 2011). Six of the studies also measured a variety of other outcomes, including job resources such as social support (e.g. Hengel </w:t>
      </w:r>
      <w:r w:rsidR="00B64DD5">
        <w:rPr>
          <w:rFonts w:ascii="Calibri" w:eastAsia="Calibri" w:hAnsi="Calibri" w:cs="Times New Roman"/>
        </w:rPr>
        <w:t>et al.,</w:t>
      </w:r>
      <w:r w:rsidRPr="00817A2F">
        <w:rPr>
          <w:rFonts w:ascii="Calibri" w:eastAsia="Calibri" w:hAnsi="Calibri" w:cs="Times New Roman"/>
        </w:rPr>
        <w:t xml:space="preserve"> 2012), personal resources such as resilience (Aikens </w:t>
      </w:r>
      <w:r w:rsidR="00B64DD5">
        <w:rPr>
          <w:rFonts w:ascii="Calibri" w:eastAsia="Calibri" w:hAnsi="Calibri" w:cs="Times New Roman"/>
        </w:rPr>
        <w:t>et al.,</w:t>
      </w:r>
      <w:r w:rsidRPr="00817A2F">
        <w:rPr>
          <w:rFonts w:ascii="Calibri" w:eastAsia="Calibri" w:hAnsi="Calibri" w:cs="Times New Roman"/>
        </w:rPr>
        <w:t xml:space="preserve"> 2014), coping strategies (Biggs, 2011), and job demands such as workload (e.g. Hengel </w:t>
      </w:r>
      <w:r w:rsidR="00B64DD5">
        <w:rPr>
          <w:rFonts w:ascii="Calibri" w:eastAsia="Calibri" w:hAnsi="Calibri" w:cs="Times New Roman"/>
        </w:rPr>
        <w:t>et al.,</w:t>
      </w:r>
      <w:r w:rsidRPr="00817A2F">
        <w:rPr>
          <w:rFonts w:ascii="Calibri" w:eastAsia="Calibri" w:hAnsi="Calibri" w:cs="Times New Roman"/>
        </w:rPr>
        <w:t xml:space="preserve"> 2012). Aspects of mental health and </w:t>
      </w:r>
      <w:r w:rsidR="001D6140">
        <w:rPr>
          <w:rFonts w:ascii="Calibri" w:eastAsia="Calibri" w:hAnsi="Calibri" w:cs="Times New Roman"/>
        </w:rPr>
        <w:t>well-being</w:t>
      </w:r>
      <w:r w:rsidRPr="00817A2F">
        <w:rPr>
          <w:rFonts w:ascii="Calibri" w:eastAsia="Calibri" w:hAnsi="Calibri" w:cs="Times New Roman"/>
        </w:rPr>
        <w:t xml:space="preserve"> were also commonly measured, including need for recovery (Hengel </w:t>
      </w:r>
      <w:r w:rsidR="00B64DD5">
        <w:rPr>
          <w:rFonts w:ascii="Calibri" w:eastAsia="Calibri" w:hAnsi="Calibri" w:cs="Times New Roman"/>
        </w:rPr>
        <w:t>et al.,</w:t>
      </w:r>
      <w:r w:rsidRPr="00817A2F">
        <w:rPr>
          <w:rFonts w:ascii="Calibri" w:eastAsia="Calibri" w:hAnsi="Calibri" w:cs="Times New Roman"/>
        </w:rPr>
        <w:t xml:space="preserve"> 2012 &amp; Van Berkel </w:t>
      </w:r>
      <w:r w:rsidR="00B64DD5">
        <w:rPr>
          <w:rFonts w:ascii="Calibri" w:eastAsia="Calibri" w:hAnsi="Calibri" w:cs="Times New Roman"/>
        </w:rPr>
        <w:t>et al.,</w:t>
      </w:r>
      <w:r w:rsidRPr="00817A2F">
        <w:rPr>
          <w:rFonts w:ascii="Calibri" w:eastAsia="Calibri" w:hAnsi="Calibri" w:cs="Times New Roman"/>
        </w:rPr>
        <w:t xml:space="preserve"> 2014), mindfulness (Van Berkel </w:t>
      </w:r>
      <w:r w:rsidR="00B64DD5">
        <w:rPr>
          <w:rFonts w:ascii="Calibri" w:eastAsia="Calibri" w:hAnsi="Calibri" w:cs="Times New Roman"/>
        </w:rPr>
        <w:t>et al.,</w:t>
      </w:r>
      <w:r w:rsidRPr="00817A2F">
        <w:rPr>
          <w:rFonts w:ascii="Calibri" w:eastAsia="Calibri" w:hAnsi="Calibri" w:cs="Times New Roman"/>
        </w:rPr>
        <w:t xml:space="preserve"> 2014 &amp; Aikens </w:t>
      </w:r>
      <w:r w:rsidR="00B64DD5">
        <w:rPr>
          <w:rFonts w:ascii="Calibri" w:eastAsia="Calibri" w:hAnsi="Calibri" w:cs="Times New Roman"/>
        </w:rPr>
        <w:t>et al.,</w:t>
      </w:r>
      <w:r w:rsidRPr="00817A2F">
        <w:rPr>
          <w:rFonts w:ascii="Calibri" w:eastAsia="Calibri" w:hAnsi="Calibri" w:cs="Times New Roman"/>
        </w:rPr>
        <w:t xml:space="preserve"> 2014), perceived stress (Aikens </w:t>
      </w:r>
      <w:r w:rsidR="00B64DD5">
        <w:rPr>
          <w:rFonts w:ascii="Calibri" w:eastAsia="Calibri" w:hAnsi="Calibri" w:cs="Times New Roman"/>
        </w:rPr>
        <w:t xml:space="preserve">et </w:t>
      </w:r>
      <w:r w:rsidR="00B64DD5">
        <w:rPr>
          <w:rFonts w:ascii="Calibri" w:eastAsia="Calibri" w:hAnsi="Calibri" w:cs="Times New Roman"/>
        </w:rPr>
        <w:lastRenderedPageBreak/>
        <w:t>al.,</w:t>
      </w:r>
      <w:r w:rsidRPr="00817A2F">
        <w:rPr>
          <w:rFonts w:ascii="Calibri" w:eastAsia="Calibri" w:hAnsi="Calibri" w:cs="Times New Roman"/>
        </w:rPr>
        <w:t xml:space="preserve"> 2014), sickness absenteeism (Strijk </w:t>
      </w:r>
      <w:r w:rsidR="00B64DD5">
        <w:rPr>
          <w:rFonts w:ascii="Calibri" w:eastAsia="Calibri" w:hAnsi="Calibri" w:cs="Times New Roman"/>
        </w:rPr>
        <w:t>et al.,</w:t>
      </w:r>
      <w:r w:rsidRPr="00817A2F">
        <w:rPr>
          <w:rFonts w:ascii="Calibri" w:eastAsia="Calibri" w:hAnsi="Calibri" w:cs="Times New Roman"/>
        </w:rPr>
        <w:t xml:space="preserve"> 2013; Imamura et al., 2015), and anxiety and depression (Biggs, 2011). One study measured productivity (Strijk </w:t>
      </w:r>
      <w:r w:rsidR="00B64DD5">
        <w:rPr>
          <w:rFonts w:ascii="Calibri" w:eastAsia="Calibri" w:hAnsi="Calibri" w:cs="Times New Roman"/>
        </w:rPr>
        <w:t>et al.,</w:t>
      </w:r>
      <w:r w:rsidRPr="00817A2F">
        <w:rPr>
          <w:rFonts w:ascii="Calibri" w:eastAsia="Calibri" w:hAnsi="Calibri" w:cs="Times New Roman"/>
        </w:rPr>
        <w:t xml:space="preserve"> 2013), and one measured work performance (Imamura </w:t>
      </w:r>
      <w:r w:rsidR="00B64DD5">
        <w:rPr>
          <w:rFonts w:ascii="Calibri" w:eastAsia="Calibri" w:hAnsi="Calibri" w:cs="Times New Roman"/>
        </w:rPr>
        <w:t>et al.,</w:t>
      </w:r>
      <w:r w:rsidRPr="00817A2F">
        <w:rPr>
          <w:rFonts w:ascii="Calibri" w:eastAsia="Calibri" w:hAnsi="Calibri" w:cs="Times New Roman"/>
        </w:rPr>
        <w:t xml:space="preserve"> 2015). Specific details about each study can be found in Appendix 4c. </w:t>
      </w:r>
    </w:p>
    <w:p w14:paraId="07B8E048" w14:textId="77777777" w:rsidR="00817A2F" w:rsidRPr="00817A2F" w:rsidRDefault="00817A2F" w:rsidP="00817A2F">
      <w:pPr>
        <w:spacing w:after="200" w:line="360" w:lineRule="auto"/>
        <w:contextualSpacing/>
        <w:rPr>
          <w:rFonts w:ascii="Calibri" w:eastAsia="Calibri" w:hAnsi="Calibri" w:cs="Times New Roman"/>
        </w:rPr>
      </w:pPr>
    </w:p>
    <w:p w14:paraId="5A80E4E6"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Findings relating to work engagement</w:t>
      </w:r>
    </w:p>
    <w:p w14:paraId="1DDA34FB" w14:textId="0E5637CA"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Two studies measuring total engagement observed a statistically significant increase in scores (Calitz, 2015; Imamura et al., 2015). Calitz (2013) also observed a significant increase in vigour and dedication. Strijk et al. (2013) observed a statistical increase in vigour for those who were highly compliant with guided yoga sessions (those who attended more than the mean number of sessions for the whole group, in this case 10.4 out of 24). This same study also observed a non-statistical, but positive increase in vigour at 12 months (Strijk </w:t>
      </w:r>
      <w:r w:rsidR="00B64DD5">
        <w:rPr>
          <w:rFonts w:ascii="Calibri" w:eastAsia="Calibri" w:hAnsi="Calibri" w:cs="Times New Roman"/>
        </w:rPr>
        <w:t>et al.,</w:t>
      </w:r>
      <w:r w:rsidRPr="00817A2F">
        <w:rPr>
          <w:rFonts w:ascii="Calibri" w:eastAsia="Calibri" w:hAnsi="Calibri" w:cs="Times New Roman"/>
        </w:rPr>
        <w:t xml:space="preserve"> 2013) for those who had undergone guided yoga and workout sessions, whether or not they were highly compliant. Another study also observed a non-statistical increase in vigour (Aikens </w:t>
      </w:r>
      <w:r w:rsidR="00B64DD5">
        <w:rPr>
          <w:rFonts w:ascii="Calibri" w:eastAsia="Calibri" w:hAnsi="Calibri" w:cs="Times New Roman"/>
        </w:rPr>
        <w:t>et al.,</w:t>
      </w:r>
      <w:r w:rsidRPr="00817A2F">
        <w:rPr>
          <w:rFonts w:ascii="Calibri" w:eastAsia="Calibri" w:hAnsi="Calibri" w:cs="Times New Roman"/>
        </w:rPr>
        <w:t xml:space="preserve"> 2014). </w:t>
      </w:r>
    </w:p>
    <w:p w14:paraId="572F4A76" w14:textId="77777777" w:rsidR="00817A2F" w:rsidRPr="00817A2F" w:rsidRDefault="00817A2F" w:rsidP="00817A2F">
      <w:pPr>
        <w:spacing w:after="200" w:line="360" w:lineRule="auto"/>
        <w:contextualSpacing/>
        <w:rPr>
          <w:rFonts w:ascii="Calibri" w:eastAsia="Calibri" w:hAnsi="Calibri" w:cs="Times New Roman"/>
        </w:rPr>
      </w:pPr>
    </w:p>
    <w:p w14:paraId="4C48836F"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Findings relating to other outcomes</w:t>
      </w:r>
    </w:p>
    <w:p w14:paraId="7E4775E7" w14:textId="3D959A0E" w:rsid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In relation to the other outcomes, three studies reported positive findings, one reported an unexpected adverse finding (Hengel et al., 2012), and two reported no statistically significant effects (Biggs, 2011; Van Berkel et al., 2014). Strijk et al. (2013) found a significant, positive effect on general vitality for the high compliance yoga group (in addition to the significant positive effect observed for this group on work-related vitality discussed in the previous subsection, using relevant items of the widely used quality of life measure, the RAND-36). Aikens et al. (2014) reported a significant decrease in perceived stress using the Perceived Stress Scale (PSS-14), and increases in mindfulness and resiliency, using the Five Facets of Mindfulness Questionnaire (FFMQ) and the Connor-Davidson Resilience Scale (CD-RISC), respectively. Imamura et al. (2015) observed a borderline significant effect on sick leave days during the past three months but no significant effect on work performance, which was measured using one item from the World Health Organisation (WHO) Health and Work Performance Questionnaire (HPQ). They also found that change in depression partly mediated the effect of the intervention on work engagement, but not sick leave days. Unexpectedly, Hengel et al. (2012) noted a significant in</w:t>
      </w:r>
      <w:r w:rsidR="00E1645F">
        <w:rPr>
          <w:rFonts w:ascii="Calibri" w:eastAsia="Calibri" w:hAnsi="Calibri" w:cs="Times New Roman"/>
        </w:rPr>
        <w:t>crease in physical workload at six</w:t>
      </w:r>
      <w:r w:rsidRPr="00817A2F">
        <w:rPr>
          <w:rFonts w:ascii="Calibri" w:eastAsia="Calibri" w:hAnsi="Calibri" w:cs="Times New Roman"/>
        </w:rPr>
        <w:t xml:space="preserve"> months, as measured by items from the Periodical Health Screenings survey for construction workers (Hengel et al., 2012) and speculated as to how the economic crisis, fear of job loss and the subsequent lack of commitment to the programme and higher than expected attrition rate may have influenced this. </w:t>
      </w:r>
      <w:r w:rsidRPr="00817A2F">
        <w:rPr>
          <w:rFonts w:ascii="Calibri" w:eastAsia="Calibri" w:hAnsi="Calibri" w:cs="Times New Roman"/>
        </w:rPr>
        <w:lastRenderedPageBreak/>
        <w:t xml:space="preserve">Taken together, these results show a mixture of positive and negative outcomes which were measured by a variety of scales. </w:t>
      </w:r>
    </w:p>
    <w:p w14:paraId="2F43D4F7" w14:textId="77777777" w:rsidR="00590913" w:rsidRPr="00817A2F" w:rsidRDefault="00590913" w:rsidP="00817A2F">
      <w:pPr>
        <w:spacing w:after="200" w:line="360" w:lineRule="auto"/>
        <w:contextualSpacing/>
        <w:rPr>
          <w:rFonts w:ascii="Calibri" w:eastAsia="Calibri" w:hAnsi="Calibri" w:cs="Times New Roman"/>
        </w:rPr>
      </w:pPr>
    </w:p>
    <w:p w14:paraId="16831C0D" w14:textId="77777777" w:rsidR="00817A2F" w:rsidRPr="00817A2F" w:rsidRDefault="00817A2F" w:rsidP="007975E1">
      <w:pPr>
        <w:pStyle w:val="Heading4"/>
        <w:rPr>
          <w:rFonts w:eastAsia="Times New Roman"/>
        </w:rPr>
      </w:pPr>
      <w:bookmarkStart w:id="175" w:name="_Ref453575411"/>
      <w:r w:rsidRPr="00817A2F">
        <w:rPr>
          <w:rFonts w:eastAsia="Times New Roman"/>
        </w:rPr>
        <w:t>Quality of the studies</w:t>
      </w:r>
      <w:bookmarkEnd w:id="175"/>
    </w:p>
    <w:p w14:paraId="3ED7DF63" w14:textId="77777777" w:rsidR="00817A2F" w:rsidRPr="00817A2F" w:rsidRDefault="00817A2F" w:rsidP="00817A2F">
      <w:pPr>
        <w:spacing w:after="200" w:line="360" w:lineRule="auto"/>
        <w:contextualSpacing/>
        <w:rPr>
          <w:rFonts w:ascii="Calibri" w:eastAsia="Calibri" w:hAnsi="Calibri" w:cs="Times New Roman"/>
        </w:rPr>
      </w:pPr>
    </w:p>
    <w:p w14:paraId="7AA1A96F" w14:textId="4DD3E79A"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In keeping with each of the above three sections dealing with personal resource interventions, job resource interventions and leadership interventions, this section explores the quality of health promotion interventions. It takes into account factors identified by The Cochrane Collaboration’s ‘Risk of Bias’ tool as well as several other factors such as how well the intervention was implemented and whether there were differences between groups at baseline or between dropouts and non-dropouts (see section 2.2). Other factors also included whether the study reported pertinent information such as the intervention procedure, participant numbers, response rates, attrition rates and outcomes. Appendices 4d-4f summarise this information for each of the four studies which have been completed, as well as for the two ongoing studies. The quality of the research designs is discussed in section </w:t>
      </w:r>
      <w:r w:rsidR="008D6A1F">
        <w:rPr>
          <w:rFonts w:ascii="Calibri" w:eastAsia="Calibri" w:hAnsi="Calibri" w:cs="Times New Roman"/>
        </w:rPr>
        <w:fldChar w:fldCharType="begin"/>
      </w:r>
      <w:r w:rsidR="008D6A1F">
        <w:rPr>
          <w:rFonts w:ascii="Calibri" w:eastAsia="Calibri" w:hAnsi="Calibri" w:cs="Times New Roman"/>
        </w:rPr>
        <w:instrText xml:space="preserve"> REF _Ref453252349 \r \h </w:instrText>
      </w:r>
      <w:r w:rsidR="008D6A1F">
        <w:rPr>
          <w:rFonts w:ascii="Calibri" w:eastAsia="Calibri" w:hAnsi="Calibri" w:cs="Times New Roman"/>
        </w:rPr>
      </w:r>
      <w:r w:rsidR="008D6A1F">
        <w:rPr>
          <w:rFonts w:ascii="Calibri" w:eastAsia="Calibri" w:hAnsi="Calibri" w:cs="Times New Roman"/>
        </w:rPr>
        <w:fldChar w:fldCharType="separate"/>
      </w:r>
      <w:r w:rsidR="00152F6D">
        <w:rPr>
          <w:rFonts w:ascii="Calibri" w:eastAsia="Calibri" w:hAnsi="Calibri" w:cs="Times New Roman"/>
        </w:rPr>
        <w:t>5.3.6.2</w:t>
      </w:r>
      <w:r w:rsidR="008D6A1F">
        <w:rPr>
          <w:rFonts w:ascii="Calibri" w:eastAsia="Calibri" w:hAnsi="Calibri" w:cs="Times New Roman"/>
        </w:rPr>
        <w:fldChar w:fldCharType="end"/>
      </w:r>
      <w:r w:rsidR="008D6A1F">
        <w:rPr>
          <w:rFonts w:ascii="Calibri" w:eastAsia="Calibri" w:hAnsi="Calibri" w:cs="Times New Roman"/>
        </w:rPr>
        <w:t xml:space="preserve"> </w:t>
      </w:r>
      <w:r w:rsidRPr="00817A2F">
        <w:rPr>
          <w:rFonts w:ascii="Calibri" w:eastAsia="Calibri" w:hAnsi="Calibri" w:cs="Times New Roman"/>
        </w:rPr>
        <w:t xml:space="preserve">above and thus will not be discussed again here. </w:t>
      </w:r>
    </w:p>
    <w:p w14:paraId="26EE0AAD" w14:textId="77777777" w:rsidR="00817A2F" w:rsidRPr="00817A2F" w:rsidRDefault="00817A2F" w:rsidP="00817A2F">
      <w:pPr>
        <w:spacing w:after="200" w:line="360" w:lineRule="auto"/>
        <w:contextualSpacing/>
        <w:rPr>
          <w:rFonts w:ascii="Calibri" w:eastAsia="Calibri" w:hAnsi="Calibri" w:cs="Times New Roman"/>
        </w:rPr>
      </w:pPr>
    </w:p>
    <w:p w14:paraId="151C525C" w14:textId="6832A463"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In general, all of the studies were well reported, with the interventions described in appropriate detail, participant numbers at each time point reported, and all </w:t>
      </w:r>
      <w:r w:rsidR="00E1645F">
        <w:rPr>
          <w:rFonts w:ascii="Calibri" w:eastAsia="Calibri" w:hAnsi="Calibri" w:cs="Times New Roman"/>
        </w:rPr>
        <w:t>outcomes reported. Four studies</w:t>
      </w:r>
      <w:r w:rsidRPr="00817A2F">
        <w:rPr>
          <w:rFonts w:ascii="Calibri" w:eastAsia="Calibri" w:hAnsi="Calibri" w:cs="Times New Roman"/>
        </w:rPr>
        <w:t xml:space="preserve"> provided a baseline response rate (Aikens et al., 2014; Biggs, 2011; Calitz, 2013; Imamura et al., 2015) and the others provided response rates post-intervention and at follow-up. Baseline rates ranged between 22.5% (Aikens et al., 2014) and 66.7% (Calitz, 2013). Post-intervention and follow-up response rates were provided by the other studies and reached 68% in all cases. One study achieved very high response rates across groups and time points (range=86.8%-93.8%, Van Berkel et al., 2014). Five studies provided an attrition rate, which ranged between 5.3% for the period between pre- and post- intervention (Aikens </w:t>
      </w:r>
      <w:r w:rsidR="00B64DD5">
        <w:rPr>
          <w:rFonts w:ascii="Calibri" w:eastAsia="Calibri" w:hAnsi="Calibri" w:cs="Times New Roman"/>
        </w:rPr>
        <w:t>et al.,</w:t>
      </w:r>
      <w:r w:rsidRPr="00817A2F">
        <w:rPr>
          <w:rFonts w:ascii="Calibri" w:eastAsia="Calibri" w:hAnsi="Calibri" w:cs="Times New Roman"/>
        </w:rPr>
        <w:t xml:space="preserve"> 2014) to 31.2% (Imamura et al., 2015). All of the studies used self-report measures only, and thus are subject to the usual risk from common method bias when doing this type of research. Five of the seven studies explicitly reported comparing intervention and control groups at baseline to determine if there were any differences. Two found no differences (Strijk </w:t>
      </w:r>
      <w:r w:rsidR="00B64DD5">
        <w:rPr>
          <w:rFonts w:ascii="Calibri" w:eastAsia="Calibri" w:hAnsi="Calibri" w:cs="Times New Roman"/>
        </w:rPr>
        <w:t>et al.,</w:t>
      </w:r>
      <w:r w:rsidRPr="00817A2F">
        <w:rPr>
          <w:rFonts w:ascii="Calibri" w:eastAsia="Calibri" w:hAnsi="Calibri" w:cs="Times New Roman"/>
        </w:rPr>
        <w:t xml:space="preserve"> 2013; Van Berkel </w:t>
      </w:r>
      <w:r w:rsidR="00B64DD5">
        <w:rPr>
          <w:rFonts w:ascii="Calibri" w:eastAsia="Calibri" w:hAnsi="Calibri" w:cs="Times New Roman"/>
        </w:rPr>
        <w:t>et al.,</w:t>
      </w:r>
      <w:r w:rsidRPr="00817A2F">
        <w:rPr>
          <w:rFonts w:ascii="Calibri" w:eastAsia="Calibri" w:hAnsi="Calibri" w:cs="Times New Roman"/>
        </w:rPr>
        <w:t xml:space="preserve"> 2014), however, one found the intervention group to be higher educated (Hengel et al., 2012). Biggs et al. (2011) noted that there were more females, younger workers, workers with shorter tenure, fewer shift workers and workers with fewer previous physical health claims in their non-custodial control group. They also noted that this group reported higher autonomy, greater equal opportunities between males and females and mentoring oppor</w:t>
      </w:r>
      <w:r w:rsidR="004C6168">
        <w:rPr>
          <w:rFonts w:ascii="Calibri" w:eastAsia="Calibri" w:hAnsi="Calibri" w:cs="Times New Roman"/>
        </w:rPr>
        <w:t xml:space="preserve">tunities, and lower stressors. </w:t>
      </w:r>
      <w:r w:rsidRPr="00817A2F">
        <w:rPr>
          <w:rFonts w:ascii="Calibri" w:eastAsia="Calibri" w:hAnsi="Calibri" w:cs="Times New Roman"/>
        </w:rPr>
        <w:t xml:space="preserve">In contrast, Biggs’ (2011) custodial control group were lower on </w:t>
      </w:r>
      <w:r w:rsidRPr="00817A2F">
        <w:rPr>
          <w:rFonts w:ascii="Calibri" w:eastAsia="Calibri" w:hAnsi="Calibri" w:cs="Times New Roman"/>
        </w:rPr>
        <w:lastRenderedPageBreak/>
        <w:t xml:space="preserve">scores for a particular style of coping only. These differences between groups are likely due to the non-randomised design of the study, and suggest non-equivalent control groups. </w:t>
      </w:r>
    </w:p>
    <w:p w14:paraId="7A906025" w14:textId="77777777" w:rsidR="00817A2F" w:rsidRPr="00817A2F" w:rsidRDefault="00817A2F" w:rsidP="00817A2F">
      <w:pPr>
        <w:spacing w:after="200" w:line="360" w:lineRule="auto"/>
        <w:contextualSpacing/>
        <w:rPr>
          <w:rFonts w:ascii="Calibri" w:eastAsia="Calibri" w:hAnsi="Calibri" w:cs="Times New Roman"/>
        </w:rPr>
      </w:pPr>
    </w:p>
    <w:p w14:paraId="0FC56BA6" w14:textId="79B1A903"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Six of the studies evaluated the implementation of the intervention in at least some detail, discussing one or more aspects such as the fidelity of the intervention, the compliance of participants, reach, in terms of participant attendance and the representativeness of the population taking part, and reasons for attrition. Strijk et al. (2013) reported that the protocol was largely followed in both intervention locations associated with this study (Amsterdam &amp; Leiden), and a large amount of the planned yoga and workout sessions were provided (72.3% &amp; 96.3% respectively), as well as 100% of the Personal Vitality Coach (PVC) visits. The reach for the yoga, workout and PVC visits were all above 70% (proportion of workers who participated in at least one session; 70.6%, 63.8% and 89.6%, respectively). The reach was 52% when considering those who accessed all three intervention components at least once, and this was higher in Amsterdam (59.2%) than Leiden (36.8%). The attendance rates were 44.8% for the workout sessions (mean number of sessions attended: 11.1 out of 24), with no real difference between locations, and 51.7% for the yoga sessions (mean number of sessions attended: 10.4 out of 24), with attendance being higher in Leiden (63.2%) than Amsterdam (46.5%). Reasons for not attending yoga sessions included lack of time, a dislike of yoga, health complaints, and session timings being outside work hours (in Leiden). Reasons for not attending a workout session were similar, but additionally included a perception of already doing enough exercise, and the sessions being held too far away (in Leiden). The attendance rates in Leiden may have been higher due to these employees already reporting an appreciation of yoga and exercise, suggesting a greater motivation to attend sessions. Training guidance was also rated higher in Leiden, which may have encouraged workers to maintain attendance at sessions. Strijk et al</w:t>
      </w:r>
      <w:r w:rsidR="004C6168">
        <w:rPr>
          <w:rFonts w:ascii="Calibri" w:eastAsia="Calibri" w:hAnsi="Calibri" w:cs="Times New Roman"/>
        </w:rPr>
        <w:t>.</w:t>
      </w:r>
      <w:r w:rsidRPr="00817A2F">
        <w:rPr>
          <w:rFonts w:ascii="Calibri" w:eastAsia="Calibri" w:hAnsi="Calibri" w:cs="Times New Roman"/>
        </w:rPr>
        <w:t xml:space="preserve"> (2013) suggest that attendance rates may have been even higher in Leiden if top level management had communicated their support to supervisors and team leaders in writing, as they did in Amsterdam. Nevertheless, workers across both locations reported being satisfied with all three components of the intervention, rating them all between 7 and 8 out of 10. The results for completers versus non-completers did not show any significant differences on any of the variables, suggesting minimal bias due to attrition. </w:t>
      </w:r>
    </w:p>
    <w:p w14:paraId="23BF6AB1" w14:textId="77777777" w:rsidR="00817A2F" w:rsidRPr="00817A2F" w:rsidRDefault="00817A2F" w:rsidP="00817A2F">
      <w:pPr>
        <w:spacing w:after="200" w:line="360" w:lineRule="auto"/>
        <w:contextualSpacing/>
        <w:rPr>
          <w:rFonts w:ascii="Calibri" w:eastAsia="Calibri" w:hAnsi="Calibri" w:cs="Times New Roman"/>
        </w:rPr>
      </w:pPr>
    </w:p>
    <w:p w14:paraId="016CC24D" w14:textId="634988EE"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Unlike Strijk and colleagues, Hengel et al (2012) noted that protocol was not always followed, with physical therapists not always delivering sessions individually and the intervention rationale not always being conveyed. 39% were reported to have attended less than three training sessions and the rest-break tool was filled in by less than 50%. Participants reported difficulty in filling in the rest-</w:t>
      </w:r>
      <w:r w:rsidRPr="00817A2F">
        <w:rPr>
          <w:rFonts w:ascii="Calibri" w:eastAsia="Calibri" w:hAnsi="Calibri" w:cs="Times New Roman"/>
        </w:rPr>
        <w:lastRenderedPageBreak/>
        <w:t xml:space="preserve">break tool which may explain why it was not used more. Participants also reported dissatisfaction with the empowerment trainer and suggested that empowerment sessions could have been improved by supervisors and management being involved. This is similar to Strijk </w:t>
      </w:r>
      <w:r w:rsidR="007719CD">
        <w:rPr>
          <w:rFonts w:ascii="Calibri" w:eastAsia="Calibri" w:hAnsi="Calibri" w:cs="Times New Roman"/>
        </w:rPr>
        <w:t>and colleagues’</w:t>
      </w:r>
      <w:r w:rsidRPr="00817A2F">
        <w:rPr>
          <w:rFonts w:ascii="Calibri" w:eastAsia="Calibri" w:hAnsi="Calibri" w:cs="Times New Roman"/>
        </w:rPr>
        <w:t xml:space="preserve"> </w:t>
      </w:r>
      <w:r w:rsidR="004C6168">
        <w:rPr>
          <w:rFonts w:ascii="Calibri" w:eastAsia="Calibri" w:hAnsi="Calibri" w:cs="Times New Roman"/>
        </w:rPr>
        <w:t>(2013) findings. In addition</w:t>
      </w:r>
      <w:r w:rsidRPr="00817A2F">
        <w:rPr>
          <w:rFonts w:ascii="Calibri" w:eastAsia="Calibri" w:hAnsi="Calibri" w:cs="Times New Roman"/>
        </w:rPr>
        <w:t xml:space="preserve">, in Hengel </w:t>
      </w:r>
      <w:r w:rsidR="00294B34">
        <w:rPr>
          <w:rFonts w:ascii="Calibri" w:eastAsia="Calibri" w:hAnsi="Calibri" w:cs="Times New Roman"/>
        </w:rPr>
        <w:t xml:space="preserve">and colleagues’ </w:t>
      </w:r>
      <w:r w:rsidRPr="00817A2F">
        <w:rPr>
          <w:rFonts w:ascii="Calibri" w:eastAsia="Calibri" w:hAnsi="Calibri" w:cs="Times New Roman"/>
        </w:rPr>
        <w:t>(2012) study, feeling supported by management may have enabled some of the advice suggested during empowerment sessions to be carried out by workers, as it was reported that the economic crisis and fear of job loss may have prevented workers from committing to the programme, for example by takin</w:t>
      </w:r>
      <w:r w:rsidR="004C6168">
        <w:rPr>
          <w:rFonts w:ascii="Calibri" w:eastAsia="Calibri" w:hAnsi="Calibri" w:cs="Times New Roman"/>
        </w:rPr>
        <w:t>g more breaks. Indeed, o</w:t>
      </w:r>
      <w:r w:rsidRPr="00817A2F">
        <w:rPr>
          <w:rFonts w:ascii="Calibri" w:eastAsia="Calibri" w:hAnsi="Calibri" w:cs="Times New Roman"/>
        </w:rPr>
        <w:t xml:space="preserve">ne of the participating companies had to make workers redundant and offer the remaining ones a temporary contract, which could have greatly affected their motivation to engage in the programme. </w:t>
      </w:r>
    </w:p>
    <w:p w14:paraId="4466A7B7" w14:textId="77777777" w:rsidR="00817A2F" w:rsidRPr="00817A2F" w:rsidRDefault="00817A2F" w:rsidP="00817A2F">
      <w:pPr>
        <w:spacing w:after="200" w:line="360" w:lineRule="auto"/>
        <w:contextualSpacing/>
        <w:rPr>
          <w:rFonts w:ascii="Calibri" w:eastAsia="Calibri" w:hAnsi="Calibri" w:cs="Times New Roman"/>
        </w:rPr>
      </w:pPr>
    </w:p>
    <w:p w14:paraId="313CE39C" w14:textId="536170ED"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Van Berkel et al</w:t>
      </w:r>
      <w:r w:rsidR="008F6182">
        <w:rPr>
          <w:rFonts w:ascii="Calibri" w:eastAsia="Calibri" w:hAnsi="Calibri" w:cs="Times New Roman"/>
        </w:rPr>
        <w:t>.</w:t>
      </w:r>
      <w:r w:rsidRPr="00817A2F">
        <w:rPr>
          <w:rFonts w:ascii="Calibri" w:eastAsia="Calibri" w:hAnsi="Calibri" w:cs="Times New Roman"/>
        </w:rPr>
        <w:t xml:space="preserve"> (2014) reported similar compliance and satisfaction scores to Strijk et al</w:t>
      </w:r>
      <w:r w:rsidR="004C6168">
        <w:rPr>
          <w:rFonts w:ascii="Calibri" w:eastAsia="Calibri" w:hAnsi="Calibri" w:cs="Times New Roman"/>
        </w:rPr>
        <w:t>.</w:t>
      </w:r>
      <w:r w:rsidRPr="00817A2F">
        <w:rPr>
          <w:rFonts w:ascii="Calibri" w:eastAsia="Calibri" w:hAnsi="Calibri" w:cs="Times New Roman"/>
        </w:rPr>
        <w:t xml:space="preserve"> (2012). They found that their mindfulness intervention was attended at least once by 81.3% and 54.5% were highly compliant (attended 75% of 8 sessions). 6.3% were highly compliant with e-coaching (75% of 8 sessions), and 8% were highly compliant with weekly homework exercises (75% of five 30 minute sessions per week). Satisfaction ratings were similar to those for Strijk </w:t>
      </w:r>
      <w:r w:rsidR="007719CD">
        <w:rPr>
          <w:rFonts w:ascii="Calibri" w:eastAsia="Calibri" w:hAnsi="Calibri" w:cs="Times New Roman"/>
        </w:rPr>
        <w:t>and colleagues’</w:t>
      </w:r>
      <w:r w:rsidRPr="00817A2F">
        <w:rPr>
          <w:rFonts w:ascii="Calibri" w:eastAsia="Calibri" w:hAnsi="Calibri" w:cs="Times New Roman"/>
        </w:rPr>
        <w:t xml:space="preserve"> (2013) study also, with e-coaching scoring 6.8 (out of 10) and training scoring 7.5. This may reflect the fact that the intervention was implemented well in terms of the mindfulness training, but less well in terms of the e-coaching and time invested in homework. The study results suggested that a better relationship between the participants and the trainer could improve satisfaction with similar interventions in future. More detailed results of the process evaluation of this study can be found in Appendix 4c. Van Berkel et al</w:t>
      </w:r>
      <w:r w:rsidR="008F6182">
        <w:rPr>
          <w:rFonts w:ascii="Calibri" w:eastAsia="Calibri" w:hAnsi="Calibri" w:cs="Times New Roman"/>
        </w:rPr>
        <w:t>.</w:t>
      </w:r>
      <w:r w:rsidRPr="00817A2F">
        <w:rPr>
          <w:rFonts w:ascii="Calibri" w:eastAsia="Calibri" w:hAnsi="Calibri" w:cs="Times New Roman"/>
        </w:rPr>
        <w:t xml:space="preserve"> (2014) note that the lack of study effects may have been due to the healthy population who took part, who may have been less motivated to engage if they didn’t feel they needed to change anything about their lifestyle or </w:t>
      </w:r>
      <w:r w:rsidR="001D6140">
        <w:rPr>
          <w:rFonts w:ascii="Calibri" w:eastAsia="Calibri" w:hAnsi="Calibri" w:cs="Times New Roman"/>
        </w:rPr>
        <w:t>well-being</w:t>
      </w:r>
      <w:r w:rsidRPr="00817A2F">
        <w:rPr>
          <w:rFonts w:ascii="Calibri" w:eastAsia="Calibri" w:hAnsi="Calibri" w:cs="Times New Roman"/>
        </w:rPr>
        <w:t>. In addition, constantly changing group members and dynamics may have hindered the development of the trainer-participant relationship, thus decreasing participant motivation to attend an</w:t>
      </w:r>
      <w:r w:rsidR="0082211C">
        <w:rPr>
          <w:rFonts w:ascii="Calibri" w:eastAsia="Calibri" w:hAnsi="Calibri" w:cs="Times New Roman"/>
        </w:rPr>
        <w:t>d engage in homework exercises.</w:t>
      </w:r>
      <w:r w:rsidRPr="00817A2F">
        <w:rPr>
          <w:rFonts w:ascii="Calibri" w:eastAsia="Calibri" w:hAnsi="Calibri" w:cs="Times New Roman"/>
        </w:rPr>
        <w:t xml:space="preserve"> As in Hengel </w:t>
      </w:r>
      <w:r w:rsidR="00294B34">
        <w:rPr>
          <w:rFonts w:ascii="Calibri" w:eastAsia="Calibri" w:hAnsi="Calibri" w:cs="Times New Roman"/>
        </w:rPr>
        <w:t>and colleagues’</w:t>
      </w:r>
      <w:r w:rsidRPr="00817A2F">
        <w:rPr>
          <w:rFonts w:ascii="Calibri" w:eastAsia="Calibri" w:hAnsi="Calibri" w:cs="Times New Roman"/>
        </w:rPr>
        <w:t xml:space="preserve"> (2012) study, redundancy was also a factor, with individuals being ‘outsourced’ and reorganisations occurring, leading to job insecurity and decreased motivation to in</w:t>
      </w:r>
      <w:r w:rsidR="0082211C">
        <w:rPr>
          <w:rFonts w:ascii="Calibri" w:eastAsia="Calibri" w:hAnsi="Calibri" w:cs="Times New Roman"/>
        </w:rPr>
        <w:t xml:space="preserve">vest time in the intervention. </w:t>
      </w:r>
      <w:r w:rsidRPr="00817A2F">
        <w:rPr>
          <w:rFonts w:ascii="Calibri" w:eastAsia="Calibri" w:hAnsi="Calibri" w:cs="Times New Roman"/>
        </w:rPr>
        <w:t xml:space="preserve">Other reasons for non-attendance included sick leave and inflexible working hours. </w:t>
      </w:r>
    </w:p>
    <w:p w14:paraId="07F4AB98" w14:textId="77777777" w:rsidR="00817A2F" w:rsidRPr="00817A2F" w:rsidRDefault="00817A2F" w:rsidP="00817A2F">
      <w:pPr>
        <w:spacing w:after="200" w:line="360" w:lineRule="auto"/>
        <w:contextualSpacing/>
        <w:rPr>
          <w:rFonts w:ascii="Calibri" w:eastAsia="Calibri" w:hAnsi="Calibri" w:cs="Times New Roman"/>
        </w:rPr>
      </w:pPr>
    </w:p>
    <w:p w14:paraId="5067AA7A" w14:textId="047597C5"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Aikens et al</w:t>
      </w:r>
      <w:r w:rsidR="008F6182">
        <w:rPr>
          <w:rFonts w:ascii="Calibri" w:eastAsia="Calibri" w:hAnsi="Calibri" w:cs="Times New Roman"/>
        </w:rPr>
        <w:t>.</w:t>
      </w:r>
      <w:r w:rsidRPr="00817A2F">
        <w:rPr>
          <w:rFonts w:ascii="Calibri" w:eastAsia="Calibri" w:hAnsi="Calibri" w:cs="Times New Roman"/>
        </w:rPr>
        <w:t xml:space="preserve"> (2014) did not explicitly discuss the fidelity of the programme, in terms of the extent to which it was carried out according to protocol, however, compliance, in terms of attendance rates, was discussed. 17.6% completed 50% of the course and attended an average of 6.33 (out of 8) sessions and 82.4% completed ≥75% and attended 7.4 sessions. Mindfulness homework exercises </w:t>
      </w:r>
      <w:r w:rsidRPr="00817A2F">
        <w:rPr>
          <w:rFonts w:ascii="Calibri" w:eastAsia="Calibri" w:hAnsi="Calibri" w:cs="Times New Roman"/>
        </w:rPr>
        <w:lastRenderedPageBreak/>
        <w:t xml:space="preserve">were carried out less often as the intervention progressed, but time spent on them averaged 13 minutes a day (1.5 hours a week).  As with the above studies, job insecurity was a factor which may have affected the motivation of employees to engage, with redundancies occurring two weeks before the start of baseline assessments and during follow up data collection. Reasons for attrition included work commitments and clashing schedules. Stronger effect sizes were noted for those who’d completed ≥75% of the course (30% greater) and this difference was attributed to the effect of practising at home some of the exercises learned during the intervention. Unfortunately, a 12 month follow up, which may have helped explore these results, was not conducted to prevent overburdening employees. Finally, satisfaction with the programme was higher than noted in the other studies in this section, and averaged 87%. </w:t>
      </w:r>
    </w:p>
    <w:p w14:paraId="3403F65E" w14:textId="77777777" w:rsidR="00817A2F" w:rsidRPr="00817A2F" w:rsidRDefault="00817A2F" w:rsidP="00817A2F">
      <w:pPr>
        <w:spacing w:after="200" w:line="360" w:lineRule="auto"/>
        <w:contextualSpacing/>
        <w:rPr>
          <w:rFonts w:ascii="Calibri" w:eastAsia="Calibri" w:hAnsi="Calibri" w:cs="Times New Roman"/>
        </w:rPr>
      </w:pPr>
    </w:p>
    <w:p w14:paraId="170F4B25" w14:textId="006FBA2A"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Biggs (2011) also discussed reasons which may have affected the intervention success. In this study, financial constraints and the impracticality of removing staff from oper</w:t>
      </w:r>
      <w:r w:rsidR="0082211C">
        <w:rPr>
          <w:rFonts w:ascii="Calibri" w:eastAsia="Calibri" w:hAnsi="Calibri" w:cs="Times New Roman"/>
        </w:rPr>
        <w:t>ational duties meant that only one</w:t>
      </w:r>
      <w:r w:rsidRPr="00817A2F">
        <w:rPr>
          <w:rFonts w:ascii="Calibri" w:eastAsia="Calibri" w:hAnsi="Calibri" w:cs="Times New Roman"/>
        </w:rPr>
        <w:t xml:space="preserve"> workshop could be scheduled at each intervention site, and even then employees had to leave regularly during sessions in order to return t</w:t>
      </w:r>
      <w:r w:rsidR="0082211C">
        <w:rPr>
          <w:rFonts w:ascii="Calibri" w:eastAsia="Calibri" w:hAnsi="Calibri" w:cs="Times New Roman"/>
        </w:rPr>
        <w:t>o work. Similar to Rigotti and colleagues’</w:t>
      </w:r>
      <w:r w:rsidRPr="00817A2F">
        <w:rPr>
          <w:rFonts w:ascii="Calibri" w:eastAsia="Calibri" w:hAnsi="Calibri" w:cs="Times New Roman"/>
        </w:rPr>
        <w:t xml:space="preserve"> (2014) two studies, other projects were running concurrently, leading to ‘project fatigue’ and scepticism regarding the possibility of change. A comparison of dropouts with non-dropouts revealed lower vigour and dedication in dropouts, and higher burnout, suggesting attrition bias. High turnover and relocation of participants was also a factor, the latter of which could have led to crossover effects, and it was reported that there was a disconnection between the messages espoused by the intervention and manager’s actions.</w:t>
      </w:r>
    </w:p>
    <w:p w14:paraId="40C2797F" w14:textId="77777777" w:rsidR="00817A2F" w:rsidRPr="00817A2F" w:rsidRDefault="00817A2F" w:rsidP="00817A2F">
      <w:pPr>
        <w:spacing w:after="200" w:line="360" w:lineRule="auto"/>
        <w:contextualSpacing/>
        <w:rPr>
          <w:rFonts w:ascii="Calibri" w:eastAsia="Calibri" w:hAnsi="Calibri" w:cs="Times New Roman"/>
        </w:rPr>
      </w:pPr>
    </w:p>
    <w:p w14:paraId="7FBBD9AB" w14:textId="72B52B19" w:rsidR="00817A2F" w:rsidRPr="00817A2F" w:rsidRDefault="0082211C" w:rsidP="00817A2F">
      <w:pPr>
        <w:spacing w:after="200" w:line="360" w:lineRule="auto"/>
        <w:contextualSpacing/>
        <w:rPr>
          <w:rFonts w:ascii="Calibri" w:eastAsia="Calibri" w:hAnsi="Calibri" w:cs="Times New Roman"/>
        </w:rPr>
      </w:pPr>
      <w:r>
        <w:rPr>
          <w:rFonts w:ascii="Calibri" w:eastAsia="Calibri" w:hAnsi="Calibri" w:cs="Times New Roman"/>
        </w:rPr>
        <w:t>Imamura et al.</w:t>
      </w:r>
      <w:r w:rsidR="00817A2F" w:rsidRPr="00817A2F">
        <w:rPr>
          <w:rFonts w:ascii="Calibri" w:eastAsia="Calibri" w:hAnsi="Calibri" w:cs="Times New Roman"/>
        </w:rPr>
        <w:t xml:space="preserve"> (2015) provided a briefer discussion of factors which may have affected the implementation of their intervention. They stated that it was implemented online as planned and that there was no transferral of participants between groups. However, they acknowledge that crossover effects could have occurred due to participants in the control group receiving information about the intervention from members of the intervention group. They also suggest that the effect of the intervention could have been diminished by providing stress management tips to the control group. In terms of attendance and compliance, 64.8% participants completed all six sessions and 24.4% submitted all six homework assignments, with 2.7 assignments being completed on average. Reasons for attrition and a comparison between dropouts and non-dropouts are not reported. No other details regarding intervention implementation were reported. </w:t>
      </w:r>
    </w:p>
    <w:p w14:paraId="649A81D6" w14:textId="77777777" w:rsidR="00817A2F" w:rsidRPr="00817A2F" w:rsidRDefault="00817A2F" w:rsidP="00817A2F">
      <w:pPr>
        <w:spacing w:after="200" w:line="360" w:lineRule="auto"/>
        <w:contextualSpacing/>
        <w:rPr>
          <w:rFonts w:ascii="Calibri" w:eastAsia="Calibri" w:hAnsi="Calibri" w:cs="Times New Roman"/>
        </w:rPr>
      </w:pPr>
    </w:p>
    <w:p w14:paraId="1673CD61"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lastRenderedPageBreak/>
        <w:t xml:space="preserve">Taken together, these results demonstrate the difficulties in carrying out organisational research. Carrying out randomised controlled interventions in dynamic, changing organisations, where individuals, teams, departments and the organisation as a whole may have different motivations, goals and aspirations, is an ongoing challenge. The effect on the degree to which interventions can be implemented successfully is clear in the five studies discussed in this section, with several studies reporting sub-optimal response and attrition rates, limited attendance at, and engagement in, sessions, and a climate of economic and job insecurity. Nevertheless, it may again be concluded that detailed process evaluations, as were carried out by four of the five studies, offer a means of exploring how and why interventions may or may not have been successful, and may enable future researchers to anticipate and plan for at least some of the challenges and difficulties typically faced.  </w:t>
      </w:r>
    </w:p>
    <w:p w14:paraId="739AC585" w14:textId="77777777" w:rsidR="00817A2F" w:rsidRPr="00817A2F" w:rsidRDefault="00817A2F" w:rsidP="00817A2F">
      <w:pPr>
        <w:spacing w:after="200" w:line="360" w:lineRule="auto"/>
        <w:contextualSpacing/>
        <w:rPr>
          <w:rFonts w:ascii="Calibri" w:eastAsia="Calibri" w:hAnsi="Calibri" w:cs="Times New Roman"/>
        </w:rPr>
      </w:pPr>
    </w:p>
    <w:p w14:paraId="139883DE" w14:textId="77777777" w:rsidR="00817A2F" w:rsidRPr="00817A2F" w:rsidRDefault="00817A2F" w:rsidP="007975E1">
      <w:pPr>
        <w:pStyle w:val="Heading4"/>
        <w:rPr>
          <w:rFonts w:eastAsia="Times New Roman"/>
        </w:rPr>
      </w:pPr>
      <w:r w:rsidRPr="00817A2F">
        <w:rPr>
          <w:rFonts w:eastAsia="Times New Roman"/>
        </w:rPr>
        <w:t>Summary of findings from studies promoting health</w:t>
      </w:r>
    </w:p>
    <w:p w14:paraId="5D079B90" w14:textId="77777777" w:rsidR="00817A2F" w:rsidRPr="00817A2F" w:rsidRDefault="00817A2F" w:rsidP="00817A2F">
      <w:pPr>
        <w:spacing w:after="200" w:line="360" w:lineRule="auto"/>
        <w:contextualSpacing/>
        <w:rPr>
          <w:rFonts w:ascii="Calibri" w:eastAsia="Calibri" w:hAnsi="Calibri" w:cs="Times New Roman"/>
        </w:rPr>
      </w:pPr>
    </w:p>
    <w:p w14:paraId="07E7BAD5"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key findings from intervention studies designed to promote health and increase work engagement are presented below.</w:t>
      </w:r>
    </w:p>
    <w:p w14:paraId="5FF736D9" w14:textId="77777777" w:rsidR="00817A2F" w:rsidRPr="00817A2F" w:rsidRDefault="00817A2F" w:rsidP="00817A2F">
      <w:pPr>
        <w:spacing w:after="200" w:line="360" w:lineRule="auto"/>
        <w:contextualSpacing/>
        <w:rPr>
          <w:rFonts w:ascii="Calibri" w:eastAsia="Calibri" w:hAnsi="Calibri" w:cs="Times New Roman"/>
        </w:rPr>
      </w:pPr>
    </w:p>
    <w:p w14:paraId="2A0008E3"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Summary of evidence regarding the effectiveness of interventions to increase work engagement</w:t>
      </w:r>
    </w:p>
    <w:p w14:paraId="5E61AF13"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Both Calitz (2013) and Imamura et al. (2015) noted a significant increase in work engagement and Calitz (2013) also observed a significant increase in vigour. Strijk et al. (2013) noted a significant increase in vigour for participants who were highly compliant with guided yoga sessions, and this study also noted a positive effect on vigour at 12 months across high and low compliant participants. None of the other studies reported any significant increases in work engagement or any of its subcomponents. This suggests that it may be better to offer interventions only to those who are motivated from the outset to take part, however, this may lead to those who could potentially benefit from the interventions not having the opportunity to do so.</w:t>
      </w:r>
    </w:p>
    <w:p w14:paraId="64865819" w14:textId="77777777" w:rsidR="00817A2F" w:rsidRPr="00817A2F" w:rsidRDefault="00817A2F" w:rsidP="00817A2F">
      <w:pPr>
        <w:spacing w:after="200" w:line="360" w:lineRule="auto"/>
        <w:contextualSpacing/>
        <w:rPr>
          <w:rFonts w:ascii="Calibri" w:eastAsia="Calibri" w:hAnsi="Calibri" w:cs="Times New Roman"/>
        </w:rPr>
      </w:pPr>
    </w:p>
    <w:p w14:paraId="10EE9C03" w14:textId="77777777" w:rsidR="00817A2F" w:rsidRPr="00817A2F" w:rsidRDefault="00817A2F" w:rsidP="00817A2F">
      <w:pPr>
        <w:spacing w:after="200" w:line="360" w:lineRule="auto"/>
        <w:contextualSpacing/>
        <w:rPr>
          <w:rFonts w:ascii="Calibri" w:eastAsia="Calibri" w:hAnsi="Calibri" w:cs="Times New Roman"/>
          <w:b/>
        </w:rPr>
      </w:pPr>
      <w:r w:rsidRPr="00817A2F">
        <w:rPr>
          <w:rFonts w:ascii="Calibri" w:eastAsia="Calibri" w:hAnsi="Calibri" w:cs="Times New Roman"/>
          <w:b/>
        </w:rPr>
        <w:t xml:space="preserve">Summary of evidence regarding the effectiveness of studies on other outcomes </w:t>
      </w:r>
    </w:p>
    <w:p w14:paraId="2CE3EC44" w14:textId="512EE8C5"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Three studies reported positive findings which were related to outcomes besides work engagement. Imamura et al. (2015) reported a borderline significant decrease in number of sick days taken, Strijk et al. (2013) reported a significant positive effect on general vitality, and Aikens</w:t>
      </w:r>
      <w:r w:rsidR="0019054C">
        <w:rPr>
          <w:rFonts w:ascii="Calibri" w:eastAsia="Calibri" w:hAnsi="Calibri" w:cs="Times New Roman"/>
        </w:rPr>
        <w:t xml:space="preserve"> et al.</w:t>
      </w:r>
      <w:r w:rsidRPr="00817A2F">
        <w:rPr>
          <w:rFonts w:ascii="Calibri" w:eastAsia="Calibri" w:hAnsi="Calibri" w:cs="Times New Roman"/>
        </w:rPr>
        <w:t xml:space="preserve"> (2014) reported a decrease in perceived stress, and an increase in mindfulness and resiliency. Perhaps future studies could investigate whether longer follow up periods post-intervention are needed to observe positive effects on work engagement. It is possible that variables such as perceived stress and resiliency may mediate between baseline and follow-up work engagement scores and that the </w:t>
      </w:r>
      <w:r w:rsidRPr="00817A2F">
        <w:rPr>
          <w:rFonts w:ascii="Calibri" w:eastAsia="Calibri" w:hAnsi="Calibri" w:cs="Times New Roman"/>
        </w:rPr>
        <w:lastRenderedPageBreak/>
        <w:t xml:space="preserve">length of follow up in these studies was not long enough to observe these effects. An unexpected, significant, increase in physical workload was noted in Hengel </w:t>
      </w:r>
      <w:r w:rsidR="00294B34">
        <w:rPr>
          <w:rFonts w:ascii="Calibri" w:eastAsia="Calibri" w:hAnsi="Calibri" w:cs="Times New Roman"/>
        </w:rPr>
        <w:t>and colleagues’</w:t>
      </w:r>
      <w:r w:rsidRPr="00817A2F">
        <w:rPr>
          <w:rFonts w:ascii="Calibri" w:eastAsia="Calibri" w:hAnsi="Calibri" w:cs="Times New Roman"/>
        </w:rPr>
        <w:t xml:space="preserve"> (2012) study, which may have largely been the result of external factors affecting the success of the intervention, such as job insecurity and an associated lack of commitment to the programme. These results suggest that health promotion interventions can indeed have positive effects, but that how well the intervention is implemented and complied with is crucial to its success. </w:t>
      </w:r>
    </w:p>
    <w:p w14:paraId="3EEBC9FD" w14:textId="77777777" w:rsidR="00817A2F" w:rsidRPr="00817A2F" w:rsidRDefault="00817A2F" w:rsidP="00817A2F">
      <w:pPr>
        <w:spacing w:after="200" w:line="360" w:lineRule="auto"/>
        <w:contextualSpacing/>
        <w:rPr>
          <w:rFonts w:ascii="Calibri" w:eastAsia="Calibri" w:hAnsi="Calibri" w:cs="Times New Roman"/>
          <w:b/>
        </w:rPr>
      </w:pPr>
    </w:p>
    <w:p w14:paraId="76B0CE37"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b/>
        </w:rPr>
        <w:t>Summary of evidence regarding the quality of studies</w:t>
      </w:r>
      <w:r w:rsidRPr="00817A2F">
        <w:rPr>
          <w:rFonts w:ascii="Calibri" w:eastAsia="Calibri" w:hAnsi="Calibri" w:cs="Times New Roman"/>
        </w:rPr>
        <w:t xml:space="preserve"> </w:t>
      </w:r>
    </w:p>
    <w:p w14:paraId="77E415FA" w14:textId="7D75E696" w:rsid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The quality of the studies in this section was quite similar across five of the studies, all of which conducted a longitudinal, three wave, randomised controlled study. Three of these detailed the study design in a published protocol, which is recommended by The Cochrane Collaboration. These five studies also reported intervention details</w:t>
      </w:r>
      <w:r w:rsidR="0082211C">
        <w:rPr>
          <w:rFonts w:ascii="Calibri" w:eastAsia="Calibri" w:hAnsi="Calibri" w:cs="Times New Roman"/>
        </w:rPr>
        <w:t>,</w:t>
      </w:r>
      <w:r w:rsidRPr="00817A2F">
        <w:rPr>
          <w:rFonts w:ascii="Calibri" w:eastAsia="Calibri" w:hAnsi="Calibri" w:cs="Times New Roman"/>
        </w:rPr>
        <w:t xml:space="preserve"> and particulars including participant characteristics, response rates, numbers recruited, and outcomes assessed. Attrition rates and the reasons for attrition were also well reported. Two published a separate, very detailed process evaluation (Strijk </w:t>
      </w:r>
      <w:r w:rsidR="00B64DD5">
        <w:rPr>
          <w:rFonts w:ascii="Calibri" w:eastAsia="Calibri" w:hAnsi="Calibri" w:cs="Times New Roman"/>
        </w:rPr>
        <w:t>et al.,</w:t>
      </w:r>
      <w:r w:rsidRPr="00817A2F">
        <w:rPr>
          <w:rFonts w:ascii="Calibri" w:eastAsia="Calibri" w:hAnsi="Calibri" w:cs="Times New Roman"/>
        </w:rPr>
        <w:t xml:space="preserve"> 2013; Van Berkel </w:t>
      </w:r>
      <w:r w:rsidR="00B64DD5">
        <w:rPr>
          <w:rFonts w:ascii="Calibri" w:eastAsia="Calibri" w:hAnsi="Calibri" w:cs="Times New Roman"/>
        </w:rPr>
        <w:t>et al.,</w:t>
      </w:r>
      <w:r w:rsidRPr="00817A2F">
        <w:rPr>
          <w:rFonts w:ascii="Calibri" w:eastAsia="Calibri" w:hAnsi="Calibri" w:cs="Times New Roman"/>
        </w:rPr>
        <w:t xml:space="preserve"> 2014), and the other three discussed the implementation of the interventions as part of a final published paper. These studies also reported variable rates of attendance and compliance which differed depending on the aspect of the intervention. For example, higher rates were observed for the core parts of the interventions, such as yoga sessions or workout sessions, and lower rates were observed for compliance and use of supporting components such as homework and e-coaching. Four of the five studies also noted the concurrent economic downturn and job insecurity as factors which may have contributed to these results. Taken together, these results highlight the difficulties in carrying out research in dynamic organisations, which are affected by the wider economic and social climate, factors which cannot be controlled by researchers even when the most rigorous designs are planned. Nevertheless, and as noted in previous sections, a close researcher-organisation relationship throughout the study period may help to mitigate at least some of the difficulties that may arise, and which were frequently cited, such as lack of support for the intervention by management, and lack of time. The extent to which such factors may have impinged on the success of the interventions cannot be ascertained, however, the evidence presented here suggests that carrying out process evaluations is an important part of intervention research and could lead to valuable new insights into intervention design which future research could capitalise on. </w:t>
      </w:r>
    </w:p>
    <w:p w14:paraId="4A58C45E" w14:textId="0CBCF293" w:rsidR="008D6A1F" w:rsidRDefault="008D6A1F" w:rsidP="00817A2F">
      <w:pPr>
        <w:spacing w:after="200" w:line="360" w:lineRule="auto"/>
        <w:contextualSpacing/>
        <w:rPr>
          <w:rFonts w:ascii="Calibri" w:eastAsia="Calibri" w:hAnsi="Calibri" w:cs="Times New Roman"/>
        </w:rPr>
      </w:pPr>
    </w:p>
    <w:p w14:paraId="47B2B00B" w14:textId="77777777" w:rsidR="00590913" w:rsidRPr="00817A2F" w:rsidRDefault="00590913" w:rsidP="00817A2F">
      <w:pPr>
        <w:spacing w:after="200" w:line="360" w:lineRule="auto"/>
        <w:contextualSpacing/>
        <w:rPr>
          <w:rFonts w:ascii="Calibri" w:eastAsia="Calibri" w:hAnsi="Calibri" w:cs="Times New Roman"/>
        </w:rPr>
      </w:pPr>
    </w:p>
    <w:p w14:paraId="2B7CE619" w14:textId="0C5B01A0" w:rsidR="00817A2F" w:rsidRPr="00817A2F" w:rsidRDefault="00817A2F" w:rsidP="00B7614E">
      <w:pPr>
        <w:pStyle w:val="Thesisheading2"/>
      </w:pPr>
      <w:bookmarkStart w:id="176" w:name="_Toc468285964"/>
      <w:r w:rsidRPr="00817A2F">
        <w:lastRenderedPageBreak/>
        <w:t>Summary</w:t>
      </w:r>
      <w:bookmarkEnd w:id="176"/>
      <w:r w:rsidRPr="00817A2F">
        <w:t xml:space="preserve"> </w:t>
      </w:r>
    </w:p>
    <w:p w14:paraId="71942725" w14:textId="77777777" w:rsidR="00817A2F" w:rsidRPr="00817A2F" w:rsidRDefault="00817A2F" w:rsidP="00817A2F">
      <w:pPr>
        <w:spacing w:after="200" w:line="360" w:lineRule="auto"/>
        <w:contextualSpacing/>
        <w:rPr>
          <w:rFonts w:ascii="Calibri" w:eastAsia="Calibri" w:hAnsi="Calibri" w:cs="Times New Roman"/>
        </w:rPr>
      </w:pPr>
    </w:p>
    <w:p w14:paraId="5BAE9D04" w14:textId="68523D0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This study aimed to systematically identify, narratively review</w:t>
      </w:r>
      <w:r w:rsidR="0082211C">
        <w:rPr>
          <w:rFonts w:ascii="Calibri" w:eastAsia="Calibri" w:hAnsi="Calibri" w:cs="Times New Roman"/>
        </w:rPr>
        <w:t>,</w:t>
      </w:r>
      <w:r w:rsidRPr="00817A2F">
        <w:rPr>
          <w:rFonts w:ascii="Calibri" w:eastAsia="Calibri" w:hAnsi="Calibri" w:cs="Times New Roman"/>
        </w:rPr>
        <w:t xml:space="preserve"> and qualitatively synthesise the evidence for the effectiveness of work engagement interventions. The evidence revealed was mixed, with statistically significant results found by some, and process evaluations revealing varying success regarding intervention implementation. The interventions were very heterogeneous in terms of content and design, nevertheless, it was possible to broadly categorise them into four types according to their intervention characteristics: 1) personal resource building interventions designed to increase individuals’ positive self-evaluations, and thus self-efficacy, resilience and optimism; 2) job resource building interventions designed to increase aspects of the work-related physical or social environment, such as feedback, social support and autonomy; 3) leadership training interventions designed to improve the abilities and skills of leaders; and 4) health promotion interventions designed to improve positive work-related outcomes, such as </w:t>
      </w:r>
      <w:r w:rsidR="001D6140">
        <w:rPr>
          <w:rFonts w:ascii="Calibri" w:eastAsia="Calibri" w:hAnsi="Calibri" w:cs="Times New Roman"/>
        </w:rPr>
        <w:t>well-being</w:t>
      </w:r>
      <w:r w:rsidRPr="00817A2F">
        <w:rPr>
          <w:rFonts w:ascii="Calibri" w:eastAsia="Calibri" w:hAnsi="Calibri" w:cs="Times New Roman"/>
        </w:rPr>
        <w:t xml:space="preserve">, performance and work engagement. The following subsections summarise the results for each type of intervention. These will be explored in more detail, and in relation to the wider literature and meta-analysis results, in Chapter 10. </w:t>
      </w:r>
    </w:p>
    <w:p w14:paraId="54CA95EB" w14:textId="77777777" w:rsidR="00817A2F" w:rsidRPr="00817A2F" w:rsidRDefault="00817A2F" w:rsidP="00817A2F">
      <w:pPr>
        <w:spacing w:after="200" w:line="360" w:lineRule="auto"/>
        <w:contextualSpacing/>
        <w:rPr>
          <w:rFonts w:ascii="Calibri" w:eastAsia="Calibri" w:hAnsi="Calibri" w:cs="Times New Roman"/>
        </w:rPr>
      </w:pPr>
    </w:p>
    <w:p w14:paraId="7AE62EAF" w14:textId="77777777" w:rsidR="00817A2F" w:rsidRPr="00817A2F" w:rsidRDefault="00817A2F" w:rsidP="0009618B">
      <w:pPr>
        <w:pStyle w:val="Heading3"/>
      </w:pPr>
      <w:bookmarkStart w:id="177" w:name="_Toc450214032"/>
      <w:bookmarkStart w:id="178" w:name="_Toc468285965"/>
      <w:r w:rsidRPr="00817A2F">
        <w:t xml:space="preserve">Effectiveness of personal resource </w:t>
      </w:r>
      <w:r w:rsidRPr="007975E1">
        <w:t>building</w:t>
      </w:r>
      <w:r w:rsidRPr="00817A2F">
        <w:t xml:space="preserve"> interventions on work engagement</w:t>
      </w:r>
      <w:bookmarkEnd w:id="177"/>
      <w:bookmarkEnd w:id="178"/>
    </w:p>
    <w:p w14:paraId="6B99F95D" w14:textId="77777777" w:rsidR="00817A2F" w:rsidRPr="00817A2F" w:rsidRDefault="00817A2F" w:rsidP="00817A2F">
      <w:pPr>
        <w:spacing w:after="200" w:line="360" w:lineRule="auto"/>
        <w:contextualSpacing/>
        <w:rPr>
          <w:rFonts w:ascii="Calibri" w:eastAsia="Calibri" w:hAnsi="Calibri" w:cs="Times New Roman"/>
        </w:rPr>
      </w:pPr>
    </w:p>
    <w:p w14:paraId="0D00667D"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Studies measuring the effectiveness of personal resource building interventions on work engagement revealed some promising results, with two studies finding significant, positive effects on work engagement and a further study finding a positive effect for those initially low in engagement. Just under half of the studies also reported positive findings relating to other factors such as the experience of positive emotions, self-efficacy, resilience and autonomy. These results suggest that personal resource building interventions may have positive effects on both personal and job resources as well as work engagement. However, overall the results were inconsistent, with over half of the studies demonstrating no positive effects. The studies were similar in terms of some intervention characteristics, with most involving some form of group learning and training programme (e.g. role play, problem-solving and perspective-taking workshops). Two offered e-coaching. The studies differed in terms of location, setting, study participants, duration and approach, with one study using mindfulness techniques and another incorporating a ‘systemic’ approach (the organization wide introduction of a new IT system). This makes it difficult to compare the interventions or generalise the results beyond these individual studies. </w:t>
      </w:r>
    </w:p>
    <w:p w14:paraId="63688D12" w14:textId="77777777" w:rsidR="00817A2F" w:rsidRPr="00817A2F" w:rsidRDefault="00817A2F" w:rsidP="00817A2F">
      <w:pPr>
        <w:spacing w:after="200" w:line="360" w:lineRule="auto"/>
        <w:contextualSpacing/>
        <w:rPr>
          <w:rFonts w:ascii="Calibri" w:eastAsia="Calibri" w:hAnsi="Calibri" w:cs="Times New Roman"/>
        </w:rPr>
      </w:pPr>
    </w:p>
    <w:p w14:paraId="3CF8C634"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lastRenderedPageBreak/>
        <w:t>In terms of design, the quality of the studies was high, with all of the studies containing a control or comparison group and all measuring work engagement both pre and post intervention. A deeper investigation into the quality of the studies revealed that many did not include, or only partially reported, a process evaluation, thus it was not always clear how the success of intervention implementation may have affected the results. However, where factors concerning reasons for attrition, compliance, or adverse events were reported, the implications on the results could have been severe. Consequently, it is impossible to determine whether the results observed were due to factors concerning intervention design and content, variables not measured by interventions, or factors concerning the implementation of interventions. Furthermore, the quality of the studies was further impacted by small sample sizes, reliance on self-report data, and the use of non-equivalent comparison groups and selective sampling strategies. These factors raise questions about the validity of citing these studies in support of the effectiveness of work engagement interventions.</w:t>
      </w:r>
    </w:p>
    <w:p w14:paraId="2ED88A7D" w14:textId="77777777" w:rsidR="00817A2F" w:rsidRPr="00817A2F" w:rsidRDefault="00817A2F" w:rsidP="00817A2F">
      <w:pPr>
        <w:spacing w:after="200" w:line="360" w:lineRule="auto"/>
        <w:contextualSpacing/>
        <w:rPr>
          <w:rFonts w:ascii="Calibri" w:eastAsia="Calibri" w:hAnsi="Calibri" w:cs="Times New Roman"/>
        </w:rPr>
      </w:pPr>
    </w:p>
    <w:p w14:paraId="4445AFD5" w14:textId="77777777" w:rsidR="00817A2F" w:rsidRPr="00817A2F" w:rsidRDefault="00817A2F" w:rsidP="0009618B">
      <w:pPr>
        <w:pStyle w:val="Heading3"/>
      </w:pPr>
      <w:bookmarkStart w:id="179" w:name="_Toc450214033"/>
      <w:bookmarkStart w:id="180" w:name="_Toc468285966"/>
      <w:r w:rsidRPr="00817A2F">
        <w:t>Effectiveness of job resource building interventions on work engagement</w:t>
      </w:r>
      <w:bookmarkEnd w:id="179"/>
      <w:bookmarkEnd w:id="180"/>
    </w:p>
    <w:p w14:paraId="407750BA" w14:textId="77777777" w:rsidR="00817A2F" w:rsidRPr="00817A2F" w:rsidRDefault="00817A2F" w:rsidP="00817A2F">
      <w:pPr>
        <w:spacing w:after="200" w:line="360" w:lineRule="auto"/>
        <w:contextualSpacing/>
        <w:rPr>
          <w:rFonts w:ascii="Calibri" w:eastAsia="Calibri" w:hAnsi="Calibri" w:cs="Times New Roman"/>
        </w:rPr>
      </w:pPr>
    </w:p>
    <w:p w14:paraId="3C60BAF3" w14:textId="625A22B2"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Almost all of the studies conducting job resource building interventions demonstrated non-significant positive effects on work engagement. The only significant effect was observed for those initially low in engagement (Naruse </w:t>
      </w:r>
      <w:r w:rsidR="00B64DD5">
        <w:rPr>
          <w:rFonts w:ascii="Calibri" w:eastAsia="Calibri" w:hAnsi="Calibri" w:cs="Times New Roman"/>
        </w:rPr>
        <w:t>et al.,</w:t>
      </w:r>
      <w:r w:rsidRPr="00817A2F">
        <w:rPr>
          <w:rFonts w:ascii="Calibri" w:eastAsia="Calibri" w:hAnsi="Calibri" w:cs="Times New Roman"/>
        </w:rPr>
        <w:t xml:space="preserve"> 2014). The results were also mixed in terms of the subcomponents of work engagement, with one study noting increases in vigour and dedication (Cifre </w:t>
      </w:r>
      <w:r w:rsidR="00B64DD5">
        <w:rPr>
          <w:rFonts w:ascii="Calibri" w:eastAsia="Calibri" w:hAnsi="Calibri" w:cs="Times New Roman"/>
        </w:rPr>
        <w:t>et al.,</w:t>
      </w:r>
      <w:r w:rsidRPr="00817A2F">
        <w:rPr>
          <w:rFonts w:ascii="Calibri" w:eastAsia="Calibri" w:hAnsi="Calibri" w:cs="Times New Roman"/>
        </w:rPr>
        <w:t xml:space="preserve"> 2011), and one study noting an increase in absorption and a decrease in dedication (Coffeng </w:t>
      </w:r>
      <w:r w:rsidR="00B64DD5">
        <w:rPr>
          <w:rFonts w:ascii="Calibri" w:eastAsia="Calibri" w:hAnsi="Calibri" w:cs="Times New Roman"/>
        </w:rPr>
        <w:t>et al.,</w:t>
      </w:r>
      <w:r w:rsidRPr="00817A2F">
        <w:rPr>
          <w:rFonts w:ascii="Calibri" w:eastAsia="Calibri" w:hAnsi="Calibri" w:cs="Times New Roman"/>
        </w:rPr>
        <w:t xml:space="preserve"> 2014). The fact that different studies measured different aspects of work engagement, and the number of studies within this section is small, makes it difficult to draw conclusions. </w:t>
      </w:r>
    </w:p>
    <w:p w14:paraId="65F0CBC6" w14:textId="77777777" w:rsidR="00817A2F" w:rsidRPr="00817A2F" w:rsidRDefault="00817A2F" w:rsidP="00817A2F">
      <w:pPr>
        <w:spacing w:after="200" w:line="360" w:lineRule="auto"/>
        <w:contextualSpacing/>
        <w:rPr>
          <w:rFonts w:ascii="Calibri" w:eastAsia="Calibri" w:hAnsi="Calibri" w:cs="Times New Roman"/>
        </w:rPr>
      </w:pPr>
    </w:p>
    <w:p w14:paraId="61C6606A"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Furthermore, the heterogeneity between the studies was large, with studies varying in terms of location, setting, intervention components and style of delivery. This makes it difficult to determine which factors might promote the success of job resource interventions as, for example, interventions may have been conducted in groups or with individuals, and may have involved an action-research component, redesigning job roles or redesigning the work environment. The job resources which each intervention intended to increase also varied, making it impossible to determine which may be the most effective targets. For example, different studies observed increases in innovation climate, social support, autonomy, opportunity for professional development, and organisational flexibility and communication. Future studies would benefit from including such measures in order to better determine the effect of interventions on these factors and their relationship with work engagement. </w:t>
      </w:r>
    </w:p>
    <w:p w14:paraId="126DBB85" w14:textId="77777777" w:rsidR="00817A2F" w:rsidRPr="00817A2F" w:rsidRDefault="00817A2F" w:rsidP="00817A2F">
      <w:pPr>
        <w:spacing w:after="200" w:line="360" w:lineRule="auto"/>
        <w:contextualSpacing/>
        <w:rPr>
          <w:rFonts w:ascii="Calibri" w:eastAsia="Calibri" w:hAnsi="Calibri" w:cs="Times New Roman"/>
        </w:rPr>
      </w:pPr>
    </w:p>
    <w:p w14:paraId="16BF9E35" w14:textId="451C33D0"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lastRenderedPageBreak/>
        <w:t xml:space="preserve">Study designs were generally of lower quality than in previous intervention categories, with one being cross-sectional (Martinussen </w:t>
      </w:r>
      <w:r w:rsidR="00B64DD5">
        <w:rPr>
          <w:rFonts w:ascii="Calibri" w:eastAsia="Calibri" w:hAnsi="Calibri" w:cs="Times New Roman"/>
        </w:rPr>
        <w:t>et al.,</w:t>
      </w:r>
      <w:r w:rsidRPr="00817A2F">
        <w:rPr>
          <w:rFonts w:ascii="Calibri" w:eastAsia="Calibri" w:hAnsi="Calibri" w:cs="Times New Roman"/>
        </w:rPr>
        <w:t xml:space="preserve"> 2012), and one lacking a control group (Rickard </w:t>
      </w:r>
      <w:r w:rsidR="00B64DD5">
        <w:rPr>
          <w:rFonts w:ascii="Calibri" w:eastAsia="Calibri" w:hAnsi="Calibri" w:cs="Times New Roman"/>
        </w:rPr>
        <w:t>et al.,</w:t>
      </w:r>
      <w:r w:rsidRPr="00817A2F">
        <w:rPr>
          <w:rFonts w:ascii="Calibri" w:eastAsia="Calibri" w:hAnsi="Calibri" w:cs="Times New Roman"/>
        </w:rPr>
        <w:t xml:space="preserve"> 2012). In addition, all measures were self-report and response rates varied dramatically, from very low (&lt;15%) to good (&gt;75%). Most studies did not assess differences between intervention and control groups at baseline, which could have been a source of bias, particularly as the intervention groups in some studies were selected by the participating organisations. Sample sizes were also small in some studies. Only one study provided a process evaluation (Coffeng </w:t>
      </w:r>
      <w:r w:rsidR="00B64DD5">
        <w:rPr>
          <w:rFonts w:ascii="Calibri" w:eastAsia="Calibri" w:hAnsi="Calibri" w:cs="Times New Roman"/>
        </w:rPr>
        <w:t>et al.,</w:t>
      </w:r>
      <w:r w:rsidRPr="00817A2F">
        <w:rPr>
          <w:rFonts w:ascii="Calibri" w:eastAsia="Calibri" w:hAnsi="Calibri" w:cs="Times New Roman"/>
        </w:rPr>
        <w:t xml:space="preserve"> 2014), making it difficult to assess the underlying reasons for the results observed in the other studies. All studies reported factors which may have impacted the results negatively, from high staff turnover to lack of staff motivation to comply with interventions to not all sessions being delivered as planned. Other barriers to the success of interventions included lack of time, annual leave, a perception that the intervention wouldn’t be useful, and a lack of resources to deliver an intervention. </w:t>
      </w:r>
    </w:p>
    <w:p w14:paraId="50251645" w14:textId="77777777" w:rsidR="00817A2F" w:rsidRPr="00817A2F" w:rsidRDefault="00817A2F" w:rsidP="00817A2F">
      <w:pPr>
        <w:spacing w:after="200" w:line="360" w:lineRule="auto"/>
        <w:contextualSpacing/>
        <w:rPr>
          <w:rFonts w:ascii="Calibri" w:eastAsia="Calibri" w:hAnsi="Calibri" w:cs="Times New Roman"/>
        </w:rPr>
      </w:pPr>
    </w:p>
    <w:p w14:paraId="39D425B1" w14:textId="77777777" w:rsidR="00817A2F" w:rsidRPr="00817A2F" w:rsidRDefault="00817A2F" w:rsidP="0009618B">
      <w:pPr>
        <w:pStyle w:val="Heading3"/>
      </w:pPr>
      <w:bookmarkStart w:id="181" w:name="_Toc450214034"/>
      <w:bookmarkStart w:id="182" w:name="_Toc468285967"/>
      <w:r w:rsidRPr="00817A2F">
        <w:t>Effectiveness of leadership training interventions on work engagement</w:t>
      </w:r>
      <w:bookmarkEnd w:id="181"/>
      <w:bookmarkEnd w:id="182"/>
    </w:p>
    <w:p w14:paraId="1AB6BBDD" w14:textId="77777777" w:rsidR="00817A2F" w:rsidRPr="00817A2F" w:rsidRDefault="00817A2F" w:rsidP="00817A2F">
      <w:pPr>
        <w:spacing w:after="200" w:line="360" w:lineRule="auto"/>
        <w:contextualSpacing/>
        <w:rPr>
          <w:rFonts w:ascii="Calibri" w:eastAsia="Calibri" w:hAnsi="Calibri" w:cs="Times New Roman"/>
        </w:rPr>
      </w:pPr>
    </w:p>
    <w:p w14:paraId="6F51C87A"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Four of the five studies which conducted leadership training interventions demonstrated positive effects on work engagement and / or its sub-components, however, none of these effects were significant when compared to a control group. The studies were heterogeneous in terms of location, setting, duration and design, but were broadly similar in terms of intervention style (group) and components (e.g. psych-educational workshops, problem solving training, coaching). All but one study (Angelo and Chambel, 2013) adopted a non-randomised approach and all employed a matched or non-matched comparison group. All of the studies which compared groups at baseline found differences between them, suggesting biased results. The quality of the studies was further reduced by poor response and attrition rates in some studies, lack of attrition bias assessment, and difficulties implementing interventions as planned. In fact, only two of the five studies reported a detailed process evaluation, preventing an evaluation of reasons affecting the success of interventions in the other studies. One study in particular noted two unforeseen events which were likely to have negatively impacted the results and reduced their robustness (Kmiec, 2010). </w:t>
      </w:r>
    </w:p>
    <w:p w14:paraId="2F84DD31" w14:textId="77777777" w:rsidR="00817A2F" w:rsidRPr="00817A2F" w:rsidRDefault="00817A2F" w:rsidP="00817A2F">
      <w:pPr>
        <w:spacing w:after="200" w:line="360" w:lineRule="auto"/>
        <w:contextualSpacing/>
        <w:rPr>
          <w:rFonts w:ascii="Calibri" w:eastAsia="Calibri" w:hAnsi="Calibri" w:cs="Times New Roman"/>
        </w:rPr>
      </w:pPr>
    </w:p>
    <w:p w14:paraId="172677CC" w14:textId="77777777" w:rsidR="00817A2F" w:rsidRPr="00817A2F" w:rsidRDefault="00817A2F" w:rsidP="0009618B">
      <w:pPr>
        <w:pStyle w:val="Heading3"/>
      </w:pPr>
      <w:bookmarkStart w:id="183" w:name="_Toc450214035"/>
      <w:bookmarkStart w:id="184" w:name="_Toc468285968"/>
      <w:r w:rsidRPr="00817A2F">
        <w:t>Effectiveness of health promotion interventions on work engagement</w:t>
      </w:r>
      <w:bookmarkEnd w:id="183"/>
      <w:bookmarkEnd w:id="184"/>
    </w:p>
    <w:p w14:paraId="39CE7C2A" w14:textId="77777777" w:rsidR="00817A2F" w:rsidRPr="00817A2F" w:rsidRDefault="00817A2F" w:rsidP="00817A2F">
      <w:pPr>
        <w:spacing w:after="200" w:line="360" w:lineRule="auto"/>
        <w:contextualSpacing/>
        <w:rPr>
          <w:rFonts w:ascii="Calibri" w:eastAsia="Calibri" w:hAnsi="Calibri" w:cs="Times New Roman"/>
        </w:rPr>
      </w:pPr>
    </w:p>
    <w:p w14:paraId="417E33CB" w14:textId="1FCC110C"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Two of the seven studies investigating the effect of health promotion interventions on work engagement observed a statistical increase in scores (Calitz, 2013; Imamura et al., 2015). Calitz (2013) also observed a statistical increase in vigour and dedication</w:t>
      </w:r>
      <w:r w:rsidR="0082211C">
        <w:rPr>
          <w:rFonts w:ascii="Calibri" w:eastAsia="Calibri" w:hAnsi="Calibri" w:cs="Times New Roman"/>
        </w:rPr>
        <w:t>,</w:t>
      </w:r>
      <w:r w:rsidRPr="00817A2F">
        <w:rPr>
          <w:rFonts w:ascii="Calibri" w:eastAsia="Calibri" w:hAnsi="Calibri" w:cs="Times New Roman"/>
        </w:rPr>
        <w:t xml:space="preserve"> and Strijk et al. (2013) noted a </w:t>
      </w:r>
      <w:r w:rsidRPr="00817A2F">
        <w:rPr>
          <w:rFonts w:ascii="Calibri" w:eastAsia="Calibri" w:hAnsi="Calibri" w:cs="Times New Roman"/>
        </w:rPr>
        <w:lastRenderedPageBreak/>
        <w:t xml:space="preserve">statistical increase in vigour for those who achieved above average attendance at sessions and a non-statistical increase in vigour in all intervention participants, irrespective of their attendance rate. The robustness of the results was questionable owing to the high level of heterogeneity between the studies in terms of location, setting, duration, and intervention components. All but two of the studies adopted a randomised design and contained a randomised control group, however, this does not necessarily mean that these studies achieved the highest quality, given the difficulties that many of them noted with implementing the interventions. Differences between intervention and control groups were observed by two studies (Hengel </w:t>
      </w:r>
      <w:r w:rsidR="00B64DD5">
        <w:rPr>
          <w:rFonts w:ascii="Calibri" w:eastAsia="Calibri" w:hAnsi="Calibri" w:cs="Times New Roman"/>
        </w:rPr>
        <w:t>et al.,</w:t>
      </w:r>
      <w:r w:rsidRPr="00817A2F">
        <w:rPr>
          <w:rFonts w:ascii="Calibri" w:eastAsia="Calibri" w:hAnsi="Calibri" w:cs="Times New Roman"/>
        </w:rPr>
        <w:t xml:space="preserve"> 2012, Biggs, 2011), which should be considered when interpreting the results. Blinding of outcome assessment was claimed by one study (Strijk </w:t>
      </w:r>
      <w:r w:rsidR="00B64DD5">
        <w:rPr>
          <w:rFonts w:ascii="Calibri" w:eastAsia="Calibri" w:hAnsi="Calibri" w:cs="Times New Roman"/>
        </w:rPr>
        <w:t>et al.,</w:t>
      </w:r>
      <w:r w:rsidRPr="00817A2F">
        <w:rPr>
          <w:rFonts w:ascii="Calibri" w:eastAsia="Calibri" w:hAnsi="Calibri" w:cs="Times New Roman"/>
        </w:rPr>
        <w:t xml:space="preserve"> 2013). </w:t>
      </w:r>
    </w:p>
    <w:p w14:paraId="2195D91A" w14:textId="77777777" w:rsidR="00817A2F" w:rsidRPr="00817A2F" w:rsidRDefault="00817A2F" w:rsidP="00817A2F">
      <w:pPr>
        <w:spacing w:after="200" w:line="360" w:lineRule="auto"/>
        <w:contextualSpacing/>
        <w:rPr>
          <w:rFonts w:ascii="Calibri" w:eastAsia="Calibri" w:hAnsi="Calibri" w:cs="Times New Roman"/>
        </w:rPr>
      </w:pPr>
    </w:p>
    <w:p w14:paraId="0CB67292" w14:textId="77777777"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The quality of reporting was high, with all studies providing response rates at either baseline or post-intervention and follow-up, and most providing attrition rates and a detailed process evaluation. Response rates varied from very low (&lt;25%) to the highest seen across all four categories of studies (&gt;85%) however, attrition rates, where reported, were low. Process evaluations revealed that interventions were implemented as planned, but that reach and compliance was sometimes poor. Key issues raised which may have negatively impacted the results were job insecurity, redundancy, lack of time, a sense of lack of support from top management, and changeable group dynamics, with one study reporting that participants were sometimes forced to leave sessions in order to attend to urgent work demands (Van Berkel, 2014). </w:t>
      </w:r>
    </w:p>
    <w:p w14:paraId="4E560063" w14:textId="77777777" w:rsidR="00817A2F" w:rsidRPr="00817A2F" w:rsidRDefault="00817A2F" w:rsidP="00817A2F">
      <w:pPr>
        <w:spacing w:after="200" w:line="360" w:lineRule="auto"/>
        <w:contextualSpacing/>
        <w:rPr>
          <w:rFonts w:ascii="Calibri" w:eastAsia="Calibri" w:hAnsi="Calibri" w:cs="Times New Roman"/>
        </w:rPr>
      </w:pPr>
    </w:p>
    <w:p w14:paraId="5459BC64" w14:textId="14E4FE08" w:rsidR="00817A2F" w:rsidRPr="00817A2F"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Overall, the quality of research designs amongst this cluster of studies was high, with all studies including a control group, most of which were randomised. However, the quality of intervention implementation varied</w:t>
      </w:r>
      <w:r w:rsidR="00606CEE">
        <w:rPr>
          <w:rFonts w:ascii="Calibri" w:eastAsia="Calibri" w:hAnsi="Calibri" w:cs="Times New Roman"/>
        </w:rPr>
        <w:t>,</w:t>
      </w:r>
      <w:r w:rsidRPr="00817A2F">
        <w:rPr>
          <w:rFonts w:ascii="Calibri" w:eastAsia="Calibri" w:hAnsi="Calibri" w:cs="Times New Roman"/>
        </w:rPr>
        <w:t xml:space="preserve"> and events which are likely to have adversely affected the results were frequently cited. It is therefore not possible to determine whether the lack of effects on work engagement were due to aspects of the study design or intervention components, or confounding variables, or a combination of these factors. Regardless, these studies suggested that the success of interventions is reliant on the ability of researchers to establish and maintain very good relationships with the top management of participating organisations, as well as with their employees and lower level managers. The communication of this support to employees by senior managers themselves also appears to be key.  </w:t>
      </w:r>
    </w:p>
    <w:p w14:paraId="119D2DC9" w14:textId="77777777" w:rsidR="00817A2F" w:rsidRPr="00817A2F" w:rsidRDefault="00817A2F" w:rsidP="00817A2F">
      <w:pPr>
        <w:spacing w:after="200" w:line="360" w:lineRule="auto"/>
        <w:contextualSpacing/>
        <w:rPr>
          <w:rFonts w:ascii="Calibri" w:eastAsia="Calibri" w:hAnsi="Calibri" w:cs="Times New Roman"/>
        </w:rPr>
      </w:pPr>
    </w:p>
    <w:p w14:paraId="081CB2D4" w14:textId="0011DCBB" w:rsidR="005077F1" w:rsidRDefault="00817A2F" w:rsidP="00817A2F">
      <w:pPr>
        <w:spacing w:after="200" w:line="360" w:lineRule="auto"/>
        <w:contextualSpacing/>
        <w:rPr>
          <w:rFonts w:ascii="Calibri" w:eastAsia="Calibri" w:hAnsi="Calibri" w:cs="Times New Roman"/>
        </w:rPr>
      </w:pPr>
      <w:r w:rsidRPr="00817A2F">
        <w:rPr>
          <w:rFonts w:ascii="Calibri" w:eastAsia="Calibri" w:hAnsi="Calibri" w:cs="Times New Roman"/>
        </w:rPr>
        <w:t xml:space="preserve">Taken together, the results in the above section suggest that a definitive conclusion regarding the effectiveness of interventions on work engagement cannot be reached, and it is not yet possible to </w:t>
      </w:r>
      <w:r w:rsidRPr="00817A2F">
        <w:rPr>
          <w:rFonts w:ascii="Calibri" w:eastAsia="Calibri" w:hAnsi="Calibri" w:cs="Times New Roman"/>
        </w:rPr>
        <w:lastRenderedPageBreak/>
        <w:t>determine which types of intervention may be most effective. The heterogeneity of the studies means that the results cannot be generalised beyond the samples studied and the inconsistent reporting of process evaluations makes it difficult to evaluate why an intervention may or may not have been successful. Nevertheless, it is promising that some studies observed positive effects, and it is encouraging that planned studies intended to conduct process evaluations. To progress the field and uncover those factors which are important for the success of work engagement interventions, process evaluations should be conducted alongside statistical evalu</w:t>
      </w:r>
      <w:r w:rsidR="005077F1">
        <w:rPr>
          <w:rFonts w:ascii="Calibri" w:eastAsia="Calibri" w:hAnsi="Calibri" w:cs="Times New Roman"/>
        </w:rPr>
        <w:t>ations as a matter of course.</w:t>
      </w:r>
    </w:p>
    <w:p w14:paraId="484DAD20" w14:textId="27F81605" w:rsidR="00140154" w:rsidRDefault="00140154" w:rsidP="00817A2F">
      <w:pPr>
        <w:spacing w:after="200" w:line="360" w:lineRule="auto"/>
        <w:contextualSpacing/>
        <w:rPr>
          <w:rFonts w:ascii="Calibri" w:eastAsia="Calibri" w:hAnsi="Calibri" w:cs="Times New Roman"/>
        </w:rPr>
      </w:pPr>
    </w:p>
    <w:p w14:paraId="73718376" w14:textId="28AD81FD" w:rsidR="00140154" w:rsidRDefault="00F60B8D" w:rsidP="00817A2F">
      <w:pPr>
        <w:spacing w:after="200" w:line="360" w:lineRule="auto"/>
        <w:contextualSpacing/>
        <w:rPr>
          <w:rFonts w:ascii="Calibri" w:eastAsia="Calibri" w:hAnsi="Calibri" w:cs="Times New Roman"/>
        </w:rPr>
      </w:pPr>
      <w:r>
        <w:rPr>
          <w:rFonts w:ascii="Calibri" w:eastAsia="Calibri" w:hAnsi="Calibri" w:cs="Times New Roman"/>
        </w:rPr>
        <w:t xml:space="preserve">A discussion of the findings of all four types of intervention is presented in Chapter 10, section </w:t>
      </w:r>
      <w:r>
        <w:rPr>
          <w:rFonts w:ascii="Calibri" w:eastAsia="Calibri" w:hAnsi="Calibri" w:cs="Times New Roman"/>
        </w:rPr>
        <w:fldChar w:fldCharType="begin"/>
      </w:r>
      <w:r>
        <w:rPr>
          <w:rFonts w:ascii="Calibri" w:eastAsia="Calibri" w:hAnsi="Calibri" w:cs="Times New Roman"/>
        </w:rPr>
        <w:instrText xml:space="preserve"> REF _Ref468108805 \n \h </w:instrText>
      </w:r>
      <w:r>
        <w:rPr>
          <w:rFonts w:ascii="Calibri" w:eastAsia="Calibri" w:hAnsi="Calibri" w:cs="Times New Roman"/>
        </w:rPr>
      </w:r>
      <w:r>
        <w:rPr>
          <w:rFonts w:ascii="Calibri" w:eastAsia="Calibri" w:hAnsi="Calibri" w:cs="Times New Roman"/>
        </w:rPr>
        <w:fldChar w:fldCharType="separate"/>
      </w:r>
      <w:r>
        <w:rPr>
          <w:rFonts w:ascii="Calibri" w:eastAsia="Calibri" w:hAnsi="Calibri" w:cs="Times New Roman"/>
        </w:rPr>
        <w:t>10.1</w:t>
      </w:r>
      <w:r>
        <w:rPr>
          <w:rFonts w:ascii="Calibri" w:eastAsia="Calibri" w:hAnsi="Calibri" w:cs="Times New Roman"/>
        </w:rPr>
        <w:fldChar w:fldCharType="end"/>
      </w:r>
      <w:r>
        <w:rPr>
          <w:rFonts w:ascii="Calibri" w:eastAsia="Calibri" w:hAnsi="Calibri" w:cs="Times New Roman"/>
        </w:rPr>
        <w:t>. This discussion integrates the findings of this narrative systematic review with the findings from the meta-a</w:t>
      </w:r>
      <w:r w:rsidR="00CB336C">
        <w:rPr>
          <w:rFonts w:ascii="Calibri" w:eastAsia="Calibri" w:hAnsi="Calibri" w:cs="Times New Roman"/>
        </w:rPr>
        <w:t xml:space="preserve">nalysis presented in Chapter 6, and draws general conclusions about the effectiveness of work engagement interventions as a whole, and </w:t>
      </w:r>
      <w:r w:rsidR="00A05CB2">
        <w:rPr>
          <w:rFonts w:ascii="Calibri" w:eastAsia="Calibri" w:hAnsi="Calibri" w:cs="Times New Roman"/>
        </w:rPr>
        <w:t>considers whether intervention type and quality have an impact. It concludes with a discussion of the theoretical, research, and practical implications of this study</w:t>
      </w:r>
      <w:r w:rsidR="00AB65CE">
        <w:rPr>
          <w:rFonts w:ascii="Calibri" w:eastAsia="Calibri" w:hAnsi="Calibri" w:cs="Times New Roman"/>
        </w:rPr>
        <w:t>, as well as limitations</w:t>
      </w:r>
      <w:r w:rsidR="00A05CB2">
        <w:rPr>
          <w:rFonts w:ascii="Calibri" w:eastAsia="Calibri" w:hAnsi="Calibri" w:cs="Times New Roman"/>
        </w:rPr>
        <w:t xml:space="preserve">. </w:t>
      </w:r>
      <w:r w:rsidR="00CB336C">
        <w:rPr>
          <w:rFonts w:ascii="Calibri" w:eastAsia="Calibri" w:hAnsi="Calibri" w:cs="Times New Roman"/>
        </w:rPr>
        <w:t xml:space="preserve">  </w:t>
      </w:r>
    </w:p>
    <w:p w14:paraId="01205419" w14:textId="77777777" w:rsidR="00140154" w:rsidRDefault="00140154" w:rsidP="00817A2F">
      <w:pPr>
        <w:spacing w:after="200" w:line="360" w:lineRule="auto"/>
        <w:contextualSpacing/>
        <w:rPr>
          <w:rFonts w:ascii="Calibri" w:eastAsia="Calibri" w:hAnsi="Calibri" w:cs="Times New Roman"/>
        </w:rPr>
        <w:sectPr w:rsidR="00140154" w:rsidSect="00E6060C">
          <w:pgSz w:w="11906" w:h="16838"/>
          <w:pgMar w:top="1440" w:right="1440" w:bottom="1440" w:left="1440" w:header="709" w:footer="709" w:gutter="0"/>
          <w:cols w:space="708"/>
          <w:docGrid w:linePitch="360"/>
        </w:sectPr>
      </w:pPr>
    </w:p>
    <w:p w14:paraId="6BD615BA" w14:textId="6B6C2581" w:rsidR="00E6060C" w:rsidRPr="00BE7398" w:rsidRDefault="00E6060C" w:rsidP="002D3426">
      <w:pPr>
        <w:pStyle w:val="Heading1"/>
      </w:pPr>
      <w:bookmarkStart w:id="185" w:name="_Toc468285969"/>
      <w:r w:rsidRPr="00BE7398">
        <w:lastRenderedPageBreak/>
        <w:t>An evaluation of the effectiveness of work engagement interventions: A meta-analysis</w:t>
      </w:r>
      <w:bookmarkEnd w:id="99"/>
      <w:bookmarkEnd w:id="100"/>
      <w:bookmarkEnd w:id="185"/>
    </w:p>
    <w:p w14:paraId="0F0C81FA" w14:textId="77777777" w:rsidR="00E6060C" w:rsidRPr="00E6060C" w:rsidRDefault="00E6060C" w:rsidP="00E6060C">
      <w:pPr>
        <w:spacing w:before="200" w:line="360" w:lineRule="auto"/>
        <w:contextualSpacing/>
        <w:jc w:val="center"/>
        <w:rPr>
          <w:rFonts w:ascii="Calibri" w:eastAsia="Calibri" w:hAnsi="Calibri" w:cs="Times New Roman"/>
          <w:b/>
          <w:sz w:val="24"/>
          <w:szCs w:val="24"/>
        </w:rPr>
      </w:pPr>
    </w:p>
    <w:p w14:paraId="6DE2FB9B" w14:textId="090F8429" w:rsidR="00E6060C" w:rsidRPr="00E6060C" w:rsidRDefault="00E6060C" w:rsidP="00397E67">
      <w:pPr>
        <w:pStyle w:val="Thesisheading2"/>
      </w:pPr>
      <w:bookmarkStart w:id="186" w:name="_Toc431470126"/>
      <w:bookmarkStart w:id="187" w:name="_Toc468285970"/>
      <w:bookmarkStart w:id="188" w:name="_Toc406750013"/>
      <w:r w:rsidRPr="00E6060C">
        <w:t>Introduction</w:t>
      </w:r>
      <w:bookmarkEnd w:id="186"/>
      <w:bookmarkEnd w:id="187"/>
    </w:p>
    <w:p w14:paraId="37DB5475" w14:textId="77777777" w:rsidR="00E6060C" w:rsidRPr="00E6060C" w:rsidRDefault="00E6060C" w:rsidP="00E6060C">
      <w:pPr>
        <w:spacing w:after="200" w:line="360" w:lineRule="auto"/>
        <w:contextualSpacing/>
        <w:rPr>
          <w:rFonts w:ascii="Calibri" w:eastAsia="Calibri" w:hAnsi="Calibri" w:cs="Times New Roman"/>
        </w:rPr>
      </w:pPr>
    </w:p>
    <w:p w14:paraId="7443DCC0" w14:textId="76479B30"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This study follows on from the systematic review of the effectiveness of work engagement interventions discussed in Chapter </w:t>
      </w:r>
      <w:r w:rsidR="008F6182">
        <w:rPr>
          <w:rFonts w:ascii="Calibri" w:eastAsia="Calibri" w:hAnsi="Calibri" w:cs="Times New Roman"/>
        </w:rPr>
        <w:t>5</w:t>
      </w:r>
      <w:r w:rsidRPr="00E6060C">
        <w:rPr>
          <w:rFonts w:ascii="Calibri" w:eastAsia="Calibri" w:hAnsi="Calibri" w:cs="Times New Roman"/>
        </w:rPr>
        <w:t>. This systematic review identified and gathered all the available work engagement interventions to date, both published and unpublished. A narrative review of the evidence suggested that it is not clear whether work engagement interventions are effective or not, with some studies reporting positive results, some reporting negative results, and some reporting no effects. In addition, issues regarding intervention implementation were paramount, with many studies citing poor response, attendance, and attrition rates as well as major adverse events (e.g. mergers, redundancy, economic downturn) which may have impinged on the success of interventions. To my knowledge, no other reviews of work engagement interventions exist, hence this narrative review offers a novel insight into the field and particularly support</w:t>
      </w:r>
      <w:r w:rsidR="008F6182">
        <w:rPr>
          <w:rFonts w:ascii="Calibri" w:eastAsia="Calibri" w:hAnsi="Calibri" w:cs="Times New Roman"/>
        </w:rPr>
        <w:t>s</w:t>
      </w:r>
      <w:r w:rsidRPr="00E6060C">
        <w:rPr>
          <w:rFonts w:ascii="Calibri" w:eastAsia="Calibri" w:hAnsi="Calibri" w:cs="Times New Roman"/>
        </w:rPr>
        <w:t xml:space="preserve"> previous research suggesting the incorporation of process evaluations alongside a statistical evaluation as a matter of course in order to explore how and why interventions work (Nielsen et al., 2007; Nielsen, Randall et al., 2010). </w:t>
      </w:r>
    </w:p>
    <w:p w14:paraId="6A78A031" w14:textId="77777777" w:rsidR="00E6060C" w:rsidRPr="00E6060C" w:rsidRDefault="00E6060C" w:rsidP="00E6060C">
      <w:pPr>
        <w:spacing w:after="200" w:line="360" w:lineRule="auto"/>
        <w:contextualSpacing/>
        <w:rPr>
          <w:rFonts w:ascii="Calibri" w:eastAsia="Calibri" w:hAnsi="Calibri" w:cs="Times New Roman"/>
        </w:rPr>
      </w:pPr>
    </w:p>
    <w:p w14:paraId="30A66E1D" w14:textId="34196930"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order to quantitatively synthesise these results, and investigate further whether work engagement interventions are successful, meta-analytic techniques will be used. It is hoped that a moderator analysis investigating the intervention type (i.e. job resource building, personal resource building, leadership training and health promotion interventions) and style (group, individual and online interventions) will help to explore the reasons why some interventions may be more successful than others. The benefits of incorporating a meta-analysis alongside a narrative systematic review are discussed in Chapter 3, section 3.5.1, and will not be discussed again here. This chapter will describe in detail the method used to identify, select and meta-analytically evaluate studies which were initially identified by the systematic review. The results section will describe the findings and will be followed by a</w:t>
      </w:r>
      <w:r w:rsidR="008F6182">
        <w:rPr>
          <w:rFonts w:ascii="Calibri" w:eastAsia="Calibri" w:hAnsi="Calibri" w:cs="Times New Roman"/>
        </w:rPr>
        <w:t xml:space="preserve"> summary</w:t>
      </w:r>
      <w:r w:rsidRPr="00E6060C">
        <w:rPr>
          <w:rFonts w:ascii="Calibri" w:eastAsia="Calibri" w:hAnsi="Calibri" w:cs="Times New Roman"/>
        </w:rPr>
        <w:t xml:space="preserve"> and a conclusion. </w:t>
      </w:r>
      <w:r w:rsidR="008F6182">
        <w:rPr>
          <w:rFonts w:ascii="Calibri" w:eastAsia="Calibri" w:hAnsi="Calibri" w:cs="Times New Roman"/>
        </w:rPr>
        <w:t>The study findings are further discussed in Chapter 10.</w:t>
      </w:r>
    </w:p>
    <w:p w14:paraId="7BDB211A" w14:textId="77777777" w:rsidR="00E6060C" w:rsidRPr="00E6060C" w:rsidRDefault="00E6060C" w:rsidP="00E6060C">
      <w:pPr>
        <w:spacing w:after="200" w:line="360" w:lineRule="auto"/>
        <w:contextualSpacing/>
        <w:rPr>
          <w:rFonts w:ascii="Calibri" w:eastAsia="Calibri" w:hAnsi="Calibri" w:cs="Times New Roman"/>
        </w:rPr>
      </w:pPr>
    </w:p>
    <w:p w14:paraId="7E5F4F4B" w14:textId="77777777" w:rsidR="00334496" w:rsidRDefault="00334496">
      <w:pPr>
        <w:spacing w:after="160"/>
        <w:rPr>
          <w:rFonts w:asciiTheme="majorHAnsi" w:hAnsiTheme="majorHAnsi"/>
          <w:b/>
          <w:sz w:val="26"/>
          <w:szCs w:val="26"/>
          <w:highlight w:val="lightGray"/>
        </w:rPr>
      </w:pPr>
      <w:bookmarkStart w:id="189" w:name="_Toc413261245"/>
      <w:bookmarkStart w:id="190" w:name="_Toc431470127"/>
      <w:r>
        <w:rPr>
          <w:highlight w:val="lightGray"/>
        </w:rPr>
        <w:br w:type="page"/>
      </w:r>
    </w:p>
    <w:p w14:paraId="2091E918" w14:textId="78C6D17B" w:rsidR="00E6060C" w:rsidRPr="00E6060C" w:rsidRDefault="00E6060C" w:rsidP="0009618B">
      <w:pPr>
        <w:pStyle w:val="Heading3"/>
        <w:numPr>
          <w:ilvl w:val="0"/>
          <w:numId w:val="0"/>
        </w:numPr>
      </w:pPr>
      <w:bookmarkStart w:id="191" w:name="_Toc468285971"/>
      <w:r w:rsidRPr="00E6060C">
        <w:lastRenderedPageBreak/>
        <w:t>Research objective</w:t>
      </w:r>
      <w:bookmarkEnd w:id="189"/>
      <w:bookmarkEnd w:id="190"/>
      <w:bookmarkEnd w:id="191"/>
    </w:p>
    <w:p w14:paraId="18A800EF" w14:textId="77777777" w:rsidR="00E6060C" w:rsidRPr="00E6060C" w:rsidRDefault="00E6060C" w:rsidP="00E6060C">
      <w:pPr>
        <w:spacing w:after="200" w:line="360" w:lineRule="auto"/>
        <w:contextualSpacing/>
        <w:rPr>
          <w:rFonts w:ascii="Calibri" w:eastAsia="Calibri" w:hAnsi="Calibri" w:cs="Times New Roman"/>
        </w:rPr>
      </w:pPr>
    </w:p>
    <w:p w14:paraId="003881AF"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purpose of this meta-analysis is to quantitatively synthesise the systematically identified evidence (see Chapter 5) for the effectiveness of work engagement interventions. It is hoped that by conducting a meta-analysis, this study will initiate discussion on the direction of future work engagement intervention research.</w:t>
      </w:r>
    </w:p>
    <w:p w14:paraId="12D3B42D" w14:textId="77777777" w:rsidR="00E6060C" w:rsidRPr="00E6060C" w:rsidRDefault="00E6060C" w:rsidP="00E6060C">
      <w:pPr>
        <w:spacing w:after="200" w:line="360" w:lineRule="auto"/>
        <w:rPr>
          <w:rFonts w:ascii="Calibri" w:eastAsia="Calibri" w:hAnsi="Calibri" w:cs="Times New Roman"/>
        </w:rPr>
      </w:pPr>
    </w:p>
    <w:p w14:paraId="5EB3CC28" w14:textId="3E577F1F" w:rsidR="00E6060C" w:rsidRPr="00E6060C" w:rsidRDefault="00E6060C" w:rsidP="0009618B">
      <w:pPr>
        <w:pStyle w:val="Heading3"/>
      </w:pPr>
      <w:bookmarkStart w:id="192" w:name="_Toc413261246"/>
      <w:bookmarkStart w:id="193" w:name="_Toc431470128"/>
      <w:bookmarkStart w:id="194" w:name="_Toc468285972"/>
      <w:r w:rsidRPr="00E6060C">
        <w:t>Work engagement definition</w:t>
      </w:r>
      <w:bookmarkEnd w:id="192"/>
      <w:bookmarkEnd w:id="193"/>
      <w:bookmarkEnd w:id="194"/>
    </w:p>
    <w:p w14:paraId="383C90D4" w14:textId="77777777" w:rsidR="007975E1" w:rsidRDefault="007975E1" w:rsidP="00E6060C">
      <w:pPr>
        <w:spacing w:after="200" w:line="360" w:lineRule="auto"/>
        <w:contextualSpacing/>
        <w:rPr>
          <w:rFonts w:ascii="Calibri" w:eastAsia="Calibri" w:hAnsi="Calibri" w:cs="Times New Roman"/>
        </w:rPr>
      </w:pPr>
    </w:p>
    <w:p w14:paraId="0DFD09DF" w14:textId="6C1DE99A" w:rsidR="00E6060C" w:rsidRPr="00E6060C" w:rsidRDefault="00E6060C" w:rsidP="00E6060C">
      <w:pPr>
        <w:spacing w:after="200" w:line="360" w:lineRule="auto"/>
        <w:contextualSpacing/>
        <w:rPr>
          <w:rFonts w:ascii="Calibri" w:eastAsia="Calibri" w:hAnsi="Calibri" w:cs="Times New Roman"/>
          <w:b/>
        </w:rPr>
      </w:pPr>
      <w:r w:rsidRPr="00E6060C">
        <w:rPr>
          <w:rFonts w:ascii="Calibri" w:eastAsia="Calibri" w:hAnsi="Calibri" w:cs="Times New Roman"/>
        </w:rPr>
        <w:t>As discussed in Chapter 2, Schaufeli and colleagues’ (2002) approach to work engagement will be adopted for the purpose of this systematic, meta-analytic review. To recap, they view work engagement as ‘a positive, fulfilling, work-related state of mind that is characterised by vigor, dedication, and absorption’ (</w:t>
      </w:r>
      <w:r w:rsidRPr="00E6060C">
        <w:rPr>
          <w:rFonts w:ascii="Calibri" w:eastAsia="Calibri" w:hAnsi="Calibri" w:cs="Times New Roman"/>
          <w:bCs/>
        </w:rPr>
        <w:t>Schaufeli et al.</w:t>
      </w:r>
      <w:r w:rsidRPr="00E6060C">
        <w:rPr>
          <w:rFonts w:ascii="Calibri" w:eastAsia="Calibri" w:hAnsi="Calibri" w:cs="Times New Roman"/>
        </w:rPr>
        <w:t>, 2002, p.74)</w:t>
      </w:r>
      <w:r w:rsidR="00FD7E14">
        <w:rPr>
          <w:rFonts w:ascii="Calibri" w:eastAsia="Calibri" w:hAnsi="Calibri" w:cs="Times New Roman"/>
        </w:rPr>
        <w:t>,</w:t>
      </w:r>
      <w:r w:rsidRPr="00E6060C">
        <w:rPr>
          <w:rFonts w:ascii="Calibri" w:eastAsia="Calibri" w:hAnsi="Calibri" w:cs="Times New Roman"/>
        </w:rPr>
        <w:t xml:space="preserve"> and this approach has arguably received the most empirical support to date (Hakanan &amp; Roodt, 2010). The </w:t>
      </w:r>
      <w:r w:rsidR="00FD7E14">
        <w:rPr>
          <w:rFonts w:ascii="Calibri" w:eastAsia="Calibri" w:hAnsi="Calibri" w:cs="Times New Roman"/>
        </w:rPr>
        <w:t xml:space="preserve">narrative </w:t>
      </w:r>
      <w:r w:rsidRPr="00E6060C">
        <w:rPr>
          <w:rFonts w:ascii="Calibri" w:eastAsia="Calibri" w:hAnsi="Calibri" w:cs="Times New Roman"/>
        </w:rPr>
        <w:t>systematic review found that intervention studies almost exclusively employed the UWES as their measure of work engagement,</w:t>
      </w:r>
      <w:r w:rsidR="00590913">
        <w:rPr>
          <w:rFonts w:ascii="Calibri" w:eastAsia="Calibri" w:hAnsi="Calibri" w:cs="Times New Roman"/>
        </w:rPr>
        <w:t xml:space="preserve"> suggesting the dominance of this approach. </w:t>
      </w:r>
      <w:r w:rsidRPr="00E6060C">
        <w:rPr>
          <w:rFonts w:ascii="Calibri" w:eastAsia="Calibri" w:hAnsi="Calibri" w:cs="Times New Roman"/>
        </w:rPr>
        <w:t xml:space="preserve">This meta-analysis is based on a methodologically appropriate subset of </w:t>
      </w:r>
      <w:r w:rsidR="00FD7E14">
        <w:rPr>
          <w:rFonts w:ascii="Calibri" w:eastAsia="Calibri" w:hAnsi="Calibri" w:cs="Times New Roman"/>
        </w:rPr>
        <w:t>all the</w:t>
      </w:r>
      <w:r w:rsidRPr="00E6060C">
        <w:rPr>
          <w:rFonts w:ascii="Calibri" w:eastAsia="Calibri" w:hAnsi="Calibri" w:cs="Times New Roman"/>
        </w:rPr>
        <w:t xml:space="preserve"> studies</w:t>
      </w:r>
      <w:r w:rsidR="00FD7E14">
        <w:rPr>
          <w:rFonts w:ascii="Calibri" w:eastAsia="Calibri" w:hAnsi="Calibri" w:cs="Times New Roman"/>
        </w:rPr>
        <w:t xml:space="preserve"> included in this narrative systematic review.</w:t>
      </w:r>
      <w:r w:rsidRPr="00E6060C">
        <w:rPr>
          <w:rFonts w:ascii="Calibri" w:eastAsia="Calibri" w:hAnsi="Calibri" w:cs="Times New Roman"/>
        </w:rPr>
        <w:t xml:space="preserve"> </w:t>
      </w:r>
      <w:r w:rsidR="00FD7E14">
        <w:rPr>
          <w:rFonts w:ascii="Calibri" w:eastAsia="Calibri" w:hAnsi="Calibri" w:cs="Times New Roman"/>
        </w:rPr>
        <w:t xml:space="preserve">Since most studies adopted the UWES, and those which did not contained a measure with a physical, emotional and behavioural component (e.g. Shirom Vigour measure; Aikens, 2014), the </w:t>
      </w:r>
      <w:r w:rsidRPr="00E6060C">
        <w:rPr>
          <w:rFonts w:ascii="Calibri" w:eastAsia="Calibri" w:hAnsi="Calibri" w:cs="Times New Roman"/>
        </w:rPr>
        <w:t xml:space="preserve">results </w:t>
      </w:r>
      <w:r w:rsidR="00FD7E14">
        <w:rPr>
          <w:rFonts w:ascii="Calibri" w:eastAsia="Calibri" w:hAnsi="Calibri" w:cs="Times New Roman"/>
        </w:rPr>
        <w:t>will be able to be</w:t>
      </w:r>
      <w:r w:rsidRPr="00E6060C">
        <w:rPr>
          <w:rFonts w:ascii="Calibri" w:eastAsia="Calibri" w:hAnsi="Calibri" w:cs="Times New Roman"/>
        </w:rPr>
        <w:t xml:space="preserve"> </w:t>
      </w:r>
      <w:r w:rsidR="00FD7E14">
        <w:rPr>
          <w:rFonts w:ascii="Calibri" w:eastAsia="Calibri" w:hAnsi="Calibri" w:cs="Times New Roman"/>
        </w:rPr>
        <w:t xml:space="preserve">more </w:t>
      </w:r>
      <w:r w:rsidRPr="00E6060C">
        <w:rPr>
          <w:rFonts w:ascii="Calibri" w:eastAsia="Calibri" w:hAnsi="Calibri" w:cs="Times New Roman"/>
        </w:rPr>
        <w:t>meaningfully synthesised using meta-analytic techniques</w:t>
      </w:r>
      <w:r w:rsidR="00FD7E14">
        <w:rPr>
          <w:rFonts w:ascii="Calibri" w:eastAsia="Calibri" w:hAnsi="Calibri" w:cs="Times New Roman"/>
        </w:rPr>
        <w:t xml:space="preserve"> than otherwise would have been possible</w:t>
      </w:r>
      <w:r w:rsidRPr="00E6060C">
        <w:rPr>
          <w:rFonts w:ascii="Calibri" w:eastAsia="Calibri" w:hAnsi="Calibri" w:cs="Times New Roman"/>
        </w:rPr>
        <w:t xml:space="preserve">. </w:t>
      </w:r>
    </w:p>
    <w:p w14:paraId="3F705F11" w14:textId="77777777" w:rsidR="00E6060C" w:rsidRPr="00E6060C" w:rsidRDefault="00E6060C" w:rsidP="00E6060C">
      <w:pPr>
        <w:spacing w:after="200" w:line="276" w:lineRule="auto"/>
        <w:rPr>
          <w:rFonts w:ascii="Calibri" w:eastAsia="Calibri" w:hAnsi="Calibri" w:cs="Times New Roman"/>
        </w:rPr>
      </w:pPr>
    </w:p>
    <w:p w14:paraId="4DDC703F" w14:textId="77777777" w:rsidR="00E6060C" w:rsidRPr="00E6060C" w:rsidRDefault="00E6060C" w:rsidP="0009618B">
      <w:pPr>
        <w:pStyle w:val="Heading3"/>
      </w:pPr>
      <w:bookmarkStart w:id="195" w:name="_Toc413261248"/>
      <w:bookmarkStart w:id="196" w:name="_Toc431470130"/>
      <w:bookmarkStart w:id="197" w:name="_Toc468285973"/>
      <w:r w:rsidRPr="00E6060C">
        <w:t>Outcomes of work engagement interventions</w:t>
      </w:r>
      <w:bookmarkEnd w:id="195"/>
      <w:bookmarkEnd w:id="196"/>
      <w:bookmarkEnd w:id="197"/>
    </w:p>
    <w:p w14:paraId="1CCB0658" w14:textId="77777777" w:rsidR="00E6060C" w:rsidRPr="00E6060C" w:rsidRDefault="00E6060C" w:rsidP="00E6060C">
      <w:pPr>
        <w:spacing w:before="200" w:line="360" w:lineRule="auto"/>
        <w:rPr>
          <w:rFonts w:ascii="Calibri" w:eastAsia="Calibri" w:hAnsi="Calibri" w:cs="Times New Roman"/>
        </w:rPr>
      </w:pPr>
    </w:p>
    <w:p w14:paraId="33BF2633"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Work engagement outcome measures included total work engagement scores as well as scores on any of the three subcomponents, vigour, dedication and absorption. No other outcomes were investigated as part of this meta-analysis, which is in accordance with the research objective. The lack of consistency of other outcomes measured between studies also precludes the possibility of meaningfully meta-analytically evaluating the effect of work engagement interventions on these variables. </w:t>
      </w:r>
    </w:p>
    <w:p w14:paraId="47295043" w14:textId="520AD4B5" w:rsidR="00D23357" w:rsidRDefault="00D23357">
      <w:pPr>
        <w:spacing w:after="160"/>
        <w:rPr>
          <w:rFonts w:ascii="Calibri" w:eastAsia="Calibri" w:hAnsi="Calibri" w:cs="Times New Roman"/>
          <w:b/>
        </w:rPr>
      </w:pPr>
      <w:r>
        <w:rPr>
          <w:rFonts w:ascii="Calibri" w:eastAsia="Calibri" w:hAnsi="Calibri" w:cs="Times New Roman"/>
          <w:b/>
        </w:rPr>
        <w:br w:type="page"/>
      </w:r>
    </w:p>
    <w:p w14:paraId="16F8FD19" w14:textId="77777777" w:rsidR="00E6060C" w:rsidRPr="00E6060C" w:rsidRDefault="00E6060C" w:rsidP="0009618B">
      <w:pPr>
        <w:pStyle w:val="Heading3"/>
      </w:pPr>
      <w:bookmarkStart w:id="198" w:name="_Toc413261249"/>
      <w:bookmarkStart w:id="199" w:name="_Toc431470131"/>
      <w:bookmarkStart w:id="200" w:name="_Toc468285974"/>
      <w:r w:rsidRPr="00E6060C">
        <w:lastRenderedPageBreak/>
        <w:t>Implications for this review</w:t>
      </w:r>
      <w:bookmarkEnd w:id="198"/>
      <w:bookmarkEnd w:id="199"/>
      <w:bookmarkEnd w:id="200"/>
    </w:p>
    <w:p w14:paraId="69126AFE" w14:textId="77777777" w:rsidR="00E6060C" w:rsidRPr="00E6060C" w:rsidRDefault="00E6060C" w:rsidP="00E6060C">
      <w:pPr>
        <w:spacing w:before="200" w:line="360" w:lineRule="auto"/>
        <w:rPr>
          <w:rFonts w:ascii="Calibri" w:eastAsia="Calibri" w:hAnsi="Calibri" w:cs="Times New Roman"/>
        </w:rPr>
      </w:pPr>
    </w:p>
    <w:p w14:paraId="029F73FC" w14:textId="5297A31E"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above introduction has highlighted several factors which had implications for this review. Most of these were discussed in Chapter 5, section </w:t>
      </w:r>
      <w:r w:rsidR="008840B9">
        <w:rPr>
          <w:rFonts w:ascii="Calibri" w:eastAsia="Calibri" w:hAnsi="Calibri" w:cs="Times New Roman"/>
        </w:rPr>
        <w:fldChar w:fldCharType="begin"/>
      </w:r>
      <w:r w:rsidR="008840B9">
        <w:rPr>
          <w:rFonts w:ascii="Calibri" w:eastAsia="Calibri" w:hAnsi="Calibri" w:cs="Times New Roman"/>
        </w:rPr>
        <w:instrText xml:space="preserve"> REF _Ref453573012 \r \h </w:instrText>
      </w:r>
      <w:r w:rsidR="008840B9">
        <w:rPr>
          <w:rFonts w:ascii="Calibri" w:eastAsia="Calibri" w:hAnsi="Calibri" w:cs="Times New Roman"/>
        </w:rPr>
      </w:r>
      <w:r w:rsidR="008840B9">
        <w:rPr>
          <w:rFonts w:ascii="Calibri" w:eastAsia="Calibri" w:hAnsi="Calibri" w:cs="Times New Roman"/>
        </w:rPr>
        <w:fldChar w:fldCharType="separate"/>
      </w:r>
      <w:r w:rsidR="00152F6D">
        <w:rPr>
          <w:rFonts w:ascii="Calibri" w:eastAsia="Calibri" w:hAnsi="Calibri" w:cs="Times New Roman"/>
        </w:rPr>
        <w:t>5.1.5</w:t>
      </w:r>
      <w:r w:rsidR="008840B9">
        <w:rPr>
          <w:rFonts w:ascii="Calibri" w:eastAsia="Calibri" w:hAnsi="Calibri" w:cs="Times New Roman"/>
        </w:rPr>
        <w:fldChar w:fldCharType="end"/>
      </w:r>
      <w:r w:rsidRPr="00E6060C">
        <w:rPr>
          <w:rFonts w:ascii="Calibri" w:eastAsia="Calibri" w:hAnsi="Calibri" w:cs="Times New Roman"/>
        </w:rPr>
        <w:t>, and will not be repeated here. However, an additional implication was necessary. Stricter inclusion and exclusion criteria had to be adopted in order to enable the results from individual studies to be meta-analytically synthesised. This resulted in only a subset of the 33 studies found by the systematic review being able to be included in this meta-analysis (</w:t>
      </w:r>
      <w:r w:rsidR="005D147A">
        <w:rPr>
          <w:rFonts w:ascii="Calibri" w:eastAsia="Calibri" w:hAnsi="Calibri" w:cs="Times New Roman"/>
          <w:i/>
        </w:rPr>
        <w:t>k</w:t>
      </w:r>
      <w:r w:rsidRPr="00E6060C">
        <w:rPr>
          <w:rFonts w:ascii="Calibri" w:eastAsia="Calibri" w:hAnsi="Calibri" w:cs="Times New Roman"/>
        </w:rPr>
        <w:t xml:space="preserve">=20). Of prime concern was that each study had both an intervention and </w:t>
      </w:r>
      <w:r w:rsidR="00EC7444">
        <w:rPr>
          <w:rFonts w:ascii="Calibri" w:eastAsia="Calibri" w:hAnsi="Calibri" w:cs="Times New Roman"/>
        </w:rPr>
        <w:t xml:space="preserve">a </w:t>
      </w:r>
      <w:r w:rsidRPr="00E6060C">
        <w:rPr>
          <w:rFonts w:ascii="Calibri" w:eastAsia="Calibri" w:hAnsi="Calibri" w:cs="Times New Roman"/>
        </w:rPr>
        <w:t xml:space="preserve">control group, had measured work engagement both pre- and post-intervention, and had reported all the results necessary to calculate an effect size. This review will now discuss the method of this meta-analytic review in more depth before describing the results, engaging in a discussion, and finishing with a conclusion. </w:t>
      </w:r>
    </w:p>
    <w:p w14:paraId="3A3138A1" w14:textId="77777777" w:rsidR="00E6060C" w:rsidRPr="00E6060C" w:rsidRDefault="00E6060C" w:rsidP="00E6060C">
      <w:pPr>
        <w:spacing w:after="200" w:line="360" w:lineRule="auto"/>
        <w:contextualSpacing/>
        <w:rPr>
          <w:rFonts w:ascii="Cambria" w:eastAsia="Calibri" w:hAnsi="Cambria" w:cs="Times New Roman"/>
          <w:sz w:val="28"/>
          <w:szCs w:val="28"/>
        </w:rPr>
      </w:pPr>
    </w:p>
    <w:p w14:paraId="344334C1" w14:textId="77777777" w:rsidR="00F315E6" w:rsidRPr="00E6060C" w:rsidRDefault="00F315E6" w:rsidP="00F315E6">
      <w:pPr>
        <w:pStyle w:val="Heading3"/>
      </w:pPr>
      <w:bookmarkStart w:id="201" w:name="_Toc413261247"/>
      <w:bookmarkStart w:id="202" w:name="_Toc431470129"/>
      <w:bookmarkStart w:id="203" w:name="_Toc468285975"/>
      <w:bookmarkStart w:id="204" w:name="_Toc431470132"/>
      <w:r w:rsidRPr="00E6060C">
        <w:t>Moderators of work engagement interventions</w:t>
      </w:r>
      <w:bookmarkEnd w:id="201"/>
      <w:bookmarkEnd w:id="202"/>
      <w:bookmarkEnd w:id="203"/>
    </w:p>
    <w:p w14:paraId="114B90C8" w14:textId="77777777" w:rsidR="00F315E6" w:rsidRPr="00E6060C" w:rsidRDefault="00F315E6" w:rsidP="00F315E6">
      <w:pPr>
        <w:widowControl w:val="0"/>
        <w:tabs>
          <w:tab w:val="left" w:pos="252"/>
        </w:tabs>
        <w:spacing w:before="200" w:line="360" w:lineRule="auto"/>
        <w:rPr>
          <w:rFonts w:ascii="Calibri" w:eastAsia="Calibri" w:hAnsi="Calibri" w:cs="Times New Roman"/>
          <w:iCs/>
        </w:rPr>
      </w:pPr>
    </w:p>
    <w:p w14:paraId="1AFDF2C5" w14:textId="4C621F40" w:rsidR="00F315E6" w:rsidRDefault="00F315E6" w:rsidP="00BB0757">
      <w:pPr>
        <w:widowControl w:val="0"/>
        <w:tabs>
          <w:tab w:val="left" w:pos="252"/>
        </w:tabs>
        <w:spacing w:before="200" w:line="360" w:lineRule="auto"/>
        <w:contextualSpacing/>
        <w:rPr>
          <w:rFonts w:ascii="Calibri" w:eastAsia="Calibri" w:hAnsi="Calibri" w:cs="Times New Roman"/>
          <w:iCs/>
        </w:rPr>
      </w:pPr>
      <w:r w:rsidRPr="00E6060C">
        <w:rPr>
          <w:rFonts w:ascii="Calibri" w:eastAsia="Calibri" w:hAnsi="Calibri" w:cs="Times New Roman"/>
          <w:iCs/>
        </w:rPr>
        <w:t>The primary aim of this meta-analysis is to determine whether work engagement interventions are effective. In order to investigate the results further, a moderator analysis will be conducted. This will investigate whether interventions with certain characteristics are more effective than others. One of these moderators will be intervention type, which consists of four categories, job resource building interventions, personal resource building interventions, leadership training interventions and health promotion interventions. T</w:t>
      </w:r>
      <w:r>
        <w:rPr>
          <w:rFonts w:ascii="Calibri" w:eastAsia="Calibri" w:hAnsi="Calibri" w:cs="Times New Roman"/>
          <w:iCs/>
        </w:rPr>
        <w:t>hese were described in Chapter 5</w:t>
      </w:r>
      <w:r w:rsidRPr="00E6060C">
        <w:rPr>
          <w:rFonts w:ascii="Calibri" w:eastAsia="Calibri" w:hAnsi="Calibri" w:cs="Times New Roman"/>
          <w:iCs/>
        </w:rPr>
        <w:t xml:space="preserve">, section </w:t>
      </w:r>
      <w:r>
        <w:rPr>
          <w:rFonts w:ascii="Calibri" w:eastAsia="Calibri" w:hAnsi="Calibri" w:cs="Times New Roman"/>
          <w:iCs/>
        </w:rPr>
        <w:fldChar w:fldCharType="begin"/>
      </w:r>
      <w:r>
        <w:rPr>
          <w:rFonts w:ascii="Calibri" w:eastAsia="Calibri" w:hAnsi="Calibri" w:cs="Times New Roman"/>
          <w:iCs/>
        </w:rPr>
        <w:instrText xml:space="preserve"> REF _Ref453572895 \r \h </w:instrText>
      </w:r>
      <w:r>
        <w:rPr>
          <w:rFonts w:ascii="Calibri" w:eastAsia="Calibri" w:hAnsi="Calibri" w:cs="Times New Roman"/>
          <w:iCs/>
        </w:rPr>
      </w:r>
      <w:r>
        <w:rPr>
          <w:rFonts w:ascii="Calibri" w:eastAsia="Calibri" w:hAnsi="Calibri" w:cs="Times New Roman"/>
          <w:iCs/>
        </w:rPr>
        <w:fldChar w:fldCharType="separate"/>
      </w:r>
      <w:r w:rsidR="00152F6D">
        <w:rPr>
          <w:rFonts w:ascii="Calibri" w:eastAsia="Calibri" w:hAnsi="Calibri" w:cs="Times New Roman"/>
          <w:iCs/>
        </w:rPr>
        <w:t>5.1.3</w:t>
      </w:r>
      <w:r>
        <w:rPr>
          <w:rFonts w:ascii="Calibri" w:eastAsia="Calibri" w:hAnsi="Calibri" w:cs="Times New Roman"/>
          <w:iCs/>
        </w:rPr>
        <w:fldChar w:fldCharType="end"/>
      </w:r>
      <w:r w:rsidRPr="00E6060C">
        <w:rPr>
          <w:rFonts w:ascii="Calibri" w:eastAsia="Calibri" w:hAnsi="Calibri" w:cs="Times New Roman"/>
          <w:iCs/>
        </w:rPr>
        <w:t xml:space="preserve">. and will not be described again here. Other moderators will include the style of the interventions (i.e. group, individual, online), and whether the interventions were conducted in public or private organisations. Please see section </w:t>
      </w:r>
      <w:r>
        <w:rPr>
          <w:rFonts w:ascii="Calibri" w:eastAsia="Calibri" w:hAnsi="Calibri" w:cs="Times New Roman"/>
          <w:iCs/>
        </w:rPr>
        <w:fldChar w:fldCharType="begin"/>
      </w:r>
      <w:r>
        <w:rPr>
          <w:rFonts w:ascii="Calibri" w:eastAsia="Calibri" w:hAnsi="Calibri" w:cs="Times New Roman"/>
          <w:iCs/>
        </w:rPr>
        <w:instrText xml:space="preserve"> REF _Ref453572969 \r \h </w:instrText>
      </w:r>
      <w:r>
        <w:rPr>
          <w:rFonts w:ascii="Calibri" w:eastAsia="Calibri" w:hAnsi="Calibri" w:cs="Times New Roman"/>
          <w:iCs/>
        </w:rPr>
      </w:r>
      <w:r>
        <w:rPr>
          <w:rFonts w:ascii="Calibri" w:eastAsia="Calibri" w:hAnsi="Calibri" w:cs="Times New Roman"/>
          <w:iCs/>
        </w:rPr>
        <w:fldChar w:fldCharType="separate"/>
      </w:r>
      <w:r w:rsidR="00152F6D">
        <w:rPr>
          <w:rFonts w:ascii="Calibri" w:eastAsia="Calibri" w:hAnsi="Calibri" w:cs="Times New Roman"/>
          <w:iCs/>
        </w:rPr>
        <w:t>6.2.6</w:t>
      </w:r>
      <w:r>
        <w:rPr>
          <w:rFonts w:ascii="Calibri" w:eastAsia="Calibri" w:hAnsi="Calibri" w:cs="Times New Roman"/>
          <w:iCs/>
        </w:rPr>
        <w:fldChar w:fldCharType="end"/>
      </w:r>
      <w:r w:rsidRPr="00E6060C">
        <w:rPr>
          <w:rFonts w:ascii="Calibri" w:eastAsia="Calibri" w:hAnsi="Calibri" w:cs="Times New Roman"/>
          <w:iCs/>
        </w:rPr>
        <w:t xml:space="preserve">. below for further details about these moderators.  </w:t>
      </w:r>
    </w:p>
    <w:p w14:paraId="6B55C997" w14:textId="77777777" w:rsidR="00D23357" w:rsidRPr="00E6060C" w:rsidRDefault="00D23357" w:rsidP="00BB0757">
      <w:pPr>
        <w:widowControl w:val="0"/>
        <w:tabs>
          <w:tab w:val="left" w:pos="252"/>
        </w:tabs>
        <w:spacing w:before="200" w:line="360" w:lineRule="auto"/>
        <w:contextualSpacing/>
        <w:rPr>
          <w:rFonts w:ascii="Calibri" w:eastAsia="Calibri" w:hAnsi="Calibri" w:cs="Times New Roman"/>
          <w:iCs/>
        </w:rPr>
      </w:pPr>
    </w:p>
    <w:p w14:paraId="2159ACE0" w14:textId="5ACF13C1" w:rsidR="007975E1" w:rsidRDefault="00E6060C" w:rsidP="00BB0757">
      <w:pPr>
        <w:pStyle w:val="Thesisheading2"/>
        <w:spacing w:line="360" w:lineRule="auto"/>
        <w:contextualSpacing/>
      </w:pPr>
      <w:bookmarkStart w:id="205" w:name="_Toc468285976"/>
      <w:r w:rsidRPr="00E6060C">
        <w:t>Method</w:t>
      </w:r>
      <w:bookmarkStart w:id="206" w:name="_Toc406750014"/>
      <w:bookmarkEnd w:id="188"/>
      <w:bookmarkEnd w:id="204"/>
      <w:bookmarkEnd w:id="205"/>
    </w:p>
    <w:p w14:paraId="7180E2DF" w14:textId="77777777" w:rsidR="007975E1" w:rsidRPr="00E6060C" w:rsidRDefault="007975E1" w:rsidP="00BB0757">
      <w:pPr>
        <w:spacing w:line="360" w:lineRule="auto"/>
        <w:contextualSpacing/>
      </w:pPr>
    </w:p>
    <w:p w14:paraId="6E860B6A" w14:textId="06EA06D6" w:rsidR="00E6060C" w:rsidRPr="00E6060C" w:rsidRDefault="00E6060C" w:rsidP="00BB0757">
      <w:pPr>
        <w:pStyle w:val="Heading3"/>
        <w:spacing w:line="360" w:lineRule="auto"/>
        <w:contextualSpacing/>
      </w:pPr>
      <w:bookmarkStart w:id="207" w:name="_Toc431470133"/>
      <w:bookmarkStart w:id="208" w:name="_Ref453574069"/>
      <w:bookmarkStart w:id="209" w:name="_Toc468285977"/>
      <w:r w:rsidRPr="00E6060C">
        <w:t>Literature search</w:t>
      </w:r>
      <w:bookmarkEnd w:id="206"/>
      <w:r w:rsidRPr="00E6060C">
        <w:t xml:space="preserve"> and inclusion criteria</w:t>
      </w:r>
      <w:bookmarkEnd w:id="207"/>
      <w:bookmarkEnd w:id="208"/>
      <w:bookmarkEnd w:id="209"/>
    </w:p>
    <w:p w14:paraId="2770C577" w14:textId="77777777" w:rsidR="00E6060C" w:rsidRPr="00E6060C" w:rsidRDefault="00E6060C" w:rsidP="007975E1"/>
    <w:p w14:paraId="2C5425B2" w14:textId="35EFF6F7" w:rsidR="00E6060C" w:rsidRPr="00E6060C" w:rsidRDefault="00E6060C" w:rsidP="00E6060C">
      <w:pPr>
        <w:spacing w:before="200" w:line="360" w:lineRule="auto"/>
        <w:rPr>
          <w:rFonts w:ascii="Calibri" w:eastAsia="Calibri" w:hAnsi="Calibri" w:cs="Times New Roman"/>
          <w:bCs/>
          <w:iCs/>
        </w:rPr>
      </w:pPr>
      <w:r w:rsidRPr="00E6060C">
        <w:rPr>
          <w:rFonts w:ascii="Calibri" w:eastAsia="Calibri" w:hAnsi="Calibri" w:cs="Times New Roman"/>
        </w:rPr>
        <w:t xml:space="preserve">An extensive and systematic literature search for work engagement intervention studies was conducted in accordance with The Cochrane Collaboration’s (Higgins &amp; Green, 2011) guidelines. The method for this search was reported in Chapter 5, section </w:t>
      </w:r>
      <w:r w:rsidR="008840B9">
        <w:rPr>
          <w:rFonts w:ascii="Calibri" w:eastAsia="Calibri" w:hAnsi="Calibri" w:cs="Times New Roman"/>
        </w:rPr>
        <w:fldChar w:fldCharType="begin"/>
      </w:r>
      <w:r w:rsidR="008840B9">
        <w:rPr>
          <w:rFonts w:ascii="Calibri" w:eastAsia="Calibri" w:hAnsi="Calibri" w:cs="Times New Roman"/>
        </w:rPr>
        <w:instrText xml:space="preserve"> REF _Ref453573246 \r \h </w:instrText>
      </w:r>
      <w:r w:rsidR="008840B9">
        <w:rPr>
          <w:rFonts w:ascii="Calibri" w:eastAsia="Calibri" w:hAnsi="Calibri" w:cs="Times New Roman"/>
        </w:rPr>
      </w:r>
      <w:r w:rsidR="008840B9">
        <w:rPr>
          <w:rFonts w:ascii="Calibri" w:eastAsia="Calibri" w:hAnsi="Calibri" w:cs="Times New Roman"/>
        </w:rPr>
        <w:fldChar w:fldCharType="separate"/>
      </w:r>
      <w:r w:rsidR="00152F6D">
        <w:rPr>
          <w:rFonts w:ascii="Calibri" w:eastAsia="Calibri" w:hAnsi="Calibri" w:cs="Times New Roman"/>
        </w:rPr>
        <w:t>5.2</w:t>
      </w:r>
      <w:r w:rsidR="008840B9">
        <w:rPr>
          <w:rFonts w:ascii="Calibri" w:eastAsia="Calibri" w:hAnsi="Calibri" w:cs="Times New Roman"/>
        </w:rPr>
        <w:fldChar w:fldCharType="end"/>
      </w:r>
      <w:r w:rsidRPr="00E6060C">
        <w:rPr>
          <w:rFonts w:ascii="Calibri" w:eastAsia="Calibri" w:hAnsi="Calibri" w:cs="Times New Roman"/>
        </w:rPr>
        <w:t xml:space="preserve">, hence it will not be repeated here. </w:t>
      </w:r>
      <w:r w:rsidRPr="00E6060C">
        <w:rPr>
          <w:rFonts w:ascii="Calibri" w:eastAsia="Calibri" w:hAnsi="Calibri" w:cs="Times New Roman"/>
        </w:rPr>
        <w:lastRenderedPageBreak/>
        <w:t xml:space="preserve">Following the systematic review and screening process, 33 studies were identified as meeting the inclusion criteria (see </w:t>
      </w:r>
      <w:r w:rsidR="008840B9">
        <w:rPr>
          <w:rFonts w:ascii="Calibri" w:eastAsia="Calibri" w:hAnsi="Calibri" w:cs="Times New Roman"/>
        </w:rPr>
        <w:fldChar w:fldCharType="begin"/>
      </w:r>
      <w:r w:rsidR="008840B9">
        <w:rPr>
          <w:rFonts w:ascii="Calibri" w:eastAsia="Calibri" w:hAnsi="Calibri" w:cs="Times New Roman"/>
        </w:rPr>
        <w:instrText xml:space="preserve"> REF _Ref453251008 \h </w:instrText>
      </w:r>
      <w:r w:rsidR="008840B9">
        <w:rPr>
          <w:rFonts w:ascii="Calibri" w:eastAsia="Calibri" w:hAnsi="Calibri" w:cs="Times New Roman"/>
        </w:rPr>
      </w:r>
      <w:r w:rsidR="008840B9">
        <w:rPr>
          <w:rFonts w:ascii="Calibri" w:eastAsia="Calibri" w:hAnsi="Calibri" w:cs="Times New Roman"/>
        </w:rPr>
        <w:fldChar w:fldCharType="separate"/>
      </w:r>
      <w:r w:rsidR="00152F6D">
        <w:t xml:space="preserve">Figure </w:t>
      </w:r>
      <w:r w:rsidR="00152F6D">
        <w:rPr>
          <w:noProof/>
        </w:rPr>
        <w:t>5</w:t>
      </w:r>
      <w:r w:rsidR="00152F6D">
        <w:t>.</w:t>
      </w:r>
      <w:r w:rsidR="00152F6D">
        <w:rPr>
          <w:noProof/>
        </w:rPr>
        <w:t>1</w:t>
      </w:r>
      <w:r w:rsidR="008840B9">
        <w:rPr>
          <w:rFonts w:ascii="Calibri" w:eastAsia="Calibri" w:hAnsi="Calibri" w:cs="Times New Roman"/>
        </w:rPr>
        <w:fldChar w:fldCharType="end"/>
      </w:r>
      <w:r w:rsidRPr="008840B9">
        <w:rPr>
          <w:rFonts w:ascii="Calibri" w:eastAsia="Calibri" w:hAnsi="Calibri" w:cs="Times New Roman"/>
        </w:rPr>
        <w:t xml:space="preserve">, Chapter 5, Section </w:t>
      </w:r>
      <w:r w:rsidR="008840B9">
        <w:rPr>
          <w:rFonts w:ascii="Calibri" w:eastAsia="Calibri" w:hAnsi="Calibri" w:cs="Times New Roman"/>
        </w:rPr>
        <w:fldChar w:fldCharType="begin"/>
      </w:r>
      <w:r w:rsidR="008840B9">
        <w:rPr>
          <w:rFonts w:ascii="Calibri" w:eastAsia="Calibri" w:hAnsi="Calibri" w:cs="Times New Roman"/>
        </w:rPr>
        <w:instrText xml:space="preserve"> REF _Ref453573364 \r \h </w:instrText>
      </w:r>
      <w:r w:rsidR="008840B9">
        <w:rPr>
          <w:rFonts w:ascii="Calibri" w:eastAsia="Calibri" w:hAnsi="Calibri" w:cs="Times New Roman"/>
        </w:rPr>
      </w:r>
      <w:r w:rsidR="008840B9">
        <w:rPr>
          <w:rFonts w:ascii="Calibri" w:eastAsia="Calibri" w:hAnsi="Calibri" w:cs="Times New Roman"/>
        </w:rPr>
        <w:fldChar w:fldCharType="separate"/>
      </w:r>
      <w:r w:rsidR="00152F6D">
        <w:rPr>
          <w:rFonts w:ascii="Calibri" w:eastAsia="Calibri" w:hAnsi="Calibri" w:cs="Times New Roman"/>
        </w:rPr>
        <w:t>5.2</w:t>
      </w:r>
      <w:r w:rsidR="008840B9">
        <w:rPr>
          <w:rFonts w:ascii="Calibri" w:eastAsia="Calibri" w:hAnsi="Calibri" w:cs="Times New Roman"/>
        </w:rPr>
        <w:fldChar w:fldCharType="end"/>
      </w:r>
      <w:r w:rsidRPr="008840B9">
        <w:rPr>
          <w:rFonts w:ascii="Calibri" w:eastAsia="Calibri" w:hAnsi="Calibri" w:cs="Times New Roman"/>
        </w:rPr>
        <w:t>).</w:t>
      </w:r>
      <w:r w:rsidRPr="00E6060C">
        <w:rPr>
          <w:rFonts w:ascii="Calibri" w:eastAsia="Calibri" w:hAnsi="Calibri" w:cs="Times New Roman"/>
        </w:rPr>
        <w:t xml:space="preserve"> Meta-analysis, however, requires stricter methodological inclusion criteria due to the statistical methods involved, hence these 33 studies were further screened, and only included if they met the following three additional criteria: </w:t>
      </w:r>
    </w:p>
    <w:p w14:paraId="3336F1BC" w14:textId="77777777" w:rsidR="00E6060C" w:rsidRPr="00E6060C" w:rsidRDefault="00E6060C" w:rsidP="00F15DDF">
      <w:pPr>
        <w:widowControl w:val="0"/>
        <w:numPr>
          <w:ilvl w:val="0"/>
          <w:numId w:val="16"/>
        </w:numPr>
        <w:spacing w:before="80" w:after="240" w:line="360" w:lineRule="auto"/>
        <w:contextualSpacing/>
        <w:rPr>
          <w:rFonts w:ascii="Calibri" w:eastAsia="Calibri" w:hAnsi="Calibri" w:cs="Times New Roman"/>
          <w:bCs/>
          <w:iCs/>
        </w:rPr>
      </w:pPr>
      <w:r w:rsidRPr="00E6060C">
        <w:rPr>
          <w:rFonts w:ascii="Calibri" w:eastAsia="Calibri" w:hAnsi="Calibri" w:cs="Times New Roman"/>
          <w:bCs/>
          <w:iCs/>
        </w:rPr>
        <w:t>contained a control or comparison group</w:t>
      </w:r>
    </w:p>
    <w:p w14:paraId="5DE48B7E" w14:textId="77777777" w:rsidR="00E6060C" w:rsidRPr="00E6060C" w:rsidRDefault="00E6060C" w:rsidP="00F15DDF">
      <w:pPr>
        <w:widowControl w:val="0"/>
        <w:numPr>
          <w:ilvl w:val="0"/>
          <w:numId w:val="16"/>
        </w:numPr>
        <w:spacing w:before="80" w:after="240" w:line="360" w:lineRule="auto"/>
        <w:contextualSpacing/>
        <w:rPr>
          <w:rFonts w:ascii="Calibri" w:eastAsia="Calibri" w:hAnsi="Calibri" w:cs="Times New Roman"/>
          <w:bCs/>
          <w:iCs/>
        </w:rPr>
      </w:pPr>
      <w:r w:rsidRPr="00E6060C">
        <w:rPr>
          <w:rFonts w:ascii="Calibri" w:eastAsia="Calibri" w:hAnsi="Calibri" w:cs="Times New Roman"/>
          <w:bCs/>
          <w:iCs/>
        </w:rPr>
        <w:t>measured work engagement both pre-intervention and post-intervention</w:t>
      </w:r>
    </w:p>
    <w:p w14:paraId="23C84494" w14:textId="03E22373" w:rsidR="00E6060C" w:rsidRPr="00E6060C" w:rsidRDefault="00E6060C" w:rsidP="00F15DDF">
      <w:pPr>
        <w:widowControl w:val="0"/>
        <w:numPr>
          <w:ilvl w:val="0"/>
          <w:numId w:val="16"/>
        </w:numPr>
        <w:spacing w:before="80" w:after="240" w:line="360" w:lineRule="auto"/>
        <w:contextualSpacing/>
        <w:rPr>
          <w:rFonts w:ascii="Calibri" w:eastAsia="Calibri" w:hAnsi="Calibri" w:cs="Times New Roman"/>
          <w:bCs/>
          <w:iCs/>
        </w:rPr>
      </w:pPr>
      <w:r w:rsidRPr="00E6060C">
        <w:rPr>
          <w:rFonts w:ascii="Calibri" w:eastAsia="Calibri" w:hAnsi="Calibri" w:cs="Times New Roman"/>
          <w:bCs/>
          <w:iCs/>
        </w:rPr>
        <w:t xml:space="preserve">all the results necessary to calculate an effect size were able to be obtained either from the paper or from contacting authors </w:t>
      </w:r>
      <w:bookmarkStart w:id="210" w:name="_Toc406750016"/>
    </w:p>
    <w:p w14:paraId="0FF06CD8" w14:textId="77777777" w:rsidR="009A0552" w:rsidRDefault="009A0552" w:rsidP="00E6060C">
      <w:pPr>
        <w:widowControl w:val="0"/>
        <w:spacing w:before="80" w:after="240" w:line="360" w:lineRule="auto"/>
        <w:contextualSpacing/>
        <w:rPr>
          <w:rFonts w:ascii="Calibri" w:eastAsia="Calibri" w:hAnsi="Calibri" w:cs="Times New Roman"/>
          <w:bCs/>
          <w:iCs/>
        </w:rPr>
      </w:pPr>
    </w:p>
    <w:p w14:paraId="54FBB981" w14:textId="36863F6F" w:rsidR="00E6060C" w:rsidRDefault="00E6060C" w:rsidP="00E6060C">
      <w:pPr>
        <w:widowControl w:val="0"/>
        <w:spacing w:before="80" w:after="240" w:line="360" w:lineRule="auto"/>
        <w:contextualSpacing/>
        <w:rPr>
          <w:rFonts w:ascii="Calibri" w:eastAsia="Calibri" w:hAnsi="Calibri" w:cs="Times New Roman"/>
          <w:bCs/>
          <w:iCs/>
        </w:rPr>
      </w:pPr>
      <w:r w:rsidRPr="00E6060C">
        <w:rPr>
          <w:rFonts w:ascii="Calibri" w:eastAsia="Calibri" w:hAnsi="Calibri" w:cs="Times New Roman"/>
          <w:bCs/>
          <w:iCs/>
        </w:rPr>
        <w:t xml:space="preserve">The 13 studies which were excluded, and reasons for their exclusion, can be found in Appendix 3b. </w:t>
      </w:r>
    </w:p>
    <w:p w14:paraId="573C5233" w14:textId="77777777" w:rsidR="009711F1" w:rsidRPr="00E6060C" w:rsidRDefault="009711F1" w:rsidP="00E6060C">
      <w:pPr>
        <w:widowControl w:val="0"/>
        <w:spacing w:before="80" w:after="240" w:line="360" w:lineRule="auto"/>
        <w:contextualSpacing/>
        <w:rPr>
          <w:rFonts w:ascii="Calibri" w:eastAsia="Calibri" w:hAnsi="Calibri" w:cs="Times New Roman"/>
        </w:rPr>
      </w:pPr>
    </w:p>
    <w:p w14:paraId="58087E9A" w14:textId="77777777" w:rsidR="00E6060C" w:rsidRPr="00E6060C" w:rsidRDefault="00E6060C" w:rsidP="0009618B">
      <w:pPr>
        <w:pStyle w:val="Heading3"/>
      </w:pPr>
      <w:bookmarkStart w:id="211" w:name="_Toc468285978"/>
      <w:bookmarkStart w:id="212" w:name="_Toc431470134"/>
      <w:r w:rsidRPr="00E6060C">
        <w:t>Coding of studies</w:t>
      </w:r>
      <w:bookmarkEnd w:id="210"/>
      <w:bookmarkEnd w:id="211"/>
      <w:r w:rsidRPr="00E6060C">
        <w:t xml:space="preserve"> </w:t>
      </w:r>
      <w:bookmarkEnd w:id="212"/>
    </w:p>
    <w:p w14:paraId="58EDB3A2" w14:textId="77777777" w:rsidR="00E6060C" w:rsidRPr="00E6060C" w:rsidRDefault="00E6060C" w:rsidP="007975E1"/>
    <w:p w14:paraId="295C735A" w14:textId="77777777" w:rsidR="009711F1" w:rsidRDefault="009711F1" w:rsidP="00E6060C">
      <w:pPr>
        <w:spacing w:before="200" w:line="360" w:lineRule="auto"/>
        <w:contextualSpacing/>
        <w:rPr>
          <w:rFonts w:ascii="Calibri" w:eastAsia="Calibri" w:hAnsi="Calibri" w:cs="Times New Roman"/>
        </w:rPr>
      </w:pPr>
    </w:p>
    <w:p w14:paraId="1309898B" w14:textId="551617BE"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Each of the intervention studies which met the final inclusion criteria was coded according to a coding guide developed especially for this study (see Appendix 2). This process was reported in Chapter 5, Section</w:t>
      </w:r>
      <w:r w:rsidR="00FF6C80">
        <w:rPr>
          <w:rFonts w:ascii="Calibri" w:eastAsia="Calibri" w:hAnsi="Calibri" w:cs="Times New Roman"/>
        </w:rPr>
        <w:t xml:space="preserve"> </w:t>
      </w:r>
      <w:r w:rsidR="00FF6C80">
        <w:rPr>
          <w:rFonts w:ascii="Calibri" w:eastAsia="Calibri" w:hAnsi="Calibri" w:cs="Times New Roman"/>
        </w:rPr>
        <w:fldChar w:fldCharType="begin"/>
      </w:r>
      <w:r w:rsidR="00FF6C80">
        <w:rPr>
          <w:rFonts w:ascii="Calibri" w:eastAsia="Calibri" w:hAnsi="Calibri" w:cs="Times New Roman"/>
        </w:rPr>
        <w:instrText xml:space="preserve"> REF _Ref453573543 \r \h </w:instrText>
      </w:r>
      <w:r w:rsidR="00FF6C80">
        <w:rPr>
          <w:rFonts w:ascii="Calibri" w:eastAsia="Calibri" w:hAnsi="Calibri" w:cs="Times New Roman"/>
        </w:rPr>
      </w:r>
      <w:r w:rsidR="00FF6C80">
        <w:rPr>
          <w:rFonts w:ascii="Calibri" w:eastAsia="Calibri" w:hAnsi="Calibri" w:cs="Times New Roman"/>
        </w:rPr>
        <w:fldChar w:fldCharType="separate"/>
      </w:r>
      <w:r w:rsidR="00152F6D">
        <w:rPr>
          <w:rFonts w:ascii="Calibri" w:eastAsia="Calibri" w:hAnsi="Calibri" w:cs="Times New Roman"/>
        </w:rPr>
        <w:t>5.2.2</w:t>
      </w:r>
      <w:r w:rsidR="00FF6C80">
        <w:rPr>
          <w:rFonts w:ascii="Calibri" w:eastAsia="Calibri" w:hAnsi="Calibri" w:cs="Times New Roman"/>
        </w:rPr>
        <w:fldChar w:fldCharType="end"/>
      </w:r>
      <w:r w:rsidRPr="00E6060C">
        <w:rPr>
          <w:rFonts w:ascii="Calibri" w:eastAsia="Calibri" w:hAnsi="Calibri" w:cs="Times New Roman"/>
        </w:rPr>
        <w:t>, and wi</w:t>
      </w:r>
      <w:r w:rsidR="00FF6EFC">
        <w:rPr>
          <w:rFonts w:ascii="Calibri" w:eastAsia="Calibri" w:hAnsi="Calibri" w:cs="Times New Roman"/>
        </w:rPr>
        <w:t xml:space="preserve">ll not be reported again here. </w:t>
      </w:r>
      <w:r w:rsidRPr="00E6060C">
        <w:rPr>
          <w:rFonts w:ascii="Calibri" w:eastAsia="Calibri" w:hAnsi="Calibri" w:cs="Times New Roman"/>
        </w:rPr>
        <w:t xml:space="preserve">Further to categorising studies according to intervention type and style, it was considered pertinent to categorise the studies included in the meta-analysis according to other criteria. These included additional moderator variables, such as whether the intervention was conducted in a private or public organisation, and variables which may have affected the robustness of the results, such as whether or not the study was </w:t>
      </w:r>
      <w:r w:rsidR="00EC7444">
        <w:rPr>
          <w:rFonts w:ascii="Calibri" w:eastAsia="Calibri" w:hAnsi="Calibri" w:cs="Times New Roman"/>
        </w:rPr>
        <w:t>randomised or had utilised the intention-to-t</w:t>
      </w:r>
      <w:r w:rsidRPr="00E6060C">
        <w:rPr>
          <w:rFonts w:ascii="Calibri" w:eastAsia="Calibri" w:hAnsi="Calibri" w:cs="Times New Roman"/>
        </w:rPr>
        <w:t xml:space="preserve">reat (ITT) principle for the analysis (see Section </w:t>
      </w:r>
      <w:r w:rsidR="00FF6C80">
        <w:rPr>
          <w:rFonts w:ascii="Calibri" w:eastAsia="Calibri" w:hAnsi="Calibri" w:cs="Times New Roman"/>
        </w:rPr>
        <w:fldChar w:fldCharType="begin"/>
      </w:r>
      <w:r w:rsidR="00FF6C80">
        <w:rPr>
          <w:rFonts w:ascii="Calibri" w:eastAsia="Calibri" w:hAnsi="Calibri" w:cs="Times New Roman"/>
        </w:rPr>
        <w:instrText xml:space="preserve"> REF _Ref453573591 \r \h </w:instrText>
      </w:r>
      <w:r w:rsidR="00FF6C80">
        <w:rPr>
          <w:rFonts w:ascii="Calibri" w:eastAsia="Calibri" w:hAnsi="Calibri" w:cs="Times New Roman"/>
        </w:rPr>
      </w:r>
      <w:r w:rsidR="00FF6C80">
        <w:rPr>
          <w:rFonts w:ascii="Calibri" w:eastAsia="Calibri" w:hAnsi="Calibri" w:cs="Times New Roman"/>
        </w:rPr>
        <w:fldChar w:fldCharType="separate"/>
      </w:r>
      <w:r w:rsidR="00152F6D">
        <w:rPr>
          <w:rFonts w:ascii="Calibri" w:eastAsia="Calibri" w:hAnsi="Calibri" w:cs="Times New Roman"/>
        </w:rPr>
        <w:t>6.2.7</w:t>
      </w:r>
      <w:r w:rsidR="00FF6C80">
        <w:rPr>
          <w:rFonts w:ascii="Calibri" w:eastAsia="Calibri" w:hAnsi="Calibri" w:cs="Times New Roman"/>
        </w:rPr>
        <w:fldChar w:fldCharType="end"/>
      </w:r>
      <w:r w:rsidR="00FF6C80">
        <w:rPr>
          <w:rFonts w:ascii="Calibri" w:eastAsia="Calibri" w:hAnsi="Calibri" w:cs="Times New Roman"/>
        </w:rPr>
        <w:t>, ‘Sensitivity analyse</w:t>
      </w:r>
      <w:r w:rsidRPr="00E6060C">
        <w:rPr>
          <w:rFonts w:ascii="Calibri" w:eastAsia="Calibri" w:hAnsi="Calibri" w:cs="Times New Roman"/>
        </w:rPr>
        <w:t>s’ below). For a full list, detailed description of, and rationale for, each of the study variables extracted, please see t</w:t>
      </w:r>
      <w:r w:rsidR="00FF6C80">
        <w:rPr>
          <w:rFonts w:ascii="Calibri" w:eastAsia="Calibri" w:hAnsi="Calibri" w:cs="Times New Roman"/>
        </w:rPr>
        <w:t>he coding guide in Appendix 2</w:t>
      </w:r>
      <w:r w:rsidR="00FF6C80" w:rsidRPr="00F256F4">
        <w:rPr>
          <w:rFonts w:ascii="Calibri" w:eastAsia="Calibri" w:hAnsi="Calibri" w:cs="Times New Roman"/>
        </w:rPr>
        <w:t xml:space="preserve">. </w:t>
      </w:r>
      <w:r w:rsidR="00F256F4">
        <w:rPr>
          <w:rFonts w:ascii="Calibri" w:eastAsia="Calibri" w:hAnsi="Calibri" w:cs="Times New Roman"/>
        </w:rPr>
        <w:fldChar w:fldCharType="begin"/>
      </w:r>
      <w:r w:rsidR="00F256F4">
        <w:rPr>
          <w:rFonts w:ascii="Calibri" w:eastAsia="Calibri" w:hAnsi="Calibri" w:cs="Times New Roman"/>
        </w:rPr>
        <w:instrText xml:space="preserve"> REF _Ref453602581 \h </w:instrText>
      </w:r>
      <w:r w:rsidR="00F256F4">
        <w:rPr>
          <w:rFonts w:ascii="Calibri" w:eastAsia="Calibri" w:hAnsi="Calibri" w:cs="Times New Roman"/>
        </w:rPr>
      </w:r>
      <w:r w:rsidR="00F256F4">
        <w:rPr>
          <w:rFonts w:ascii="Calibri" w:eastAsia="Calibri" w:hAnsi="Calibri" w:cs="Times New Roman"/>
        </w:rPr>
        <w:fldChar w:fldCharType="separate"/>
      </w:r>
      <w:r w:rsidR="00152F6D">
        <w:t xml:space="preserve">Table </w:t>
      </w:r>
      <w:r w:rsidR="00152F6D">
        <w:rPr>
          <w:noProof/>
        </w:rPr>
        <w:t>6</w:t>
      </w:r>
      <w:r w:rsidR="00152F6D">
        <w:t>.</w:t>
      </w:r>
      <w:r w:rsidR="00152F6D">
        <w:rPr>
          <w:noProof/>
        </w:rPr>
        <w:t>1</w:t>
      </w:r>
      <w:r w:rsidR="00F256F4">
        <w:rPr>
          <w:rFonts w:ascii="Calibri" w:eastAsia="Calibri" w:hAnsi="Calibri" w:cs="Times New Roman"/>
        </w:rPr>
        <w:fldChar w:fldCharType="end"/>
      </w:r>
      <w:r w:rsidR="00F256F4">
        <w:rPr>
          <w:rFonts w:ascii="Calibri" w:eastAsia="Calibri" w:hAnsi="Calibri" w:cs="Times New Roman"/>
        </w:rPr>
        <w:t xml:space="preserve"> </w:t>
      </w:r>
      <w:r w:rsidRPr="00E6060C">
        <w:rPr>
          <w:rFonts w:ascii="Calibri" w:eastAsia="Calibri" w:hAnsi="Calibri" w:cs="Times New Roman"/>
        </w:rPr>
        <w:t>presents the key characteristics of each of the 20 included studies. More detailed information about each of these stu</w:t>
      </w:r>
      <w:r w:rsidR="00EC7444">
        <w:rPr>
          <w:rFonts w:ascii="Calibri" w:eastAsia="Calibri" w:hAnsi="Calibri" w:cs="Times New Roman"/>
        </w:rPr>
        <w:t>dies can be found in Appendices</w:t>
      </w:r>
      <w:r w:rsidRPr="00E6060C">
        <w:rPr>
          <w:rFonts w:ascii="Calibri" w:eastAsia="Calibri" w:hAnsi="Calibri" w:cs="Times New Roman"/>
        </w:rPr>
        <w:t xml:space="preserve"> </w:t>
      </w:r>
      <w:r w:rsidR="00FF6C80">
        <w:rPr>
          <w:rFonts w:ascii="Calibri" w:eastAsia="Calibri" w:hAnsi="Calibri" w:cs="Times New Roman"/>
        </w:rPr>
        <w:t>4a-4e</w:t>
      </w:r>
      <w:r w:rsidRPr="00E6060C">
        <w:rPr>
          <w:rFonts w:ascii="Calibri" w:eastAsia="Calibri" w:hAnsi="Calibri" w:cs="Times New Roman"/>
        </w:rPr>
        <w:t>. Some of the information in the table below is repeated, however, it is provided again here for clarity and ease of identifyin</w:t>
      </w:r>
      <w:r w:rsidR="00FF6C80">
        <w:rPr>
          <w:rFonts w:ascii="Calibri" w:eastAsia="Calibri" w:hAnsi="Calibri" w:cs="Times New Roman"/>
        </w:rPr>
        <w:t xml:space="preserve">g which studies were included. </w:t>
      </w:r>
    </w:p>
    <w:p w14:paraId="59CF0899" w14:textId="77777777" w:rsidR="00D20EED" w:rsidRDefault="00D20EED">
      <w:pPr>
        <w:contextualSpacing/>
        <w:rPr>
          <w:rFonts w:ascii="Times New Roman" w:hAnsi="Times New Roman" w:cs="Times New Roman"/>
          <w:b/>
          <w:sz w:val="24"/>
          <w:szCs w:val="24"/>
        </w:rPr>
        <w:sectPr w:rsidR="00D20EED" w:rsidSect="00E6060C">
          <w:pgSz w:w="11906" w:h="16838"/>
          <w:pgMar w:top="1440" w:right="1440" w:bottom="1440" w:left="1440" w:header="709" w:footer="709" w:gutter="0"/>
          <w:cols w:space="708"/>
          <w:docGrid w:linePitch="360"/>
        </w:sectPr>
      </w:pPr>
    </w:p>
    <w:p w14:paraId="629BC98D" w14:textId="6B90E9FA" w:rsidR="00F256F4" w:rsidRDefault="00F256F4" w:rsidP="00F256F4">
      <w:pPr>
        <w:pStyle w:val="TableofFigures"/>
      </w:pPr>
      <w:bookmarkStart w:id="213" w:name="_Ref453602581"/>
      <w:bookmarkStart w:id="214" w:name="_Ref453602563"/>
      <w:bookmarkStart w:id="215" w:name="_Toc468286065"/>
      <w:r>
        <w:lastRenderedPageBreak/>
        <w:t xml:space="preserve">Table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t>.</w:t>
      </w:r>
      <w:r w:rsidR="00245D68">
        <w:fldChar w:fldCharType="begin"/>
      </w:r>
      <w:r w:rsidR="00245D68">
        <w:instrText xml:space="preserve"> SEQ Table \* ARABIC \s 1 </w:instrText>
      </w:r>
      <w:r w:rsidR="00245D68">
        <w:fldChar w:fldCharType="separate"/>
      </w:r>
      <w:r w:rsidR="00152F6D">
        <w:rPr>
          <w:noProof/>
        </w:rPr>
        <w:t>1</w:t>
      </w:r>
      <w:r w:rsidR="00245D68">
        <w:rPr>
          <w:noProof/>
        </w:rPr>
        <w:fldChar w:fldCharType="end"/>
      </w:r>
      <w:bookmarkEnd w:id="213"/>
      <w:r>
        <w:t xml:space="preserve"> Key characteristics of the studies included in the meta-analyses (</w:t>
      </w:r>
      <w:r w:rsidRPr="00F256F4">
        <w:rPr>
          <w:i/>
        </w:rPr>
        <w:t>k</w:t>
      </w:r>
      <w:r>
        <w:t>=20)</w:t>
      </w:r>
      <w:bookmarkEnd w:id="214"/>
      <w:bookmarkEnd w:id="215"/>
    </w:p>
    <w:tbl>
      <w:tblPr>
        <w:tblStyle w:val="TableGrid"/>
        <w:tblW w:w="140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7"/>
        <w:gridCol w:w="803"/>
        <w:gridCol w:w="1857"/>
        <w:gridCol w:w="1079"/>
        <w:gridCol w:w="1386"/>
        <w:gridCol w:w="1695"/>
        <w:gridCol w:w="1694"/>
        <w:gridCol w:w="4119"/>
      </w:tblGrid>
      <w:tr w:rsidR="00D20EED" w:rsidRPr="00D20EED" w14:paraId="050D0FF2" w14:textId="77777777" w:rsidTr="00D20EED">
        <w:trPr>
          <w:cantSplit/>
          <w:trHeight w:val="627"/>
          <w:tblHeader/>
        </w:trPr>
        <w:tc>
          <w:tcPr>
            <w:tcW w:w="1387" w:type="dxa"/>
            <w:tcBorders>
              <w:top w:val="single" w:sz="4" w:space="0" w:color="auto"/>
              <w:left w:val="nil"/>
              <w:bottom w:val="single" w:sz="4" w:space="0" w:color="auto"/>
              <w:right w:val="nil"/>
            </w:tcBorders>
            <w:hideMark/>
          </w:tcPr>
          <w:p w14:paraId="52691D48" w14:textId="0A4A2736" w:rsidR="00D20EED" w:rsidRPr="00D20EED" w:rsidRDefault="00D20EED">
            <w:pPr>
              <w:contextualSpacing/>
              <w:rPr>
                <w:rFonts w:cs="Times New Roman"/>
                <w:b/>
              </w:rPr>
            </w:pPr>
            <w:r w:rsidRPr="00D20EED">
              <w:rPr>
                <w:rFonts w:cs="Times New Roman"/>
                <w:b/>
              </w:rPr>
              <w:t>Reference</w:t>
            </w:r>
          </w:p>
        </w:tc>
        <w:tc>
          <w:tcPr>
            <w:tcW w:w="803" w:type="dxa"/>
            <w:tcBorders>
              <w:top w:val="single" w:sz="4" w:space="0" w:color="auto"/>
              <w:left w:val="nil"/>
              <w:bottom w:val="single" w:sz="4" w:space="0" w:color="auto"/>
              <w:right w:val="nil"/>
            </w:tcBorders>
            <w:hideMark/>
          </w:tcPr>
          <w:p w14:paraId="25953145" w14:textId="77777777" w:rsidR="00D20EED" w:rsidRPr="00D20EED" w:rsidRDefault="00D20EED">
            <w:pPr>
              <w:contextualSpacing/>
              <w:rPr>
                <w:rFonts w:cs="Times New Roman"/>
                <w:b/>
              </w:rPr>
            </w:pPr>
            <w:r w:rsidRPr="00D20EED">
              <w:rPr>
                <w:rFonts w:cs="Times New Roman"/>
                <w:b/>
              </w:rPr>
              <w:t>Doc</w:t>
            </w:r>
            <w:r w:rsidRPr="00D20EED">
              <w:rPr>
                <w:rFonts w:cs="Times New Roman"/>
                <w:b/>
                <w:vertAlign w:val="superscript"/>
              </w:rPr>
              <w:t>a</w:t>
            </w:r>
            <w:r w:rsidRPr="00D20EED">
              <w:rPr>
                <w:rFonts w:cs="Times New Roman"/>
                <w:b/>
              </w:rPr>
              <w:t xml:space="preserve"> type</w:t>
            </w:r>
          </w:p>
        </w:tc>
        <w:tc>
          <w:tcPr>
            <w:tcW w:w="1857" w:type="dxa"/>
            <w:tcBorders>
              <w:top w:val="single" w:sz="4" w:space="0" w:color="auto"/>
              <w:left w:val="nil"/>
              <w:bottom w:val="single" w:sz="4" w:space="0" w:color="auto"/>
              <w:right w:val="nil"/>
            </w:tcBorders>
            <w:hideMark/>
          </w:tcPr>
          <w:p w14:paraId="678FDCEF" w14:textId="77777777" w:rsidR="00D20EED" w:rsidRPr="00D20EED" w:rsidRDefault="00D20EED">
            <w:pPr>
              <w:contextualSpacing/>
              <w:rPr>
                <w:rFonts w:cs="Times New Roman"/>
                <w:b/>
              </w:rPr>
            </w:pPr>
            <w:r w:rsidRPr="00D20EED">
              <w:rPr>
                <w:rFonts w:cs="Times New Roman"/>
                <w:b/>
              </w:rPr>
              <w:t>Setting</w:t>
            </w:r>
          </w:p>
        </w:tc>
        <w:tc>
          <w:tcPr>
            <w:tcW w:w="1079" w:type="dxa"/>
            <w:tcBorders>
              <w:top w:val="single" w:sz="4" w:space="0" w:color="auto"/>
              <w:left w:val="nil"/>
              <w:bottom w:val="single" w:sz="4" w:space="0" w:color="auto"/>
              <w:right w:val="nil"/>
            </w:tcBorders>
            <w:hideMark/>
          </w:tcPr>
          <w:p w14:paraId="151BB7DC" w14:textId="77777777" w:rsidR="00D20EED" w:rsidRPr="00D20EED" w:rsidRDefault="00D20EED">
            <w:pPr>
              <w:contextualSpacing/>
              <w:rPr>
                <w:rFonts w:cs="Times New Roman"/>
                <w:b/>
                <w:vertAlign w:val="superscript"/>
              </w:rPr>
            </w:pPr>
            <w:r w:rsidRPr="00D20EED">
              <w:rPr>
                <w:rFonts w:cs="Times New Roman"/>
                <w:b/>
              </w:rPr>
              <w:t>Design</w:t>
            </w:r>
            <w:r w:rsidRPr="00D20EED">
              <w:rPr>
                <w:rFonts w:cs="Times New Roman"/>
                <w:b/>
                <w:vertAlign w:val="superscript"/>
              </w:rPr>
              <w:t>b</w:t>
            </w:r>
          </w:p>
        </w:tc>
        <w:tc>
          <w:tcPr>
            <w:tcW w:w="1386" w:type="dxa"/>
            <w:tcBorders>
              <w:top w:val="single" w:sz="4" w:space="0" w:color="auto"/>
              <w:left w:val="nil"/>
              <w:bottom w:val="single" w:sz="4" w:space="0" w:color="auto"/>
              <w:right w:val="nil"/>
            </w:tcBorders>
            <w:hideMark/>
          </w:tcPr>
          <w:p w14:paraId="63693023" w14:textId="77777777" w:rsidR="00D20EED" w:rsidRPr="00D20EED" w:rsidRDefault="00D20EED">
            <w:pPr>
              <w:contextualSpacing/>
              <w:rPr>
                <w:rFonts w:cs="Times New Roman"/>
                <w:b/>
              </w:rPr>
            </w:pPr>
            <w:r w:rsidRPr="00D20EED">
              <w:rPr>
                <w:rFonts w:cs="Times New Roman"/>
                <w:b/>
              </w:rPr>
              <w:t>Duration</w:t>
            </w:r>
            <w:r w:rsidRPr="00D20EED">
              <w:rPr>
                <w:rFonts w:cs="Times New Roman"/>
                <w:b/>
                <w:vertAlign w:val="superscript"/>
              </w:rPr>
              <w:t>c</w:t>
            </w:r>
            <w:r w:rsidRPr="00D20EED">
              <w:rPr>
                <w:rFonts w:cs="Times New Roman"/>
                <w:b/>
              </w:rPr>
              <w:t xml:space="preserve"> </w:t>
            </w:r>
          </w:p>
        </w:tc>
        <w:tc>
          <w:tcPr>
            <w:tcW w:w="1695" w:type="dxa"/>
            <w:tcBorders>
              <w:top w:val="single" w:sz="4" w:space="0" w:color="auto"/>
              <w:left w:val="nil"/>
              <w:bottom w:val="single" w:sz="4" w:space="0" w:color="auto"/>
              <w:right w:val="nil"/>
            </w:tcBorders>
            <w:hideMark/>
          </w:tcPr>
          <w:p w14:paraId="556897EA" w14:textId="77777777" w:rsidR="00D20EED" w:rsidRPr="00D20EED" w:rsidRDefault="00D20EED">
            <w:pPr>
              <w:contextualSpacing/>
              <w:rPr>
                <w:rFonts w:cs="Times New Roman"/>
                <w:b/>
              </w:rPr>
            </w:pPr>
            <w:r w:rsidRPr="00D20EED">
              <w:rPr>
                <w:rFonts w:cs="Times New Roman"/>
                <w:b/>
              </w:rPr>
              <w:t>Intervention type</w:t>
            </w:r>
          </w:p>
        </w:tc>
        <w:tc>
          <w:tcPr>
            <w:tcW w:w="1694" w:type="dxa"/>
            <w:tcBorders>
              <w:top w:val="single" w:sz="4" w:space="0" w:color="auto"/>
              <w:left w:val="nil"/>
              <w:bottom w:val="single" w:sz="4" w:space="0" w:color="auto"/>
              <w:right w:val="nil"/>
            </w:tcBorders>
            <w:hideMark/>
          </w:tcPr>
          <w:p w14:paraId="2898C6BF" w14:textId="77777777" w:rsidR="00D20EED" w:rsidRPr="00D20EED" w:rsidRDefault="00D20EED">
            <w:pPr>
              <w:contextualSpacing/>
              <w:rPr>
                <w:rFonts w:cs="Times New Roman"/>
                <w:b/>
              </w:rPr>
            </w:pPr>
            <w:r w:rsidRPr="00D20EED">
              <w:rPr>
                <w:rFonts w:cs="Times New Roman"/>
                <w:b/>
              </w:rPr>
              <w:t>Intervention style</w:t>
            </w:r>
          </w:p>
        </w:tc>
        <w:tc>
          <w:tcPr>
            <w:tcW w:w="4119" w:type="dxa"/>
            <w:tcBorders>
              <w:top w:val="single" w:sz="4" w:space="0" w:color="auto"/>
              <w:left w:val="nil"/>
              <w:bottom w:val="single" w:sz="4" w:space="0" w:color="auto"/>
              <w:right w:val="nil"/>
            </w:tcBorders>
            <w:hideMark/>
          </w:tcPr>
          <w:p w14:paraId="080D65F5" w14:textId="77777777" w:rsidR="00D20EED" w:rsidRPr="00D20EED" w:rsidRDefault="00D20EED">
            <w:pPr>
              <w:contextualSpacing/>
              <w:rPr>
                <w:rFonts w:cs="Times New Roman"/>
                <w:b/>
              </w:rPr>
            </w:pPr>
            <w:r w:rsidRPr="00D20EED">
              <w:rPr>
                <w:rFonts w:cs="Times New Roman"/>
                <w:b/>
              </w:rPr>
              <w:t>Core Intervention components</w:t>
            </w:r>
          </w:p>
        </w:tc>
      </w:tr>
      <w:tr w:rsidR="00D20EED" w:rsidRPr="00D20EED" w14:paraId="0925C686" w14:textId="77777777" w:rsidTr="00D20EED">
        <w:trPr>
          <w:trHeight w:val="800"/>
        </w:trPr>
        <w:tc>
          <w:tcPr>
            <w:tcW w:w="1387" w:type="dxa"/>
            <w:tcBorders>
              <w:top w:val="nil"/>
              <w:left w:val="nil"/>
              <w:bottom w:val="nil"/>
              <w:right w:val="nil"/>
            </w:tcBorders>
            <w:hideMark/>
          </w:tcPr>
          <w:p w14:paraId="61296345" w14:textId="77777777" w:rsidR="00D20EED" w:rsidRPr="00D20EED" w:rsidRDefault="00D20EED">
            <w:pPr>
              <w:contextualSpacing/>
              <w:rPr>
                <w:rFonts w:cs="Times New Roman"/>
              </w:rPr>
            </w:pPr>
            <w:r w:rsidRPr="00D20EED">
              <w:rPr>
                <w:rFonts w:cs="Times New Roman"/>
              </w:rPr>
              <w:t>Aikens et al., 2014</w:t>
            </w:r>
          </w:p>
        </w:tc>
        <w:tc>
          <w:tcPr>
            <w:tcW w:w="803" w:type="dxa"/>
            <w:tcBorders>
              <w:top w:val="nil"/>
              <w:left w:val="nil"/>
              <w:bottom w:val="nil"/>
              <w:right w:val="nil"/>
            </w:tcBorders>
            <w:hideMark/>
          </w:tcPr>
          <w:p w14:paraId="0BD23C4A"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1B5F9DC7" w14:textId="7B99EF1E" w:rsidR="00D20EED" w:rsidRPr="00D20EED" w:rsidRDefault="00EC7444">
            <w:pPr>
              <w:contextualSpacing/>
              <w:rPr>
                <w:rFonts w:cs="Times New Roman"/>
              </w:rPr>
            </w:pPr>
            <w:r>
              <w:rPr>
                <w:rFonts w:cs="Times New Roman"/>
              </w:rPr>
              <w:t>USA</w:t>
            </w:r>
            <w:r w:rsidR="00D20EED" w:rsidRPr="00D20EED">
              <w:rPr>
                <w:rFonts w:cs="Times New Roman"/>
              </w:rPr>
              <w:t>, chemical company</w:t>
            </w:r>
          </w:p>
        </w:tc>
        <w:tc>
          <w:tcPr>
            <w:tcW w:w="1079" w:type="dxa"/>
            <w:tcBorders>
              <w:top w:val="nil"/>
              <w:left w:val="nil"/>
              <w:bottom w:val="nil"/>
              <w:right w:val="nil"/>
            </w:tcBorders>
            <w:hideMark/>
          </w:tcPr>
          <w:p w14:paraId="3E34AC4A" w14:textId="77777777" w:rsidR="00D20EED" w:rsidRPr="00D20EED" w:rsidRDefault="00D20EED">
            <w:pPr>
              <w:contextualSpacing/>
              <w:rPr>
                <w:rFonts w:cs="Times New Roman"/>
              </w:rPr>
            </w:pPr>
            <w:r w:rsidRPr="00D20EED">
              <w:rPr>
                <w:rFonts w:cs="Times New Roman"/>
              </w:rPr>
              <w:t xml:space="preserve">R </w:t>
            </w:r>
          </w:p>
        </w:tc>
        <w:tc>
          <w:tcPr>
            <w:tcW w:w="1386" w:type="dxa"/>
            <w:tcBorders>
              <w:top w:val="nil"/>
              <w:left w:val="nil"/>
              <w:bottom w:val="nil"/>
              <w:right w:val="nil"/>
            </w:tcBorders>
            <w:hideMark/>
          </w:tcPr>
          <w:p w14:paraId="05C27A4A" w14:textId="77777777" w:rsidR="00D20EED" w:rsidRPr="00D20EED" w:rsidRDefault="00D20EED">
            <w:pPr>
              <w:contextualSpacing/>
              <w:rPr>
                <w:rFonts w:cs="Times New Roman"/>
              </w:rPr>
            </w:pPr>
            <w:r w:rsidRPr="00D20EED">
              <w:rPr>
                <w:rFonts w:cs="Times New Roman"/>
              </w:rPr>
              <w:t>7 weeks</w:t>
            </w:r>
          </w:p>
        </w:tc>
        <w:tc>
          <w:tcPr>
            <w:tcW w:w="1695" w:type="dxa"/>
            <w:tcBorders>
              <w:top w:val="nil"/>
              <w:left w:val="nil"/>
              <w:bottom w:val="nil"/>
              <w:right w:val="nil"/>
            </w:tcBorders>
            <w:hideMark/>
          </w:tcPr>
          <w:p w14:paraId="10DA0F79" w14:textId="77777777" w:rsidR="00D20EED" w:rsidRPr="00D20EED" w:rsidRDefault="00D20EED">
            <w:pPr>
              <w:contextualSpacing/>
              <w:rPr>
                <w:rFonts w:cs="Times New Roman"/>
              </w:rPr>
            </w:pPr>
            <w:r w:rsidRPr="00D20EED">
              <w:rPr>
                <w:rFonts w:cs="Times New Roman"/>
              </w:rPr>
              <w:t>Health promotion</w:t>
            </w:r>
          </w:p>
        </w:tc>
        <w:tc>
          <w:tcPr>
            <w:tcW w:w="1694" w:type="dxa"/>
            <w:tcBorders>
              <w:top w:val="nil"/>
              <w:left w:val="nil"/>
              <w:bottom w:val="nil"/>
              <w:right w:val="nil"/>
            </w:tcBorders>
            <w:hideMark/>
          </w:tcPr>
          <w:p w14:paraId="18905D57" w14:textId="77777777" w:rsidR="00D20EED" w:rsidRPr="00D20EED" w:rsidRDefault="00D20EED">
            <w:pPr>
              <w:contextualSpacing/>
              <w:rPr>
                <w:rFonts w:cs="Times New Roman"/>
              </w:rPr>
            </w:pPr>
            <w:r w:rsidRPr="00D20EED">
              <w:rPr>
                <w:rFonts w:cs="Times New Roman"/>
              </w:rPr>
              <w:t xml:space="preserve">Group </w:t>
            </w:r>
          </w:p>
        </w:tc>
        <w:tc>
          <w:tcPr>
            <w:tcW w:w="4119" w:type="dxa"/>
            <w:tcBorders>
              <w:top w:val="nil"/>
              <w:left w:val="nil"/>
              <w:bottom w:val="nil"/>
              <w:right w:val="nil"/>
            </w:tcBorders>
            <w:hideMark/>
          </w:tcPr>
          <w:p w14:paraId="755997E9" w14:textId="77777777" w:rsidR="00D20EED" w:rsidRPr="00D20EED" w:rsidRDefault="00D20EED">
            <w:pPr>
              <w:contextualSpacing/>
              <w:rPr>
                <w:rFonts w:cs="Times New Roman"/>
              </w:rPr>
            </w:pPr>
            <w:r w:rsidRPr="00D20EED">
              <w:rPr>
                <w:rFonts w:cs="Times New Roman"/>
              </w:rPr>
              <w:t>Virtual mindfulness sessions, homework, progress tracking survey, e-coaching</w:t>
            </w:r>
          </w:p>
        </w:tc>
      </w:tr>
      <w:tr w:rsidR="00D20EED" w:rsidRPr="00D20EED" w14:paraId="09D5F7EA" w14:textId="77777777" w:rsidTr="00D20EED">
        <w:trPr>
          <w:trHeight w:val="859"/>
        </w:trPr>
        <w:tc>
          <w:tcPr>
            <w:tcW w:w="1387" w:type="dxa"/>
            <w:tcBorders>
              <w:top w:val="nil"/>
              <w:left w:val="nil"/>
              <w:bottom w:val="nil"/>
              <w:right w:val="nil"/>
            </w:tcBorders>
            <w:hideMark/>
          </w:tcPr>
          <w:p w14:paraId="093DC658" w14:textId="09A9402A" w:rsidR="00D20EED" w:rsidRPr="00D20EED" w:rsidRDefault="005726FB" w:rsidP="005726FB">
            <w:pPr>
              <w:contextualSpacing/>
              <w:rPr>
                <w:rFonts w:cs="Times New Roman"/>
                <w:color w:val="000000"/>
              </w:rPr>
            </w:pPr>
            <w:r>
              <w:rPr>
                <w:rFonts w:cs="Times New Roman"/>
                <w:color w:val="000000"/>
              </w:rPr>
              <w:t>Angelo &amp; Chambel</w:t>
            </w:r>
            <w:r w:rsidR="00D20EED" w:rsidRPr="00D20EED">
              <w:rPr>
                <w:rFonts w:cs="Times New Roman"/>
                <w:color w:val="000000"/>
              </w:rPr>
              <w:t xml:space="preserve">, 2013 </w:t>
            </w:r>
          </w:p>
        </w:tc>
        <w:tc>
          <w:tcPr>
            <w:tcW w:w="803" w:type="dxa"/>
            <w:tcBorders>
              <w:top w:val="nil"/>
              <w:left w:val="nil"/>
              <w:bottom w:val="nil"/>
              <w:right w:val="nil"/>
            </w:tcBorders>
            <w:hideMark/>
          </w:tcPr>
          <w:p w14:paraId="21EED245"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620572A9" w14:textId="77777777" w:rsidR="00D20EED" w:rsidRPr="00D20EED" w:rsidRDefault="00D20EED">
            <w:pPr>
              <w:contextualSpacing/>
              <w:rPr>
                <w:rFonts w:cs="Times New Roman"/>
              </w:rPr>
            </w:pPr>
            <w:r w:rsidRPr="00D20EED">
              <w:rPr>
                <w:rFonts w:cs="Times New Roman"/>
              </w:rPr>
              <w:t>Portugal, fire service</w:t>
            </w:r>
          </w:p>
        </w:tc>
        <w:tc>
          <w:tcPr>
            <w:tcW w:w="1079" w:type="dxa"/>
            <w:tcBorders>
              <w:top w:val="nil"/>
              <w:left w:val="nil"/>
              <w:bottom w:val="nil"/>
              <w:right w:val="nil"/>
            </w:tcBorders>
            <w:hideMark/>
          </w:tcPr>
          <w:p w14:paraId="060CB62F" w14:textId="77777777" w:rsidR="00D20EED" w:rsidRPr="00D20EED" w:rsidRDefault="00D20EED">
            <w:pPr>
              <w:contextualSpacing/>
              <w:rPr>
                <w:rFonts w:cs="Times New Roman"/>
                <w:color w:val="000000"/>
              </w:rPr>
            </w:pPr>
            <w:r w:rsidRPr="00D20EED">
              <w:rPr>
                <w:rFonts w:cs="Times New Roman"/>
                <w:color w:val="000000"/>
              </w:rPr>
              <w:t>R</w:t>
            </w:r>
          </w:p>
        </w:tc>
        <w:tc>
          <w:tcPr>
            <w:tcW w:w="1386" w:type="dxa"/>
            <w:tcBorders>
              <w:top w:val="nil"/>
              <w:left w:val="nil"/>
              <w:bottom w:val="nil"/>
              <w:right w:val="nil"/>
            </w:tcBorders>
            <w:hideMark/>
          </w:tcPr>
          <w:p w14:paraId="30B5D50F" w14:textId="77777777" w:rsidR="00D20EED" w:rsidRPr="00D20EED" w:rsidRDefault="00D20EED">
            <w:pPr>
              <w:contextualSpacing/>
              <w:rPr>
                <w:rFonts w:cs="Times New Roman"/>
              </w:rPr>
            </w:pPr>
            <w:r w:rsidRPr="00D20EED">
              <w:rPr>
                <w:rFonts w:cs="Times New Roman"/>
              </w:rPr>
              <w:t>4 months</w:t>
            </w:r>
          </w:p>
        </w:tc>
        <w:tc>
          <w:tcPr>
            <w:tcW w:w="1695" w:type="dxa"/>
            <w:tcBorders>
              <w:top w:val="nil"/>
              <w:left w:val="nil"/>
              <w:bottom w:val="nil"/>
              <w:right w:val="nil"/>
            </w:tcBorders>
            <w:hideMark/>
          </w:tcPr>
          <w:p w14:paraId="4ABB6BD4" w14:textId="77777777" w:rsidR="00D20EED" w:rsidRPr="00D20EED" w:rsidRDefault="00D20EED">
            <w:pPr>
              <w:contextualSpacing/>
              <w:rPr>
                <w:rFonts w:cs="Times New Roman"/>
              </w:rPr>
            </w:pPr>
            <w:r w:rsidRPr="00D20EED">
              <w:rPr>
                <w:rFonts w:cs="Times New Roman"/>
              </w:rPr>
              <w:t>Leadership training</w:t>
            </w:r>
          </w:p>
        </w:tc>
        <w:tc>
          <w:tcPr>
            <w:tcW w:w="1694" w:type="dxa"/>
            <w:tcBorders>
              <w:top w:val="nil"/>
              <w:left w:val="nil"/>
              <w:bottom w:val="nil"/>
              <w:right w:val="nil"/>
            </w:tcBorders>
            <w:hideMark/>
          </w:tcPr>
          <w:p w14:paraId="13247385" w14:textId="77777777" w:rsidR="00D20EED" w:rsidRPr="00D20EED" w:rsidRDefault="00D20EED">
            <w:pPr>
              <w:contextualSpacing/>
              <w:rPr>
                <w:rFonts w:cs="Times New Roman"/>
              </w:rPr>
            </w:pPr>
            <w:r w:rsidRPr="00D20EED">
              <w:rPr>
                <w:rFonts w:cs="Times New Roman"/>
              </w:rPr>
              <w:t xml:space="preserve">Online &amp; group </w:t>
            </w:r>
          </w:p>
        </w:tc>
        <w:tc>
          <w:tcPr>
            <w:tcW w:w="4119" w:type="dxa"/>
            <w:tcBorders>
              <w:top w:val="nil"/>
              <w:left w:val="nil"/>
              <w:bottom w:val="nil"/>
              <w:right w:val="nil"/>
            </w:tcBorders>
            <w:hideMark/>
          </w:tcPr>
          <w:p w14:paraId="78705E13" w14:textId="77777777" w:rsidR="00D20EED" w:rsidRPr="00D20EED" w:rsidRDefault="00D20EED">
            <w:pPr>
              <w:contextualSpacing/>
              <w:rPr>
                <w:rFonts w:cs="Times New Roman"/>
              </w:rPr>
            </w:pPr>
            <w:r w:rsidRPr="00D20EED">
              <w:rPr>
                <w:rFonts w:cs="Times New Roman"/>
              </w:rPr>
              <w:t>Three day stress management workshop for supervisors with educational and action components</w:t>
            </w:r>
          </w:p>
        </w:tc>
      </w:tr>
      <w:tr w:rsidR="00D20EED" w:rsidRPr="00D20EED" w14:paraId="631DD974" w14:textId="77777777" w:rsidTr="00D20EED">
        <w:trPr>
          <w:trHeight w:val="859"/>
        </w:trPr>
        <w:tc>
          <w:tcPr>
            <w:tcW w:w="1387" w:type="dxa"/>
            <w:tcBorders>
              <w:top w:val="nil"/>
              <w:left w:val="nil"/>
              <w:bottom w:val="nil"/>
              <w:right w:val="nil"/>
            </w:tcBorders>
          </w:tcPr>
          <w:p w14:paraId="70948CF8" w14:textId="77777777" w:rsidR="00D20EED" w:rsidRPr="00D20EED" w:rsidRDefault="00D20EED">
            <w:pPr>
              <w:contextualSpacing/>
              <w:rPr>
                <w:rFonts w:cs="Times New Roman"/>
                <w:color w:val="000000"/>
              </w:rPr>
            </w:pPr>
            <w:r w:rsidRPr="00D20EED">
              <w:rPr>
                <w:rFonts w:cs="Times New Roman"/>
                <w:color w:val="000000"/>
              </w:rPr>
              <w:t xml:space="preserve">Biggs, 2011 </w:t>
            </w:r>
          </w:p>
          <w:p w14:paraId="0DF0F272" w14:textId="77777777" w:rsidR="00D20EED" w:rsidRPr="00D20EED" w:rsidRDefault="00D20EED">
            <w:pPr>
              <w:contextualSpacing/>
              <w:rPr>
                <w:rFonts w:cs="Times New Roman"/>
                <w:b/>
                <w:color w:val="000000"/>
              </w:rPr>
            </w:pPr>
          </w:p>
        </w:tc>
        <w:tc>
          <w:tcPr>
            <w:tcW w:w="803" w:type="dxa"/>
            <w:tcBorders>
              <w:top w:val="nil"/>
              <w:left w:val="nil"/>
              <w:bottom w:val="nil"/>
              <w:right w:val="nil"/>
            </w:tcBorders>
            <w:hideMark/>
          </w:tcPr>
          <w:p w14:paraId="6F91A5B3" w14:textId="77777777" w:rsidR="00D20EED" w:rsidRPr="00D20EED" w:rsidRDefault="00D20EED">
            <w:pPr>
              <w:contextualSpacing/>
              <w:rPr>
                <w:rFonts w:cs="Times New Roman"/>
              </w:rPr>
            </w:pPr>
            <w:r w:rsidRPr="00D20EED">
              <w:rPr>
                <w:rFonts w:cs="Times New Roman"/>
              </w:rPr>
              <w:t>T</w:t>
            </w:r>
          </w:p>
        </w:tc>
        <w:tc>
          <w:tcPr>
            <w:tcW w:w="1857" w:type="dxa"/>
            <w:tcBorders>
              <w:top w:val="nil"/>
              <w:left w:val="nil"/>
              <w:bottom w:val="nil"/>
              <w:right w:val="nil"/>
            </w:tcBorders>
            <w:hideMark/>
          </w:tcPr>
          <w:p w14:paraId="418EBD43" w14:textId="77777777" w:rsidR="00D20EED" w:rsidRPr="00D20EED" w:rsidRDefault="00D20EED">
            <w:pPr>
              <w:contextualSpacing/>
              <w:rPr>
                <w:rFonts w:cs="Times New Roman"/>
              </w:rPr>
            </w:pPr>
            <w:r w:rsidRPr="00D20EED">
              <w:rPr>
                <w:rFonts w:cs="Times New Roman"/>
              </w:rPr>
              <w:t>Australia, police service</w:t>
            </w:r>
          </w:p>
        </w:tc>
        <w:tc>
          <w:tcPr>
            <w:tcW w:w="1079" w:type="dxa"/>
            <w:tcBorders>
              <w:top w:val="nil"/>
              <w:left w:val="nil"/>
              <w:bottom w:val="nil"/>
              <w:right w:val="nil"/>
            </w:tcBorders>
            <w:hideMark/>
          </w:tcPr>
          <w:p w14:paraId="1BFF8949"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3542761C" w14:textId="77777777" w:rsidR="00D20EED" w:rsidRPr="00D20EED" w:rsidRDefault="00D20EED">
            <w:pPr>
              <w:contextualSpacing/>
              <w:rPr>
                <w:rFonts w:cs="Times New Roman"/>
              </w:rPr>
            </w:pPr>
            <w:r w:rsidRPr="00D20EED">
              <w:rPr>
                <w:rFonts w:cs="Times New Roman"/>
              </w:rPr>
              <w:t>7 months</w:t>
            </w:r>
          </w:p>
        </w:tc>
        <w:tc>
          <w:tcPr>
            <w:tcW w:w="1695" w:type="dxa"/>
            <w:tcBorders>
              <w:top w:val="nil"/>
              <w:left w:val="nil"/>
              <w:bottom w:val="nil"/>
              <w:right w:val="nil"/>
            </w:tcBorders>
            <w:hideMark/>
          </w:tcPr>
          <w:p w14:paraId="51B9D9AD" w14:textId="77777777" w:rsidR="00D20EED" w:rsidRPr="00D20EED" w:rsidRDefault="00D20EED">
            <w:pPr>
              <w:contextualSpacing/>
              <w:rPr>
                <w:rFonts w:cs="Times New Roman"/>
              </w:rPr>
            </w:pPr>
            <w:r w:rsidRPr="00D20EED">
              <w:rPr>
                <w:rFonts w:cs="Times New Roman"/>
              </w:rPr>
              <w:t>Leadership training</w:t>
            </w:r>
          </w:p>
        </w:tc>
        <w:tc>
          <w:tcPr>
            <w:tcW w:w="1694" w:type="dxa"/>
            <w:tcBorders>
              <w:top w:val="nil"/>
              <w:left w:val="nil"/>
              <w:bottom w:val="nil"/>
              <w:right w:val="nil"/>
            </w:tcBorders>
            <w:hideMark/>
          </w:tcPr>
          <w:p w14:paraId="61E0A2F4"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hideMark/>
          </w:tcPr>
          <w:p w14:paraId="01D85412" w14:textId="77777777" w:rsidR="00D20EED" w:rsidRPr="00D20EED" w:rsidRDefault="00D20EED">
            <w:pPr>
              <w:contextualSpacing/>
              <w:rPr>
                <w:rFonts w:cs="Times New Roman"/>
              </w:rPr>
            </w:pPr>
            <w:r w:rsidRPr="00D20EED">
              <w:rPr>
                <w:rFonts w:cs="Times New Roman"/>
              </w:rPr>
              <w:t>Participatory action research - six workshops involving psychoeducation and cognitive behavioural therapy based skills training (topics included stress, social support, career development &amp; work-life balance)</w:t>
            </w:r>
          </w:p>
        </w:tc>
      </w:tr>
      <w:tr w:rsidR="00D20EED" w:rsidRPr="00D20EED" w14:paraId="177DD00E" w14:textId="77777777" w:rsidTr="00D20EED">
        <w:trPr>
          <w:trHeight w:val="859"/>
        </w:trPr>
        <w:tc>
          <w:tcPr>
            <w:tcW w:w="1387" w:type="dxa"/>
            <w:tcBorders>
              <w:top w:val="nil"/>
              <w:left w:val="nil"/>
              <w:bottom w:val="nil"/>
              <w:right w:val="nil"/>
            </w:tcBorders>
            <w:hideMark/>
          </w:tcPr>
          <w:p w14:paraId="0B2C29B6" w14:textId="00F80358" w:rsidR="00D20EED" w:rsidRPr="00D20EED" w:rsidRDefault="00992B4C">
            <w:pPr>
              <w:contextualSpacing/>
              <w:rPr>
                <w:rFonts w:cs="Times New Roman"/>
                <w:color w:val="000000"/>
              </w:rPr>
            </w:pPr>
            <w:r>
              <w:rPr>
                <w:rFonts w:cs="Times New Roman"/>
                <w:color w:val="000000"/>
              </w:rPr>
              <w:t>Biggs et al., 2014</w:t>
            </w:r>
            <w:r w:rsidR="00D20EED" w:rsidRPr="00D20EED">
              <w:rPr>
                <w:rFonts w:cs="Times New Roman"/>
                <w:color w:val="000000"/>
              </w:rPr>
              <w:t xml:space="preserve"> </w:t>
            </w:r>
          </w:p>
        </w:tc>
        <w:tc>
          <w:tcPr>
            <w:tcW w:w="803" w:type="dxa"/>
            <w:tcBorders>
              <w:top w:val="nil"/>
              <w:left w:val="nil"/>
              <w:bottom w:val="nil"/>
              <w:right w:val="nil"/>
            </w:tcBorders>
            <w:hideMark/>
          </w:tcPr>
          <w:p w14:paraId="3848EB2F"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6073292A" w14:textId="77777777" w:rsidR="00D20EED" w:rsidRPr="00D20EED" w:rsidRDefault="00D20EED">
            <w:pPr>
              <w:contextualSpacing/>
              <w:rPr>
                <w:rFonts w:cs="Times New Roman"/>
              </w:rPr>
            </w:pPr>
            <w:r w:rsidRPr="00D20EED">
              <w:rPr>
                <w:rFonts w:cs="Times New Roman"/>
              </w:rPr>
              <w:t>Australia, police service</w:t>
            </w:r>
          </w:p>
        </w:tc>
        <w:tc>
          <w:tcPr>
            <w:tcW w:w="1079" w:type="dxa"/>
            <w:tcBorders>
              <w:top w:val="nil"/>
              <w:left w:val="nil"/>
              <w:bottom w:val="nil"/>
              <w:right w:val="nil"/>
            </w:tcBorders>
            <w:hideMark/>
          </w:tcPr>
          <w:p w14:paraId="3CFF07D9"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1EDCF6A3" w14:textId="6AFBF9B0" w:rsidR="00D20EED" w:rsidRPr="00D20EED" w:rsidRDefault="00992B4C">
            <w:pPr>
              <w:contextualSpacing/>
              <w:rPr>
                <w:rFonts w:cs="Times New Roman"/>
              </w:rPr>
            </w:pPr>
            <w:r>
              <w:rPr>
                <w:rFonts w:cs="Times New Roman"/>
              </w:rPr>
              <w:t>7</w:t>
            </w:r>
            <w:r w:rsidR="00D20EED" w:rsidRPr="00D20EED">
              <w:rPr>
                <w:rFonts w:cs="Times New Roman"/>
              </w:rPr>
              <w:t xml:space="preserve"> months</w:t>
            </w:r>
          </w:p>
        </w:tc>
        <w:tc>
          <w:tcPr>
            <w:tcW w:w="1695" w:type="dxa"/>
            <w:tcBorders>
              <w:top w:val="nil"/>
              <w:left w:val="nil"/>
              <w:bottom w:val="nil"/>
              <w:right w:val="nil"/>
            </w:tcBorders>
            <w:hideMark/>
          </w:tcPr>
          <w:p w14:paraId="1DEE86C9" w14:textId="77777777" w:rsidR="00D20EED" w:rsidRPr="00D20EED" w:rsidRDefault="00D20EED">
            <w:pPr>
              <w:contextualSpacing/>
              <w:rPr>
                <w:rFonts w:cs="Times New Roman"/>
              </w:rPr>
            </w:pPr>
            <w:r w:rsidRPr="00D20EED">
              <w:rPr>
                <w:rFonts w:cs="Times New Roman"/>
              </w:rPr>
              <w:t>Leadership training</w:t>
            </w:r>
          </w:p>
        </w:tc>
        <w:tc>
          <w:tcPr>
            <w:tcW w:w="1694" w:type="dxa"/>
            <w:tcBorders>
              <w:top w:val="nil"/>
              <w:left w:val="nil"/>
              <w:bottom w:val="nil"/>
              <w:right w:val="nil"/>
            </w:tcBorders>
          </w:tcPr>
          <w:p w14:paraId="62B59001" w14:textId="77777777" w:rsidR="00D20EED" w:rsidRPr="00D20EED" w:rsidRDefault="00D20EED">
            <w:pPr>
              <w:contextualSpacing/>
              <w:rPr>
                <w:rFonts w:cs="Times New Roman"/>
              </w:rPr>
            </w:pPr>
            <w:r w:rsidRPr="00D20EED">
              <w:rPr>
                <w:rFonts w:cs="Times New Roman"/>
              </w:rPr>
              <w:t>Group</w:t>
            </w:r>
          </w:p>
          <w:p w14:paraId="6A625F09" w14:textId="77777777" w:rsidR="00D20EED" w:rsidRPr="00D20EED" w:rsidRDefault="00D20EED">
            <w:pPr>
              <w:contextualSpacing/>
              <w:jc w:val="center"/>
              <w:rPr>
                <w:rFonts w:cs="Times New Roman"/>
              </w:rPr>
            </w:pPr>
          </w:p>
        </w:tc>
        <w:tc>
          <w:tcPr>
            <w:tcW w:w="4119" w:type="dxa"/>
            <w:tcBorders>
              <w:top w:val="nil"/>
              <w:left w:val="nil"/>
              <w:bottom w:val="nil"/>
              <w:right w:val="nil"/>
            </w:tcBorders>
            <w:hideMark/>
          </w:tcPr>
          <w:p w14:paraId="5AE4D2F4" w14:textId="77777777" w:rsidR="00D20EED" w:rsidRPr="00D20EED" w:rsidRDefault="00D20EED">
            <w:pPr>
              <w:contextualSpacing/>
              <w:rPr>
                <w:rFonts w:cs="Times New Roman"/>
              </w:rPr>
            </w:pPr>
            <w:r w:rsidRPr="00D20EED">
              <w:rPr>
                <w:rFonts w:cs="Times New Roman"/>
              </w:rPr>
              <w:t>Action-learning workshops over five days, involving education, a practical project &amp; individual coaching</w:t>
            </w:r>
          </w:p>
        </w:tc>
      </w:tr>
      <w:tr w:rsidR="00D20EED" w:rsidRPr="00D20EED" w14:paraId="5BCFFE9F" w14:textId="77777777" w:rsidTr="00D20EED">
        <w:trPr>
          <w:trHeight w:val="859"/>
        </w:trPr>
        <w:tc>
          <w:tcPr>
            <w:tcW w:w="1387" w:type="dxa"/>
            <w:tcBorders>
              <w:top w:val="nil"/>
              <w:left w:val="nil"/>
              <w:bottom w:val="nil"/>
              <w:right w:val="nil"/>
            </w:tcBorders>
          </w:tcPr>
          <w:p w14:paraId="50A374C3" w14:textId="77777777" w:rsidR="00D20EED" w:rsidRPr="00D20EED" w:rsidRDefault="00D20EED">
            <w:pPr>
              <w:contextualSpacing/>
              <w:rPr>
                <w:rFonts w:cs="Times New Roman"/>
                <w:color w:val="000000"/>
              </w:rPr>
            </w:pPr>
            <w:r w:rsidRPr="00D20EED">
              <w:rPr>
                <w:rFonts w:cs="Times New Roman"/>
                <w:color w:val="000000"/>
              </w:rPr>
              <w:t>Calitz, 2013</w:t>
            </w:r>
          </w:p>
          <w:p w14:paraId="29C34837" w14:textId="77777777" w:rsidR="00D20EED" w:rsidRPr="00D20EED" w:rsidRDefault="00D20EED">
            <w:pPr>
              <w:contextualSpacing/>
              <w:rPr>
                <w:rFonts w:cs="Times New Roman"/>
              </w:rPr>
            </w:pPr>
          </w:p>
        </w:tc>
        <w:tc>
          <w:tcPr>
            <w:tcW w:w="803" w:type="dxa"/>
            <w:tcBorders>
              <w:top w:val="nil"/>
              <w:left w:val="nil"/>
              <w:bottom w:val="nil"/>
              <w:right w:val="nil"/>
            </w:tcBorders>
            <w:hideMark/>
          </w:tcPr>
          <w:p w14:paraId="43B6249F" w14:textId="77777777" w:rsidR="00D20EED" w:rsidRPr="00D20EED" w:rsidRDefault="00D20EED">
            <w:pPr>
              <w:contextualSpacing/>
              <w:rPr>
                <w:rFonts w:cs="Times New Roman"/>
              </w:rPr>
            </w:pPr>
            <w:r w:rsidRPr="00D20EED">
              <w:rPr>
                <w:rFonts w:cs="Times New Roman"/>
              </w:rPr>
              <w:t>T</w:t>
            </w:r>
          </w:p>
        </w:tc>
        <w:tc>
          <w:tcPr>
            <w:tcW w:w="1857" w:type="dxa"/>
            <w:tcBorders>
              <w:top w:val="nil"/>
              <w:left w:val="nil"/>
              <w:bottom w:val="nil"/>
              <w:right w:val="nil"/>
            </w:tcBorders>
            <w:hideMark/>
          </w:tcPr>
          <w:p w14:paraId="3DA7BBE8" w14:textId="77777777" w:rsidR="00D20EED" w:rsidRPr="00D20EED" w:rsidRDefault="00D20EED">
            <w:pPr>
              <w:contextualSpacing/>
              <w:rPr>
                <w:rFonts w:cs="Times New Roman"/>
              </w:rPr>
            </w:pPr>
            <w:r w:rsidRPr="00D20EED">
              <w:rPr>
                <w:rFonts w:cs="Times New Roman"/>
              </w:rPr>
              <w:t>South Africa, social work</w:t>
            </w:r>
          </w:p>
        </w:tc>
        <w:tc>
          <w:tcPr>
            <w:tcW w:w="1079" w:type="dxa"/>
            <w:tcBorders>
              <w:top w:val="nil"/>
              <w:left w:val="nil"/>
              <w:bottom w:val="nil"/>
              <w:right w:val="nil"/>
            </w:tcBorders>
            <w:hideMark/>
          </w:tcPr>
          <w:p w14:paraId="66E08C72"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4F78D119" w14:textId="77777777" w:rsidR="00D20EED" w:rsidRPr="00D20EED" w:rsidRDefault="00D20EED">
            <w:pPr>
              <w:contextualSpacing/>
              <w:rPr>
                <w:rFonts w:cs="Times New Roman"/>
              </w:rPr>
            </w:pPr>
            <w:r w:rsidRPr="00D20EED">
              <w:rPr>
                <w:rFonts w:cs="Times New Roman"/>
              </w:rPr>
              <w:t>32 hours</w:t>
            </w:r>
          </w:p>
        </w:tc>
        <w:tc>
          <w:tcPr>
            <w:tcW w:w="1695" w:type="dxa"/>
            <w:tcBorders>
              <w:top w:val="nil"/>
              <w:left w:val="nil"/>
              <w:bottom w:val="nil"/>
              <w:right w:val="nil"/>
            </w:tcBorders>
            <w:hideMark/>
          </w:tcPr>
          <w:p w14:paraId="68FA8432" w14:textId="77777777" w:rsidR="00D20EED" w:rsidRPr="00D20EED" w:rsidRDefault="00D20EED">
            <w:pPr>
              <w:contextualSpacing/>
              <w:rPr>
                <w:rFonts w:cs="Times New Roman"/>
              </w:rPr>
            </w:pPr>
            <w:r w:rsidRPr="00D20EED">
              <w:rPr>
                <w:rFonts w:cs="Times New Roman"/>
              </w:rPr>
              <w:t>Health promotion</w:t>
            </w:r>
          </w:p>
        </w:tc>
        <w:tc>
          <w:tcPr>
            <w:tcW w:w="1694" w:type="dxa"/>
            <w:tcBorders>
              <w:top w:val="nil"/>
              <w:left w:val="nil"/>
              <w:bottom w:val="nil"/>
              <w:right w:val="nil"/>
            </w:tcBorders>
            <w:hideMark/>
          </w:tcPr>
          <w:p w14:paraId="6DAE6361"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tcPr>
          <w:p w14:paraId="415B04B2" w14:textId="2EE38953" w:rsidR="00D20EED" w:rsidRPr="00D20EED" w:rsidRDefault="00D20EED" w:rsidP="00D20EED">
            <w:pPr>
              <w:contextualSpacing/>
              <w:rPr>
                <w:rFonts w:cs="Times New Roman"/>
              </w:rPr>
            </w:pPr>
            <w:r w:rsidRPr="00D20EED">
              <w:rPr>
                <w:rFonts w:cs="Times New Roman"/>
              </w:rPr>
              <w:t>Two days of group sessions covering work engagement, job satisfaction, burnout, stress etc.</w:t>
            </w:r>
          </w:p>
        </w:tc>
      </w:tr>
      <w:tr w:rsidR="00D20EED" w:rsidRPr="00D20EED" w14:paraId="5112D83B" w14:textId="77777777" w:rsidTr="00D20EED">
        <w:trPr>
          <w:trHeight w:val="800"/>
        </w:trPr>
        <w:tc>
          <w:tcPr>
            <w:tcW w:w="1387" w:type="dxa"/>
            <w:tcBorders>
              <w:top w:val="nil"/>
              <w:left w:val="nil"/>
              <w:bottom w:val="nil"/>
              <w:right w:val="nil"/>
            </w:tcBorders>
            <w:hideMark/>
          </w:tcPr>
          <w:p w14:paraId="5568116C" w14:textId="77777777" w:rsidR="00D20EED" w:rsidRPr="00D20EED" w:rsidRDefault="00D20EED">
            <w:pPr>
              <w:contextualSpacing/>
              <w:rPr>
                <w:rFonts w:cs="Times New Roman"/>
              </w:rPr>
            </w:pPr>
            <w:r w:rsidRPr="00D20EED">
              <w:rPr>
                <w:rFonts w:cs="Times New Roman"/>
              </w:rPr>
              <w:t>Carter, 2010</w:t>
            </w:r>
          </w:p>
        </w:tc>
        <w:tc>
          <w:tcPr>
            <w:tcW w:w="803" w:type="dxa"/>
            <w:tcBorders>
              <w:top w:val="nil"/>
              <w:left w:val="nil"/>
              <w:bottom w:val="nil"/>
              <w:right w:val="nil"/>
            </w:tcBorders>
            <w:hideMark/>
          </w:tcPr>
          <w:p w14:paraId="14713926" w14:textId="77777777" w:rsidR="00D20EED" w:rsidRPr="00D20EED" w:rsidRDefault="00D20EED">
            <w:pPr>
              <w:contextualSpacing/>
              <w:rPr>
                <w:rFonts w:cs="Times New Roman"/>
              </w:rPr>
            </w:pPr>
            <w:r w:rsidRPr="00D20EED">
              <w:rPr>
                <w:rFonts w:cs="Times New Roman"/>
              </w:rPr>
              <w:t>T</w:t>
            </w:r>
          </w:p>
        </w:tc>
        <w:tc>
          <w:tcPr>
            <w:tcW w:w="1857" w:type="dxa"/>
            <w:tcBorders>
              <w:top w:val="nil"/>
              <w:left w:val="nil"/>
              <w:bottom w:val="nil"/>
              <w:right w:val="nil"/>
            </w:tcBorders>
            <w:hideMark/>
          </w:tcPr>
          <w:p w14:paraId="56AA2345" w14:textId="77777777" w:rsidR="00D20EED" w:rsidRPr="00D20EED" w:rsidRDefault="00D20EED">
            <w:pPr>
              <w:contextualSpacing/>
              <w:rPr>
                <w:rFonts w:cs="Times New Roman"/>
              </w:rPr>
            </w:pPr>
            <w:r w:rsidRPr="00D20EED">
              <w:rPr>
                <w:rFonts w:cs="Times New Roman"/>
              </w:rPr>
              <w:t xml:space="preserve">Australia, </w:t>
            </w:r>
          </w:p>
          <w:p w14:paraId="5817FE4F" w14:textId="77777777" w:rsidR="00D20EED" w:rsidRPr="00D20EED" w:rsidRDefault="00D20EED">
            <w:pPr>
              <w:contextualSpacing/>
              <w:rPr>
                <w:rFonts w:cs="Times New Roman"/>
              </w:rPr>
            </w:pPr>
            <w:r w:rsidRPr="00D20EED">
              <w:rPr>
                <w:rFonts w:cs="Times New Roman"/>
              </w:rPr>
              <w:t>financial services</w:t>
            </w:r>
          </w:p>
        </w:tc>
        <w:tc>
          <w:tcPr>
            <w:tcW w:w="1079" w:type="dxa"/>
            <w:tcBorders>
              <w:top w:val="nil"/>
              <w:left w:val="nil"/>
              <w:bottom w:val="nil"/>
              <w:right w:val="nil"/>
            </w:tcBorders>
            <w:hideMark/>
          </w:tcPr>
          <w:p w14:paraId="2B83FA49" w14:textId="77777777" w:rsidR="00D20EED" w:rsidRPr="00D20EED" w:rsidRDefault="00D20EED">
            <w:pPr>
              <w:contextualSpacing/>
              <w:rPr>
                <w:rFonts w:cs="Times New Roman"/>
              </w:rPr>
            </w:pPr>
            <w:r w:rsidRPr="00D20EED">
              <w:rPr>
                <w:rFonts w:cs="Times New Roman"/>
              </w:rPr>
              <w:t xml:space="preserve">RM </w:t>
            </w:r>
          </w:p>
        </w:tc>
        <w:tc>
          <w:tcPr>
            <w:tcW w:w="1386" w:type="dxa"/>
            <w:tcBorders>
              <w:top w:val="nil"/>
              <w:left w:val="nil"/>
              <w:bottom w:val="nil"/>
              <w:right w:val="nil"/>
            </w:tcBorders>
            <w:hideMark/>
          </w:tcPr>
          <w:p w14:paraId="01259758" w14:textId="77777777" w:rsidR="00D20EED" w:rsidRPr="00D20EED" w:rsidRDefault="00D20EED">
            <w:pPr>
              <w:contextualSpacing/>
              <w:rPr>
                <w:rFonts w:cs="Times New Roman"/>
              </w:rPr>
            </w:pPr>
            <w:r w:rsidRPr="00D20EED">
              <w:rPr>
                <w:rFonts w:cs="Times New Roman"/>
              </w:rPr>
              <w:t>5 months</w:t>
            </w:r>
          </w:p>
        </w:tc>
        <w:tc>
          <w:tcPr>
            <w:tcW w:w="1695" w:type="dxa"/>
            <w:tcBorders>
              <w:top w:val="nil"/>
              <w:left w:val="nil"/>
              <w:bottom w:val="nil"/>
              <w:right w:val="nil"/>
            </w:tcBorders>
            <w:hideMark/>
          </w:tcPr>
          <w:p w14:paraId="1A2BAFC3" w14:textId="77777777" w:rsidR="00D20EED" w:rsidRPr="00D20EED" w:rsidRDefault="00D20EED">
            <w:pPr>
              <w:contextualSpacing/>
              <w:rPr>
                <w:rFonts w:cs="Times New Roman"/>
              </w:rPr>
            </w:pPr>
            <w:r w:rsidRPr="00D20EED">
              <w:rPr>
                <w:rFonts w:cs="Times New Roman"/>
              </w:rPr>
              <w:t xml:space="preserve">Personal resource building </w:t>
            </w:r>
          </w:p>
        </w:tc>
        <w:tc>
          <w:tcPr>
            <w:tcW w:w="1694" w:type="dxa"/>
            <w:tcBorders>
              <w:top w:val="nil"/>
              <w:left w:val="nil"/>
              <w:bottom w:val="nil"/>
              <w:right w:val="nil"/>
            </w:tcBorders>
            <w:hideMark/>
          </w:tcPr>
          <w:p w14:paraId="19028670"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hideMark/>
          </w:tcPr>
          <w:p w14:paraId="10EC3751" w14:textId="77777777" w:rsidR="00D20EED" w:rsidRPr="00D20EED" w:rsidRDefault="00D20EED">
            <w:pPr>
              <w:contextualSpacing/>
              <w:rPr>
                <w:rFonts w:cs="Times New Roman"/>
              </w:rPr>
            </w:pPr>
            <w:r w:rsidRPr="00D20EED">
              <w:rPr>
                <w:rFonts w:cs="Times New Roman"/>
              </w:rPr>
              <w:t>‘Forum theatre’ (vicarious learning), ‘rehearse for Reality’ (role play), ‘entertainment education’ (DVDs of ‘actors’ participating in role plays)</w:t>
            </w:r>
          </w:p>
        </w:tc>
      </w:tr>
      <w:tr w:rsidR="00D20EED" w:rsidRPr="00D20EED" w14:paraId="3962FB80" w14:textId="77777777" w:rsidTr="00D20EED">
        <w:trPr>
          <w:trHeight w:val="859"/>
        </w:trPr>
        <w:tc>
          <w:tcPr>
            <w:tcW w:w="1387" w:type="dxa"/>
            <w:tcBorders>
              <w:top w:val="nil"/>
              <w:left w:val="nil"/>
              <w:bottom w:val="nil"/>
              <w:right w:val="nil"/>
            </w:tcBorders>
            <w:hideMark/>
          </w:tcPr>
          <w:p w14:paraId="5AFE41A9" w14:textId="77777777" w:rsidR="00D20EED" w:rsidRPr="00D20EED" w:rsidRDefault="00D20EED">
            <w:pPr>
              <w:contextualSpacing/>
              <w:rPr>
                <w:rFonts w:cs="Times New Roman"/>
                <w:color w:val="000000"/>
              </w:rPr>
            </w:pPr>
            <w:r w:rsidRPr="00D20EED">
              <w:rPr>
                <w:rFonts w:cs="Times New Roman"/>
                <w:color w:val="000000"/>
              </w:rPr>
              <w:t xml:space="preserve">Chen et al., 2009 </w:t>
            </w:r>
          </w:p>
        </w:tc>
        <w:tc>
          <w:tcPr>
            <w:tcW w:w="803" w:type="dxa"/>
            <w:tcBorders>
              <w:top w:val="nil"/>
              <w:left w:val="nil"/>
              <w:bottom w:val="nil"/>
              <w:right w:val="nil"/>
            </w:tcBorders>
            <w:hideMark/>
          </w:tcPr>
          <w:p w14:paraId="6729DA0B"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tcPr>
          <w:p w14:paraId="4B9EB62E" w14:textId="77777777" w:rsidR="00D20EED" w:rsidRPr="00D20EED" w:rsidRDefault="00D20EED">
            <w:pPr>
              <w:contextualSpacing/>
              <w:rPr>
                <w:rFonts w:cs="Times New Roman"/>
              </w:rPr>
            </w:pPr>
            <w:r w:rsidRPr="00D20EED">
              <w:rPr>
                <w:rFonts w:cs="Times New Roman"/>
              </w:rPr>
              <w:t>Israel, unknown organization</w:t>
            </w:r>
          </w:p>
          <w:p w14:paraId="22BFE8EA" w14:textId="77777777" w:rsidR="00D20EED" w:rsidRPr="00D20EED" w:rsidRDefault="00D20EED">
            <w:pPr>
              <w:contextualSpacing/>
              <w:rPr>
                <w:rFonts w:cs="Times New Roman"/>
              </w:rPr>
            </w:pPr>
          </w:p>
        </w:tc>
        <w:tc>
          <w:tcPr>
            <w:tcW w:w="1079" w:type="dxa"/>
            <w:tcBorders>
              <w:top w:val="nil"/>
              <w:left w:val="nil"/>
              <w:bottom w:val="nil"/>
              <w:right w:val="nil"/>
            </w:tcBorders>
            <w:hideMark/>
          </w:tcPr>
          <w:p w14:paraId="3757298E" w14:textId="77777777" w:rsidR="00D20EED" w:rsidRPr="00D20EED" w:rsidRDefault="00D20EED">
            <w:pPr>
              <w:contextualSpacing/>
              <w:rPr>
                <w:rFonts w:cs="Times New Roman"/>
                <w:color w:val="000000"/>
              </w:rPr>
            </w:pPr>
            <w:r w:rsidRPr="00D20EED">
              <w:rPr>
                <w:rFonts w:cs="Times New Roman"/>
                <w:color w:val="000000"/>
              </w:rPr>
              <w:t>CR (units)</w:t>
            </w:r>
          </w:p>
        </w:tc>
        <w:tc>
          <w:tcPr>
            <w:tcW w:w="1386" w:type="dxa"/>
            <w:tcBorders>
              <w:top w:val="nil"/>
              <w:left w:val="nil"/>
              <w:bottom w:val="nil"/>
              <w:right w:val="nil"/>
            </w:tcBorders>
            <w:hideMark/>
          </w:tcPr>
          <w:p w14:paraId="25E2108B" w14:textId="77777777" w:rsidR="00D20EED" w:rsidRPr="00D20EED" w:rsidRDefault="00D20EED">
            <w:pPr>
              <w:contextualSpacing/>
              <w:rPr>
                <w:rFonts w:cs="Times New Roman"/>
              </w:rPr>
            </w:pPr>
            <w:r w:rsidRPr="00D20EED">
              <w:rPr>
                <w:rFonts w:cs="Times New Roman"/>
              </w:rPr>
              <w:t>2 weeks</w:t>
            </w:r>
          </w:p>
        </w:tc>
        <w:tc>
          <w:tcPr>
            <w:tcW w:w="1695" w:type="dxa"/>
            <w:tcBorders>
              <w:top w:val="nil"/>
              <w:left w:val="nil"/>
              <w:bottom w:val="nil"/>
              <w:right w:val="nil"/>
            </w:tcBorders>
            <w:hideMark/>
          </w:tcPr>
          <w:p w14:paraId="6CA163CF" w14:textId="77777777" w:rsidR="00D20EED" w:rsidRPr="00D20EED" w:rsidRDefault="00D20EED">
            <w:pPr>
              <w:contextualSpacing/>
              <w:rPr>
                <w:rFonts w:cs="Times New Roman"/>
              </w:rPr>
            </w:pPr>
            <w:r w:rsidRPr="00D20EED">
              <w:rPr>
                <w:rFonts w:cs="Times New Roman"/>
              </w:rPr>
              <w:t xml:space="preserve">Personal resource building </w:t>
            </w:r>
          </w:p>
        </w:tc>
        <w:tc>
          <w:tcPr>
            <w:tcW w:w="1694" w:type="dxa"/>
            <w:tcBorders>
              <w:top w:val="nil"/>
              <w:left w:val="nil"/>
              <w:bottom w:val="nil"/>
              <w:right w:val="nil"/>
            </w:tcBorders>
            <w:hideMark/>
          </w:tcPr>
          <w:p w14:paraId="067EE8B3" w14:textId="77777777" w:rsidR="00D20EED" w:rsidRPr="00D20EED" w:rsidRDefault="00D20EED">
            <w:pPr>
              <w:contextualSpacing/>
              <w:rPr>
                <w:rFonts w:cs="Times New Roman"/>
              </w:rPr>
            </w:pPr>
            <w:r w:rsidRPr="00D20EED">
              <w:rPr>
                <w:rFonts w:cs="Times New Roman"/>
              </w:rPr>
              <w:t xml:space="preserve">Group </w:t>
            </w:r>
          </w:p>
        </w:tc>
        <w:tc>
          <w:tcPr>
            <w:tcW w:w="4119" w:type="dxa"/>
            <w:tcBorders>
              <w:top w:val="nil"/>
              <w:left w:val="nil"/>
              <w:bottom w:val="nil"/>
              <w:right w:val="nil"/>
            </w:tcBorders>
            <w:hideMark/>
          </w:tcPr>
          <w:p w14:paraId="4DB1CF1A" w14:textId="77777777" w:rsidR="00D20EED" w:rsidRPr="00D20EED" w:rsidRDefault="00D20EED">
            <w:pPr>
              <w:contextualSpacing/>
              <w:rPr>
                <w:rFonts w:cs="Times New Roman"/>
              </w:rPr>
            </w:pPr>
            <w:r w:rsidRPr="00D20EED">
              <w:rPr>
                <w:rFonts w:cs="Times New Roman"/>
              </w:rPr>
              <w:t>Conservation of resources (COR) intervention -  five days of technical training before a new computer system was installed</w:t>
            </w:r>
          </w:p>
        </w:tc>
      </w:tr>
      <w:tr w:rsidR="00D20EED" w:rsidRPr="00D20EED" w14:paraId="1C09E789" w14:textId="77777777" w:rsidTr="00D20EED">
        <w:trPr>
          <w:trHeight w:val="859"/>
        </w:trPr>
        <w:tc>
          <w:tcPr>
            <w:tcW w:w="1387" w:type="dxa"/>
            <w:tcBorders>
              <w:top w:val="nil"/>
              <w:left w:val="nil"/>
              <w:bottom w:val="nil"/>
              <w:right w:val="nil"/>
            </w:tcBorders>
            <w:hideMark/>
          </w:tcPr>
          <w:p w14:paraId="25573C49" w14:textId="77777777" w:rsidR="00D20EED" w:rsidRPr="00D20EED" w:rsidRDefault="00D20EED">
            <w:pPr>
              <w:contextualSpacing/>
              <w:rPr>
                <w:rFonts w:cs="Times New Roman"/>
                <w:color w:val="000000"/>
              </w:rPr>
            </w:pPr>
            <w:r w:rsidRPr="00D20EED">
              <w:rPr>
                <w:rFonts w:cs="Times New Roman"/>
                <w:color w:val="000000"/>
              </w:rPr>
              <w:lastRenderedPageBreak/>
              <w:t xml:space="preserve">Cifre et al., 2011 </w:t>
            </w:r>
          </w:p>
        </w:tc>
        <w:tc>
          <w:tcPr>
            <w:tcW w:w="803" w:type="dxa"/>
            <w:tcBorders>
              <w:top w:val="nil"/>
              <w:left w:val="nil"/>
              <w:bottom w:val="nil"/>
              <w:right w:val="nil"/>
            </w:tcBorders>
            <w:hideMark/>
          </w:tcPr>
          <w:p w14:paraId="1EB08DBF"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763A87F7" w14:textId="77777777" w:rsidR="00D20EED" w:rsidRPr="00D20EED" w:rsidRDefault="00D20EED">
            <w:pPr>
              <w:contextualSpacing/>
              <w:rPr>
                <w:rFonts w:cs="Times New Roman"/>
              </w:rPr>
            </w:pPr>
            <w:r w:rsidRPr="00D20EED">
              <w:rPr>
                <w:rFonts w:cs="Times New Roman"/>
              </w:rPr>
              <w:t>Spain, manufacturing</w:t>
            </w:r>
          </w:p>
        </w:tc>
        <w:tc>
          <w:tcPr>
            <w:tcW w:w="1079" w:type="dxa"/>
            <w:tcBorders>
              <w:top w:val="nil"/>
              <w:left w:val="nil"/>
              <w:bottom w:val="nil"/>
              <w:right w:val="nil"/>
            </w:tcBorders>
            <w:hideMark/>
          </w:tcPr>
          <w:p w14:paraId="3E7EF5AF"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27A4043B" w14:textId="77777777" w:rsidR="00D20EED" w:rsidRPr="00D20EED" w:rsidRDefault="00D20EED">
            <w:pPr>
              <w:contextualSpacing/>
              <w:rPr>
                <w:rFonts w:cs="Times New Roman"/>
              </w:rPr>
            </w:pPr>
            <w:r w:rsidRPr="00D20EED">
              <w:rPr>
                <w:rFonts w:cs="Times New Roman"/>
              </w:rPr>
              <w:t>6 months</w:t>
            </w:r>
          </w:p>
        </w:tc>
        <w:tc>
          <w:tcPr>
            <w:tcW w:w="1695" w:type="dxa"/>
            <w:tcBorders>
              <w:top w:val="nil"/>
              <w:left w:val="nil"/>
              <w:bottom w:val="nil"/>
              <w:right w:val="nil"/>
            </w:tcBorders>
            <w:hideMark/>
          </w:tcPr>
          <w:p w14:paraId="5A43141D" w14:textId="77777777" w:rsidR="00D20EED" w:rsidRPr="00D20EED" w:rsidRDefault="00D20EED">
            <w:pPr>
              <w:contextualSpacing/>
              <w:rPr>
                <w:rFonts w:cs="Times New Roman"/>
              </w:rPr>
            </w:pPr>
            <w:r w:rsidRPr="00D20EED">
              <w:rPr>
                <w:rFonts w:cs="Times New Roman"/>
              </w:rPr>
              <w:t>Job resource building</w:t>
            </w:r>
          </w:p>
        </w:tc>
        <w:tc>
          <w:tcPr>
            <w:tcW w:w="1694" w:type="dxa"/>
            <w:tcBorders>
              <w:top w:val="nil"/>
              <w:left w:val="nil"/>
              <w:bottom w:val="nil"/>
              <w:right w:val="nil"/>
            </w:tcBorders>
            <w:hideMark/>
          </w:tcPr>
          <w:p w14:paraId="5A677DB7" w14:textId="77777777" w:rsidR="00D20EED" w:rsidRPr="00D20EED" w:rsidRDefault="00D20EED">
            <w:pPr>
              <w:contextualSpacing/>
              <w:rPr>
                <w:rFonts w:cs="Times New Roman"/>
              </w:rPr>
            </w:pPr>
            <w:r w:rsidRPr="00D20EED">
              <w:rPr>
                <w:rFonts w:cs="Times New Roman"/>
              </w:rPr>
              <w:t>Individual</w:t>
            </w:r>
          </w:p>
        </w:tc>
        <w:tc>
          <w:tcPr>
            <w:tcW w:w="4119" w:type="dxa"/>
            <w:tcBorders>
              <w:top w:val="nil"/>
              <w:left w:val="nil"/>
              <w:bottom w:val="nil"/>
              <w:right w:val="nil"/>
            </w:tcBorders>
            <w:hideMark/>
          </w:tcPr>
          <w:p w14:paraId="4F4EC5DF" w14:textId="77777777" w:rsidR="00D20EED" w:rsidRPr="00D20EED" w:rsidRDefault="00D20EED">
            <w:pPr>
              <w:contextualSpacing/>
              <w:rPr>
                <w:rFonts w:cs="Times New Roman"/>
              </w:rPr>
            </w:pPr>
            <w:r w:rsidRPr="00D20EED">
              <w:rPr>
                <w:rFonts w:cs="Times New Roman"/>
              </w:rPr>
              <w:t>Action-research approach to redesigning supervisor’s role, increasing employee awareness of job training completed, job training</w:t>
            </w:r>
          </w:p>
        </w:tc>
      </w:tr>
      <w:tr w:rsidR="00D20EED" w:rsidRPr="00D20EED" w14:paraId="28BC4CE8" w14:textId="77777777" w:rsidTr="00D20EED">
        <w:trPr>
          <w:trHeight w:val="859"/>
        </w:trPr>
        <w:tc>
          <w:tcPr>
            <w:tcW w:w="1387" w:type="dxa"/>
            <w:tcBorders>
              <w:top w:val="nil"/>
              <w:left w:val="nil"/>
              <w:bottom w:val="nil"/>
              <w:right w:val="nil"/>
            </w:tcBorders>
            <w:hideMark/>
          </w:tcPr>
          <w:p w14:paraId="43043F59" w14:textId="77777777" w:rsidR="00D20EED" w:rsidRPr="00D20EED" w:rsidRDefault="00D20EED">
            <w:pPr>
              <w:contextualSpacing/>
              <w:rPr>
                <w:rFonts w:cs="Times New Roman"/>
                <w:color w:val="000000"/>
              </w:rPr>
            </w:pPr>
            <w:r w:rsidRPr="00D20EED">
              <w:rPr>
                <w:rFonts w:cs="Times New Roman"/>
                <w:color w:val="000000"/>
              </w:rPr>
              <w:t xml:space="preserve">Coffeng et al., 2014 </w:t>
            </w:r>
          </w:p>
        </w:tc>
        <w:tc>
          <w:tcPr>
            <w:tcW w:w="803" w:type="dxa"/>
            <w:tcBorders>
              <w:top w:val="nil"/>
              <w:left w:val="nil"/>
              <w:bottom w:val="nil"/>
              <w:right w:val="nil"/>
            </w:tcBorders>
            <w:hideMark/>
          </w:tcPr>
          <w:p w14:paraId="14FF053D"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1678A8B7" w14:textId="77777777" w:rsidR="00D20EED" w:rsidRPr="00D20EED" w:rsidRDefault="00D20EED">
            <w:pPr>
              <w:contextualSpacing/>
              <w:rPr>
                <w:rFonts w:cs="Times New Roman"/>
              </w:rPr>
            </w:pPr>
            <w:r w:rsidRPr="00D20EED">
              <w:rPr>
                <w:rFonts w:cs="Times New Roman"/>
              </w:rPr>
              <w:t>Finland, financial services</w:t>
            </w:r>
          </w:p>
        </w:tc>
        <w:tc>
          <w:tcPr>
            <w:tcW w:w="1079" w:type="dxa"/>
            <w:tcBorders>
              <w:top w:val="nil"/>
              <w:left w:val="nil"/>
              <w:bottom w:val="nil"/>
              <w:right w:val="nil"/>
            </w:tcBorders>
            <w:hideMark/>
          </w:tcPr>
          <w:p w14:paraId="2DED26C2" w14:textId="77777777" w:rsidR="00D20EED" w:rsidRPr="00D20EED" w:rsidRDefault="00D20EED">
            <w:pPr>
              <w:contextualSpacing/>
              <w:rPr>
                <w:rFonts w:cs="Times New Roman"/>
                <w:color w:val="000000"/>
              </w:rPr>
            </w:pPr>
            <w:r w:rsidRPr="00D20EED">
              <w:rPr>
                <w:rFonts w:cs="Times New Roman"/>
                <w:color w:val="000000"/>
              </w:rPr>
              <w:t>R</w:t>
            </w:r>
          </w:p>
        </w:tc>
        <w:tc>
          <w:tcPr>
            <w:tcW w:w="1386" w:type="dxa"/>
            <w:tcBorders>
              <w:top w:val="nil"/>
              <w:left w:val="nil"/>
              <w:bottom w:val="nil"/>
              <w:right w:val="nil"/>
            </w:tcBorders>
          </w:tcPr>
          <w:p w14:paraId="7DF4B5BE" w14:textId="77777777" w:rsidR="00D20EED" w:rsidRPr="00D20EED" w:rsidRDefault="00D20EED">
            <w:pPr>
              <w:contextualSpacing/>
              <w:rPr>
                <w:rFonts w:cs="Times New Roman"/>
              </w:rPr>
            </w:pPr>
            <w:r w:rsidRPr="00D20EED">
              <w:rPr>
                <w:rFonts w:cs="Times New Roman"/>
              </w:rPr>
              <w:t>6 months</w:t>
            </w:r>
          </w:p>
          <w:p w14:paraId="2FED2EFD" w14:textId="77777777" w:rsidR="00D20EED" w:rsidRPr="00D20EED" w:rsidRDefault="00D20EED">
            <w:pPr>
              <w:contextualSpacing/>
              <w:rPr>
                <w:rFonts w:cs="Times New Roman"/>
              </w:rPr>
            </w:pPr>
          </w:p>
        </w:tc>
        <w:tc>
          <w:tcPr>
            <w:tcW w:w="1695" w:type="dxa"/>
            <w:tcBorders>
              <w:top w:val="nil"/>
              <w:left w:val="nil"/>
              <w:bottom w:val="nil"/>
              <w:right w:val="nil"/>
            </w:tcBorders>
            <w:hideMark/>
          </w:tcPr>
          <w:p w14:paraId="39306837" w14:textId="77777777" w:rsidR="00D20EED" w:rsidRPr="00D20EED" w:rsidRDefault="00D20EED">
            <w:pPr>
              <w:contextualSpacing/>
              <w:rPr>
                <w:rFonts w:cs="Times New Roman"/>
              </w:rPr>
            </w:pPr>
            <w:r w:rsidRPr="00D20EED">
              <w:rPr>
                <w:rFonts w:cs="Times New Roman"/>
              </w:rPr>
              <w:t>Job resource building</w:t>
            </w:r>
          </w:p>
        </w:tc>
        <w:tc>
          <w:tcPr>
            <w:tcW w:w="1694" w:type="dxa"/>
            <w:tcBorders>
              <w:top w:val="nil"/>
              <w:left w:val="nil"/>
              <w:bottom w:val="nil"/>
              <w:right w:val="nil"/>
            </w:tcBorders>
            <w:hideMark/>
          </w:tcPr>
          <w:p w14:paraId="111AEAB0" w14:textId="77777777" w:rsidR="00D20EED" w:rsidRPr="00D20EED" w:rsidRDefault="00D20EED">
            <w:pPr>
              <w:contextualSpacing/>
              <w:rPr>
                <w:rFonts w:cs="Times New Roman"/>
              </w:rPr>
            </w:pPr>
            <w:r w:rsidRPr="00D20EED">
              <w:rPr>
                <w:rFonts w:cs="Times New Roman"/>
              </w:rPr>
              <w:t xml:space="preserve">Group </w:t>
            </w:r>
          </w:p>
        </w:tc>
        <w:tc>
          <w:tcPr>
            <w:tcW w:w="4119" w:type="dxa"/>
            <w:tcBorders>
              <w:top w:val="nil"/>
              <w:left w:val="nil"/>
              <w:bottom w:val="nil"/>
              <w:right w:val="nil"/>
            </w:tcBorders>
            <w:hideMark/>
          </w:tcPr>
          <w:p w14:paraId="50AA1A35" w14:textId="77777777" w:rsidR="00D20EED" w:rsidRPr="00D20EED" w:rsidRDefault="00D20EED">
            <w:pPr>
              <w:contextualSpacing/>
              <w:rPr>
                <w:rFonts w:cs="Times New Roman"/>
              </w:rPr>
            </w:pPr>
            <w:r w:rsidRPr="00D20EED">
              <w:rPr>
                <w:rFonts w:cs="Times New Roman"/>
              </w:rPr>
              <w:t>Combined social and environmental intervention – ‘Vitality in Practice’ zones created (e.g. coffee zones, meeting zones), group motivational interviewing by team leaders, physical activity and relaxation encouraged</w:t>
            </w:r>
          </w:p>
        </w:tc>
      </w:tr>
      <w:tr w:rsidR="00D20EED" w:rsidRPr="00D20EED" w14:paraId="520AE0DE" w14:textId="77777777" w:rsidTr="00D20EED">
        <w:trPr>
          <w:trHeight w:val="742"/>
        </w:trPr>
        <w:tc>
          <w:tcPr>
            <w:tcW w:w="1387" w:type="dxa"/>
            <w:tcBorders>
              <w:top w:val="nil"/>
              <w:left w:val="nil"/>
              <w:bottom w:val="nil"/>
              <w:right w:val="nil"/>
            </w:tcBorders>
          </w:tcPr>
          <w:p w14:paraId="5ADF181A" w14:textId="77777777" w:rsidR="00D20EED" w:rsidRPr="00D20EED" w:rsidRDefault="00D20EED">
            <w:pPr>
              <w:contextualSpacing/>
              <w:rPr>
                <w:rFonts w:cs="Times New Roman"/>
              </w:rPr>
            </w:pPr>
            <w:r w:rsidRPr="00D20EED">
              <w:rPr>
                <w:rFonts w:cs="Times New Roman"/>
              </w:rPr>
              <w:t>Hengel, et al., 2012</w:t>
            </w:r>
          </w:p>
          <w:p w14:paraId="3BAC83A6" w14:textId="77777777" w:rsidR="00D20EED" w:rsidRPr="00D20EED" w:rsidRDefault="00D20EED">
            <w:pPr>
              <w:contextualSpacing/>
              <w:rPr>
                <w:rFonts w:cs="Times New Roman"/>
              </w:rPr>
            </w:pPr>
          </w:p>
        </w:tc>
        <w:tc>
          <w:tcPr>
            <w:tcW w:w="803" w:type="dxa"/>
            <w:tcBorders>
              <w:top w:val="nil"/>
              <w:left w:val="nil"/>
              <w:bottom w:val="nil"/>
              <w:right w:val="nil"/>
            </w:tcBorders>
            <w:hideMark/>
          </w:tcPr>
          <w:p w14:paraId="644347DA"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04285A27" w14:textId="77777777" w:rsidR="00D20EED" w:rsidRPr="00D20EED" w:rsidRDefault="00D20EED">
            <w:pPr>
              <w:contextualSpacing/>
              <w:rPr>
                <w:rFonts w:cs="Times New Roman"/>
              </w:rPr>
            </w:pPr>
            <w:r w:rsidRPr="00D20EED">
              <w:rPr>
                <w:rFonts w:cs="Times New Roman"/>
              </w:rPr>
              <w:t>The Netherlands, construction sites</w:t>
            </w:r>
          </w:p>
        </w:tc>
        <w:tc>
          <w:tcPr>
            <w:tcW w:w="1079" w:type="dxa"/>
            <w:tcBorders>
              <w:top w:val="nil"/>
              <w:left w:val="nil"/>
              <w:bottom w:val="nil"/>
              <w:right w:val="nil"/>
            </w:tcBorders>
            <w:hideMark/>
          </w:tcPr>
          <w:p w14:paraId="1B17497C" w14:textId="77777777" w:rsidR="00D20EED" w:rsidRPr="00D20EED" w:rsidRDefault="00D20EED">
            <w:pPr>
              <w:contextualSpacing/>
              <w:rPr>
                <w:rFonts w:cs="Times New Roman"/>
              </w:rPr>
            </w:pPr>
            <w:r w:rsidRPr="00D20EED">
              <w:rPr>
                <w:rFonts w:cs="Times New Roman"/>
              </w:rPr>
              <w:t xml:space="preserve">CR </w:t>
            </w:r>
          </w:p>
        </w:tc>
        <w:tc>
          <w:tcPr>
            <w:tcW w:w="1386" w:type="dxa"/>
            <w:tcBorders>
              <w:top w:val="nil"/>
              <w:left w:val="nil"/>
              <w:bottom w:val="nil"/>
              <w:right w:val="nil"/>
            </w:tcBorders>
            <w:hideMark/>
          </w:tcPr>
          <w:p w14:paraId="676AE02D" w14:textId="77777777" w:rsidR="00D20EED" w:rsidRPr="00D20EED" w:rsidRDefault="00D20EED">
            <w:pPr>
              <w:contextualSpacing/>
              <w:rPr>
                <w:rFonts w:cs="Times New Roman"/>
              </w:rPr>
            </w:pPr>
            <w:r w:rsidRPr="00D20EED">
              <w:rPr>
                <w:rFonts w:cs="Times New Roman"/>
              </w:rPr>
              <w:t>3 months</w:t>
            </w:r>
          </w:p>
        </w:tc>
        <w:tc>
          <w:tcPr>
            <w:tcW w:w="1695" w:type="dxa"/>
            <w:tcBorders>
              <w:top w:val="nil"/>
              <w:left w:val="nil"/>
              <w:bottom w:val="nil"/>
              <w:right w:val="nil"/>
            </w:tcBorders>
          </w:tcPr>
          <w:p w14:paraId="0A271F27" w14:textId="77777777" w:rsidR="00D20EED" w:rsidRPr="00D20EED" w:rsidRDefault="00D20EED">
            <w:pPr>
              <w:contextualSpacing/>
              <w:rPr>
                <w:rFonts w:cs="Times New Roman"/>
              </w:rPr>
            </w:pPr>
            <w:r w:rsidRPr="00D20EED">
              <w:rPr>
                <w:rFonts w:cs="Times New Roman"/>
              </w:rPr>
              <w:t>Health promotion</w:t>
            </w:r>
          </w:p>
          <w:p w14:paraId="19E2D7DD" w14:textId="77777777" w:rsidR="00D20EED" w:rsidRPr="00D20EED" w:rsidRDefault="00D20EED">
            <w:pPr>
              <w:contextualSpacing/>
              <w:jc w:val="center"/>
              <w:rPr>
                <w:rFonts w:cs="Times New Roman"/>
              </w:rPr>
            </w:pPr>
          </w:p>
        </w:tc>
        <w:tc>
          <w:tcPr>
            <w:tcW w:w="1694" w:type="dxa"/>
            <w:tcBorders>
              <w:top w:val="nil"/>
              <w:left w:val="nil"/>
              <w:bottom w:val="nil"/>
              <w:right w:val="nil"/>
            </w:tcBorders>
            <w:hideMark/>
          </w:tcPr>
          <w:p w14:paraId="2E7FF1B5" w14:textId="77777777" w:rsidR="00D20EED" w:rsidRPr="00D20EED" w:rsidRDefault="00D20EED">
            <w:pPr>
              <w:contextualSpacing/>
              <w:rPr>
                <w:rFonts w:cs="Times New Roman"/>
              </w:rPr>
            </w:pPr>
            <w:r w:rsidRPr="00D20EED">
              <w:rPr>
                <w:rFonts w:cs="Times New Roman"/>
              </w:rPr>
              <w:t>Group &amp;</w:t>
            </w:r>
          </w:p>
          <w:p w14:paraId="7D687DF9" w14:textId="77777777" w:rsidR="00D20EED" w:rsidRPr="00D20EED" w:rsidRDefault="00D20EED">
            <w:pPr>
              <w:contextualSpacing/>
              <w:rPr>
                <w:rFonts w:cs="Times New Roman"/>
              </w:rPr>
            </w:pPr>
            <w:r w:rsidRPr="00D20EED">
              <w:rPr>
                <w:rFonts w:cs="Times New Roman"/>
              </w:rPr>
              <w:t>individual</w:t>
            </w:r>
          </w:p>
        </w:tc>
        <w:tc>
          <w:tcPr>
            <w:tcW w:w="4119" w:type="dxa"/>
            <w:tcBorders>
              <w:top w:val="nil"/>
              <w:left w:val="nil"/>
              <w:bottom w:val="nil"/>
              <w:right w:val="nil"/>
            </w:tcBorders>
            <w:hideMark/>
          </w:tcPr>
          <w:p w14:paraId="2CB5B5C4" w14:textId="77777777" w:rsidR="00D20EED" w:rsidRPr="00D20EED" w:rsidRDefault="00D20EED">
            <w:pPr>
              <w:contextualSpacing/>
              <w:rPr>
                <w:rFonts w:cs="Times New Roman"/>
              </w:rPr>
            </w:pPr>
            <w:r w:rsidRPr="00D20EED">
              <w:rPr>
                <w:rFonts w:cs="Times New Roman"/>
              </w:rPr>
              <w:t>Individual training sessions to lower physical workload, rest-break tool, group empowerment sessions</w:t>
            </w:r>
          </w:p>
        </w:tc>
      </w:tr>
      <w:tr w:rsidR="00D20EED" w:rsidRPr="00D20EED" w14:paraId="6B2D944F" w14:textId="77777777" w:rsidTr="00D20EED">
        <w:trPr>
          <w:trHeight w:val="859"/>
        </w:trPr>
        <w:tc>
          <w:tcPr>
            <w:tcW w:w="1387" w:type="dxa"/>
            <w:tcBorders>
              <w:top w:val="nil"/>
              <w:left w:val="nil"/>
              <w:bottom w:val="nil"/>
              <w:right w:val="nil"/>
            </w:tcBorders>
            <w:hideMark/>
          </w:tcPr>
          <w:p w14:paraId="06617520" w14:textId="77777777" w:rsidR="00D20EED" w:rsidRPr="00D20EED" w:rsidRDefault="00D20EED">
            <w:pPr>
              <w:contextualSpacing/>
              <w:rPr>
                <w:rFonts w:cs="Times New Roman"/>
                <w:color w:val="000000"/>
              </w:rPr>
            </w:pPr>
            <w:r w:rsidRPr="00D20EED">
              <w:rPr>
                <w:rFonts w:cs="Times New Roman"/>
                <w:color w:val="000000"/>
              </w:rPr>
              <w:t>Imamura et al., 2015</w:t>
            </w:r>
          </w:p>
        </w:tc>
        <w:tc>
          <w:tcPr>
            <w:tcW w:w="803" w:type="dxa"/>
            <w:tcBorders>
              <w:top w:val="nil"/>
              <w:left w:val="nil"/>
              <w:bottom w:val="nil"/>
              <w:right w:val="nil"/>
            </w:tcBorders>
            <w:hideMark/>
          </w:tcPr>
          <w:p w14:paraId="63D7033F"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4AA471AF" w14:textId="77777777" w:rsidR="00D20EED" w:rsidRPr="00D20EED" w:rsidRDefault="00D20EED">
            <w:pPr>
              <w:contextualSpacing/>
              <w:rPr>
                <w:rFonts w:cs="Times New Roman"/>
              </w:rPr>
            </w:pPr>
            <w:r w:rsidRPr="00D20EED">
              <w:rPr>
                <w:rFonts w:cs="Times New Roman"/>
              </w:rPr>
              <w:t>Japan, IT company</w:t>
            </w:r>
          </w:p>
        </w:tc>
        <w:tc>
          <w:tcPr>
            <w:tcW w:w="1079" w:type="dxa"/>
            <w:tcBorders>
              <w:top w:val="nil"/>
              <w:left w:val="nil"/>
              <w:bottom w:val="nil"/>
              <w:right w:val="nil"/>
            </w:tcBorders>
            <w:hideMark/>
          </w:tcPr>
          <w:p w14:paraId="21AA32B3" w14:textId="77777777" w:rsidR="00D20EED" w:rsidRPr="00D20EED" w:rsidRDefault="00D20EED">
            <w:pPr>
              <w:contextualSpacing/>
              <w:rPr>
                <w:rFonts w:cs="Times New Roman"/>
                <w:color w:val="000000"/>
              </w:rPr>
            </w:pPr>
            <w:r w:rsidRPr="00D20EED">
              <w:rPr>
                <w:rFonts w:cs="Times New Roman"/>
                <w:color w:val="000000"/>
              </w:rPr>
              <w:t>RCT</w:t>
            </w:r>
          </w:p>
        </w:tc>
        <w:tc>
          <w:tcPr>
            <w:tcW w:w="1386" w:type="dxa"/>
            <w:tcBorders>
              <w:top w:val="nil"/>
              <w:left w:val="nil"/>
              <w:bottom w:val="nil"/>
              <w:right w:val="nil"/>
            </w:tcBorders>
            <w:hideMark/>
          </w:tcPr>
          <w:p w14:paraId="1967B4A0" w14:textId="77777777" w:rsidR="00D20EED" w:rsidRPr="00D20EED" w:rsidRDefault="00D20EED">
            <w:pPr>
              <w:contextualSpacing/>
              <w:rPr>
                <w:rFonts w:cs="Times New Roman"/>
              </w:rPr>
            </w:pPr>
            <w:r w:rsidRPr="00D20EED">
              <w:rPr>
                <w:rFonts w:cs="Times New Roman"/>
              </w:rPr>
              <w:t>3 months</w:t>
            </w:r>
          </w:p>
        </w:tc>
        <w:tc>
          <w:tcPr>
            <w:tcW w:w="1695" w:type="dxa"/>
            <w:tcBorders>
              <w:top w:val="nil"/>
              <w:left w:val="nil"/>
              <w:bottom w:val="nil"/>
              <w:right w:val="nil"/>
            </w:tcBorders>
            <w:hideMark/>
          </w:tcPr>
          <w:p w14:paraId="3A892F6C" w14:textId="77777777" w:rsidR="00D20EED" w:rsidRPr="00D20EED" w:rsidRDefault="00D20EED">
            <w:pPr>
              <w:contextualSpacing/>
              <w:rPr>
                <w:rFonts w:cs="Times New Roman"/>
              </w:rPr>
            </w:pPr>
            <w:r w:rsidRPr="00D20EED">
              <w:rPr>
                <w:rFonts w:cs="Times New Roman"/>
              </w:rPr>
              <w:t xml:space="preserve">Health promotion </w:t>
            </w:r>
          </w:p>
        </w:tc>
        <w:tc>
          <w:tcPr>
            <w:tcW w:w="1694" w:type="dxa"/>
            <w:tcBorders>
              <w:top w:val="nil"/>
              <w:left w:val="nil"/>
              <w:bottom w:val="nil"/>
              <w:right w:val="nil"/>
            </w:tcBorders>
            <w:hideMark/>
          </w:tcPr>
          <w:p w14:paraId="3BED1F25" w14:textId="77777777" w:rsidR="00D20EED" w:rsidRPr="00D20EED" w:rsidRDefault="00D20EED">
            <w:pPr>
              <w:contextualSpacing/>
              <w:rPr>
                <w:rFonts w:cs="Times New Roman"/>
              </w:rPr>
            </w:pPr>
            <w:r w:rsidRPr="00D20EED">
              <w:rPr>
                <w:rFonts w:cs="Times New Roman"/>
              </w:rPr>
              <w:t>Online &amp; individual</w:t>
            </w:r>
          </w:p>
        </w:tc>
        <w:tc>
          <w:tcPr>
            <w:tcW w:w="4119" w:type="dxa"/>
            <w:tcBorders>
              <w:top w:val="nil"/>
              <w:left w:val="nil"/>
              <w:bottom w:val="nil"/>
              <w:right w:val="nil"/>
            </w:tcBorders>
            <w:hideMark/>
          </w:tcPr>
          <w:p w14:paraId="12D0B146" w14:textId="77777777" w:rsidR="00D20EED" w:rsidRPr="00D20EED" w:rsidRDefault="00D20EED">
            <w:pPr>
              <w:contextualSpacing/>
              <w:rPr>
                <w:rFonts w:cs="Times New Roman"/>
              </w:rPr>
            </w:pPr>
            <w:r w:rsidRPr="00D20EED">
              <w:rPr>
                <w:rFonts w:cs="Times New Roman"/>
              </w:rPr>
              <w:t>Six week online cognitive behavioural therapy programme, voluntary homework &amp; feedback from a Clinical Psychologist</w:t>
            </w:r>
          </w:p>
        </w:tc>
      </w:tr>
      <w:tr w:rsidR="00D20EED" w:rsidRPr="00D20EED" w14:paraId="3876E566" w14:textId="77777777" w:rsidTr="00D20EED">
        <w:trPr>
          <w:trHeight w:val="859"/>
        </w:trPr>
        <w:tc>
          <w:tcPr>
            <w:tcW w:w="1387" w:type="dxa"/>
            <w:tcBorders>
              <w:top w:val="nil"/>
              <w:left w:val="nil"/>
              <w:bottom w:val="nil"/>
              <w:right w:val="nil"/>
            </w:tcBorders>
            <w:hideMark/>
          </w:tcPr>
          <w:p w14:paraId="4E9F7849" w14:textId="77777777" w:rsidR="00D20EED" w:rsidRPr="00D20EED" w:rsidRDefault="00D20EED">
            <w:pPr>
              <w:contextualSpacing/>
              <w:rPr>
                <w:rFonts w:cs="Times New Roman"/>
                <w:color w:val="000000"/>
              </w:rPr>
            </w:pPr>
            <w:r w:rsidRPr="00D20EED">
              <w:rPr>
                <w:rFonts w:cs="Times New Roman"/>
                <w:color w:val="000000"/>
              </w:rPr>
              <w:t xml:space="preserve">Kmiec, 2010 </w:t>
            </w:r>
          </w:p>
        </w:tc>
        <w:tc>
          <w:tcPr>
            <w:tcW w:w="803" w:type="dxa"/>
            <w:tcBorders>
              <w:top w:val="nil"/>
              <w:left w:val="nil"/>
              <w:bottom w:val="nil"/>
              <w:right w:val="nil"/>
            </w:tcBorders>
            <w:hideMark/>
          </w:tcPr>
          <w:p w14:paraId="56D65D6A" w14:textId="77777777" w:rsidR="00D20EED" w:rsidRPr="00D20EED" w:rsidRDefault="00D20EED">
            <w:pPr>
              <w:contextualSpacing/>
              <w:rPr>
                <w:rFonts w:cs="Times New Roman"/>
              </w:rPr>
            </w:pPr>
            <w:r w:rsidRPr="00D20EED">
              <w:rPr>
                <w:rFonts w:cs="Times New Roman"/>
              </w:rPr>
              <w:t>T</w:t>
            </w:r>
          </w:p>
        </w:tc>
        <w:tc>
          <w:tcPr>
            <w:tcW w:w="1857" w:type="dxa"/>
            <w:tcBorders>
              <w:top w:val="nil"/>
              <w:left w:val="nil"/>
              <w:bottom w:val="nil"/>
              <w:right w:val="nil"/>
            </w:tcBorders>
            <w:hideMark/>
          </w:tcPr>
          <w:p w14:paraId="78CA7DA0" w14:textId="77777777" w:rsidR="00D20EED" w:rsidRPr="00D20EED" w:rsidRDefault="00D20EED">
            <w:pPr>
              <w:contextualSpacing/>
              <w:rPr>
                <w:rFonts w:cs="Times New Roman"/>
              </w:rPr>
            </w:pPr>
            <w:r w:rsidRPr="00D20EED">
              <w:rPr>
                <w:rFonts w:cs="Times New Roman"/>
              </w:rPr>
              <w:t>USA, manufacturing</w:t>
            </w:r>
          </w:p>
        </w:tc>
        <w:tc>
          <w:tcPr>
            <w:tcW w:w="1079" w:type="dxa"/>
            <w:tcBorders>
              <w:top w:val="nil"/>
              <w:left w:val="nil"/>
              <w:bottom w:val="nil"/>
              <w:right w:val="nil"/>
            </w:tcBorders>
            <w:hideMark/>
          </w:tcPr>
          <w:p w14:paraId="0B426654"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0D5C5A18" w14:textId="77777777" w:rsidR="00D20EED" w:rsidRPr="00D20EED" w:rsidRDefault="00D20EED">
            <w:pPr>
              <w:contextualSpacing/>
              <w:rPr>
                <w:rFonts w:cs="Times New Roman"/>
              </w:rPr>
            </w:pPr>
            <w:r w:rsidRPr="00D20EED">
              <w:rPr>
                <w:rFonts w:cs="Times New Roman"/>
              </w:rPr>
              <w:t>90 days</w:t>
            </w:r>
          </w:p>
        </w:tc>
        <w:tc>
          <w:tcPr>
            <w:tcW w:w="1695" w:type="dxa"/>
            <w:tcBorders>
              <w:top w:val="nil"/>
              <w:left w:val="nil"/>
              <w:bottom w:val="nil"/>
              <w:right w:val="nil"/>
            </w:tcBorders>
            <w:hideMark/>
          </w:tcPr>
          <w:p w14:paraId="2AF8F953" w14:textId="77777777" w:rsidR="00D20EED" w:rsidRPr="00D20EED" w:rsidRDefault="00D20EED">
            <w:pPr>
              <w:contextualSpacing/>
              <w:rPr>
                <w:rFonts w:cs="Times New Roman"/>
              </w:rPr>
            </w:pPr>
            <w:r w:rsidRPr="00D20EED">
              <w:rPr>
                <w:rFonts w:cs="Times New Roman"/>
              </w:rPr>
              <w:t>Leadership training</w:t>
            </w:r>
          </w:p>
        </w:tc>
        <w:tc>
          <w:tcPr>
            <w:tcW w:w="1694" w:type="dxa"/>
            <w:tcBorders>
              <w:top w:val="nil"/>
              <w:left w:val="nil"/>
              <w:bottom w:val="nil"/>
              <w:right w:val="nil"/>
            </w:tcBorders>
            <w:hideMark/>
          </w:tcPr>
          <w:p w14:paraId="2C81BE3E"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hideMark/>
          </w:tcPr>
          <w:p w14:paraId="086C293E" w14:textId="77777777" w:rsidR="00D20EED" w:rsidRPr="00D20EED" w:rsidRDefault="00D20EED">
            <w:pPr>
              <w:contextualSpacing/>
              <w:rPr>
                <w:rFonts w:cs="Times New Roman"/>
              </w:rPr>
            </w:pPr>
            <w:r w:rsidRPr="00D20EED">
              <w:rPr>
                <w:rFonts w:cs="Times New Roman"/>
              </w:rPr>
              <w:t>Education, skills practice &amp; self-coaching via classroom teaching &amp; online learning</w:t>
            </w:r>
          </w:p>
        </w:tc>
      </w:tr>
      <w:tr w:rsidR="00D20EED" w:rsidRPr="00D20EED" w14:paraId="0D4A8609" w14:textId="77777777" w:rsidTr="00D20EED">
        <w:trPr>
          <w:trHeight w:val="859"/>
        </w:trPr>
        <w:tc>
          <w:tcPr>
            <w:tcW w:w="1387" w:type="dxa"/>
            <w:tcBorders>
              <w:top w:val="nil"/>
              <w:left w:val="nil"/>
              <w:bottom w:val="nil"/>
              <w:right w:val="nil"/>
            </w:tcBorders>
            <w:hideMark/>
          </w:tcPr>
          <w:p w14:paraId="444B4489" w14:textId="77777777" w:rsidR="00D20EED" w:rsidRPr="00D20EED" w:rsidRDefault="00D20EED">
            <w:pPr>
              <w:contextualSpacing/>
              <w:rPr>
                <w:rFonts w:cs="Times New Roman"/>
                <w:color w:val="000000"/>
              </w:rPr>
            </w:pPr>
            <w:r w:rsidRPr="00D20EED">
              <w:rPr>
                <w:rFonts w:cs="Times New Roman"/>
                <w:color w:val="000000"/>
              </w:rPr>
              <w:t>Naruse et al., 2014</w:t>
            </w:r>
          </w:p>
        </w:tc>
        <w:tc>
          <w:tcPr>
            <w:tcW w:w="803" w:type="dxa"/>
            <w:tcBorders>
              <w:top w:val="nil"/>
              <w:left w:val="nil"/>
              <w:bottom w:val="nil"/>
              <w:right w:val="nil"/>
            </w:tcBorders>
            <w:hideMark/>
          </w:tcPr>
          <w:p w14:paraId="16910461"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5461B116" w14:textId="77777777" w:rsidR="00D20EED" w:rsidRPr="00D20EED" w:rsidRDefault="00D20EED">
            <w:pPr>
              <w:contextualSpacing/>
              <w:rPr>
                <w:rFonts w:cs="Times New Roman"/>
              </w:rPr>
            </w:pPr>
            <w:r w:rsidRPr="00D20EED">
              <w:rPr>
                <w:rFonts w:cs="Times New Roman"/>
              </w:rPr>
              <w:t xml:space="preserve">Japan, </w:t>
            </w:r>
          </w:p>
          <w:p w14:paraId="42D38D81" w14:textId="77777777" w:rsidR="00D20EED" w:rsidRPr="00D20EED" w:rsidRDefault="00D20EED">
            <w:pPr>
              <w:contextualSpacing/>
              <w:rPr>
                <w:rFonts w:cs="Times New Roman"/>
              </w:rPr>
            </w:pPr>
            <w:r w:rsidRPr="00D20EED">
              <w:rPr>
                <w:rFonts w:cs="Times New Roman"/>
              </w:rPr>
              <w:t>Community nursing</w:t>
            </w:r>
          </w:p>
        </w:tc>
        <w:tc>
          <w:tcPr>
            <w:tcW w:w="1079" w:type="dxa"/>
            <w:tcBorders>
              <w:top w:val="nil"/>
              <w:left w:val="nil"/>
              <w:bottom w:val="nil"/>
              <w:right w:val="nil"/>
            </w:tcBorders>
            <w:hideMark/>
          </w:tcPr>
          <w:p w14:paraId="48E87903"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19773831" w14:textId="77777777" w:rsidR="00D20EED" w:rsidRPr="00D20EED" w:rsidRDefault="00D20EED">
            <w:pPr>
              <w:contextualSpacing/>
              <w:rPr>
                <w:rFonts w:cs="Times New Roman"/>
              </w:rPr>
            </w:pPr>
            <w:r w:rsidRPr="00D20EED">
              <w:rPr>
                <w:rFonts w:cs="Times New Roman"/>
              </w:rPr>
              <w:t>6 months</w:t>
            </w:r>
          </w:p>
        </w:tc>
        <w:tc>
          <w:tcPr>
            <w:tcW w:w="1695" w:type="dxa"/>
            <w:tcBorders>
              <w:top w:val="nil"/>
              <w:left w:val="nil"/>
              <w:bottom w:val="nil"/>
              <w:right w:val="nil"/>
            </w:tcBorders>
            <w:hideMark/>
          </w:tcPr>
          <w:p w14:paraId="0DB369F3" w14:textId="77777777" w:rsidR="00D20EED" w:rsidRPr="00D20EED" w:rsidRDefault="00D20EED">
            <w:pPr>
              <w:contextualSpacing/>
              <w:rPr>
                <w:rFonts w:cs="Times New Roman"/>
              </w:rPr>
            </w:pPr>
            <w:r w:rsidRPr="00D20EED">
              <w:rPr>
                <w:rFonts w:cs="Times New Roman"/>
              </w:rPr>
              <w:t>Job resource building</w:t>
            </w:r>
          </w:p>
        </w:tc>
        <w:tc>
          <w:tcPr>
            <w:tcW w:w="1694" w:type="dxa"/>
            <w:tcBorders>
              <w:top w:val="nil"/>
              <w:left w:val="nil"/>
              <w:bottom w:val="nil"/>
              <w:right w:val="nil"/>
            </w:tcBorders>
            <w:hideMark/>
          </w:tcPr>
          <w:p w14:paraId="36F440F5" w14:textId="77777777" w:rsidR="00D20EED" w:rsidRPr="00D20EED" w:rsidRDefault="00D20EED">
            <w:pPr>
              <w:contextualSpacing/>
              <w:rPr>
                <w:rFonts w:cs="Times New Roman"/>
              </w:rPr>
            </w:pPr>
            <w:r w:rsidRPr="00D20EED">
              <w:rPr>
                <w:rFonts w:cs="Times New Roman"/>
              </w:rPr>
              <w:t xml:space="preserve">Individual </w:t>
            </w:r>
          </w:p>
        </w:tc>
        <w:tc>
          <w:tcPr>
            <w:tcW w:w="4119" w:type="dxa"/>
            <w:tcBorders>
              <w:top w:val="nil"/>
              <w:left w:val="nil"/>
              <w:bottom w:val="nil"/>
              <w:right w:val="nil"/>
            </w:tcBorders>
            <w:hideMark/>
          </w:tcPr>
          <w:p w14:paraId="536CBAE3" w14:textId="77777777" w:rsidR="00D20EED" w:rsidRPr="00D20EED" w:rsidRDefault="00D20EED">
            <w:pPr>
              <w:contextualSpacing/>
              <w:rPr>
                <w:rFonts w:cs="Times New Roman"/>
              </w:rPr>
            </w:pPr>
            <w:r w:rsidRPr="00D20EED">
              <w:rPr>
                <w:rFonts w:cs="Times New Roman"/>
              </w:rPr>
              <w:t>Skill-mix intervention -  nurses offered an assistant for community visits</w:t>
            </w:r>
          </w:p>
        </w:tc>
      </w:tr>
      <w:tr w:rsidR="00D20EED" w:rsidRPr="00D20EED" w14:paraId="22A28689" w14:textId="77777777" w:rsidTr="00D20EED">
        <w:trPr>
          <w:trHeight w:val="800"/>
        </w:trPr>
        <w:tc>
          <w:tcPr>
            <w:tcW w:w="1387" w:type="dxa"/>
            <w:tcBorders>
              <w:top w:val="nil"/>
              <w:left w:val="nil"/>
              <w:bottom w:val="nil"/>
              <w:right w:val="nil"/>
            </w:tcBorders>
          </w:tcPr>
          <w:p w14:paraId="7F04CC80" w14:textId="77777777" w:rsidR="00D20EED" w:rsidRPr="00D20EED" w:rsidRDefault="00D20EED">
            <w:pPr>
              <w:contextualSpacing/>
              <w:rPr>
                <w:rFonts w:cs="Times New Roman"/>
                <w:color w:val="000000"/>
              </w:rPr>
            </w:pPr>
            <w:r w:rsidRPr="00D20EED">
              <w:rPr>
                <w:rFonts w:cs="Times New Roman"/>
                <w:color w:val="000000"/>
              </w:rPr>
              <w:t>Ouweneel et al., 2013</w:t>
            </w:r>
          </w:p>
          <w:p w14:paraId="76264468" w14:textId="77777777" w:rsidR="00D20EED" w:rsidRPr="00D20EED" w:rsidRDefault="00D20EED">
            <w:pPr>
              <w:contextualSpacing/>
              <w:rPr>
                <w:rFonts w:cs="Times New Roman"/>
              </w:rPr>
            </w:pPr>
          </w:p>
        </w:tc>
        <w:tc>
          <w:tcPr>
            <w:tcW w:w="803" w:type="dxa"/>
            <w:tcBorders>
              <w:top w:val="nil"/>
              <w:left w:val="nil"/>
              <w:bottom w:val="nil"/>
              <w:right w:val="nil"/>
            </w:tcBorders>
            <w:hideMark/>
          </w:tcPr>
          <w:p w14:paraId="351B3800"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70403954" w14:textId="77777777" w:rsidR="00D20EED" w:rsidRPr="00D20EED" w:rsidRDefault="00D20EED">
            <w:pPr>
              <w:contextualSpacing/>
              <w:rPr>
                <w:rFonts w:cs="Times New Roman"/>
              </w:rPr>
            </w:pPr>
            <w:r w:rsidRPr="00D20EED">
              <w:rPr>
                <w:rFonts w:cs="Times New Roman"/>
              </w:rPr>
              <w:t>The Netherlands,</w:t>
            </w:r>
          </w:p>
          <w:p w14:paraId="6AE449D8" w14:textId="77777777" w:rsidR="00D20EED" w:rsidRPr="00D20EED" w:rsidRDefault="00D20EED">
            <w:pPr>
              <w:contextualSpacing/>
              <w:rPr>
                <w:rFonts w:cs="Times New Roman"/>
              </w:rPr>
            </w:pPr>
            <w:r w:rsidRPr="00D20EED">
              <w:rPr>
                <w:rFonts w:cs="Times New Roman"/>
              </w:rPr>
              <w:t>Various organizations</w:t>
            </w:r>
          </w:p>
        </w:tc>
        <w:tc>
          <w:tcPr>
            <w:tcW w:w="1079" w:type="dxa"/>
            <w:tcBorders>
              <w:top w:val="nil"/>
              <w:left w:val="nil"/>
              <w:bottom w:val="nil"/>
              <w:right w:val="nil"/>
            </w:tcBorders>
            <w:hideMark/>
          </w:tcPr>
          <w:p w14:paraId="52F1C6E6" w14:textId="77777777" w:rsidR="00D20EED" w:rsidRPr="00D20EED" w:rsidRDefault="00D20EED">
            <w:pPr>
              <w:contextualSpacing/>
              <w:rPr>
                <w:rFonts w:cs="Times New Roman"/>
              </w:rPr>
            </w:pPr>
            <w:r w:rsidRPr="00D20EED">
              <w:rPr>
                <w:rFonts w:cs="Times New Roman"/>
              </w:rPr>
              <w:t>NR</w:t>
            </w:r>
          </w:p>
        </w:tc>
        <w:tc>
          <w:tcPr>
            <w:tcW w:w="1386" w:type="dxa"/>
            <w:tcBorders>
              <w:top w:val="nil"/>
              <w:left w:val="nil"/>
              <w:bottom w:val="nil"/>
              <w:right w:val="nil"/>
            </w:tcBorders>
            <w:hideMark/>
          </w:tcPr>
          <w:p w14:paraId="206840E5" w14:textId="77777777" w:rsidR="00D20EED" w:rsidRPr="00D20EED" w:rsidRDefault="00D20EED">
            <w:pPr>
              <w:contextualSpacing/>
              <w:rPr>
                <w:rFonts w:cs="Times New Roman"/>
              </w:rPr>
            </w:pPr>
            <w:r w:rsidRPr="00D20EED">
              <w:rPr>
                <w:rFonts w:cs="Times New Roman"/>
              </w:rPr>
              <w:t>8 weeks</w:t>
            </w:r>
          </w:p>
        </w:tc>
        <w:tc>
          <w:tcPr>
            <w:tcW w:w="1695" w:type="dxa"/>
            <w:tcBorders>
              <w:top w:val="nil"/>
              <w:left w:val="nil"/>
              <w:bottom w:val="nil"/>
              <w:right w:val="nil"/>
            </w:tcBorders>
            <w:hideMark/>
          </w:tcPr>
          <w:p w14:paraId="5A8E54C7" w14:textId="77777777" w:rsidR="00D20EED" w:rsidRPr="00D20EED" w:rsidRDefault="00D20EED">
            <w:pPr>
              <w:contextualSpacing/>
              <w:rPr>
                <w:rFonts w:cs="Times New Roman"/>
              </w:rPr>
            </w:pPr>
            <w:r w:rsidRPr="00D20EED">
              <w:rPr>
                <w:rFonts w:cs="Times New Roman"/>
              </w:rPr>
              <w:t>Personal resource building</w:t>
            </w:r>
          </w:p>
        </w:tc>
        <w:tc>
          <w:tcPr>
            <w:tcW w:w="1694" w:type="dxa"/>
            <w:tcBorders>
              <w:top w:val="nil"/>
              <w:left w:val="nil"/>
              <w:bottom w:val="nil"/>
              <w:right w:val="nil"/>
            </w:tcBorders>
            <w:hideMark/>
          </w:tcPr>
          <w:p w14:paraId="215729FD" w14:textId="77777777" w:rsidR="00D20EED" w:rsidRPr="00D20EED" w:rsidRDefault="00D20EED">
            <w:pPr>
              <w:contextualSpacing/>
              <w:rPr>
                <w:rFonts w:cs="Times New Roman"/>
              </w:rPr>
            </w:pPr>
            <w:r w:rsidRPr="00D20EED">
              <w:rPr>
                <w:rFonts w:cs="Times New Roman"/>
              </w:rPr>
              <w:t>Online, individual</w:t>
            </w:r>
          </w:p>
        </w:tc>
        <w:tc>
          <w:tcPr>
            <w:tcW w:w="4119" w:type="dxa"/>
            <w:tcBorders>
              <w:top w:val="nil"/>
              <w:left w:val="nil"/>
              <w:bottom w:val="nil"/>
              <w:right w:val="nil"/>
            </w:tcBorders>
            <w:hideMark/>
          </w:tcPr>
          <w:p w14:paraId="27F2A4A1" w14:textId="77777777" w:rsidR="00D20EED" w:rsidRPr="00D20EED" w:rsidRDefault="00D20EED">
            <w:pPr>
              <w:contextualSpacing/>
              <w:rPr>
                <w:rFonts w:cs="Times New Roman"/>
              </w:rPr>
            </w:pPr>
            <w:r w:rsidRPr="00D20EED">
              <w:rPr>
                <w:rFonts w:cs="Times New Roman"/>
              </w:rPr>
              <w:t>Weekly assignments (e.g. goal setting)</w:t>
            </w:r>
          </w:p>
        </w:tc>
      </w:tr>
      <w:tr w:rsidR="00D20EED" w:rsidRPr="00D20EED" w14:paraId="13844AB8" w14:textId="77777777" w:rsidTr="00D20EED">
        <w:trPr>
          <w:trHeight w:val="859"/>
        </w:trPr>
        <w:tc>
          <w:tcPr>
            <w:tcW w:w="1387" w:type="dxa"/>
            <w:tcBorders>
              <w:top w:val="nil"/>
              <w:left w:val="nil"/>
              <w:bottom w:val="nil"/>
              <w:right w:val="nil"/>
            </w:tcBorders>
            <w:hideMark/>
          </w:tcPr>
          <w:p w14:paraId="50100BA3" w14:textId="77777777" w:rsidR="00D20EED" w:rsidRPr="00D20EED" w:rsidRDefault="00D20EED">
            <w:pPr>
              <w:contextualSpacing/>
              <w:rPr>
                <w:rFonts w:cs="Times New Roman"/>
              </w:rPr>
            </w:pPr>
            <w:r w:rsidRPr="00D20EED">
              <w:rPr>
                <w:rFonts w:cs="Times New Roman"/>
              </w:rPr>
              <w:t xml:space="preserve">Rigotti et al., 2014 </w:t>
            </w:r>
          </w:p>
        </w:tc>
        <w:tc>
          <w:tcPr>
            <w:tcW w:w="803" w:type="dxa"/>
            <w:tcBorders>
              <w:top w:val="nil"/>
              <w:left w:val="nil"/>
              <w:bottom w:val="nil"/>
              <w:right w:val="nil"/>
            </w:tcBorders>
            <w:hideMark/>
          </w:tcPr>
          <w:p w14:paraId="129B4C33" w14:textId="77777777" w:rsidR="00D20EED" w:rsidRPr="00D20EED" w:rsidRDefault="00D20EED">
            <w:pPr>
              <w:contextualSpacing/>
              <w:rPr>
                <w:rFonts w:cs="Times New Roman"/>
              </w:rPr>
            </w:pPr>
            <w:r w:rsidRPr="00D20EED">
              <w:rPr>
                <w:rFonts w:cs="Times New Roman"/>
              </w:rPr>
              <w:t>G</w:t>
            </w:r>
          </w:p>
        </w:tc>
        <w:tc>
          <w:tcPr>
            <w:tcW w:w="1857" w:type="dxa"/>
            <w:tcBorders>
              <w:top w:val="nil"/>
              <w:left w:val="nil"/>
              <w:bottom w:val="nil"/>
              <w:right w:val="nil"/>
            </w:tcBorders>
            <w:hideMark/>
          </w:tcPr>
          <w:p w14:paraId="6AC70E27" w14:textId="77777777" w:rsidR="00D20EED" w:rsidRPr="00D20EED" w:rsidRDefault="00D20EED">
            <w:pPr>
              <w:contextualSpacing/>
              <w:rPr>
                <w:rFonts w:cs="Times New Roman"/>
              </w:rPr>
            </w:pPr>
            <w:r w:rsidRPr="00D20EED">
              <w:rPr>
                <w:rFonts w:cs="Times New Roman"/>
              </w:rPr>
              <w:t>Germany, various</w:t>
            </w:r>
          </w:p>
        </w:tc>
        <w:tc>
          <w:tcPr>
            <w:tcW w:w="1079" w:type="dxa"/>
            <w:tcBorders>
              <w:top w:val="nil"/>
              <w:left w:val="nil"/>
              <w:bottom w:val="nil"/>
              <w:right w:val="nil"/>
            </w:tcBorders>
            <w:hideMark/>
          </w:tcPr>
          <w:p w14:paraId="7176CEE6"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75EC3A93" w14:textId="77777777" w:rsidR="00D20EED" w:rsidRPr="00D20EED" w:rsidRDefault="00D20EED">
            <w:pPr>
              <w:contextualSpacing/>
              <w:rPr>
                <w:rFonts w:cs="Times New Roman"/>
              </w:rPr>
            </w:pPr>
            <w:r w:rsidRPr="00D20EED">
              <w:rPr>
                <w:rFonts w:cs="Times New Roman"/>
              </w:rPr>
              <w:t>14 months</w:t>
            </w:r>
          </w:p>
        </w:tc>
        <w:tc>
          <w:tcPr>
            <w:tcW w:w="1695" w:type="dxa"/>
            <w:tcBorders>
              <w:top w:val="nil"/>
              <w:left w:val="nil"/>
              <w:bottom w:val="nil"/>
              <w:right w:val="nil"/>
            </w:tcBorders>
            <w:hideMark/>
          </w:tcPr>
          <w:p w14:paraId="028FFE56" w14:textId="77777777" w:rsidR="00D20EED" w:rsidRPr="00D20EED" w:rsidRDefault="00D20EED">
            <w:pPr>
              <w:contextualSpacing/>
              <w:rPr>
                <w:rFonts w:cs="Times New Roman"/>
              </w:rPr>
            </w:pPr>
            <w:r w:rsidRPr="00D20EED">
              <w:rPr>
                <w:rFonts w:cs="Times New Roman"/>
              </w:rPr>
              <w:t>Leadership training</w:t>
            </w:r>
          </w:p>
        </w:tc>
        <w:tc>
          <w:tcPr>
            <w:tcW w:w="1694" w:type="dxa"/>
            <w:tcBorders>
              <w:top w:val="nil"/>
              <w:left w:val="nil"/>
              <w:bottom w:val="nil"/>
              <w:right w:val="nil"/>
            </w:tcBorders>
            <w:hideMark/>
          </w:tcPr>
          <w:p w14:paraId="691CD021"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hideMark/>
          </w:tcPr>
          <w:p w14:paraId="1169663F" w14:textId="77777777" w:rsidR="00D20EED" w:rsidRPr="00D20EED" w:rsidRDefault="00D20EED">
            <w:pPr>
              <w:contextualSpacing/>
              <w:rPr>
                <w:rFonts w:cs="Times New Roman"/>
              </w:rPr>
            </w:pPr>
            <w:r w:rsidRPr="00D20EED">
              <w:rPr>
                <w:rFonts w:cs="Times New Roman"/>
              </w:rPr>
              <w:t xml:space="preserve">Lectures including work &amp; health, co-operation &amp; goal-setting, leader training, including observations of leaders, feedback, &amp; coaching </w:t>
            </w:r>
          </w:p>
        </w:tc>
      </w:tr>
      <w:tr w:rsidR="00D20EED" w:rsidRPr="00D20EED" w14:paraId="5E5BBA98" w14:textId="77777777" w:rsidTr="00D20EED">
        <w:trPr>
          <w:trHeight w:val="859"/>
        </w:trPr>
        <w:tc>
          <w:tcPr>
            <w:tcW w:w="1387" w:type="dxa"/>
            <w:tcBorders>
              <w:top w:val="nil"/>
              <w:left w:val="nil"/>
              <w:bottom w:val="nil"/>
              <w:right w:val="nil"/>
            </w:tcBorders>
            <w:hideMark/>
          </w:tcPr>
          <w:p w14:paraId="5533216D" w14:textId="77777777" w:rsidR="00D20EED" w:rsidRPr="00D20EED" w:rsidRDefault="00D20EED">
            <w:pPr>
              <w:contextualSpacing/>
              <w:rPr>
                <w:rFonts w:cs="Times New Roman"/>
              </w:rPr>
            </w:pPr>
            <w:r w:rsidRPr="00D20EED">
              <w:rPr>
                <w:rFonts w:cs="Times New Roman"/>
              </w:rPr>
              <w:lastRenderedPageBreak/>
              <w:t>Rigotti et al., 2014</w:t>
            </w:r>
          </w:p>
        </w:tc>
        <w:tc>
          <w:tcPr>
            <w:tcW w:w="803" w:type="dxa"/>
            <w:tcBorders>
              <w:top w:val="nil"/>
              <w:left w:val="nil"/>
              <w:bottom w:val="nil"/>
              <w:right w:val="nil"/>
            </w:tcBorders>
            <w:hideMark/>
          </w:tcPr>
          <w:p w14:paraId="25962F5C" w14:textId="77777777" w:rsidR="00D20EED" w:rsidRPr="00D20EED" w:rsidRDefault="00D20EED">
            <w:pPr>
              <w:contextualSpacing/>
              <w:rPr>
                <w:rFonts w:cs="Times New Roman"/>
              </w:rPr>
            </w:pPr>
            <w:r w:rsidRPr="00D20EED">
              <w:rPr>
                <w:rFonts w:cs="Times New Roman"/>
              </w:rPr>
              <w:t>G</w:t>
            </w:r>
          </w:p>
        </w:tc>
        <w:tc>
          <w:tcPr>
            <w:tcW w:w="1857" w:type="dxa"/>
            <w:tcBorders>
              <w:top w:val="nil"/>
              <w:left w:val="nil"/>
              <w:bottom w:val="nil"/>
              <w:right w:val="nil"/>
            </w:tcBorders>
            <w:hideMark/>
          </w:tcPr>
          <w:p w14:paraId="0DA3B152" w14:textId="77777777" w:rsidR="00D20EED" w:rsidRPr="00D20EED" w:rsidRDefault="00D20EED">
            <w:pPr>
              <w:contextualSpacing/>
              <w:rPr>
                <w:rFonts w:cs="Times New Roman"/>
              </w:rPr>
            </w:pPr>
            <w:r w:rsidRPr="00D20EED">
              <w:rPr>
                <w:rFonts w:cs="Times New Roman"/>
              </w:rPr>
              <w:t>Sweden, unknown organizations</w:t>
            </w:r>
          </w:p>
        </w:tc>
        <w:tc>
          <w:tcPr>
            <w:tcW w:w="1079" w:type="dxa"/>
            <w:tcBorders>
              <w:top w:val="nil"/>
              <w:left w:val="nil"/>
              <w:bottom w:val="nil"/>
              <w:right w:val="nil"/>
            </w:tcBorders>
            <w:hideMark/>
          </w:tcPr>
          <w:p w14:paraId="5BD6428C" w14:textId="77777777" w:rsidR="00D20EED" w:rsidRPr="00D20EED" w:rsidRDefault="00D20EED">
            <w:pPr>
              <w:contextualSpacing/>
              <w:rPr>
                <w:rFonts w:cs="Times New Roman"/>
                <w:color w:val="000000"/>
              </w:rPr>
            </w:pPr>
            <w:r w:rsidRPr="00D20EED">
              <w:rPr>
                <w:rFonts w:cs="Times New Roman"/>
                <w:color w:val="000000"/>
              </w:rPr>
              <w:t>NR</w:t>
            </w:r>
          </w:p>
        </w:tc>
        <w:tc>
          <w:tcPr>
            <w:tcW w:w="1386" w:type="dxa"/>
            <w:tcBorders>
              <w:top w:val="nil"/>
              <w:left w:val="nil"/>
              <w:bottom w:val="nil"/>
              <w:right w:val="nil"/>
            </w:tcBorders>
            <w:hideMark/>
          </w:tcPr>
          <w:p w14:paraId="45C3D1B2" w14:textId="77777777" w:rsidR="00D20EED" w:rsidRPr="00D20EED" w:rsidRDefault="00D20EED">
            <w:pPr>
              <w:contextualSpacing/>
              <w:rPr>
                <w:rFonts w:cs="Times New Roman"/>
              </w:rPr>
            </w:pPr>
            <w:r w:rsidRPr="00D20EED">
              <w:rPr>
                <w:rFonts w:cs="Times New Roman"/>
              </w:rPr>
              <w:t>14 months</w:t>
            </w:r>
          </w:p>
        </w:tc>
        <w:tc>
          <w:tcPr>
            <w:tcW w:w="1695" w:type="dxa"/>
            <w:tcBorders>
              <w:top w:val="nil"/>
              <w:left w:val="nil"/>
              <w:bottom w:val="nil"/>
              <w:right w:val="nil"/>
            </w:tcBorders>
            <w:hideMark/>
          </w:tcPr>
          <w:p w14:paraId="04507588" w14:textId="77777777" w:rsidR="00D20EED" w:rsidRPr="00D20EED" w:rsidRDefault="00D20EED">
            <w:pPr>
              <w:contextualSpacing/>
              <w:rPr>
                <w:rFonts w:cs="Times New Roman"/>
              </w:rPr>
            </w:pPr>
            <w:r w:rsidRPr="00D20EED">
              <w:rPr>
                <w:rFonts w:cs="Times New Roman"/>
              </w:rPr>
              <w:t>Leadership training</w:t>
            </w:r>
          </w:p>
        </w:tc>
        <w:tc>
          <w:tcPr>
            <w:tcW w:w="1694" w:type="dxa"/>
            <w:tcBorders>
              <w:top w:val="nil"/>
              <w:left w:val="nil"/>
              <w:bottom w:val="nil"/>
              <w:right w:val="nil"/>
            </w:tcBorders>
            <w:hideMark/>
          </w:tcPr>
          <w:p w14:paraId="1DB98A0C"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hideMark/>
          </w:tcPr>
          <w:p w14:paraId="71F1A534" w14:textId="77777777" w:rsidR="00D20EED" w:rsidRPr="00D20EED" w:rsidRDefault="00D20EED">
            <w:pPr>
              <w:contextualSpacing/>
              <w:rPr>
                <w:rFonts w:cs="Times New Roman"/>
              </w:rPr>
            </w:pPr>
            <w:r w:rsidRPr="00D20EED">
              <w:rPr>
                <w:rFonts w:cs="Times New Roman"/>
              </w:rPr>
              <w:t>As above</w:t>
            </w:r>
          </w:p>
        </w:tc>
      </w:tr>
      <w:tr w:rsidR="00D20EED" w:rsidRPr="00D20EED" w14:paraId="7B83E9A7" w14:textId="77777777" w:rsidTr="00D20EED">
        <w:trPr>
          <w:trHeight w:val="859"/>
        </w:trPr>
        <w:tc>
          <w:tcPr>
            <w:tcW w:w="1387" w:type="dxa"/>
            <w:tcBorders>
              <w:top w:val="nil"/>
              <w:left w:val="nil"/>
              <w:bottom w:val="nil"/>
              <w:right w:val="nil"/>
            </w:tcBorders>
            <w:hideMark/>
          </w:tcPr>
          <w:p w14:paraId="0012390E" w14:textId="77777777" w:rsidR="00D20EED" w:rsidRPr="00D20EED" w:rsidRDefault="00D20EED">
            <w:pPr>
              <w:contextualSpacing/>
              <w:rPr>
                <w:rFonts w:cs="Times New Roman"/>
              </w:rPr>
            </w:pPr>
            <w:r w:rsidRPr="00D20EED">
              <w:rPr>
                <w:rFonts w:cs="Times New Roman"/>
              </w:rPr>
              <w:t xml:space="preserve">Sodani et al., 2011 </w:t>
            </w:r>
          </w:p>
        </w:tc>
        <w:tc>
          <w:tcPr>
            <w:tcW w:w="803" w:type="dxa"/>
            <w:tcBorders>
              <w:top w:val="nil"/>
              <w:left w:val="nil"/>
              <w:bottom w:val="nil"/>
              <w:right w:val="nil"/>
            </w:tcBorders>
            <w:hideMark/>
          </w:tcPr>
          <w:p w14:paraId="56238DC6" w14:textId="77777777" w:rsidR="00D20EED" w:rsidRPr="00D20EED" w:rsidRDefault="00D20EED">
            <w:pPr>
              <w:contextualSpacing/>
              <w:rPr>
                <w:rFonts w:cs="Times New Roman"/>
              </w:rPr>
            </w:pPr>
            <w:r w:rsidRPr="00D20EED">
              <w:rPr>
                <w:rFonts w:cs="Times New Roman"/>
              </w:rPr>
              <w:t>G</w:t>
            </w:r>
          </w:p>
        </w:tc>
        <w:tc>
          <w:tcPr>
            <w:tcW w:w="1857" w:type="dxa"/>
            <w:tcBorders>
              <w:top w:val="nil"/>
              <w:left w:val="nil"/>
              <w:bottom w:val="nil"/>
              <w:right w:val="nil"/>
            </w:tcBorders>
            <w:hideMark/>
          </w:tcPr>
          <w:p w14:paraId="2D02CDE8" w14:textId="77777777" w:rsidR="00D20EED" w:rsidRPr="00D20EED" w:rsidRDefault="00D20EED">
            <w:pPr>
              <w:contextualSpacing/>
              <w:rPr>
                <w:rFonts w:cs="Times New Roman"/>
              </w:rPr>
            </w:pPr>
            <w:r w:rsidRPr="00D20EED">
              <w:rPr>
                <w:rFonts w:cs="Times New Roman"/>
              </w:rPr>
              <w:t>Iran, welfare organization</w:t>
            </w:r>
          </w:p>
        </w:tc>
        <w:tc>
          <w:tcPr>
            <w:tcW w:w="1079" w:type="dxa"/>
            <w:tcBorders>
              <w:top w:val="nil"/>
              <w:left w:val="nil"/>
              <w:bottom w:val="nil"/>
              <w:right w:val="nil"/>
            </w:tcBorders>
            <w:hideMark/>
          </w:tcPr>
          <w:p w14:paraId="5FA210C0" w14:textId="77777777" w:rsidR="00D20EED" w:rsidRPr="00D20EED" w:rsidRDefault="00D20EED">
            <w:pPr>
              <w:contextualSpacing/>
              <w:rPr>
                <w:rFonts w:cs="Times New Roman"/>
                <w:color w:val="000000"/>
              </w:rPr>
            </w:pPr>
            <w:r w:rsidRPr="00D20EED">
              <w:rPr>
                <w:rFonts w:cs="Times New Roman"/>
                <w:color w:val="000000"/>
              </w:rPr>
              <w:t>RMP</w:t>
            </w:r>
          </w:p>
        </w:tc>
        <w:tc>
          <w:tcPr>
            <w:tcW w:w="1386" w:type="dxa"/>
            <w:tcBorders>
              <w:top w:val="nil"/>
              <w:left w:val="nil"/>
              <w:bottom w:val="nil"/>
              <w:right w:val="nil"/>
            </w:tcBorders>
            <w:hideMark/>
          </w:tcPr>
          <w:p w14:paraId="67697CED" w14:textId="77777777" w:rsidR="00D20EED" w:rsidRPr="00D20EED" w:rsidRDefault="00D20EED">
            <w:pPr>
              <w:contextualSpacing/>
              <w:rPr>
                <w:rFonts w:cs="Times New Roman"/>
              </w:rPr>
            </w:pPr>
            <w:r w:rsidRPr="00D20EED">
              <w:rPr>
                <w:rFonts w:cs="Times New Roman"/>
              </w:rPr>
              <w:t xml:space="preserve">Unknown </w:t>
            </w:r>
          </w:p>
        </w:tc>
        <w:tc>
          <w:tcPr>
            <w:tcW w:w="1695" w:type="dxa"/>
            <w:tcBorders>
              <w:top w:val="nil"/>
              <w:left w:val="nil"/>
              <w:bottom w:val="nil"/>
              <w:right w:val="nil"/>
            </w:tcBorders>
            <w:hideMark/>
          </w:tcPr>
          <w:p w14:paraId="54EA6E82" w14:textId="77777777" w:rsidR="00D20EED" w:rsidRPr="00D20EED" w:rsidRDefault="00D20EED">
            <w:pPr>
              <w:contextualSpacing/>
              <w:rPr>
                <w:rFonts w:cs="Times New Roman"/>
              </w:rPr>
            </w:pPr>
            <w:r w:rsidRPr="00D20EED">
              <w:rPr>
                <w:rFonts w:cs="Times New Roman"/>
              </w:rPr>
              <w:t xml:space="preserve">Personal resource building </w:t>
            </w:r>
          </w:p>
        </w:tc>
        <w:tc>
          <w:tcPr>
            <w:tcW w:w="1694" w:type="dxa"/>
            <w:tcBorders>
              <w:top w:val="nil"/>
              <w:left w:val="nil"/>
              <w:bottom w:val="nil"/>
              <w:right w:val="nil"/>
            </w:tcBorders>
            <w:hideMark/>
          </w:tcPr>
          <w:p w14:paraId="409E45F9" w14:textId="77777777" w:rsidR="00D20EED" w:rsidRPr="00D20EED" w:rsidRDefault="00D20EED">
            <w:pPr>
              <w:contextualSpacing/>
              <w:rPr>
                <w:rFonts w:cs="Times New Roman"/>
              </w:rPr>
            </w:pPr>
            <w:r w:rsidRPr="00D20EED">
              <w:rPr>
                <w:rFonts w:cs="Times New Roman"/>
              </w:rPr>
              <w:t>Group</w:t>
            </w:r>
          </w:p>
        </w:tc>
        <w:tc>
          <w:tcPr>
            <w:tcW w:w="4119" w:type="dxa"/>
            <w:tcBorders>
              <w:top w:val="nil"/>
              <w:left w:val="nil"/>
              <w:bottom w:val="nil"/>
              <w:right w:val="nil"/>
            </w:tcBorders>
            <w:hideMark/>
          </w:tcPr>
          <w:p w14:paraId="12EF25A5" w14:textId="77777777" w:rsidR="00D20EED" w:rsidRPr="00D20EED" w:rsidRDefault="00D20EED">
            <w:pPr>
              <w:contextualSpacing/>
              <w:rPr>
                <w:rFonts w:cs="Times New Roman"/>
              </w:rPr>
            </w:pPr>
            <w:r w:rsidRPr="00D20EED">
              <w:rPr>
                <w:rFonts w:cs="Times New Roman"/>
              </w:rPr>
              <w:t xml:space="preserve">Nine creativity learning group sessions focused on problem solving and perspective taking </w:t>
            </w:r>
          </w:p>
        </w:tc>
      </w:tr>
      <w:tr w:rsidR="00D20EED" w:rsidRPr="00D20EED" w14:paraId="19190B91" w14:textId="77777777" w:rsidTr="00D20EED">
        <w:trPr>
          <w:trHeight w:val="800"/>
        </w:trPr>
        <w:tc>
          <w:tcPr>
            <w:tcW w:w="1387" w:type="dxa"/>
            <w:tcBorders>
              <w:top w:val="nil"/>
              <w:left w:val="nil"/>
              <w:bottom w:val="nil"/>
              <w:right w:val="nil"/>
            </w:tcBorders>
            <w:hideMark/>
          </w:tcPr>
          <w:p w14:paraId="0EA7AD26" w14:textId="77777777" w:rsidR="00D20EED" w:rsidRPr="00D20EED" w:rsidRDefault="00D20EED">
            <w:pPr>
              <w:contextualSpacing/>
              <w:rPr>
                <w:rFonts w:cs="Times New Roman"/>
              </w:rPr>
            </w:pPr>
            <w:r w:rsidRPr="00D20EED">
              <w:rPr>
                <w:rFonts w:cs="Times New Roman"/>
              </w:rPr>
              <w:t>Strijk, et al., 2013</w:t>
            </w:r>
          </w:p>
        </w:tc>
        <w:tc>
          <w:tcPr>
            <w:tcW w:w="803" w:type="dxa"/>
            <w:tcBorders>
              <w:top w:val="nil"/>
              <w:left w:val="nil"/>
              <w:bottom w:val="nil"/>
              <w:right w:val="nil"/>
            </w:tcBorders>
            <w:hideMark/>
          </w:tcPr>
          <w:p w14:paraId="51AA397C"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0A6C2A1C" w14:textId="77777777" w:rsidR="00D20EED" w:rsidRPr="00D20EED" w:rsidRDefault="00D20EED">
            <w:pPr>
              <w:contextualSpacing/>
              <w:rPr>
                <w:rFonts w:cs="Times New Roman"/>
              </w:rPr>
            </w:pPr>
            <w:r w:rsidRPr="00D20EED">
              <w:rPr>
                <w:rFonts w:cs="Times New Roman"/>
              </w:rPr>
              <w:t>The Netherlands,</w:t>
            </w:r>
          </w:p>
          <w:p w14:paraId="72982266" w14:textId="77777777" w:rsidR="00D20EED" w:rsidRPr="00D20EED" w:rsidRDefault="00D20EED">
            <w:pPr>
              <w:contextualSpacing/>
              <w:rPr>
                <w:rFonts w:cs="Times New Roman"/>
              </w:rPr>
            </w:pPr>
            <w:r w:rsidRPr="00D20EED">
              <w:rPr>
                <w:rFonts w:cs="Times New Roman"/>
              </w:rPr>
              <w:t>two academic hospitals</w:t>
            </w:r>
          </w:p>
        </w:tc>
        <w:tc>
          <w:tcPr>
            <w:tcW w:w="1079" w:type="dxa"/>
            <w:tcBorders>
              <w:top w:val="nil"/>
              <w:left w:val="nil"/>
              <w:bottom w:val="nil"/>
              <w:right w:val="nil"/>
            </w:tcBorders>
            <w:hideMark/>
          </w:tcPr>
          <w:p w14:paraId="516CA607" w14:textId="77777777" w:rsidR="00D20EED" w:rsidRPr="00D20EED" w:rsidRDefault="00D20EED">
            <w:pPr>
              <w:contextualSpacing/>
              <w:rPr>
                <w:rFonts w:cs="Times New Roman"/>
              </w:rPr>
            </w:pPr>
            <w:r w:rsidRPr="00D20EED">
              <w:rPr>
                <w:rFonts w:cs="Times New Roman"/>
              </w:rPr>
              <w:t>R</w:t>
            </w:r>
          </w:p>
        </w:tc>
        <w:tc>
          <w:tcPr>
            <w:tcW w:w="1386" w:type="dxa"/>
            <w:tcBorders>
              <w:top w:val="nil"/>
              <w:left w:val="nil"/>
              <w:bottom w:val="nil"/>
              <w:right w:val="nil"/>
            </w:tcBorders>
            <w:hideMark/>
          </w:tcPr>
          <w:p w14:paraId="502A47DD" w14:textId="77777777" w:rsidR="00D20EED" w:rsidRPr="00D20EED" w:rsidRDefault="00D20EED">
            <w:pPr>
              <w:contextualSpacing/>
              <w:rPr>
                <w:rFonts w:cs="Times New Roman"/>
              </w:rPr>
            </w:pPr>
            <w:r w:rsidRPr="00D20EED">
              <w:rPr>
                <w:rFonts w:cs="Times New Roman"/>
              </w:rPr>
              <w:t>6 months</w:t>
            </w:r>
          </w:p>
        </w:tc>
        <w:tc>
          <w:tcPr>
            <w:tcW w:w="1695" w:type="dxa"/>
            <w:tcBorders>
              <w:top w:val="nil"/>
              <w:left w:val="nil"/>
              <w:bottom w:val="nil"/>
              <w:right w:val="nil"/>
            </w:tcBorders>
            <w:hideMark/>
          </w:tcPr>
          <w:p w14:paraId="0113C3A7" w14:textId="77777777" w:rsidR="00D20EED" w:rsidRPr="00D20EED" w:rsidRDefault="00D20EED">
            <w:pPr>
              <w:contextualSpacing/>
              <w:rPr>
                <w:rFonts w:cs="Times New Roman"/>
              </w:rPr>
            </w:pPr>
            <w:r w:rsidRPr="00D20EED">
              <w:rPr>
                <w:rFonts w:cs="Times New Roman"/>
              </w:rPr>
              <w:t xml:space="preserve">Health promotion </w:t>
            </w:r>
          </w:p>
        </w:tc>
        <w:tc>
          <w:tcPr>
            <w:tcW w:w="1694" w:type="dxa"/>
            <w:tcBorders>
              <w:top w:val="nil"/>
              <w:left w:val="nil"/>
              <w:bottom w:val="nil"/>
              <w:right w:val="nil"/>
            </w:tcBorders>
            <w:hideMark/>
          </w:tcPr>
          <w:p w14:paraId="6E459364" w14:textId="77777777" w:rsidR="00D20EED" w:rsidRPr="00D20EED" w:rsidRDefault="00D20EED">
            <w:pPr>
              <w:contextualSpacing/>
              <w:rPr>
                <w:rFonts w:cs="Times New Roman"/>
              </w:rPr>
            </w:pPr>
            <w:r w:rsidRPr="00D20EED">
              <w:rPr>
                <w:rFonts w:cs="Times New Roman"/>
              </w:rPr>
              <w:t>Group &amp;</w:t>
            </w:r>
          </w:p>
          <w:p w14:paraId="7E34463B" w14:textId="77777777" w:rsidR="00D20EED" w:rsidRPr="00D20EED" w:rsidRDefault="00D20EED">
            <w:pPr>
              <w:contextualSpacing/>
              <w:rPr>
                <w:rFonts w:cs="Times New Roman"/>
              </w:rPr>
            </w:pPr>
            <w:r w:rsidRPr="00D20EED">
              <w:rPr>
                <w:rFonts w:cs="Times New Roman"/>
              </w:rPr>
              <w:t>individual</w:t>
            </w:r>
          </w:p>
        </w:tc>
        <w:tc>
          <w:tcPr>
            <w:tcW w:w="4119" w:type="dxa"/>
            <w:tcBorders>
              <w:top w:val="nil"/>
              <w:left w:val="nil"/>
              <w:bottom w:val="nil"/>
              <w:right w:val="nil"/>
            </w:tcBorders>
            <w:hideMark/>
          </w:tcPr>
          <w:p w14:paraId="3677482F" w14:textId="77777777" w:rsidR="00D20EED" w:rsidRPr="00D20EED" w:rsidRDefault="00D20EED">
            <w:pPr>
              <w:contextualSpacing/>
              <w:rPr>
                <w:rFonts w:cs="Times New Roman"/>
              </w:rPr>
            </w:pPr>
            <w:r w:rsidRPr="00D20EED">
              <w:rPr>
                <w:rFonts w:cs="Times New Roman"/>
              </w:rPr>
              <w:t>Personal coach, yoga &amp; aerobics, free fruit</w:t>
            </w:r>
          </w:p>
        </w:tc>
      </w:tr>
      <w:tr w:rsidR="00D20EED" w:rsidRPr="00D20EED" w14:paraId="6499356F" w14:textId="77777777" w:rsidTr="00D20EED">
        <w:trPr>
          <w:trHeight w:val="800"/>
        </w:trPr>
        <w:tc>
          <w:tcPr>
            <w:tcW w:w="1387" w:type="dxa"/>
            <w:tcBorders>
              <w:top w:val="nil"/>
              <w:left w:val="nil"/>
              <w:bottom w:val="nil"/>
              <w:right w:val="nil"/>
            </w:tcBorders>
            <w:hideMark/>
          </w:tcPr>
          <w:p w14:paraId="70DD8101" w14:textId="77777777" w:rsidR="00D20EED" w:rsidRPr="00D20EED" w:rsidRDefault="00D20EED">
            <w:pPr>
              <w:contextualSpacing/>
              <w:rPr>
                <w:rFonts w:cs="Times New Roman"/>
              </w:rPr>
            </w:pPr>
            <w:r w:rsidRPr="00D20EED">
              <w:rPr>
                <w:rFonts w:cs="Times New Roman"/>
              </w:rPr>
              <w:t>Van Berkel, et al., 2014</w:t>
            </w:r>
          </w:p>
        </w:tc>
        <w:tc>
          <w:tcPr>
            <w:tcW w:w="803" w:type="dxa"/>
            <w:tcBorders>
              <w:top w:val="nil"/>
              <w:left w:val="nil"/>
              <w:bottom w:val="nil"/>
              <w:right w:val="nil"/>
            </w:tcBorders>
            <w:hideMark/>
          </w:tcPr>
          <w:p w14:paraId="7CAB0091" w14:textId="77777777" w:rsidR="00D20EED" w:rsidRPr="00D20EED" w:rsidRDefault="00D20EED">
            <w:pPr>
              <w:contextualSpacing/>
              <w:rPr>
                <w:rFonts w:cs="Times New Roman"/>
              </w:rPr>
            </w:pPr>
            <w:r w:rsidRPr="00D20EED">
              <w:rPr>
                <w:rFonts w:cs="Times New Roman"/>
              </w:rPr>
              <w:t>P</w:t>
            </w:r>
          </w:p>
        </w:tc>
        <w:tc>
          <w:tcPr>
            <w:tcW w:w="1857" w:type="dxa"/>
            <w:tcBorders>
              <w:top w:val="nil"/>
              <w:left w:val="nil"/>
              <w:bottom w:val="nil"/>
              <w:right w:val="nil"/>
            </w:tcBorders>
            <w:hideMark/>
          </w:tcPr>
          <w:p w14:paraId="4741A898" w14:textId="77777777" w:rsidR="00D20EED" w:rsidRPr="00D20EED" w:rsidRDefault="00D20EED">
            <w:pPr>
              <w:contextualSpacing/>
              <w:rPr>
                <w:rFonts w:cs="Times New Roman"/>
              </w:rPr>
            </w:pPr>
            <w:r w:rsidRPr="00D20EED">
              <w:rPr>
                <w:rFonts w:cs="Times New Roman"/>
              </w:rPr>
              <w:t>The Netherlands, two research institutes</w:t>
            </w:r>
          </w:p>
        </w:tc>
        <w:tc>
          <w:tcPr>
            <w:tcW w:w="1079" w:type="dxa"/>
            <w:tcBorders>
              <w:top w:val="nil"/>
              <w:left w:val="nil"/>
              <w:bottom w:val="nil"/>
              <w:right w:val="nil"/>
            </w:tcBorders>
            <w:hideMark/>
          </w:tcPr>
          <w:p w14:paraId="3CEDBB0B" w14:textId="77777777" w:rsidR="00D20EED" w:rsidRPr="00D20EED" w:rsidRDefault="00D20EED">
            <w:pPr>
              <w:contextualSpacing/>
              <w:rPr>
                <w:rFonts w:cs="Times New Roman"/>
              </w:rPr>
            </w:pPr>
            <w:r w:rsidRPr="00D20EED">
              <w:rPr>
                <w:rFonts w:cs="Times New Roman"/>
              </w:rPr>
              <w:t>R</w:t>
            </w:r>
          </w:p>
        </w:tc>
        <w:tc>
          <w:tcPr>
            <w:tcW w:w="1386" w:type="dxa"/>
            <w:tcBorders>
              <w:top w:val="nil"/>
              <w:left w:val="nil"/>
              <w:bottom w:val="nil"/>
              <w:right w:val="nil"/>
            </w:tcBorders>
            <w:hideMark/>
          </w:tcPr>
          <w:p w14:paraId="072D5716" w14:textId="77777777" w:rsidR="00D20EED" w:rsidRPr="00D20EED" w:rsidRDefault="00D20EED">
            <w:pPr>
              <w:contextualSpacing/>
              <w:rPr>
                <w:rFonts w:cs="Times New Roman"/>
              </w:rPr>
            </w:pPr>
            <w:r w:rsidRPr="00D20EED">
              <w:rPr>
                <w:rFonts w:cs="Times New Roman"/>
              </w:rPr>
              <w:t>6 months</w:t>
            </w:r>
          </w:p>
        </w:tc>
        <w:tc>
          <w:tcPr>
            <w:tcW w:w="1695" w:type="dxa"/>
            <w:tcBorders>
              <w:top w:val="nil"/>
              <w:left w:val="nil"/>
              <w:bottom w:val="nil"/>
              <w:right w:val="nil"/>
            </w:tcBorders>
            <w:hideMark/>
          </w:tcPr>
          <w:p w14:paraId="7172A268" w14:textId="77777777" w:rsidR="00D20EED" w:rsidRPr="00D20EED" w:rsidRDefault="00D20EED">
            <w:pPr>
              <w:contextualSpacing/>
              <w:rPr>
                <w:rFonts w:cs="Times New Roman"/>
              </w:rPr>
            </w:pPr>
            <w:r w:rsidRPr="00D20EED">
              <w:rPr>
                <w:rFonts w:cs="Times New Roman"/>
              </w:rPr>
              <w:t>Health promotion</w:t>
            </w:r>
          </w:p>
        </w:tc>
        <w:tc>
          <w:tcPr>
            <w:tcW w:w="1694" w:type="dxa"/>
            <w:tcBorders>
              <w:top w:val="nil"/>
              <w:left w:val="nil"/>
              <w:bottom w:val="nil"/>
              <w:right w:val="nil"/>
            </w:tcBorders>
            <w:hideMark/>
          </w:tcPr>
          <w:p w14:paraId="55CD718E" w14:textId="77777777" w:rsidR="00D20EED" w:rsidRPr="00D20EED" w:rsidRDefault="00D20EED">
            <w:pPr>
              <w:contextualSpacing/>
              <w:rPr>
                <w:rFonts w:cs="Times New Roman"/>
              </w:rPr>
            </w:pPr>
            <w:r w:rsidRPr="00D20EED">
              <w:rPr>
                <w:rFonts w:cs="Times New Roman"/>
              </w:rPr>
              <w:t>Group &amp; individual</w:t>
            </w:r>
          </w:p>
        </w:tc>
        <w:tc>
          <w:tcPr>
            <w:tcW w:w="4119" w:type="dxa"/>
            <w:tcBorders>
              <w:top w:val="nil"/>
              <w:left w:val="nil"/>
              <w:bottom w:val="nil"/>
              <w:right w:val="nil"/>
            </w:tcBorders>
            <w:hideMark/>
          </w:tcPr>
          <w:p w14:paraId="458A4581" w14:textId="7C6ECC8F" w:rsidR="00D20EED" w:rsidRPr="00D20EED" w:rsidRDefault="00D20EED">
            <w:pPr>
              <w:contextualSpacing/>
              <w:rPr>
                <w:rFonts w:cs="Times New Roman"/>
              </w:rPr>
            </w:pPr>
            <w:r w:rsidRPr="00D20EED">
              <w:rPr>
                <w:rFonts w:cs="Times New Roman"/>
              </w:rPr>
              <w:t>Group mindfulness training, goal-setting, homework, individual e-coaching, free fruit and veg snacks, buddy system, supporting materials (e.g</w:t>
            </w:r>
            <w:r w:rsidR="00EC7444">
              <w:rPr>
                <w:rFonts w:cs="Times New Roman"/>
              </w:rPr>
              <w:t>.</w:t>
            </w:r>
            <w:r w:rsidRPr="00D20EED">
              <w:rPr>
                <w:rFonts w:cs="Times New Roman"/>
              </w:rPr>
              <w:t xml:space="preserve"> web page, logbook)</w:t>
            </w:r>
          </w:p>
        </w:tc>
      </w:tr>
      <w:tr w:rsidR="00D20EED" w:rsidRPr="00D20EED" w14:paraId="5F4E56A9" w14:textId="77777777" w:rsidTr="00D20EED">
        <w:trPr>
          <w:trHeight w:val="800"/>
        </w:trPr>
        <w:tc>
          <w:tcPr>
            <w:tcW w:w="1387" w:type="dxa"/>
            <w:tcBorders>
              <w:top w:val="nil"/>
              <w:left w:val="nil"/>
              <w:bottom w:val="single" w:sz="4" w:space="0" w:color="auto"/>
              <w:right w:val="nil"/>
            </w:tcBorders>
          </w:tcPr>
          <w:p w14:paraId="64A3DFC7" w14:textId="77777777" w:rsidR="00D20EED" w:rsidRPr="00D20EED" w:rsidRDefault="00D20EED">
            <w:pPr>
              <w:contextualSpacing/>
              <w:rPr>
                <w:rFonts w:cs="Times New Roman"/>
              </w:rPr>
            </w:pPr>
            <w:r w:rsidRPr="00D20EED">
              <w:rPr>
                <w:rFonts w:cs="Times New Roman"/>
              </w:rPr>
              <w:t>Vuori et al., 2012</w:t>
            </w:r>
          </w:p>
          <w:p w14:paraId="7DCCCA2D" w14:textId="77777777" w:rsidR="00D20EED" w:rsidRPr="00D20EED" w:rsidRDefault="00D20EED">
            <w:pPr>
              <w:contextualSpacing/>
              <w:rPr>
                <w:rFonts w:cs="Times New Roman"/>
              </w:rPr>
            </w:pPr>
          </w:p>
        </w:tc>
        <w:tc>
          <w:tcPr>
            <w:tcW w:w="803" w:type="dxa"/>
            <w:tcBorders>
              <w:top w:val="nil"/>
              <w:left w:val="nil"/>
              <w:bottom w:val="single" w:sz="4" w:space="0" w:color="auto"/>
              <w:right w:val="nil"/>
            </w:tcBorders>
            <w:hideMark/>
          </w:tcPr>
          <w:p w14:paraId="34752E56" w14:textId="77777777" w:rsidR="00D20EED" w:rsidRPr="00D20EED" w:rsidRDefault="00D20EED">
            <w:pPr>
              <w:contextualSpacing/>
              <w:rPr>
                <w:rFonts w:cs="Times New Roman"/>
                <w:color w:val="000000"/>
              </w:rPr>
            </w:pPr>
            <w:r w:rsidRPr="00D20EED">
              <w:rPr>
                <w:rFonts w:cs="Times New Roman"/>
                <w:color w:val="000000"/>
              </w:rPr>
              <w:t>P</w:t>
            </w:r>
          </w:p>
        </w:tc>
        <w:tc>
          <w:tcPr>
            <w:tcW w:w="1857" w:type="dxa"/>
            <w:tcBorders>
              <w:top w:val="nil"/>
              <w:left w:val="nil"/>
              <w:bottom w:val="single" w:sz="4" w:space="0" w:color="auto"/>
              <w:right w:val="nil"/>
            </w:tcBorders>
            <w:hideMark/>
          </w:tcPr>
          <w:p w14:paraId="0E7F7B2D" w14:textId="77777777" w:rsidR="00D20EED" w:rsidRPr="00D20EED" w:rsidRDefault="00D20EED">
            <w:pPr>
              <w:contextualSpacing/>
              <w:rPr>
                <w:rFonts w:cs="Times New Roman"/>
                <w:color w:val="000000"/>
              </w:rPr>
            </w:pPr>
            <w:r w:rsidRPr="00D20EED">
              <w:rPr>
                <w:rFonts w:cs="Times New Roman"/>
                <w:color w:val="000000"/>
              </w:rPr>
              <w:t>Finland,</w:t>
            </w:r>
          </w:p>
          <w:p w14:paraId="4BA53055" w14:textId="77777777" w:rsidR="00D20EED" w:rsidRPr="00D20EED" w:rsidRDefault="00D20EED">
            <w:pPr>
              <w:contextualSpacing/>
              <w:rPr>
                <w:rFonts w:cs="Times New Roman"/>
                <w:color w:val="000000"/>
              </w:rPr>
            </w:pPr>
            <w:r w:rsidRPr="00D20EED">
              <w:rPr>
                <w:rFonts w:cs="Times New Roman"/>
                <w:color w:val="000000"/>
              </w:rPr>
              <w:t>various organizations</w:t>
            </w:r>
          </w:p>
        </w:tc>
        <w:tc>
          <w:tcPr>
            <w:tcW w:w="1079" w:type="dxa"/>
            <w:tcBorders>
              <w:top w:val="nil"/>
              <w:left w:val="nil"/>
              <w:bottom w:val="single" w:sz="4" w:space="0" w:color="auto"/>
              <w:right w:val="nil"/>
            </w:tcBorders>
            <w:hideMark/>
          </w:tcPr>
          <w:p w14:paraId="1B3C158E" w14:textId="77777777" w:rsidR="00D20EED" w:rsidRPr="00D20EED" w:rsidRDefault="00D20EED">
            <w:pPr>
              <w:contextualSpacing/>
              <w:rPr>
                <w:rFonts w:cs="Times New Roman"/>
              </w:rPr>
            </w:pPr>
            <w:r w:rsidRPr="00D20EED">
              <w:rPr>
                <w:rFonts w:cs="Times New Roman"/>
                <w:color w:val="000000"/>
              </w:rPr>
              <w:t>R</w:t>
            </w:r>
          </w:p>
        </w:tc>
        <w:tc>
          <w:tcPr>
            <w:tcW w:w="1386" w:type="dxa"/>
            <w:tcBorders>
              <w:top w:val="nil"/>
              <w:left w:val="nil"/>
              <w:bottom w:val="single" w:sz="4" w:space="0" w:color="auto"/>
              <w:right w:val="nil"/>
            </w:tcBorders>
            <w:hideMark/>
          </w:tcPr>
          <w:p w14:paraId="6B13B8E8" w14:textId="77777777" w:rsidR="00D20EED" w:rsidRPr="00D20EED" w:rsidRDefault="00D20EED">
            <w:pPr>
              <w:contextualSpacing/>
              <w:rPr>
                <w:rFonts w:cs="Times New Roman"/>
              </w:rPr>
            </w:pPr>
            <w:r w:rsidRPr="00D20EED">
              <w:rPr>
                <w:rFonts w:cs="Times New Roman"/>
              </w:rPr>
              <w:t>1 week</w:t>
            </w:r>
          </w:p>
        </w:tc>
        <w:tc>
          <w:tcPr>
            <w:tcW w:w="1695" w:type="dxa"/>
            <w:tcBorders>
              <w:top w:val="nil"/>
              <w:left w:val="nil"/>
              <w:bottom w:val="single" w:sz="4" w:space="0" w:color="auto"/>
              <w:right w:val="nil"/>
            </w:tcBorders>
            <w:hideMark/>
          </w:tcPr>
          <w:p w14:paraId="6EA991B1" w14:textId="77777777" w:rsidR="00D20EED" w:rsidRPr="00D20EED" w:rsidRDefault="00D20EED">
            <w:pPr>
              <w:contextualSpacing/>
              <w:rPr>
                <w:rFonts w:cs="Times New Roman"/>
              </w:rPr>
            </w:pPr>
            <w:r w:rsidRPr="00D20EED">
              <w:rPr>
                <w:rFonts w:cs="Times New Roman"/>
              </w:rPr>
              <w:t xml:space="preserve">Personal resource building  </w:t>
            </w:r>
          </w:p>
        </w:tc>
        <w:tc>
          <w:tcPr>
            <w:tcW w:w="1694" w:type="dxa"/>
            <w:tcBorders>
              <w:top w:val="nil"/>
              <w:left w:val="nil"/>
              <w:bottom w:val="single" w:sz="4" w:space="0" w:color="auto"/>
              <w:right w:val="nil"/>
            </w:tcBorders>
            <w:hideMark/>
          </w:tcPr>
          <w:p w14:paraId="7A47256A" w14:textId="77777777" w:rsidR="00D20EED" w:rsidRPr="00D20EED" w:rsidRDefault="00D20EED">
            <w:pPr>
              <w:contextualSpacing/>
              <w:rPr>
                <w:rFonts w:cs="Times New Roman"/>
              </w:rPr>
            </w:pPr>
            <w:r w:rsidRPr="00D20EED">
              <w:rPr>
                <w:rFonts w:cs="Times New Roman"/>
              </w:rPr>
              <w:t xml:space="preserve">Group </w:t>
            </w:r>
          </w:p>
        </w:tc>
        <w:tc>
          <w:tcPr>
            <w:tcW w:w="4119" w:type="dxa"/>
            <w:tcBorders>
              <w:top w:val="nil"/>
              <w:left w:val="nil"/>
              <w:bottom w:val="single" w:sz="4" w:space="0" w:color="auto"/>
              <w:right w:val="nil"/>
            </w:tcBorders>
            <w:hideMark/>
          </w:tcPr>
          <w:p w14:paraId="167345ED" w14:textId="77777777" w:rsidR="00D20EED" w:rsidRPr="00D20EED" w:rsidRDefault="00D20EED">
            <w:pPr>
              <w:contextualSpacing/>
              <w:rPr>
                <w:rFonts w:cs="Times New Roman"/>
              </w:rPr>
            </w:pPr>
            <w:r w:rsidRPr="00D20EED">
              <w:rPr>
                <w:rFonts w:cs="Times New Roman"/>
              </w:rPr>
              <w:t>Active learning, role playing, social modelling</w:t>
            </w:r>
          </w:p>
        </w:tc>
      </w:tr>
    </w:tbl>
    <w:p w14:paraId="1CE92659" w14:textId="77777777" w:rsidR="00D20EED" w:rsidRDefault="00D20EED" w:rsidP="00D20EED">
      <w:pPr>
        <w:spacing w:after="200" w:line="240" w:lineRule="auto"/>
        <w:contextualSpacing/>
        <w:rPr>
          <w:rFonts w:ascii="Times New Roman" w:hAnsi="Times New Roman" w:cs="Times New Roman"/>
          <w:sz w:val="20"/>
          <w:szCs w:val="20"/>
        </w:rPr>
      </w:pPr>
      <w:r>
        <w:rPr>
          <w:rFonts w:ascii="Times New Roman" w:hAnsi="Times New Roman" w:cs="Times New Roman"/>
          <w:sz w:val="20"/>
          <w:szCs w:val="20"/>
          <w:vertAlign w:val="superscript"/>
        </w:rPr>
        <w:t>a</w:t>
      </w:r>
      <w:r>
        <w:rPr>
          <w:rFonts w:ascii="Times New Roman" w:hAnsi="Times New Roman" w:cs="Times New Roman"/>
          <w:sz w:val="20"/>
          <w:szCs w:val="20"/>
        </w:rPr>
        <w:t>Type</w:t>
      </w:r>
      <w:r>
        <w:rPr>
          <w:rFonts w:ascii="Times New Roman" w:hAnsi="Times New Roman" w:cs="Times New Roman"/>
          <w:sz w:val="20"/>
          <w:szCs w:val="20"/>
          <w:vertAlign w:val="superscript"/>
        </w:rPr>
        <w:t xml:space="preserve"> </w:t>
      </w:r>
      <w:r>
        <w:rPr>
          <w:rFonts w:ascii="Times New Roman" w:hAnsi="Times New Roman" w:cs="Times New Roman"/>
          <w:sz w:val="20"/>
          <w:szCs w:val="20"/>
        </w:rPr>
        <w:t>of document: P=Published in a peer reviewed journal; G=Grey literature; T=PhD thesis</w:t>
      </w:r>
    </w:p>
    <w:p w14:paraId="3770F40E" w14:textId="7CD0DD93" w:rsidR="00D20EED" w:rsidRDefault="00D20EED" w:rsidP="00D20EED">
      <w:pPr>
        <w:spacing w:after="200" w:line="240" w:lineRule="auto"/>
        <w:ind w:right="-897"/>
        <w:contextualSpacing/>
        <w:rPr>
          <w:rFonts w:ascii="Times New Roman" w:hAnsi="Times New Roman" w:cs="Times New Roman"/>
          <w:sz w:val="20"/>
          <w:szCs w:val="20"/>
        </w:rPr>
      </w:pPr>
      <w:r>
        <w:rPr>
          <w:rFonts w:ascii="Times New Roman" w:hAnsi="Times New Roman" w:cs="Times New Roman"/>
          <w:sz w:val="20"/>
          <w:szCs w:val="20"/>
          <w:vertAlign w:val="superscript"/>
        </w:rPr>
        <w:t>b</w:t>
      </w:r>
      <w:r>
        <w:rPr>
          <w:rFonts w:ascii="Times New Roman" w:hAnsi="Times New Roman" w:cs="Times New Roman"/>
          <w:sz w:val="20"/>
          <w:szCs w:val="20"/>
        </w:rPr>
        <w:t xml:space="preserve">Design: R=Randomised allocation at the </w:t>
      </w:r>
      <w:r w:rsidR="00597B3B">
        <w:rPr>
          <w:rFonts w:ascii="Times New Roman" w:hAnsi="Times New Roman" w:cs="Times New Roman"/>
          <w:sz w:val="20"/>
          <w:szCs w:val="20"/>
        </w:rPr>
        <w:t>individual-level</w:t>
      </w:r>
      <w:r>
        <w:rPr>
          <w:rFonts w:ascii="Times New Roman" w:hAnsi="Times New Roman" w:cs="Times New Roman"/>
          <w:sz w:val="20"/>
          <w:szCs w:val="20"/>
        </w:rPr>
        <w:t xml:space="preserve">; CR=Cluster randomised allocation at the level of departments / units; RM = randomised matched groups; RMP=randomised matched pairs; NR=Non-randomised allocation </w:t>
      </w:r>
    </w:p>
    <w:p w14:paraId="034FA11F" w14:textId="77777777" w:rsidR="00D20EED" w:rsidRPr="00E6060C" w:rsidRDefault="00D20EED" w:rsidP="00D20EED">
      <w:pPr>
        <w:spacing w:before="200" w:line="360" w:lineRule="auto"/>
        <w:ind w:right="-897"/>
        <w:contextualSpacing/>
        <w:rPr>
          <w:rFonts w:ascii="Calibri" w:eastAsia="Calibri" w:hAnsi="Calibri" w:cs="Times New Roman"/>
          <w:i/>
        </w:rPr>
      </w:pPr>
      <w:r>
        <w:rPr>
          <w:rFonts w:ascii="Times New Roman" w:hAnsi="Times New Roman" w:cs="Times New Roman"/>
          <w:sz w:val="20"/>
          <w:szCs w:val="20"/>
          <w:vertAlign w:val="superscript"/>
        </w:rPr>
        <w:t>c</w:t>
      </w:r>
      <w:r>
        <w:rPr>
          <w:rFonts w:ascii="Times New Roman" w:hAnsi="Times New Roman" w:cs="Times New Roman"/>
          <w:sz w:val="20"/>
          <w:szCs w:val="20"/>
        </w:rPr>
        <w:t>Duration: length of time between the pre-intervention measurement and the first post- intervention measurement</w:t>
      </w:r>
    </w:p>
    <w:p w14:paraId="0A96100C" w14:textId="77777777" w:rsidR="00D20EED" w:rsidRDefault="00D20EED" w:rsidP="00D20EED">
      <w:pPr>
        <w:spacing w:after="200" w:line="240" w:lineRule="auto"/>
        <w:contextualSpacing/>
        <w:rPr>
          <w:rFonts w:ascii="Times New Roman" w:hAnsi="Times New Roman" w:cs="Times New Roman"/>
          <w:sz w:val="20"/>
          <w:szCs w:val="20"/>
          <w:vertAlign w:val="superscript"/>
        </w:rPr>
        <w:sectPr w:rsidR="00D20EED" w:rsidSect="00D20EED">
          <w:pgSz w:w="16838" w:h="11906" w:orient="landscape"/>
          <w:pgMar w:top="1440" w:right="1440" w:bottom="1440" w:left="1440" w:header="709" w:footer="709" w:gutter="0"/>
          <w:cols w:space="708"/>
          <w:docGrid w:linePitch="360"/>
        </w:sectPr>
      </w:pPr>
    </w:p>
    <w:p w14:paraId="6C447C45" w14:textId="77777777" w:rsidR="00E6060C" w:rsidRPr="00E6060C" w:rsidRDefault="00E6060C" w:rsidP="0009618B">
      <w:pPr>
        <w:pStyle w:val="Heading3"/>
      </w:pPr>
      <w:bookmarkStart w:id="216" w:name="_Toc431470135"/>
      <w:bookmarkStart w:id="217" w:name="_Ref456253837"/>
      <w:bookmarkStart w:id="218" w:name="_Ref456257816"/>
      <w:bookmarkStart w:id="219" w:name="_Toc468285979"/>
      <w:r w:rsidRPr="00E6060C">
        <w:lastRenderedPageBreak/>
        <w:t>Coding accuracy and intercoder agreement</w:t>
      </w:r>
      <w:bookmarkEnd w:id="216"/>
      <w:bookmarkEnd w:id="217"/>
      <w:bookmarkEnd w:id="218"/>
      <w:bookmarkEnd w:id="219"/>
    </w:p>
    <w:p w14:paraId="29348081" w14:textId="77777777" w:rsidR="007975E1" w:rsidRDefault="007975E1" w:rsidP="00E6060C">
      <w:pPr>
        <w:spacing w:before="200" w:line="360" w:lineRule="auto"/>
        <w:contextualSpacing/>
        <w:rPr>
          <w:rFonts w:ascii="Calibri" w:eastAsia="Calibri" w:hAnsi="Calibri" w:cs="Times New Roman"/>
        </w:rPr>
      </w:pPr>
    </w:p>
    <w:p w14:paraId="5B2C36D8" w14:textId="2D8B3881" w:rsidR="0040628D" w:rsidRDefault="00E6060C" w:rsidP="00E6060C">
      <w:pPr>
        <w:spacing w:before="200" w:line="360" w:lineRule="auto"/>
        <w:contextualSpacing/>
        <w:rPr>
          <w:rFonts w:ascii="Calibri" w:eastAsia="Calibri" w:hAnsi="Calibri" w:cs="Times New Roman"/>
          <w:i/>
        </w:rPr>
      </w:pPr>
      <w:r w:rsidRPr="00E6060C">
        <w:rPr>
          <w:rFonts w:ascii="Calibri" w:eastAsia="Calibri" w:hAnsi="Calibri" w:cs="Times New Roman"/>
        </w:rPr>
        <w:t xml:space="preserve">An independent coder, a </w:t>
      </w:r>
      <w:r w:rsidR="00F669CB">
        <w:rPr>
          <w:rFonts w:ascii="Calibri" w:eastAsia="Calibri" w:hAnsi="Calibri" w:cs="Times New Roman"/>
        </w:rPr>
        <w:t>doctoral researcher</w:t>
      </w:r>
      <w:r w:rsidRPr="00E6060C">
        <w:rPr>
          <w:rFonts w:ascii="Calibri" w:eastAsia="Calibri" w:hAnsi="Calibri" w:cs="Times New Roman"/>
        </w:rPr>
        <w:t xml:space="preserve"> also researching in the field of Work Psychology, double coded </w:t>
      </w:r>
      <w:r w:rsidR="00345AC6">
        <w:rPr>
          <w:rFonts w:ascii="Calibri" w:eastAsia="Calibri" w:hAnsi="Calibri" w:cs="Times New Roman"/>
        </w:rPr>
        <w:t xml:space="preserve">all of the </w:t>
      </w:r>
      <w:r w:rsidRPr="00E6060C">
        <w:rPr>
          <w:rFonts w:ascii="Calibri" w:eastAsia="Calibri" w:hAnsi="Calibri" w:cs="Times New Roman"/>
        </w:rPr>
        <w:t xml:space="preserve">studies </w:t>
      </w:r>
      <w:r w:rsidR="00345AC6">
        <w:rPr>
          <w:rFonts w:ascii="Calibri" w:eastAsia="Calibri" w:hAnsi="Calibri" w:cs="Times New Roman"/>
        </w:rPr>
        <w:t xml:space="preserve">to be included in the meta-analysis </w:t>
      </w:r>
      <w:r w:rsidRPr="00E6060C">
        <w:rPr>
          <w:rFonts w:ascii="Calibri" w:eastAsia="Calibri" w:hAnsi="Calibri" w:cs="Times New Roman"/>
        </w:rPr>
        <w:t>according to the coding guide in Appendix 2. This included coding studies for descriptive information about studies (e.g. study setting, design, age &amp; gender of participants), and assessing studies for risk of bias (extracting information regarding, for example, selection bias, attrition bias &amp; reporting bias</w:t>
      </w:r>
      <w:r w:rsidR="0040628D">
        <w:rPr>
          <w:rFonts w:ascii="Calibri" w:eastAsia="Calibri" w:hAnsi="Calibri" w:cs="Times New Roman"/>
        </w:rPr>
        <w:t xml:space="preserve">, see section </w:t>
      </w:r>
      <w:r w:rsidR="0040628D">
        <w:rPr>
          <w:rFonts w:ascii="Calibri" w:eastAsia="Calibri" w:hAnsi="Calibri" w:cs="Times New Roman"/>
        </w:rPr>
        <w:fldChar w:fldCharType="begin"/>
      </w:r>
      <w:r w:rsidR="0040628D">
        <w:rPr>
          <w:rFonts w:ascii="Calibri" w:eastAsia="Calibri" w:hAnsi="Calibri" w:cs="Times New Roman"/>
        </w:rPr>
        <w:instrText xml:space="preserve"> REF _Ref456257363 \n \h </w:instrText>
      </w:r>
      <w:r w:rsidR="0040628D">
        <w:rPr>
          <w:rFonts w:ascii="Calibri" w:eastAsia="Calibri" w:hAnsi="Calibri" w:cs="Times New Roman"/>
        </w:rPr>
      </w:r>
      <w:r w:rsidR="0040628D">
        <w:rPr>
          <w:rFonts w:ascii="Calibri" w:eastAsia="Calibri" w:hAnsi="Calibri" w:cs="Times New Roman"/>
        </w:rPr>
        <w:fldChar w:fldCharType="separate"/>
      </w:r>
      <w:r w:rsidR="00152F6D">
        <w:rPr>
          <w:rFonts w:ascii="Calibri" w:eastAsia="Calibri" w:hAnsi="Calibri" w:cs="Times New Roman"/>
        </w:rPr>
        <w:t>6.3.5</w:t>
      </w:r>
      <w:r w:rsidR="0040628D">
        <w:rPr>
          <w:rFonts w:ascii="Calibri" w:eastAsia="Calibri" w:hAnsi="Calibri" w:cs="Times New Roman"/>
        </w:rPr>
        <w:fldChar w:fldCharType="end"/>
      </w:r>
      <w:r w:rsidRPr="00E6060C">
        <w:rPr>
          <w:rFonts w:ascii="Calibri" w:eastAsia="Calibri" w:hAnsi="Calibri" w:cs="Times New Roman"/>
        </w:rPr>
        <w:t xml:space="preserve">). </w:t>
      </w:r>
      <w:bookmarkStart w:id="220" w:name="_Toc406750018"/>
      <w:r w:rsidR="00543471">
        <w:rPr>
          <w:rFonts w:ascii="Calibri" w:eastAsia="Calibri" w:hAnsi="Calibri" w:cs="Times New Roman"/>
        </w:rPr>
        <w:t>The agreement rate between coders was assessed using Cohen’s Kappa</w:t>
      </w:r>
      <w:r w:rsidR="0013038A">
        <w:rPr>
          <w:rFonts w:ascii="Calibri" w:eastAsia="Calibri" w:hAnsi="Calibri" w:cs="Times New Roman"/>
        </w:rPr>
        <w:t xml:space="preserve">, a commonly reported agreement metric for categorical </w:t>
      </w:r>
      <w:r w:rsidR="0013038A" w:rsidRPr="0013038A">
        <w:rPr>
          <w:rFonts w:ascii="Calibri" w:eastAsia="Calibri" w:hAnsi="Calibri" w:cs="Times New Roman"/>
        </w:rPr>
        <w:t>data which indicates the percentage agreement between two independent coders over and above agreement expected by chance (Cohen, 1960). Values may lie between -1.00 and +1.00, with 0 indicating agreement expected by chance alone, +1.00 indicating perfect agreement, and -1.00 indicating perfect disagreement. According to Orwin (1994), values between .40 and .59 indicate fair agreement, values between .60 and .74 indicate good agreement, and values greater than .75 indicate excellent agreement.</w:t>
      </w:r>
      <w:r w:rsidR="0013038A" w:rsidRPr="0013038A">
        <w:rPr>
          <w:rFonts w:ascii="Calibri" w:eastAsia="Calibri" w:hAnsi="Calibri" w:cs="Times New Roman"/>
          <w:i/>
        </w:rPr>
        <w:t xml:space="preserve"> </w:t>
      </w:r>
    </w:p>
    <w:p w14:paraId="5C2A9A63" w14:textId="77777777" w:rsidR="0040628D" w:rsidRDefault="0040628D" w:rsidP="00E6060C">
      <w:pPr>
        <w:spacing w:before="200" w:line="360" w:lineRule="auto"/>
        <w:contextualSpacing/>
        <w:rPr>
          <w:rFonts w:ascii="Calibri" w:eastAsia="Calibri" w:hAnsi="Calibri" w:cs="Times New Roman"/>
          <w:i/>
        </w:rPr>
      </w:pPr>
    </w:p>
    <w:p w14:paraId="1A606691" w14:textId="0B376866" w:rsidR="00E6060C" w:rsidRDefault="0013038A" w:rsidP="00E6060C">
      <w:pPr>
        <w:spacing w:before="200" w:line="360" w:lineRule="auto"/>
        <w:contextualSpacing/>
        <w:rPr>
          <w:rFonts w:ascii="Calibri" w:eastAsia="Calibri" w:hAnsi="Calibri" w:cs="Times New Roman"/>
        </w:rPr>
      </w:pPr>
      <w:r>
        <w:rPr>
          <w:rFonts w:ascii="Calibri" w:eastAsia="Calibri" w:hAnsi="Calibri" w:cs="Times New Roman"/>
        </w:rPr>
        <w:t xml:space="preserve">Each coder’s initial ratings for each study characteristic extracted were entered into the statistical software package, SPSS (version 22), and Kappa was calculated using this programme. </w:t>
      </w:r>
      <w:r w:rsidRPr="0013038A">
        <w:t>All of the</w:t>
      </w:r>
      <w:r>
        <w:t xml:space="preserve"> initial</w:t>
      </w:r>
      <w:r w:rsidRPr="0013038A">
        <w:t xml:space="preserve"> agreement rates </w:t>
      </w:r>
      <w:r w:rsidR="00345AC6">
        <w:t xml:space="preserve">for descriptive study characteristics </w:t>
      </w:r>
      <w:r w:rsidRPr="0013038A">
        <w:t>were above .60, except one, which was .44 (for intervention style). Many were above .75 and approached 100% agreement (e.g. for document type, industry type, and number of intervention</w:t>
      </w:r>
      <w:r w:rsidR="004913FB">
        <w:t xml:space="preserve"> and control groups present).</w:t>
      </w:r>
      <w:r w:rsidRPr="0013038A">
        <w:rPr>
          <w:rFonts w:ascii="Calibri" w:eastAsia="Calibri" w:hAnsi="Calibri" w:cs="Times New Roman"/>
        </w:rPr>
        <w:t xml:space="preserve"> </w:t>
      </w:r>
      <w:r w:rsidR="0040628D">
        <w:rPr>
          <w:rFonts w:ascii="Calibri" w:eastAsia="Calibri" w:hAnsi="Calibri" w:cs="Times New Roman"/>
        </w:rPr>
        <w:t xml:space="preserve">All of the initial agreement rates for risk of bias characteristics </w:t>
      </w:r>
      <w:r w:rsidR="0040628D" w:rsidRPr="0040628D">
        <w:rPr>
          <w:rFonts w:ascii="Calibri" w:eastAsia="Calibri" w:hAnsi="Calibri" w:cs="Times New Roman"/>
        </w:rPr>
        <w:t>were .52 or above, with two reaching 100% (for assessments of whether blinding of participants and personnel occurred, and the overall summary judgement of a study’s risk of bias</w:t>
      </w:r>
      <w:r w:rsidR="0040628D">
        <w:rPr>
          <w:rFonts w:ascii="Calibri" w:eastAsia="Calibri" w:hAnsi="Calibri" w:cs="Times New Roman"/>
        </w:rPr>
        <w:t xml:space="preserve">, see section </w:t>
      </w:r>
      <w:r w:rsidR="0040628D">
        <w:rPr>
          <w:rFonts w:ascii="Calibri" w:eastAsia="Calibri" w:hAnsi="Calibri" w:cs="Times New Roman"/>
        </w:rPr>
        <w:fldChar w:fldCharType="begin"/>
      </w:r>
      <w:r w:rsidR="0040628D">
        <w:rPr>
          <w:rFonts w:ascii="Calibri" w:eastAsia="Calibri" w:hAnsi="Calibri" w:cs="Times New Roman"/>
        </w:rPr>
        <w:instrText xml:space="preserve"> REF _Ref456257499 \n \h </w:instrText>
      </w:r>
      <w:r w:rsidR="0040628D">
        <w:rPr>
          <w:rFonts w:ascii="Calibri" w:eastAsia="Calibri" w:hAnsi="Calibri" w:cs="Times New Roman"/>
        </w:rPr>
      </w:r>
      <w:r w:rsidR="0040628D">
        <w:rPr>
          <w:rFonts w:ascii="Calibri" w:eastAsia="Calibri" w:hAnsi="Calibri" w:cs="Times New Roman"/>
        </w:rPr>
        <w:fldChar w:fldCharType="separate"/>
      </w:r>
      <w:r w:rsidR="00152F6D">
        <w:rPr>
          <w:rFonts w:ascii="Calibri" w:eastAsia="Calibri" w:hAnsi="Calibri" w:cs="Times New Roman"/>
        </w:rPr>
        <w:t>6.3.5</w:t>
      </w:r>
      <w:r w:rsidR="0040628D">
        <w:rPr>
          <w:rFonts w:ascii="Calibri" w:eastAsia="Calibri" w:hAnsi="Calibri" w:cs="Times New Roman"/>
        </w:rPr>
        <w:fldChar w:fldCharType="end"/>
      </w:r>
      <w:r w:rsidR="0040628D" w:rsidRPr="0040628D">
        <w:rPr>
          <w:rFonts w:ascii="Calibri" w:eastAsia="Calibri" w:hAnsi="Calibri" w:cs="Times New Roman"/>
        </w:rPr>
        <w:t>).</w:t>
      </w:r>
      <w:r w:rsidR="0040628D">
        <w:rPr>
          <w:rFonts w:ascii="Calibri" w:eastAsia="Calibri" w:hAnsi="Calibri" w:cs="Times New Roman"/>
        </w:rPr>
        <w:t xml:space="preserve"> </w:t>
      </w:r>
      <w:r>
        <w:rPr>
          <w:rFonts w:ascii="Calibri" w:eastAsia="Calibri" w:hAnsi="Calibri" w:cs="Times New Roman"/>
        </w:rPr>
        <w:t>All of the d</w:t>
      </w:r>
      <w:r w:rsidR="00E6060C" w:rsidRPr="0013038A">
        <w:rPr>
          <w:rFonts w:ascii="Calibri" w:eastAsia="Calibri" w:hAnsi="Calibri" w:cs="Times New Roman"/>
        </w:rPr>
        <w:t>ifferences between coders were resolved by</w:t>
      </w:r>
      <w:r w:rsidR="00E6060C" w:rsidRPr="00E6060C">
        <w:rPr>
          <w:rFonts w:ascii="Calibri" w:eastAsia="Calibri" w:hAnsi="Calibri" w:cs="Times New Roman"/>
        </w:rPr>
        <w:t xml:space="preserve"> discussion and consultation with a third expert wh</w:t>
      </w:r>
      <w:r w:rsidR="005C70BE">
        <w:rPr>
          <w:rFonts w:ascii="Calibri" w:eastAsia="Calibri" w:hAnsi="Calibri" w:cs="Times New Roman"/>
        </w:rPr>
        <w:t xml:space="preserve">ere necessary (another expert). </w:t>
      </w:r>
      <w:r w:rsidR="00E6060C" w:rsidRPr="00E6060C">
        <w:rPr>
          <w:rFonts w:ascii="Calibri" w:eastAsia="Calibri" w:hAnsi="Calibri" w:cs="Times New Roman"/>
        </w:rPr>
        <w:t xml:space="preserve">Following this process, consensus rates reached 100%. </w:t>
      </w:r>
      <w:r w:rsidR="005C70BE">
        <w:rPr>
          <w:rFonts w:ascii="Calibri" w:eastAsia="Calibri" w:hAnsi="Calibri" w:cs="Times New Roman"/>
        </w:rPr>
        <w:t xml:space="preserve">Since all of the study characteristics were extracted by both coders for all of the studies included in the meta-analyses, and all disagreements were discussed and resolved, no differences were left which were not eventually agreed.   </w:t>
      </w:r>
    </w:p>
    <w:p w14:paraId="194C92DB" w14:textId="7833BBD6" w:rsidR="005C70BE" w:rsidRDefault="005C70BE" w:rsidP="00E6060C">
      <w:pPr>
        <w:spacing w:before="200" w:line="360" w:lineRule="auto"/>
        <w:contextualSpacing/>
        <w:rPr>
          <w:rFonts w:ascii="Calibri" w:eastAsia="Calibri" w:hAnsi="Calibri" w:cs="Times New Roman"/>
        </w:rPr>
      </w:pPr>
    </w:p>
    <w:p w14:paraId="557344A6" w14:textId="1156E02F" w:rsidR="00D20EED" w:rsidRDefault="003C26F3" w:rsidP="002957FC">
      <w:pPr>
        <w:spacing w:before="200" w:line="360" w:lineRule="auto"/>
        <w:contextualSpacing/>
        <w:rPr>
          <w:rFonts w:ascii="Calibri" w:eastAsia="Calibri" w:hAnsi="Calibri" w:cs="Times New Roman"/>
        </w:rPr>
      </w:pPr>
      <w:r>
        <w:rPr>
          <w:rFonts w:ascii="Calibri" w:eastAsia="Calibri" w:hAnsi="Calibri" w:cs="Times New Roman"/>
        </w:rPr>
        <w:t>Although t</w:t>
      </w:r>
      <w:r w:rsidRPr="003C26F3">
        <w:rPr>
          <w:rFonts w:ascii="Calibri" w:eastAsia="Calibri" w:hAnsi="Calibri" w:cs="Times New Roman"/>
        </w:rPr>
        <w:t xml:space="preserve">he Cochrane Collaboration do not </w:t>
      </w:r>
      <w:r w:rsidR="002957FC">
        <w:rPr>
          <w:rFonts w:ascii="Calibri" w:eastAsia="Calibri" w:hAnsi="Calibri" w:cs="Times New Roman"/>
        </w:rPr>
        <w:t xml:space="preserve">routinely </w:t>
      </w:r>
      <w:r w:rsidRPr="003C26F3">
        <w:rPr>
          <w:rFonts w:ascii="Calibri" w:eastAsia="Calibri" w:hAnsi="Calibri" w:cs="Times New Roman"/>
        </w:rPr>
        <w:t>recommend calculating Kappa for Cochrane reviews (see</w:t>
      </w:r>
      <w:r w:rsidR="00702D9B">
        <w:rPr>
          <w:rFonts w:ascii="Calibri" w:eastAsia="Calibri" w:hAnsi="Calibri" w:cs="Times New Roman"/>
        </w:rPr>
        <w:t xml:space="preserve"> Higgins &amp; Deeks, 2011,</w:t>
      </w:r>
      <w:r w:rsidRPr="003C26F3">
        <w:rPr>
          <w:rFonts w:ascii="Calibri" w:eastAsia="Calibri" w:hAnsi="Calibri" w:cs="Times New Roman"/>
        </w:rPr>
        <w:t xml:space="preserve"> section 7.2.6.0), </w:t>
      </w:r>
      <w:r w:rsidR="00702D9B">
        <w:rPr>
          <w:rFonts w:ascii="Calibri" w:eastAsia="Calibri" w:hAnsi="Calibri" w:cs="Times New Roman"/>
        </w:rPr>
        <w:t xml:space="preserve">it is included here as it is commonly reported by studies in the field of organisational psychology and is thus a statistic with which many researchers </w:t>
      </w:r>
      <w:r w:rsidR="002957FC">
        <w:rPr>
          <w:rFonts w:ascii="Calibri" w:eastAsia="Calibri" w:hAnsi="Calibri" w:cs="Times New Roman"/>
        </w:rPr>
        <w:t xml:space="preserve">in the field of work engagement </w:t>
      </w:r>
      <w:r w:rsidR="00702D9B">
        <w:rPr>
          <w:rFonts w:ascii="Calibri" w:eastAsia="Calibri" w:hAnsi="Calibri" w:cs="Times New Roman"/>
        </w:rPr>
        <w:t xml:space="preserve">are </w:t>
      </w:r>
      <w:r w:rsidR="002957FC">
        <w:rPr>
          <w:rFonts w:ascii="Calibri" w:eastAsia="Calibri" w:hAnsi="Calibri" w:cs="Times New Roman"/>
        </w:rPr>
        <w:t xml:space="preserve">likely to be </w:t>
      </w:r>
      <w:r w:rsidR="00702D9B">
        <w:rPr>
          <w:rFonts w:ascii="Calibri" w:eastAsia="Calibri" w:hAnsi="Calibri" w:cs="Times New Roman"/>
        </w:rPr>
        <w:t xml:space="preserve">familiar. The controversy around it surrounds </w:t>
      </w:r>
      <w:r w:rsidRPr="003C26F3">
        <w:rPr>
          <w:rFonts w:ascii="Calibri" w:eastAsia="Calibri" w:hAnsi="Calibri" w:cs="Times New Roman"/>
        </w:rPr>
        <w:t xml:space="preserve">the difficulty of assessing the impact of agreements on a review when using arbitrary cut-off points to determine whether an agreement rate is poor or adequate. As the Cochrane Collaboration argue, </w:t>
      </w:r>
      <w:r w:rsidRPr="003C26F3">
        <w:rPr>
          <w:rFonts w:ascii="Calibri" w:eastAsia="Calibri" w:hAnsi="Calibri" w:cs="Times New Roman"/>
        </w:rPr>
        <w:lastRenderedPageBreak/>
        <w:t xml:space="preserve">disagreement over a large study with few indicators of risk of bias may have greater implications for a review than disagreements over a small study with several indicators of risks of bias (see </w:t>
      </w:r>
      <w:r w:rsidR="00702D9B">
        <w:rPr>
          <w:rFonts w:ascii="Calibri" w:eastAsia="Calibri" w:hAnsi="Calibri" w:cs="Times New Roman"/>
        </w:rPr>
        <w:t xml:space="preserve">Higgins &amp; Deeks, 2011, </w:t>
      </w:r>
      <w:r w:rsidRPr="003C26F3">
        <w:rPr>
          <w:rFonts w:ascii="Calibri" w:eastAsia="Calibri" w:hAnsi="Calibri" w:cs="Times New Roman"/>
        </w:rPr>
        <w:t xml:space="preserve">section 7.2.6.0). </w:t>
      </w:r>
      <w:r w:rsidR="00702D9B">
        <w:rPr>
          <w:rFonts w:ascii="Calibri" w:eastAsia="Calibri" w:hAnsi="Calibri" w:cs="Times New Roman"/>
        </w:rPr>
        <w:t xml:space="preserve">This should be taken into consideration when considering the initial agreement rates reported above. </w:t>
      </w:r>
    </w:p>
    <w:p w14:paraId="4CE31F4C" w14:textId="77777777" w:rsidR="002957FC" w:rsidRDefault="002957FC" w:rsidP="002957FC">
      <w:pPr>
        <w:spacing w:before="200" w:line="360" w:lineRule="auto"/>
        <w:contextualSpacing/>
        <w:rPr>
          <w:rFonts w:ascii="Calibri" w:eastAsia="Calibri" w:hAnsi="Calibri" w:cs="Times New Roman"/>
        </w:rPr>
      </w:pPr>
    </w:p>
    <w:p w14:paraId="7F4B9A1F" w14:textId="4E28B469" w:rsidR="00E6060C" w:rsidRPr="00E6060C" w:rsidRDefault="00E6060C" w:rsidP="0009618B">
      <w:pPr>
        <w:pStyle w:val="Heading3"/>
      </w:pPr>
      <w:bookmarkStart w:id="221" w:name="_Toc431470136"/>
      <w:bookmarkStart w:id="222" w:name="_Toc468285980"/>
      <w:r w:rsidRPr="00E6060C">
        <w:t>Calculation of effect sizes</w:t>
      </w:r>
      <w:bookmarkEnd w:id="220"/>
      <w:bookmarkEnd w:id="221"/>
      <w:bookmarkEnd w:id="222"/>
    </w:p>
    <w:p w14:paraId="72E6918A" w14:textId="77777777" w:rsidR="007975E1" w:rsidRDefault="007975E1" w:rsidP="00E6060C">
      <w:pPr>
        <w:spacing w:before="200" w:line="360" w:lineRule="auto"/>
        <w:contextualSpacing/>
        <w:rPr>
          <w:rFonts w:ascii="Calibri" w:eastAsia="Calibri" w:hAnsi="Calibri" w:cs="Times New Roman"/>
        </w:rPr>
      </w:pPr>
    </w:p>
    <w:p w14:paraId="1264821D" w14:textId="1576A0B6"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All analyses were carried out using the statistical package, ‘Comprehensive Meta-Analysis’, (CMA, Version 2.2.064, Borenstein, Hedges, Higgins &amp; Rothstein, 2011). Study effect sizes were calculated according to Hedges </w:t>
      </w:r>
      <w:r w:rsidRPr="00E6060C">
        <w:rPr>
          <w:rFonts w:ascii="Calibri" w:eastAsia="Calibri" w:hAnsi="Calibri" w:cs="Times New Roman"/>
          <w:i/>
        </w:rPr>
        <w:t>g</w:t>
      </w:r>
      <w:r w:rsidRPr="00E6060C">
        <w:rPr>
          <w:rFonts w:ascii="Calibri" w:eastAsia="Calibri" w:hAnsi="Calibri" w:cs="Times New Roman"/>
        </w:rPr>
        <w:t xml:space="preserve">, which expresses the difference between the control and intervention group means, divided by their pooled standard deviations. A positive value indicates that the intervention had a positive effect on work engagement, with values between 0.3-0.5 representing a medium effect (Cohen, 1988). Unlike Cohen’s </w:t>
      </w:r>
      <w:r w:rsidRPr="00E6060C">
        <w:rPr>
          <w:rFonts w:ascii="Calibri" w:eastAsia="Calibri" w:hAnsi="Calibri" w:cs="Times New Roman"/>
          <w:i/>
        </w:rPr>
        <w:t>d</w:t>
      </w:r>
      <w:r w:rsidRPr="00E6060C">
        <w:rPr>
          <w:rFonts w:ascii="Calibri" w:eastAsia="Calibri" w:hAnsi="Calibri" w:cs="Times New Roman"/>
        </w:rPr>
        <w:t xml:space="preserve">, Hedges </w:t>
      </w:r>
      <w:r w:rsidRPr="00E6060C">
        <w:rPr>
          <w:rFonts w:ascii="Calibri" w:eastAsia="Calibri" w:hAnsi="Calibri" w:cs="Times New Roman"/>
          <w:i/>
        </w:rPr>
        <w:t>g</w:t>
      </w:r>
      <w:r w:rsidRPr="00E6060C">
        <w:rPr>
          <w:rFonts w:ascii="Calibri" w:eastAsia="Calibri" w:hAnsi="Calibri" w:cs="Times New Roman"/>
        </w:rPr>
        <w:t xml:space="preserve"> adjusts for statistical bias which may arise due to small sample sizes within studies (Johnson &amp; Eagly, 2000). This is important given that the total number of studies in this meta-analysis is not large (</w:t>
      </w:r>
      <w:r w:rsidR="005D147A">
        <w:rPr>
          <w:rFonts w:ascii="Calibri" w:eastAsia="Calibri" w:hAnsi="Calibri" w:cs="Times New Roman"/>
          <w:i/>
        </w:rPr>
        <w:t>k</w:t>
      </w:r>
      <w:r w:rsidRPr="00E6060C">
        <w:rPr>
          <w:rFonts w:ascii="Calibri" w:eastAsia="Calibri" w:hAnsi="Calibri" w:cs="Times New Roman"/>
        </w:rPr>
        <w:t xml:space="preserve">=20), and a number of studies report intervention and control / comparison group participant samples below 20. Hedges </w:t>
      </w:r>
      <w:r w:rsidRPr="00E6060C">
        <w:rPr>
          <w:rFonts w:ascii="Calibri" w:eastAsia="Calibri" w:hAnsi="Calibri" w:cs="Times New Roman"/>
          <w:i/>
        </w:rPr>
        <w:t xml:space="preserve">g </w:t>
      </w:r>
      <w:r w:rsidRPr="00E6060C">
        <w:rPr>
          <w:rFonts w:ascii="Calibri" w:eastAsia="Calibri" w:hAnsi="Calibri" w:cs="Times New Roman"/>
        </w:rPr>
        <w:t xml:space="preserve">removes the slight overestimation of an effect size when small samples are used, and thus is always slightly less than </w:t>
      </w:r>
      <w:r w:rsidRPr="00E6060C">
        <w:rPr>
          <w:rFonts w:ascii="Calibri" w:eastAsia="Calibri" w:hAnsi="Calibri" w:cs="Times New Roman"/>
          <w:i/>
        </w:rPr>
        <w:t>d</w:t>
      </w:r>
      <w:r w:rsidR="00FF6C80">
        <w:rPr>
          <w:rFonts w:ascii="Calibri" w:eastAsia="Calibri" w:hAnsi="Calibri" w:cs="Times New Roman"/>
        </w:rPr>
        <w:t xml:space="preserve">. </w:t>
      </w:r>
    </w:p>
    <w:p w14:paraId="34E046E9" w14:textId="77777777" w:rsidR="00E6060C" w:rsidRPr="00E6060C" w:rsidRDefault="00E6060C" w:rsidP="00E6060C">
      <w:pPr>
        <w:spacing w:before="200" w:line="360" w:lineRule="auto"/>
        <w:contextualSpacing/>
        <w:rPr>
          <w:rFonts w:ascii="Calibri" w:eastAsia="Calibri" w:hAnsi="Calibri" w:cs="Times New Roman"/>
        </w:rPr>
      </w:pPr>
    </w:p>
    <w:p w14:paraId="29778485" w14:textId="7C6B09E0" w:rsidR="00FF6C80" w:rsidRDefault="00E6060C" w:rsidP="002957FC">
      <w:pPr>
        <w:spacing w:before="200" w:line="360" w:lineRule="auto"/>
        <w:contextualSpacing/>
        <w:rPr>
          <w:rFonts w:ascii="Calibri" w:eastAsia="Calibri" w:hAnsi="Calibri" w:cs="Times New Roman"/>
        </w:rPr>
      </w:pPr>
      <w:r w:rsidRPr="00E6060C">
        <w:rPr>
          <w:rFonts w:ascii="Calibri" w:eastAsia="Calibri" w:hAnsi="Calibri" w:cs="Times New Roman"/>
        </w:rPr>
        <w:t xml:space="preserve">Hedges </w:t>
      </w:r>
      <w:r w:rsidRPr="00E6060C">
        <w:rPr>
          <w:rFonts w:ascii="Calibri" w:eastAsia="Calibri" w:hAnsi="Calibri" w:cs="Times New Roman"/>
          <w:i/>
        </w:rPr>
        <w:t>g</w:t>
      </w:r>
      <w:r w:rsidRPr="00E6060C">
        <w:rPr>
          <w:rFonts w:ascii="Calibri" w:eastAsia="Calibri" w:hAnsi="Calibri" w:cs="Times New Roman"/>
        </w:rPr>
        <w:t xml:space="preserve">, it’s 95%-CI, and its associated </w:t>
      </w:r>
      <w:r w:rsidRPr="00E6060C">
        <w:rPr>
          <w:rFonts w:ascii="Calibri" w:eastAsia="Calibri" w:hAnsi="Calibri" w:cs="Times New Roman"/>
          <w:i/>
        </w:rPr>
        <w:t xml:space="preserve">z </w:t>
      </w:r>
      <w:r w:rsidRPr="00E6060C">
        <w:rPr>
          <w:rFonts w:ascii="Calibri" w:eastAsia="Calibri" w:hAnsi="Calibri" w:cs="Times New Roman"/>
        </w:rPr>
        <w:t xml:space="preserve">and </w:t>
      </w:r>
      <w:r w:rsidRPr="00E6060C">
        <w:rPr>
          <w:rFonts w:ascii="Calibri" w:eastAsia="Calibri" w:hAnsi="Calibri" w:cs="Times New Roman"/>
          <w:i/>
        </w:rPr>
        <w:t>p-</w:t>
      </w:r>
      <w:r w:rsidRPr="00E6060C">
        <w:rPr>
          <w:rFonts w:ascii="Calibri" w:eastAsia="Calibri" w:hAnsi="Calibri" w:cs="Times New Roman"/>
        </w:rPr>
        <w:t>values were calculated for each individual study, and each summary effect of a group of studies, using the statistical package ‘Comprehensive Meta-Analysis’, (CMA, Version 2.2.064, Borenstein et al., 2011). In the first instance, each study effect size was calculated from data reported in studies which did not require any missing information to be imputed or estimated. This largely involved using pre- and post- intervention and c</w:t>
      </w:r>
      <w:r w:rsidR="004913FB">
        <w:rPr>
          <w:rFonts w:ascii="Calibri" w:eastAsia="Calibri" w:hAnsi="Calibri" w:cs="Times New Roman"/>
        </w:rPr>
        <w:t>ontrol means, their associated standard deviations (S</w:t>
      </w:r>
      <w:r w:rsidRPr="00E6060C">
        <w:rPr>
          <w:rFonts w:ascii="Calibri" w:eastAsia="Calibri" w:hAnsi="Calibri" w:cs="Times New Roman"/>
        </w:rPr>
        <w:t>Ds</w:t>
      </w:r>
      <w:r w:rsidR="004913FB">
        <w:rPr>
          <w:rFonts w:ascii="Calibri" w:eastAsia="Calibri" w:hAnsi="Calibri" w:cs="Times New Roman"/>
        </w:rPr>
        <w:t>)</w:t>
      </w:r>
      <w:r w:rsidRPr="00E6060C">
        <w:rPr>
          <w:rFonts w:ascii="Calibri" w:eastAsia="Calibri" w:hAnsi="Calibri" w:cs="Times New Roman"/>
        </w:rPr>
        <w:t xml:space="preserve"> or </w:t>
      </w:r>
      <w:r w:rsidR="004913FB">
        <w:rPr>
          <w:rFonts w:ascii="Calibri" w:eastAsia="Calibri" w:hAnsi="Calibri" w:cs="Times New Roman"/>
        </w:rPr>
        <w:t>standard errors (</w:t>
      </w:r>
      <w:r w:rsidRPr="00E6060C">
        <w:rPr>
          <w:rFonts w:ascii="Calibri" w:eastAsia="Calibri" w:hAnsi="Calibri" w:cs="Times New Roman"/>
        </w:rPr>
        <w:t>SEs</w:t>
      </w:r>
      <w:r w:rsidR="004913FB">
        <w:rPr>
          <w:rFonts w:ascii="Calibri" w:eastAsia="Calibri" w:hAnsi="Calibri" w:cs="Times New Roman"/>
        </w:rPr>
        <w:t>)</w:t>
      </w:r>
      <w:r w:rsidRPr="00E6060C">
        <w:rPr>
          <w:rFonts w:ascii="Calibri" w:eastAsia="Calibri" w:hAnsi="Calibri" w:cs="Times New Roman"/>
        </w:rPr>
        <w:t>, and pre- and post- intervention correlations.</w:t>
      </w:r>
      <w:r w:rsidRPr="00E6060C">
        <w:rPr>
          <w:rFonts w:ascii="Times New Roman" w:eastAsia="Calibri" w:hAnsi="Times New Roman" w:cs="Times New Roman"/>
          <w:sz w:val="24"/>
          <w:szCs w:val="24"/>
        </w:rPr>
        <w:t xml:space="preserve"> </w:t>
      </w:r>
      <w:r w:rsidRPr="00E6060C">
        <w:rPr>
          <w:rFonts w:ascii="Calibri" w:eastAsia="Calibri" w:hAnsi="Calibri" w:cs="Times New Roman"/>
        </w:rPr>
        <w:t>Where pre-post correlations were unavailable, a conservative estimate (</w:t>
      </w:r>
      <w:r w:rsidRPr="00E6060C">
        <w:rPr>
          <w:rFonts w:ascii="Calibri" w:eastAsia="Calibri" w:hAnsi="Calibri" w:cs="Times New Roman"/>
          <w:i/>
        </w:rPr>
        <w:t>r</w:t>
      </w:r>
      <w:r w:rsidRPr="00E6060C">
        <w:rPr>
          <w:rFonts w:ascii="Calibri" w:eastAsia="Calibri" w:hAnsi="Calibri" w:cs="Times New Roman"/>
        </w:rPr>
        <w:t>=0.7) was adopted in accordance with Rosenthal’s (1993) recommendation</w:t>
      </w:r>
      <w:r w:rsidR="004913FB">
        <w:rPr>
          <w:rFonts w:ascii="Calibri" w:eastAsia="Calibri" w:hAnsi="Calibri" w:cs="Times New Roman"/>
        </w:rPr>
        <w:t>,</w:t>
      </w:r>
      <w:r w:rsidRPr="00E6060C">
        <w:rPr>
          <w:rFonts w:ascii="Calibri" w:eastAsia="Calibri" w:hAnsi="Calibri" w:cs="Times New Roman"/>
        </w:rPr>
        <w:t xml:space="preserve"> and previous meta-analyses in related fields (e.g. </w:t>
      </w:r>
      <w:r w:rsidRPr="00E6060C">
        <w:rPr>
          <w:rFonts w:ascii="Calibri" w:eastAsia="Calibri" w:hAnsi="Calibri" w:cs="Times New Roman"/>
        </w:rPr>
        <w:fldChar w:fldCharType="begin" w:fldLock="1"/>
      </w:r>
      <w:r w:rsidRPr="00E6060C">
        <w:rPr>
          <w:rFonts w:ascii="Calibri" w:eastAsia="Calibri" w:hAnsi="Calibri" w:cs="Times New Roman"/>
        </w:rPr>
        <w:instrText>ADDIN CSL_CITATION { "citationItems" : [ { "id" : "ITEM-1", "itemData" : { "DOI" : "10.1016/j.cpr.2013.05.005", "ISBN" : "1873-7811 (Electronic)\\r0272-7358 (Linking)", "ISSN" : "02727358", "PMID" : "23796855", "abstract" : "Background: Mindfulness-based therapy (MBT) has become a popular form of intervention. However, the existing reviews report inconsistent findings. Objective: To clarify these inconsistencies in the literature, we conducted a comprehensive effect-size analysis to evaluate the efficacy of MBT. Data sources: A systematic review of studies published in journals or in dissertations in PubMED or PsycINFO from the first available date until May 10, 2013. Review methods: A total of 209 studies (n= 12,145) were included. Results: Effect-size estimates suggested that MBT is moderately effective in pre-post comparisons (n= 72; Hedge's g= .55), in comparisons with waitlist controls (n= 67; Hedge's g= .53), and when compared with other active treatments (n= 68; Hedge's g= .33), including other psychological treatments (n= 35; Hedge's g= .22). MBT did not differ from traditional CBT or behavioral therapies (n= 9; Hedge's g= -. .07) or pharmacological treatments (n= 3; Hedge's g= .13). Conclusion: MBT is an effective treatment for a variety of psychological problems, and is especially effective for reducing anxiety, depression, and stress. \u00a9 2013 Elsevier Ltd.", "author" : [ { "dropping-particle" : "", "family" : "Khoury", "given" : "B.", "non-dropping-particle" : "", "parse-names" : false, "suffix" : "" }, { "dropping-particle" : "", "family" : "Lecomte", "given" : "T.", "non-dropping-particle" : "", "parse-names" : false, "suffix" : "" }, { "dropping-particle" : "", "family" : "Fortin", "given" : "G.", "non-dropping-particle" : "", "parse-names" : false, "suffix" : "" }, { "dropping-particle" : "", "family" : "Masse", "given" : "M.", "non-dropping-particle" : "", "parse-names" : false, "suffix" : "" }, { "dropping-particle" : "", "family" : "Therien", "given" : "T.", "non-dropping-particle" : "", "parse-names" : false, "suffix" : "" }, { "dropping-particle" : "", "family" : "Bouchard", "given" : "V.", "non-dropping-particle" : "", "parse-names" : false, "suffix" : "" }, { "dropping-particle" : "", "family" : "M.-A.", "given" : "Chapleau", "non-dropping-particle" : "", "parse-names" : false, "suffix" : "" }, { "dropping-particle" : "", "family" : "K.", "given" : "Paquin", "non-dropping-particle" : "", "parse-names" : false, "suffix" : "" }, { "dropping-particle" : "", "family" : "S.G.", "given" : "Hofmann", "non-dropping-particle" : "", "parse-names" : false, "suffix" : "" } ], "container-title" : "Clinical Psychology Review", "id" : "ITEM-1", "issue" : "6", "issued" : { "date-parts" : [ [ "2013" ] ] }, "page" : "763-771", "title" : "Mindfulness-based therapy: A comprehensive meta-analysis", "type" : "article-journal", "volume" : "33" }, "uris" : [ "http://www.mendeley.com/documents/?uuid=d5abca30-4741-47e2-98a3-9e6c4f59c0d9" ] } ], "mendeley" : { "formattedCitation" : "(Khoury et al., 2013)", "manualFormatting" : "Khoury et al., 2013)", "plainTextFormattedCitation" : "(Khoury et al., 2013)", "previouslyFormattedCitation" : "(Khoury et al., 2013)" }, "properties" : { "noteIndex" : 0 }, "schema" : "https://github.com/citation-style-language/schema/raw/master/csl-citation.json" }</w:instrText>
      </w:r>
      <w:r w:rsidRPr="00E6060C">
        <w:rPr>
          <w:rFonts w:ascii="Calibri" w:eastAsia="Calibri" w:hAnsi="Calibri" w:cs="Times New Roman"/>
        </w:rPr>
        <w:fldChar w:fldCharType="separate"/>
      </w:r>
      <w:r w:rsidRPr="00E6060C">
        <w:rPr>
          <w:rFonts w:ascii="Calibri" w:eastAsia="Calibri" w:hAnsi="Calibri" w:cs="Times New Roman"/>
        </w:rPr>
        <w:t>Khoury et al., 2013)</w:t>
      </w:r>
      <w:r w:rsidRPr="00E6060C">
        <w:rPr>
          <w:rFonts w:ascii="Calibri" w:eastAsia="Calibri" w:hAnsi="Calibri" w:cs="Times New Roman"/>
        </w:rPr>
        <w:fldChar w:fldCharType="end"/>
      </w:r>
      <w:r w:rsidRPr="00E6060C">
        <w:rPr>
          <w:rFonts w:ascii="Calibri" w:eastAsia="Calibri" w:hAnsi="Calibri" w:cs="Times New Roman"/>
        </w:rPr>
        <w:t xml:space="preserve">. However, only one study (Vuori </w:t>
      </w:r>
      <w:r w:rsidR="00B64DD5">
        <w:rPr>
          <w:rFonts w:ascii="Calibri" w:eastAsia="Calibri" w:hAnsi="Calibri" w:cs="Times New Roman"/>
        </w:rPr>
        <w:t>et al.,</w:t>
      </w:r>
      <w:r w:rsidRPr="00E6060C">
        <w:rPr>
          <w:rFonts w:ascii="Calibri" w:eastAsia="Calibri" w:hAnsi="Calibri" w:cs="Times New Roman"/>
        </w:rPr>
        <w:t xml:space="preserve"> 2014) reported the actual standardised difference between the pre-post means and the associated SE, and none of them reported the pre-post correlation for the intervention and control groups, a statistic which is necessary in order to calculate an effect size from the raw pre-post means and SDs. In the absence of means and </w:t>
      </w:r>
      <w:r w:rsidRPr="00E6060C">
        <w:rPr>
          <w:rFonts w:ascii="Calibri" w:eastAsia="Calibri" w:hAnsi="Calibri" w:cs="Times New Roman"/>
          <w:i/>
        </w:rPr>
        <w:t>SD</w:t>
      </w:r>
      <w:r w:rsidRPr="00E6060C">
        <w:rPr>
          <w:rFonts w:ascii="Calibri" w:eastAsia="Calibri" w:hAnsi="Calibri" w:cs="Times New Roman"/>
        </w:rPr>
        <w:t xml:space="preserve">s, the raw, or ‘crude’ intervention effects computed via linear regression analyses (betas, CIs, &amp; </w:t>
      </w:r>
      <w:r w:rsidRPr="00E6060C">
        <w:rPr>
          <w:rFonts w:ascii="Calibri" w:eastAsia="Calibri" w:hAnsi="Calibri" w:cs="Times New Roman"/>
          <w:i/>
        </w:rPr>
        <w:t>p</w:t>
      </w:r>
      <w:r w:rsidRPr="00E6060C">
        <w:rPr>
          <w:rFonts w:ascii="Calibri" w:eastAsia="Calibri" w:hAnsi="Calibri" w:cs="Times New Roman"/>
        </w:rPr>
        <w:t xml:space="preserve">-values) were sought, as were </w:t>
      </w:r>
      <w:r w:rsidRPr="00E6060C">
        <w:rPr>
          <w:rFonts w:ascii="Calibri" w:eastAsia="Calibri" w:hAnsi="Calibri" w:cs="Times New Roman"/>
          <w:i/>
        </w:rPr>
        <w:t>F-</w:t>
      </w:r>
      <w:r w:rsidRPr="00E6060C">
        <w:rPr>
          <w:rFonts w:ascii="Calibri" w:eastAsia="Calibri" w:hAnsi="Calibri" w:cs="Times New Roman"/>
        </w:rPr>
        <w:t xml:space="preserve">values or </w:t>
      </w:r>
      <w:r w:rsidRPr="00E6060C">
        <w:rPr>
          <w:rFonts w:ascii="Calibri" w:eastAsia="Calibri" w:hAnsi="Calibri" w:cs="Times New Roman"/>
          <w:i/>
        </w:rPr>
        <w:t>p-</w:t>
      </w:r>
      <w:r w:rsidRPr="00E6060C">
        <w:rPr>
          <w:rFonts w:ascii="Calibri" w:eastAsia="Calibri" w:hAnsi="Calibri" w:cs="Times New Roman"/>
        </w:rPr>
        <w:t xml:space="preserve">values from other types of analyses (e.g. </w:t>
      </w:r>
      <w:r w:rsidRPr="00E6060C">
        <w:rPr>
          <w:rFonts w:ascii="Calibri" w:eastAsia="Calibri" w:hAnsi="Calibri" w:cs="Times New Roman"/>
        </w:rPr>
        <w:lastRenderedPageBreak/>
        <w:t>ANOVAs). Studies which did not provide data in any of these formats, and where the data was not able to be obtained from study authors, were excluded.</w:t>
      </w:r>
      <w:bookmarkStart w:id="223" w:name="_Toc431470137"/>
    </w:p>
    <w:p w14:paraId="426C6C51" w14:textId="77777777" w:rsidR="002957FC" w:rsidRDefault="002957FC" w:rsidP="002957FC">
      <w:pPr>
        <w:spacing w:before="200" w:line="360" w:lineRule="auto"/>
        <w:contextualSpacing/>
        <w:rPr>
          <w:rFonts w:asciiTheme="majorHAnsi" w:hAnsiTheme="majorHAnsi"/>
          <w:b/>
          <w:sz w:val="26"/>
          <w:szCs w:val="26"/>
        </w:rPr>
      </w:pPr>
    </w:p>
    <w:p w14:paraId="154DB418" w14:textId="36AD17D1" w:rsidR="00E6060C" w:rsidRPr="00E6060C" w:rsidRDefault="00E6060C" w:rsidP="0009618B">
      <w:pPr>
        <w:pStyle w:val="Heading3"/>
      </w:pPr>
      <w:bookmarkStart w:id="224" w:name="_Toc468285981"/>
      <w:r w:rsidRPr="00E6060C">
        <w:t>Meta-analytic method</w:t>
      </w:r>
      <w:bookmarkEnd w:id="223"/>
      <w:bookmarkEnd w:id="224"/>
    </w:p>
    <w:p w14:paraId="55817360" w14:textId="77777777" w:rsidR="007975E1" w:rsidRDefault="007975E1" w:rsidP="00E6060C">
      <w:pPr>
        <w:spacing w:before="200" w:line="360" w:lineRule="auto"/>
        <w:contextualSpacing/>
        <w:rPr>
          <w:rFonts w:ascii="Calibri" w:eastAsia="Calibri" w:hAnsi="Calibri" w:cs="Times New Roman"/>
        </w:rPr>
      </w:pPr>
    </w:p>
    <w:p w14:paraId="6102C493" w14:textId="311745E9"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The mean effect size for a group of studies was calculated by pooling individual study effect sizes according to a random effects approach. This approach assumes that studies come from different populations with different average effect sizes and is appropriate when studies are not identical (Field &amp; Gillett, 2010) as in the present study where studies vary according to factors such as occupational setting, nationality and intervention type. It is therefore assumed that the effect sizes observed in the studies included in this meta-analysis represent a random sample of their ‘true’ effect sizes, i.e. those that would be observed from distributions of the population effect sizes for these studies. This means that heterogeneity of effect sizes is expected between studies, and was calculated using the Chi-squared statistic, Cochran’s </w:t>
      </w:r>
      <w:r w:rsidRPr="00E6060C">
        <w:rPr>
          <w:rFonts w:ascii="Calibri" w:eastAsia="Calibri" w:hAnsi="Calibri" w:cs="Times New Roman"/>
          <w:i/>
        </w:rPr>
        <w:t>Q</w:t>
      </w:r>
      <w:r w:rsidRPr="00E6060C">
        <w:rPr>
          <w:rFonts w:ascii="Calibri" w:eastAsia="Calibri" w:hAnsi="Calibri" w:cs="Times New Roman"/>
        </w:rPr>
        <w:t xml:space="preserve">, and </w:t>
      </w:r>
      <w:r w:rsidRPr="00E6060C">
        <w:rPr>
          <w:rFonts w:ascii="Calibri" w:eastAsia="Calibri" w:hAnsi="Calibri" w:cs="Times New Roman"/>
          <w:i/>
        </w:rPr>
        <w:t>I</w:t>
      </w:r>
      <w:r w:rsidRPr="00E6060C">
        <w:rPr>
          <w:rFonts w:ascii="Calibri" w:eastAsia="Calibri" w:hAnsi="Calibri" w:cs="Times New Roman"/>
          <w:i/>
          <w:vertAlign w:val="superscript"/>
        </w:rPr>
        <w:t>2</w:t>
      </w:r>
      <w:r w:rsidRPr="00E6060C">
        <w:rPr>
          <w:rFonts w:ascii="Calibri" w:eastAsia="Calibri" w:hAnsi="Calibri" w:cs="Times New Roman"/>
        </w:rPr>
        <w:t xml:space="preserve">. </w:t>
      </w:r>
      <w:r w:rsidRPr="00E6060C">
        <w:rPr>
          <w:rFonts w:ascii="Calibri" w:eastAsia="Calibri" w:hAnsi="Calibri" w:cs="Times New Roman"/>
          <w:i/>
        </w:rPr>
        <w:t>I</w:t>
      </w:r>
      <w:r w:rsidRPr="00E6060C">
        <w:rPr>
          <w:rFonts w:ascii="Calibri" w:eastAsia="Calibri" w:hAnsi="Calibri" w:cs="Times New Roman"/>
          <w:i/>
          <w:vertAlign w:val="superscript"/>
        </w:rPr>
        <w:t>2</w:t>
      </w:r>
      <w:r w:rsidRPr="00E6060C">
        <w:rPr>
          <w:rFonts w:ascii="Calibri" w:eastAsia="Calibri" w:hAnsi="Calibri" w:cs="Times New Roman"/>
        </w:rPr>
        <w:t xml:space="preserve"> is not affected by low statistical power and a value of 25% suggests that heterogeneity is low, 50%, that it is moderate, and 75%, that it is high (Higgins, Thompson, Deeks &amp; Altman, 2003). High heterogeneity within a group of studies suggests the presence of moderators. The reasons for this heterogeneity will be explored via moderator analyses (see section </w:t>
      </w:r>
      <w:r w:rsidR="00FF6C80">
        <w:rPr>
          <w:rFonts w:ascii="Calibri" w:eastAsia="Calibri" w:hAnsi="Calibri" w:cs="Times New Roman"/>
        </w:rPr>
        <w:fldChar w:fldCharType="begin"/>
      </w:r>
      <w:r w:rsidR="00FF6C80">
        <w:rPr>
          <w:rFonts w:ascii="Calibri" w:eastAsia="Calibri" w:hAnsi="Calibri" w:cs="Times New Roman"/>
        </w:rPr>
        <w:instrText xml:space="preserve"> REF _Ref453573865 \r \h </w:instrText>
      </w:r>
      <w:r w:rsidR="00FF6C80">
        <w:rPr>
          <w:rFonts w:ascii="Calibri" w:eastAsia="Calibri" w:hAnsi="Calibri" w:cs="Times New Roman"/>
        </w:rPr>
      </w:r>
      <w:r w:rsidR="00FF6C80">
        <w:rPr>
          <w:rFonts w:ascii="Calibri" w:eastAsia="Calibri" w:hAnsi="Calibri" w:cs="Times New Roman"/>
        </w:rPr>
        <w:fldChar w:fldCharType="separate"/>
      </w:r>
      <w:r w:rsidR="00152F6D">
        <w:rPr>
          <w:rFonts w:ascii="Calibri" w:eastAsia="Calibri" w:hAnsi="Calibri" w:cs="Times New Roman"/>
        </w:rPr>
        <w:t>6.2.6</w:t>
      </w:r>
      <w:r w:rsidR="00FF6C80">
        <w:rPr>
          <w:rFonts w:ascii="Calibri" w:eastAsia="Calibri" w:hAnsi="Calibri" w:cs="Times New Roman"/>
        </w:rPr>
        <w:fldChar w:fldCharType="end"/>
      </w:r>
      <w:r w:rsidR="00FF6C80">
        <w:rPr>
          <w:rFonts w:ascii="Calibri" w:eastAsia="Calibri" w:hAnsi="Calibri" w:cs="Times New Roman"/>
        </w:rPr>
        <w:t xml:space="preserve"> </w:t>
      </w:r>
      <w:r w:rsidRPr="00E6060C">
        <w:rPr>
          <w:rFonts w:ascii="Calibri" w:eastAsia="Calibri" w:hAnsi="Calibri" w:cs="Times New Roman"/>
        </w:rPr>
        <w:t>for the s</w:t>
      </w:r>
      <w:r w:rsidR="00FF6C80">
        <w:rPr>
          <w:rFonts w:ascii="Calibri" w:eastAsia="Calibri" w:hAnsi="Calibri" w:cs="Times New Roman"/>
        </w:rPr>
        <w:t xml:space="preserve">tatistical technique adopted). </w:t>
      </w:r>
      <w:r w:rsidRPr="00E6060C">
        <w:rPr>
          <w:rFonts w:ascii="Calibri" w:eastAsia="Calibri" w:hAnsi="Calibri" w:cs="Times New Roman"/>
        </w:rPr>
        <w:t>Taking a random-effects approach, as opposed to a fixed effect approach (where it is assumed that all included studies are sampled from one underlying population, generating one ‘true’, or fixed, effect), permits conclusions drawn to be generalised to the underlying populations, thus allowing recommendations for practitioners to be suggested. Indeed, Field and Gillet</w:t>
      </w:r>
      <w:r w:rsidR="00D57101">
        <w:rPr>
          <w:rFonts w:ascii="Calibri" w:eastAsia="Calibri" w:hAnsi="Calibri" w:cs="Times New Roman"/>
        </w:rPr>
        <w:t>t</w:t>
      </w:r>
      <w:r w:rsidRPr="00E6060C">
        <w:rPr>
          <w:rFonts w:ascii="Calibri" w:eastAsia="Calibri" w:hAnsi="Calibri" w:cs="Times New Roman"/>
        </w:rPr>
        <w:t xml:space="preserve"> (2010) argue that adopting a random-effects approach should be standard practice within the socia</w:t>
      </w:r>
      <w:r w:rsidR="00FF6C80">
        <w:rPr>
          <w:rFonts w:ascii="Calibri" w:eastAsia="Calibri" w:hAnsi="Calibri" w:cs="Times New Roman"/>
        </w:rPr>
        <w:t xml:space="preserve">l sciences. </w:t>
      </w:r>
    </w:p>
    <w:p w14:paraId="423C1CA9" w14:textId="77777777" w:rsidR="00E6060C" w:rsidRPr="00E6060C" w:rsidRDefault="00E6060C" w:rsidP="00E6060C">
      <w:pPr>
        <w:spacing w:before="200" w:line="360" w:lineRule="auto"/>
        <w:contextualSpacing/>
        <w:rPr>
          <w:rFonts w:ascii="Calibri" w:eastAsia="Calibri" w:hAnsi="Calibri" w:cs="Times New Roman"/>
        </w:rPr>
      </w:pPr>
    </w:p>
    <w:p w14:paraId="17245065" w14:textId="77777777" w:rsidR="00E6060C" w:rsidRPr="00E6060C" w:rsidRDefault="00E6060C" w:rsidP="0009618B">
      <w:pPr>
        <w:pStyle w:val="Heading3"/>
      </w:pPr>
      <w:bookmarkStart w:id="225" w:name="_Toc431470138"/>
      <w:bookmarkStart w:id="226" w:name="_Ref453572969"/>
      <w:bookmarkStart w:id="227" w:name="_Ref453573865"/>
      <w:bookmarkStart w:id="228" w:name="_Toc468285982"/>
      <w:r w:rsidRPr="00E6060C">
        <w:t>Moderator analyses</w:t>
      </w:r>
      <w:bookmarkEnd w:id="225"/>
      <w:bookmarkEnd w:id="226"/>
      <w:bookmarkEnd w:id="227"/>
      <w:bookmarkEnd w:id="228"/>
    </w:p>
    <w:p w14:paraId="3E931239" w14:textId="77777777" w:rsidR="007975E1" w:rsidRDefault="007975E1" w:rsidP="00E6060C">
      <w:pPr>
        <w:spacing w:before="200" w:line="360" w:lineRule="auto"/>
        <w:contextualSpacing/>
        <w:rPr>
          <w:rFonts w:ascii="Calibri" w:eastAsia="Calibri" w:hAnsi="Calibri" w:cs="Times New Roman"/>
        </w:rPr>
      </w:pPr>
    </w:p>
    <w:p w14:paraId="672CF3BA" w14:textId="1EE3BA0A"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In order to explore the reasons for heterogeneity, moderator analyses were conducted for studies which had measured work en</w:t>
      </w:r>
      <w:r w:rsidR="00FF6C80">
        <w:rPr>
          <w:rFonts w:ascii="Calibri" w:eastAsia="Calibri" w:hAnsi="Calibri" w:cs="Times New Roman"/>
        </w:rPr>
        <w:t>gagement as a composite score (</w:t>
      </w:r>
      <w:r w:rsidR="00FF6C80" w:rsidRPr="00FF6C80">
        <w:rPr>
          <w:rFonts w:ascii="Calibri" w:eastAsia="Calibri" w:hAnsi="Calibri" w:cs="Times New Roman"/>
          <w:i/>
        </w:rPr>
        <w:t>k</w:t>
      </w:r>
      <w:r w:rsidRPr="00E6060C">
        <w:rPr>
          <w:rFonts w:ascii="Calibri" w:eastAsia="Calibri" w:hAnsi="Calibri" w:cs="Times New Roman"/>
        </w:rPr>
        <w:t>=14). The largest proportion of studies reported total work engagement scores, whereas fewer had reported scores for one or more of the three subscales. Results are likely to be more robust the larger the sample size, hence it made sense to explore the reasons underlying heterogeneity in this group of studies. The following categorical moderators we</w:t>
      </w:r>
      <w:r w:rsidR="00FF6EFC">
        <w:rPr>
          <w:rFonts w:ascii="Calibri" w:eastAsia="Calibri" w:hAnsi="Calibri" w:cs="Times New Roman"/>
        </w:rPr>
        <w:t>re explored (see coding guide, A</w:t>
      </w:r>
      <w:r w:rsidRPr="00E6060C">
        <w:rPr>
          <w:rFonts w:ascii="Calibri" w:eastAsia="Calibri" w:hAnsi="Calibri" w:cs="Times New Roman"/>
        </w:rPr>
        <w:t>ppendix</w:t>
      </w:r>
      <w:r w:rsidR="00FF6C80">
        <w:rPr>
          <w:rFonts w:ascii="Calibri" w:eastAsia="Calibri" w:hAnsi="Calibri" w:cs="Times New Roman"/>
        </w:rPr>
        <w:t xml:space="preserve"> 2</w:t>
      </w:r>
      <w:r w:rsidRPr="00E6060C">
        <w:rPr>
          <w:rFonts w:ascii="Calibri" w:eastAsia="Calibri" w:hAnsi="Calibri" w:cs="Times New Roman"/>
        </w:rPr>
        <w:t xml:space="preserve">, for explanations of these variables and how they were coded): intervention type (job resource building, personal resource </w:t>
      </w:r>
      <w:r w:rsidRPr="00E6060C">
        <w:rPr>
          <w:rFonts w:ascii="Calibri" w:eastAsia="Calibri" w:hAnsi="Calibri" w:cs="Times New Roman"/>
        </w:rPr>
        <w:lastRenderedPageBreak/>
        <w:t xml:space="preserve">building, leadership training &amp; health promotion), intervention style (group training, individual training, group and individual training and online and individual training), and whether the organisations in which the interventions were conducted were public (e.g. hospitals, welfare organisations) or private organisations (e.g. manufacturing or financial). These moderator variables were investigated based on their inclusion in meta-analyses in related fields (e.g. intervention type, style and design, </w:t>
      </w:r>
      <w:r w:rsidR="00E067D9" w:rsidRPr="00C53B72">
        <w:t>Maricuţoiu</w:t>
      </w:r>
      <w:r w:rsidRPr="00E6060C">
        <w:rPr>
          <w:rFonts w:ascii="Calibri" w:eastAsia="Calibri" w:hAnsi="Calibri" w:cs="Times New Roman"/>
        </w:rPr>
        <w:t xml:space="preserve"> et al., 2014) and observed differences in study characteristics (e.g. organization type, time between measurement points). </w:t>
      </w:r>
    </w:p>
    <w:p w14:paraId="428F19E3" w14:textId="77777777" w:rsidR="00E6060C" w:rsidRPr="00E6060C" w:rsidRDefault="00E6060C" w:rsidP="00E6060C">
      <w:pPr>
        <w:spacing w:before="200" w:line="360" w:lineRule="auto"/>
        <w:contextualSpacing/>
        <w:rPr>
          <w:rFonts w:ascii="Calibri" w:eastAsia="Calibri" w:hAnsi="Calibri" w:cs="Times New Roman"/>
        </w:rPr>
      </w:pPr>
    </w:p>
    <w:p w14:paraId="06E0E1D9" w14:textId="29E5BEA5" w:rsid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A mixed effects model was adopted in which a random-effects analysis computed the mean effect for each subgroup and a fixed effect analysis computed an overall effect size. The average effect size for each level of a moderator (e.g. for all four intervention types) was computed and the </w:t>
      </w:r>
      <w:r w:rsidRPr="00E6060C">
        <w:rPr>
          <w:rFonts w:ascii="Calibri" w:eastAsia="Calibri" w:hAnsi="Calibri" w:cs="Times New Roman"/>
          <w:i/>
        </w:rPr>
        <w:t xml:space="preserve">Q </w:t>
      </w:r>
      <w:r w:rsidRPr="00E6060C">
        <w:rPr>
          <w:rFonts w:ascii="Calibri" w:eastAsia="Calibri" w:hAnsi="Calibri" w:cs="Times New Roman"/>
        </w:rPr>
        <w:t>statistic was calculated. A significant difference between the effect sizes for each group indicated the presence of a moderator. Besides these categorical moderators, one continuous moderator was explored in CMA by means of a method-of-moments meta-regression: time between study measurements. Given the heterogeneity between studies in terms of the length of time between baseline and post-intervention or follow-up measures, it seemed pertinent to assess whether study effect size was moderated by this factor.</w:t>
      </w:r>
    </w:p>
    <w:p w14:paraId="6DCF7690" w14:textId="77777777" w:rsidR="0068449F" w:rsidRPr="00E6060C" w:rsidRDefault="0068449F" w:rsidP="00E6060C">
      <w:pPr>
        <w:spacing w:before="200" w:line="360" w:lineRule="auto"/>
        <w:contextualSpacing/>
        <w:rPr>
          <w:rFonts w:ascii="Calibri" w:eastAsia="Calibri" w:hAnsi="Calibri" w:cs="Times New Roman"/>
        </w:rPr>
      </w:pPr>
    </w:p>
    <w:p w14:paraId="7F2FCA97" w14:textId="77777777" w:rsidR="00E6060C" w:rsidRPr="00E6060C" w:rsidRDefault="00E6060C" w:rsidP="0009618B">
      <w:pPr>
        <w:pStyle w:val="Heading3"/>
      </w:pPr>
      <w:bookmarkStart w:id="229" w:name="_Toc431470139"/>
      <w:bookmarkStart w:id="230" w:name="_Ref453573591"/>
      <w:bookmarkStart w:id="231" w:name="_Toc468285983"/>
      <w:r w:rsidRPr="00E6060C">
        <w:t>Sensitivity analyses</w:t>
      </w:r>
      <w:bookmarkEnd w:id="229"/>
      <w:bookmarkEnd w:id="230"/>
      <w:bookmarkEnd w:id="231"/>
    </w:p>
    <w:p w14:paraId="782FBE94" w14:textId="77777777" w:rsidR="002A6E71" w:rsidRDefault="002A6E71" w:rsidP="00E6060C">
      <w:pPr>
        <w:spacing w:before="200" w:line="360" w:lineRule="auto"/>
        <w:contextualSpacing/>
        <w:rPr>
          <w:rFonts w:ascii="Calibri" w:eastAsia="Calibri" w:hAnsi="Calibri" w:cs="Times New Roman"/>
        </w:rPr>
      </w:pPr>
    </w:p>
    <w:p w14:paraId="677BECE0" w14:textId="571C001A" w:rsidR="00E6060C" w:rsidRPr="00E6060C" w:rsidRDefault="00E6060C" w:rsidP="004913FB">
      <w:pPr>
        <w:spacing w:before="200" w:line="360" w:lineRule="auto"/>
        <w:contextualSpacing/>
        <w:rPr>
          <w:rFonts w:ascii="Calibri" w:eastAsia="Calibri" w:hAnsi="Calibri" w:cs="Times New Roman"/>
        </w:rPr>
      </w:pPr>
      <w:r w:rsidRPr="00E6060C">
        <w:rPr>
          <w:rFonts w:ascii="Calibri" w:eastAsia="Calibri" w:hAnsi="Calibri" w:cs="Times New Roman"/>
        </w:rPr>
        <w:t>Where possible, results for unadjusted effects were used, however, in some cases these were not available, and thus results which were adjusted for covariates such as age or education, were included. In order to assess the effect of these results on the overall results of meta-analysis, a sensitivity analysis was performed whereby the results of meta-analysis were compared with and without the inclusion of these studies. In addition, some studies only reported results according to the intention-to-treat principle, and therefore involved imputing missing data. A sensitivity analysis was performed to assess the effect of including these studies in the analysis. The intention-to-treat principle aims to counter bias due to missing data and actually consists of three prin</w:t>
      </w:r>
      <w:r w:rsidR="00895875">
        <w:rPr>
          <w:rFonts w:ascii="Calibri" w:eastAsia="Calibri" w:hAnsi="Calibri" w:cs="Times New Roman"/>
        </w:rPr>
        <w:t>ciples (Higgins, Deeks,</w:t>
      </w:r>
      <w:r w:rsidRPr="00E6060C">
        <w:rPr>
          <w:rFonts w:ascii="Calibri" w:eastAsia="Calibri" w:hAnsi="Calibri" w:cs="Times New Roman"/>
        </w:rPr>
        <w:t xml:space="preserve"> &amp; Altman, 2011): 1) ensure participants remain in the intervention groups to which they were randomised; 2) collect outcome data from all participants; and 3) include in the analysis of the intervention effects all participants who were randomised into the groups at baseline. Due to attrition, an ITT analysis therefore usually involves imputing missing data based on assumptions about the nature of that missing data (e.g. reasons for exclusions, method of imputing missing data). Performing a sensitivity analysis allows the effect of these decisions on the meta-analytic results to </w:t>
      </w:r>
      <w:r w:rsidRPr="00E6060C">
        <w:rPr>
          <w:rFonts w:ascii="Calibri" w:eastAsia="Calibri" w:hAnsi="Calibri" w:cs="Times New Roman"/>
        </w:rPr>
        <w:lastRenderedPageBreak/>
        <w:t>be addressed. However, it is as yet unclear whether missing data actually affects the size of study effects, and thus whether it is warranted at all (Higgins</w:t>
      </w:r>
      <w:r w:rsidR="00895875">
        <w:rPr>
          <w:rFonts w:ascii="Calibri" w:eastAsia="Calibri" w:hAnsi="Calibri" w:cs="Times New Roman"/>
        </w:rPr>
        <w:t>, Deeks et al.,</w:t>
      </w:r>
      <w:r w:rsidRPr="00E6060C">
        <w:rPr>
          <w:rFonts w:ascii="Calibri" w:eastAsia="Calibri" w:hAnsi="Calibri" w:cs="Times New Roman"/>
        </w:rPr>
        <w:t xml:space="preserve"> 2011). </w:t>
      </w:r>
    </w:p>
    <w:p w14:paraId="183B4E7B" w14:textId="77777777" w:rsidR="00E6060C" w:rsidRPr="00E6060C" w:rsidRDefault="00E6060C" w:rsidP="004913FB">
      <w:pPr>
        <w:spacing w:before="200" w:line="360" w:lineRule="auto"/>
        <w:contextualSpacing/>
        <w:rPr>
          <w:rFonts w:ascii="Calibri" w:eastAsia="Calibri" w:hAnsi="Calibri" w:cs="Times New Roman"/>
        </w:rPr>
      </w:pPr>
    </w:p>
    <w:p w14:paraId="363E76E3" w14:textId="77777777" w:rsidR="00E6060C" w:rsidRPr="00E6060C" w:rsidRDefault="00E6060C" w:rsidP="004913FB">
      <w:pPr>
        <w:pStyle w:val="Thesisheading2"/>
        <w:spacing w:line="360" w:lineRule="auto"/>
        <w:contextualSpacing/>
      </w:pPr>
      <w:bookmarkStart w:id="232" w:name="_Toc406750019"/>
      <w:bookmarkStart w:id="233" w:name="_Toc431470140"/>
      <w:bookmarkStart w:id="234" w:name="_Toc468285984"/>
      <w:r w:rsidRPr="00E6060C">
        <w:t>Results</w:t>
      </w:r>
      <w:bookmarkEnd w:id="232"/>
      <w:bookmarkEnd w:id="233"/>
      <w:bookmarkEnd w:id="234"/>
    </w:p>
    <w:p w14:paraId="1563B0C5" w14:textId="77777777" w:rsidR="00E6060C" w:rsidRPr="00E6060C" w:rsidRDefault="00E6060C" w:rsidP="002A6E71"/>
    <w:p w14:paraId="2C8121ED" w14:textId="77777777" w:rsidR="00E6060C" w:rsidRPr="00E6060C" w:rsidRDefault="00E6060C" w:rsidP="0009618B">
      <w:pPr>
        <w:pStyle w:val="Heading3"/>
      </w:pPr>
      <w:bookmarkStart w:id="235" w:name="_Toc431470141"/>
      <w:bookmarkStart w:id="236" w:name="_Toc468285985"/>
      <w:r w:rsidRPr="00E6060C">
        <w:t>Description of the search results</w:t>
      </w:r>
      <w:bookmarkEnd w:id="235"/>
      <w:bookmarkEnd w:id="236"/>
    </w:p>
    <w:p w14:paraId="1183B283" w14:textId="77777777" w:rsidR="002A6E71" w:rsidRDefault="002A6E71" w:rsidP="00E6060C">
      <w:pPr>
        <w:spacing w:before="200" w:line="360" w:lineRule="auto"/>
        <w:contextualSpacing/>
        <w:rPr>
          <w:rFonts w:ascii="Calibri" w:eastAsia="Calibri" w:hAnsi="Calibri" w:cs="Times New Roman"/>
        </w:rPr>
      </w:pPr>
    </w:p>
    <w:p w14:paraId="3B82DDB4" w14:textId="52D27766"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The systematic literature search revealed 33 studies which met the inclusion criteria (Chapter 5, </w:t>
      </w:r>
      <w:r w:rsidR="00FF6C80">
        <w:rPr>
          <w:rFonts w:ascii="Calibri" w:eastAsia="Calibri" w:hAnsi="Calibri" w:cs="Times New Roman"/>
        </w:rPr>
        <w:fldChar w:fldCharType="begin"/>
      </w:r>
      <w:r w:rsidR="00FF6C80">
        <w:rPr>
          <w:rFonts w:ascii="Calibri" w:eastAsia="Calibri" w:hAnsi="Calibri" w:cs="Times New Roman"/>
        </w:rPr>
        <w:instrText xml:space="preserve"> REF _Ref453574020 \r \h </w:instrText>
      </w:r>
      <w:r w:rsidR="00FF6C80">
        <w:rPr>
          <w:rFonts w:ascii="Calibri" w:eastAsia="Calibri" w:hAnsi="Calibri" w:cs="Times New Roman"/>
        </w:rPr>
      </w:r>
      <w:r w:rsidR="00FF6C80">
        <w:rPr>
          <w:rFonts w:ascii="Calibri" w:eastAsia="Calibri" w:hAnsi="Calibri" w:cs="Times New Roman"/>
        </w:rPr>
        <w:fldChar w:fldCharType="separate"/>
      </w:r>
      <w:r w:rsidR="00152F6D">
        <w:rPr>
          <w:rFonts w:ascii="Calibri" w:eastAsia="Calibri" w:hAnsi="Calibri" w:cs="Times New Roman"/>
        </w:rPr>
        <w:t>5.3.1</w:t>
      </w:r>
      <w:r w:rsidR="00FF6C80">
        <w:rPr>
          <w:rFonts w:ascii="Calibri" w:eastAsia="Calibri" w:hAnsi="Calibri" w:cs="Times New Roman"/>
        </w:rPr>
        <w:fldChar w:fldCharType="end"/>
      </w:r>
      <w:r w:rsidRPr="00E6060C">
        <w:rPr>
          <w:rFonts w:ascii="Calibri" w:eastAsia="Calibri" w:hAnsi="Calibri" w:cs="Times New Roman"/>
        </w:rPr>
        <w:t>)</w:t>
      </w:r>
      <w:r w:rsidR="001A7258">
        <w:rPr>
          <w:rFonts w:ascii="Calibri" w:eastAsia="Calibri" w:hAnsi="Calibri" w:cs="Times New Roman"/>
        </w:rPr>
        <w:t xml:space="preserve">. </w:t>
      </w:r>
      <w:r w:rsidRPr="00E6060C">
        <w:rPr>
          <w:rFonts w:ascii="Calibri" w:eastAsia="Calibri" w:hAnsi="Calibri" w:cs="Times New Roman"/>
        </w:rPr>
        <w:t>Following the essential add</w:t>
      </w:r>
      <w:r w:rsidR="001A7258">
        <w:rPr>
          <w:rFonts w:ascii="Calibri" w:eastAsia="Calibri" w:hAnsi="Calibri" w:cs="Times New Roman"/>
        </w:rPr>
        <w:t>itional screening described in s</w:t>
      </w:r>
      <w:r w:rsidRPr="00E6060C">
        <w:rPr>
          <w:rFonts w:ascii="Calibri" w:eastAsia="Calibri" w:hAnsi="Calibri" w:cs="Times New Roman"/>
        </w:rPr>
        <w:t xml:space="preserve">ection </w:t>
      </w:r>
      <w:r w:rsidR="001A7258">
        <w:rPr>
          <w:rFonts w:ascii="Calibri" w:eastAsia="Calibri" w:hAnsi="Calibri" w:cs="Times New Roman"/>
        </w:rPr>
        <w:fldChar w:fldCharType="begin"/>
      </w:r>
      <w:r w:rsidR="001A7258">
        <w:rPr>
          <w:rFonts w:ascii="Calibri" w:eastAsia="Calibri" w:hAnsi="Calibri" w:cs="Times New Roman"/>
        </w:rPr>
        <w:instrText xml:space="preserve"> REF _Ref453574069 \r \h </w:instrText>
      </w:r>
      <w:r w:rsidR="001A7258">
        <w:rPr>
          <w:rFonts w:ascii="Calibri" w:eastAsia="Calibri" w:hAnsi="Calibri" w:cs="Times New Roman"/>
        </w:rPr>
      </w:r>
      <w:r w:rsidR="001A7258">
        <w:rPr>
          <w:rFonts w:ascii="Calibri" w:eastAsia="Calibri" w:hAnsi="Calibri" w:cs="Times New Roman"/>
        </w:rPr>
        <w:fldChar w:fldCharType="separate"/>
      </w:r>
      <w:r w:rsidR="00152F6D">
        <w:rPr>
          <w:rFonts w:ascii="Calibri" w:eastAsia="Calibri" w:hAnsi="Calibri" w:cs="Times New Roman"/>
        </w:rPr>
        <w:t>6.2.1</w:t>
      </w:r>
      <w:r w:rsidR="001A7258">
        <w:rPr>
          <w:rFonts w:ascii="Calibri" w:eastAsia="Calibri" w:hAnsi="Calibri" w:cs="Times New Roman"/>
        </w:rPr>
        <w:fldChar w:fldCharType="end"/>
      </w:r>
      <w:r w:rsidR="001A7258">
        <w:rPr>
          <w:rFonts w:ascii="Calibri" w:eastAsia="Calibri" w:hAnsi="Calibri" w:cs="Times New Roman"/>
        </w:rPr>
        <w:t xml:space="preserve"> </w:t>
      </w:r>
      <w:r w:rsidRPr="00E6060C">
        <w:rPr>
          <w:rFonts w:ascii="Calibri" w:eastAsia="Calibri" w:hAnsi="Calibri" w:cs="Times New Roman"/>
        </w:rPr>
        <w:t xml:space="preserve">above, 13 further records were excluded. This resulted in a final sample of 20 studies (from 27 records) which met all of the inclusion criteria and could be retained for the meta-analysis. </w:t>
      </w:r>
      <w:r w:rsidR="001A7258">
        <w:rPr>
          <w:rFonts w:ascii="Calibri" w:eastAsia="Calibri" w:hAnsi="Calibri" w:cs="Times New Roman"/>
        </w:rPr>
        <w:fldChar w:fldCharType="begin"/>
      </w:r>
      <w:r w:rsidR="001A7258">
        <w:rPr>
          <w:rFonts w:ascii="Calibri" w:eastAsia="Calibri" w:hAnsi="Calibri" w:cs="Times New Roman"/>
        </w:rPr>
        <w:instrText xml:space="preserve"> REF _Ref453574145 \h </w:instrText>
      </w:r>
      <w:r w:rsidR="001A7258">
        <w:rPr>
          <w:rFonts w:ascii="Calibri" w:eastAsia="Calibri" w:hAnsi="Calibri" w:cs="Times New Roman"/>
        </w:rPr>
      </w:r>
      <w:r w:rsidR="001A7258">
        <w:rPr>
          <w:rFonts w:ascii="Calibri" w:eastAsia="Calibri" w:hAnsi="Calibri" w:cs="Times New Roman"/>
        </w:rPr>
        <w:fldChar w:fldCharType="separate"/>
      </w:r>
      <w:r w:rsidR="00152F6D">
        <w:t xml:space="preserve">Figure </w:t>
      </w:r>
      <w:r w:rsidR="00152F6D">
        <w:rPr>
          <w:noProof/>
        </w:rPr>
        <w:t>6</w:t>
      </w:r>
      <w:r w:rsidR="00152F6D">
        <w:t>.</w:t>
      </w:r>
      <w:r w:rsidR="00152F6D">
        <w:rPr>
          <w:noProof/>
        </w:rPr>
        <w:t>1</w:t>
      </w:r>
      <w:r w:rsidR="001A7258">
        <w:rPr>
          <w:rFonts w:ascii="Calibri" w:eastAsia="Calibri" w:hAnsi="Calibri" w:cs="Times New Roman"/>
        </w:rPr>
        <w:fldChar w:fldCharType="end"/>
      </w:r>
      <w:r w:rsidRPr="00E6060C">
        <w:rPr>
          <w:rFonts w:ascii="Calibri" w:eastAsia="Calibri" w:hAnsi="Calibri" w:cs="Times New Roman"/>
        </w:rPr>
        <w:t xml:space="preserve"> depicts the search results and reasons for excluding studies from the meta-analysis which had been included in the systematic review. The full search results of the systematic review have been repeated in this figure for clarity. </w:t>
      </w:r>
      <w:r w:rsidR="001A7258">
        <w:rPr>
          <w:rFonts w:ascii="Calibri" w:eastAsia="Calibri" w:hAnsi="Calibri" w:cs="Times New Roman"/>
        </w:rPr>
        <w:t>As a reminder, a</w:t>
      </w:r>
      <w:r w:rsidRPr="00E6060C">
        <w:rPr>
          <w:rFonts w:ascii="Calibri" w:eastAsia="Calibri" w:hAnsi="Calibri" w:cs="Times New Roman"/>
        </w:rPr>
        <w:t xml:space="preserve"> table describing the studies which were rejected, along with reasons for their rejection, can be found in Appendix 3b. </w:t>
      </w:r>
    </w:p>
    <w:p w14:paraId="6513316D" w14:textId="62F07C37" w:rsidR="0068449F" w:rsidRDefault="001F0C9C" w:rsidP="0068449F">
      <w:pPr>
        <w:keepNext/>
        <w:spacing w:before="200" w:line="480" w:lineRule="auto"/>
        <w:contextualSpacing/>
      </w:pPr>
      <w:r w:rsidRPr="001F0C9C">
        <w:rPr>
          <w:noProof/>
          <w:lang w:eastAsia="en-GB"/>
        </w:rPr>
        <w:lastRenderedPageBreak/>
        <w:drawing>
          <wp:inline distT="0" distB="0" distL="0" distR="0" wp14:anchorId="3EDA337B" wp14:editId="3164DF44">
            <wp:extent cx="5731510" cy="615823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158230"/>
                    </a:xfrm>
                    <a:prstGeom prst="rect">
                      <a:avLst/>
                    </a:prstGeom>
                  </pic:spPr>
                </pic:pic>
              </a:graphicData>
            </a:graphic>
          </wp:inline>
        </w:drawing>
      </w:r>
    </w:p>
    <w:p w14:paraId="35918D2F" w14:textId="58838F88" w:rsidR="00AE3CFA" w:rsidRPr="00AE3CFA" w:rsidRDefault="0068449F" w:rsidP="005852AD">
      <w:pPr>
        <w:pStyle w:val="Figurestyle"/>
        <w:rPr>
          <w:rFonts w:ascii="Calibri" w:eastAsia="Calibri" w:hAnsi="Calibri" w:cs="Times New Roman"/>
          <w:vanish/>
          <w:specVanish/>
        </w:rPr>
      </w:pPr>
      <w:bookmarkStart w:id="237" w:name="_Ref453574145"/>
      <w:bookmarkStart w:id="238" w:name="_Toc453238913"/>
      <w:bookmarkStart w:id="239" w:name="_Toc468286103"/>
      <w:r>
        <w:t xml:space="preserve">Figure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1</w:t>
      </w:r>
      <w:r w:rsidR="00245D68">
        <w:rPr>
          <w:noProof/>
        </w:rPr>
        <w:fldChar w:fldCharType="end"/>
      </w:r>
      <w:bookmarkEnd w:id="237"/>
      <w:r>
        <w:t xml:space="preserve"> </w:t>
      </w:r>
      <w:r w:rsidRPr="001D734B">
        <w:t>A flow diagram of the systematic literature search results</w:t>
      </w:r>
      <w:bookmarkEnd w:id="238"/>
      <w:bookmarkEnd w:id="239"/>
    </w:p>
    <w:p w14:paraId="66654C0D" w14:textId="3B834241" w:rsidR="00E6060C" w:rsidRDefault="0068449F" w:rsidP="005852AD">
      <w:pPr>
        <w:pStyle w:val="Figurestyle"/>
        <w:rPr>
          <w:rFonts w:ascii="Calibri" w:eastAsia="Calibri" w:hAnsi="Calibri" w:cs="Times New Roman"/>
          <w:b/>
          <w:i/>
        </w:rPr>
      </w:pPr>
      <w:r w:rsidRPr="001D734B">
        <w:t>, including reasons for decisions made during the process of excluding / including studies</w:t>
      </w:r>
      <w:r w:rsidR="00AE3CFA">
        <w:rPr>
          <w:rFonts w:ascii="Calibri" w:eastAsia="Calibri" w:hAnsi="Calibri" w:cs="Times New Roman"/>
          <w:b/>
          <w:i/>
        </w:rPr>
        <w:t xml:space="preserve"> </w:t>
      </w:r>
    </w:p>
    <w:p w14:paraId="35DBC5FC" w14:textId="77777777" w:rsidR="00AE3CFA" w:rsidRPr="00E6060C" w:rsidRDefault="00AE3CFA" w:rsidP="00E6060C">
      <w:pPr>
        <w:spacing w:before="200" w:line="360" w:lineRule="auto"/>
        <w:rPr>
          <w:rFonts w:ascii="Calibri" w:eastAsia="Calibri" w:hAnsi="Calibri" w:cs="Times New Roman"/>
          <w:b/>
          <w:i/>
        </w:rPr>
      </w:pPr>
    </w:p>
    <w:p w14:paraId="5723735A" w14:textId="5C4B7300" w:rsidR="00E6060C" w:rsidRDefault="00E6060C" w:rsidP="00F15DDF">
      <w:pPr>
        <w:numPr>
          <w:ilvl w:val="1"/>
          <w:numId w:val="15"/>
        </w:numPr>
        <w:spacing w:before="200" w:line="360" w:lineRule="auto"/>
        <w:contextualSpacing/>
        <w:rPr>
          <w:rFonts w:ascii="Calibri" w:eastAsia="Calibri" w:hAnsi="Calibri" w:cs="Times New Roman"/>
          <w:b/>
        </w:rPr>
      </w:pPr>
      <w:r w:rsidRPr="00E6060C">
        <w:rPr>
          <w:rFonts w:ascii="Calibri" w:eastAsia="Calibri" w:hAnsi="Calibri" w:cs="Times New Roman"/>
          <w:b/>
        </w:rPr>
        <w:t>Description of the database</w:t>
      </w:r>
    </w:p>
    <w:p w14:paraId="5587BFC9" w14:textId="77777777" w:rsidR="00AE3CFA" w:rsidRPr="00E6060C" w:rsidRDefault="00AE3CFA" w:rsidP="00AE3CFA">
      <w:pPr>
        <w:spacing w:before="200" w:line="360" w:lineRule="auto"/>
        <w:contextualSpacing/>
        <w:rPr>
          <w:rFonts w:ascii="Calibri" w:eastAsia="Calibri" w:hAnsi="Calibri" w:cs="Times New Roman"/>
          <w:b/>
        </w:rPr>
      </w:pPr>
    </w:p>
    <w:p w14:paraId="060D1B5E" w14:textId="036E5833" w:rsidR="00E6060C" w:rsidRPr="00E6060C" w:rsidRDefault="009C68AE" w:rsidP="00E6060C">
      <w:pPr>
        <w:spacing w:before="200" w:line="360" w:lineRule="auto"/>
        <w:contextualSpacing/>
        <w:rPr>
          <w:rFonts w:ascii="Calibri" w:eastAsia="Calibri" w:hAnsi="Calibri" w:cs="Times New Roman"/>
        </w:rPr>
      </w:pPr>
      <w:r>
        <w:rPr>
          <w:rFonts w:ascii="Calibri" w:eastAsia="Calibri" w:hAnsi="Calibri" w:cs="Times New Roman"/>
        </w:rPr>
        <w:t>Of the 20</w:t>
      </w:r>
      <w:r w:rsidR="00E6060C" w:rsidRPr="00E6060C">
        <w:rPr>
          <w:rFonts w:ascii="Calibri" w:eastAsia="Calibri" w:hAnsi="Calibri" w:cs="Times New Roman"/>
        </w:rPr>
        <w:t xml:space="preserve"> final studies, </w:t>
      </w:r>
      <w:r>
        <w:rPr>
          <w:rFonts w:ascii="Calibri" w:eastAsia="Calibri" w:hAnsi="Calibri" w:cs="Times New Roman"/>
        </w:rPr>
        <w:t>14</w:t>
      </w:r>
      <w:r w:rsidR="00E6060C" w:rsidRPr="00E6060C">
        <w:rPr>
          <w:rFonts w:ascii="Calibri" w:eastAsia="Calibri" w:hAnsi="Calibri" w:cs="Times New Roman"/>
        </w:rPr>
        <w:t xml:space="preserve"> examined the effect of an intervention on overall work engagement at e</w:t>
      </w:r>
      <w:r w:rsidR="001A7258">
        <w:rPr>
          <w:rFonts w:ascii="Calibri" w:eastAsia="Calibri" w:hAnsi="Calibri" w:cs="Times New Roman"/>
        </w:rPr>
        <w:t xml:space="preserve">ither T1 or T2 (n=3,692), </w:t>
      </w:r>
      <w:r>
        <w:rPr>
          <w:rFonts w:ascii="Calibri" w:eastAsia="Calibri" w:hAnsi="Calibri" w:cs="Times New Roman"/>
        </w:rPr>
        <w:t>10</w:t>
      </w:r>
      <w:r w:rsidR="001A7258">
        <w:rPr>
          <w:rFonts w:ascii="Calibri" w:eastAsia="Calibri" w:hAnsi="Calibri" w:cs="Times New Roman"/>
        </w:rPr>
        <w:t xml:space="preserve"> measured vigour (n</w:t>
      </w:r>
      <w:r w:rsidR="00E6060C" w:rsidRPr="00E6060C">
        <w:rPr>
          <w:rFonts w:ascii="Calibri" w:eastAsia="Calibri" w:hAnsi="Calibri" w:cs="Times New Roman"/>
        </w:rPr>
        <w:t>=1,501), nine measured dedication (N=946)</w:t>
      </w:r>
      <w:r w:rsidR="001A7258">
        <w:rPr>
          <w:rFonts w:ascii="Calibri" w:eastAsia="Calibri" w:hAnsi="Calibri" w:cs="Times New Roman"/>
        </w:rPr>
        <w:t>, and six measured absorption (n</w:t>
      </w:r>
      <w:r w:rsidR="00E6060C" w:rsidRPr="00E6060C">
        <w:rPr>
          <w:rFonts w:ascii="Calibri" w:eastAsia="Calibri" w:hAnsi="Calibri" w:cs="Times New Roman"/>
        </w:rPr>
        <w:t xml:space="preserve">=732). This meant that </w:t>
      </w:r>
      <w:r>
        <w:rPr>
          <w:rFonts w:ascii="Calibri" w:eastAsia="Calibri" w:hAnsi="Calibri" w:cs="Times New Roman"/>
        </w:rPr>
        <w:t>14</w:t>
      </w:r>
      <w:r w:rsidR="00E6060C" w:rsidRPr="00E6060C">
        <w:rPr>
          <w:rFonts w:ascii="Calibri" w:eastAsia="Calibri" w:hAnsi="Calibri" w:cs="Times New Roman"/>
        </w:rPr>
        <w:t xml:space="preserve"> studies could be included in the core meta-analysis investigating the effect of interventions on overall work engagement, and moderator and </w:t>
      </w:r>
      <w:r w:rsidR="00E6060C" w:rsidRPr="00E6060C">
        <w:rPr>
          <w:rFonts w:ascii="Calibri" w:eastAsia="Calibri" w:hAnsi="Calibri" w:cs="Times New Roman"/>
        </w:rPr>
        <w:lastRenderedPageBreak/>
        <w:t xml:space="preserve">sensitivity analyses were subsequently conducted on this group of studies. Four of these </w:t>
      </w:r>
      <w:r>
        <w:rPr>
          <w:rFonts w:ascii="Calibri" w:eastAsia="Calibri" w:hAnsi="Calibri" w:cs="Times New Roman"/>
        </w:rPr>
        <w:t>14</w:t>
      </w:r>
      <w:r w:rsidR="00E6060C" w:rsidRPr="00E6060C">
        <w:rPr>
          <w:rFonts w:ascii="Calibri" w:eastAsia="Calibri" w:hAnsi="Calibri" w:cs="Times New Roman"/>
        </w:rPr>
        <w:t xml:space="preserve"> studies focused on interventions to increase personal resources, two focused on increasing job resources, four focused on health promotion, and four focused on l</w:t>
      </w:r>
      <w:r>
        <w:rPr>
          <w:rFonts w:ascii="Calibri" w:eastAsia="Calibri" w:hAnsi="Calibri" w:cs="Times New Roman"/>
        </w:rPr>
        <w:t xml:space="preserve">eadership training. </w:t>
      </w:r>
      <w:r w:rsidR="00E6060C" w:rsidRPr="00E6060C">
        <w:rPr>
          <w:rFonts w:ascii="Calibri" w:eastAsia="Calibri" w:hAnsi="Calibri" w:cs="Times New Roman"/>
          <w:iCs/>
        </w:rPr>
        <w:t xml:space="preserve">Two of the </w:t>
      </w:r>
      <w:r>
        <w:rPr>
          <w:rFonts w:ascii="Calibri" w:eastAsia="Calibri" w:hAnsi="Calibri" w:cs="Times New Roman"/>
          <w:iCs/>
        </w:rPr>
        <w:t>14</w:t>
      </w:r>
      <w:r w:rsidR="00E6060C" w:rsidRPr="00E6060C">
        <w:rPr>
          <w:rFonts w:ascii="Calibri" w:eastAsia="Calibri" w:hAnsi="Calibri" w:cs="Times New Roman"/>
          <w:iCs/>
        </w:rPr>
        <w:t xml:space="preserve"> studies conducted an intervention entirely online, one conducted a face-to-face, individual intervention, eight conducted group based interventions, and three employed both group-based and individual strategies. </w:t>
      </w:r>
      <w:r w:rsidR="00E6060C" w:rsidRPr="00E6060C">
        <w:rPr>
          <w:rFonts w:ascii="Calibri" w:eastAsia="Calibri" w:hAnsi="Calibri" w:cs="Times New Roman"/>
        </w:rPr>
        <w:t xml:space="preserve">Four of the studies were conducted in public organisations, five in private organisations, and five did not provide this data. Eight of the studies were randomised and five employed the intention-to-treat principle. </w:t>
      </w:r>
      <w:r w:rsidR="00E6060C" w:rsidRPr="00E6060C">
        <w:rPr>
          <w:rFonts w:ascii="Calibri" w:eastAsia="Calibri" w:hAnsi="Calibri" w:cs="Times New Roman"/>
          <w:iCs/>
        </w:rPr>
        <w:t xml:space="preserve">Finally, nine were published journal articles, three were unpublished doctoral dissertations, and one was a report which detailed two of the included studies. </w:t>
      </w:r>
    </w:p>
    <w:p w14:paraId="3FDF8631" w14:textId="77777777" w:rsidR="00E6060C" w:rsidRPr="00E6060C" w:rsidRDefault="00E6060C" w:rsidP="002A6E71"/>
    <w:p w14:paraId="7D2BE39C" w14:textId="77777777" w:rsidR="00E6060C" w:rsidRPr="00E6060C" w:rsidRDefault="00E6060C" w:rsidP="0009618B">
      <w:pPr>
        <w:pStyle w:val="Heading3"/>
      </w:pPr>
      <w:bookmarkStart w:id="240" w:name="_Toc431470142"/>
      <w:bookmarkStart w:id="241" w:name="_Toc468285986"/>
      <w:r w:rsidRPr="00E6060C">
        <w:t>Meta-analytic results</w:t>
      </w:r>
      <w:bookmarkEnd w:id="240"/>
      <w:bookmarkEnd w:id="241"/>
    </w:p>
    <w:p w14:paraId="17C7C166" w14:textId="77777777" w:rsidR="00E6060C" w:rsidRPr="00E6060C" w:rsidRDefault="00E6060C" w:rsidP="00B5547E">
      <w:pPr>
        <w:spacing w:line="360" w:lineRule="auto"/>
        <w:contextualSpacing/>
      </w:pPr>
    </w:p>
    <w:p w14:paraId="6C33E009" w14:textId="7E1D128D" w:rsidR="00E6060C" w:rsidRPr="002B2AB4" w:rsidRDefault="00E6060C" w:rsidP="00C43948">
      <w:pPr>
        <w:spacing w:after="160" w:line="360" w:lineRule="auto"/>
        <w:contextualSpacing/>
      </w:pPr>
      <w:r w:rsidRPr="00E6060C">
        <w:rPr>
          <w:rFonts w:ascii="Calibri" w:eastAsia="Calibri" w:hAnsi="Calibri" w:cs="Times New Roman"/>
        </w:rPr>
        <w:t>To test the overall effect of the interventions on work engagement, vigour, dedication and absorption, a meta-analysis was conducted which included all independent samples which were measured at two time points, pre- intervention (T1), and at either post- intervention (T2) or a third follo</w:t>
      </w:r>
      <w:r w:rsidR="00FF6EFC">
        <w:rPr>
          <w:rFonts w:ascii="Calibri" w:eastAsia="Calibri" w:hAnsi="Calibri" w:cs="Times New Roman"/>
        </w:rPr>
        <w:t xml:space="preserve">w-up time point (T3) </w:t>
      </w:r>
      <w:r w:rsidR="001A7258">
        <w:rPr>
          <w:rFonts w:ascii="Calibri" w:eastAsia="Calibri" w:hAnsi="Calibri" w:cs="Times New Roman"/>
        </w:rPr>
        <w:t>(</w:t>
      </w:r>
      <w:r w:rsidR="00FF6EFC">
        <w:rPr>
          <w:rFonts w:ascii="Calibri" w:eastAsia="Calibri" w:hAnsi="Calibri" w:cs="Times New Roman"/>
        </w:rPr>
        <w:fldChar w:fldCharType="begin"/>
      </w:r>
      <w:r w:rsidR="00FF6EFC">
        <w:rPr>
          <w:rFonts w:ascii="Calibri" w:eastAsia="Calibri" w:hAnsi="Calibri" w:cs="Times New Roman"/>
        </w:rPr>
        <w:instrText xml:space="preserve"> REF _Ref453574256 \h </w:instrText>
      </w:r>
      <w:r w:rsidR="00FF6EFC">
        <w:rPr>
          <w:rFonts w:ascii="Calibri" w:eastAsia="Calibri" w:hAnsi="Calibri" w:cs="Times New Roman"/>
        </w:rPr>
      </w:r>
      <w:r w:rsidR="00FF6EFC">
        <w:rPr>
          <w:rFonts w:ascii="Calibri" w:eastAsia="Calibri" w:hAnsi="Calibri" w:cs="Times New Roman"/>
        </w:rPr>
        <w:fldChar w:fldCharType="separate"/>
      </w:r>
      <w:r w:rsidR="00152F6D">
        <w:t xml:space="preserve">Table </w:t>
      </w:r>
      <w:r w:rsidR="00152F6D">
        <w:rPr>
          <w:noProof/>
        </w:rPr>
        <w:t>6</w:t>
      </w:r>
      <w:r w:rsidR="00152F6D">
        <w:t>.</w:t>
      </w:r>
      <w:r w:rsidR="00152F6D">
        <w:rPr>
          <w:noProof/>
        </w:rPr>
        <w:t>2</w:t>
      </w:r>
      <w:r w:rsidR="00FF6EFC">
        <w:rPr>
          <w:rFonts w:ascii="Calibri" w:eastAsia="Calibri" w:hAnsi="Calibri" w:cs="Times New Roman"/>
        </w:rPr>
        <w:fldChar w:fldCharType="end"/>
      </w:r>
      <w:r w:rsidRPr="00E6060C">
        <w:rPr>
          <w:rFonts w:ascii="Calibri" w:eastAsia="Calibri" w:hAnsi="Calibri" w:cs="Times New Roman"/>
        </w:rPr>
        <w:t>). It was not possible to include samples which had been measured at both T2 and T3 in the same analysis as this would have breached the assumption of independence which is necessary for meta-analysis (as these samples would have had to be included twice in the meta-analysis). For those studies which had measured outcomes at both T2 and T3, the results at T2 were preferentially included to maintain consistency, as the vast majority of studies had measured work engagement at T2, but not necessarily at T3. A separate analysis was conducted to investigate whether there was any difference in the effect of interventions between T1 and T2 and between T1 and T3 on each of the four subscales of work engagement. No substantial differences were observed (</w:t>
      </w:r>
      <w:r w:rsidR="00FF6EFC">
        <w:rPr>
          <w:rFonts w:ascii="Calibri" w:eastAsia="Calibri" w:hAnsi="Calibri" w:cs="Times New Roman"/>
        </w:rPr>
        <w:fldChar w:fldCharType="begin"/>
      </w:r>
      <w:r w:rsidR="00FF6EFC">
        <w:rPr>
          <w:rFonts w:ascii="Calibri" w:eastAsia="Calibri" w:hAnsi="Calibri" w:cs="Times New Roman"/>
        </w:rPr>
        <w:instrText xml:space="preserve"> REF _Ref453574291 \h </w:instrText>
      </w:r>
      <w:r w:rsidR="00FF6EFC">
        <w:rPr>
          <w:rFonts w:ascii="Calibri" w:eastAsia="Calibri" w:hAnsi="Calibri" w:cs="Times New Roman"/>
        </w:rPr>
      </w:r>
      <w:r w:rsidR="00FF6EFC">
        <w:rPr>
          <w:rFonts w:ascii="Calibri" w:eastAsia="Calibri" w:hAnsi="Calibri" w:cs="Times New Roman"/>
        </w:rPr>
        <w:fldChar w:fldCharType="separate"/>
      </w:r>
      <w:r w:rsidR="00152F6D" w:rsidRPr="0035035C">
        <w:rPr>
          <w:rStyle w:val="FigurestyleChar"/>
        </w:rPr>
        <w:t xml:space="preserve">Table </w:t>
      </w:r>
      <w:r w:rsidR="00152F6D">
        <w:rPr>
          <w:rStyle w:val="FigurestyleChar"/>
          <w:noProof/>
        </w:rPr>
        <w:t>6</w:t>
      </w:r>
      <w:r w:rsidR="00152F6D">
        <w:rPr>
          <w:rStyle w:val="FigurestyleChar"/>
        </w:rPr>
        <w:t>.</w:t>
      </w:r>
      <w:r w:rsidR="00152F6D">
        <w:rPr>
          <w:rStyle w:val="FigurestyleChar"/>
          <w:noProof/>
        </w:rPr>
        <w:t>3</w:t>
      </w:r>
      <w:r w:rsidR="00FF6EFC">
        <w:rPr>
          <w:rFonts w:ascii="Calibri" w:eastAsia="Calibri" w:hAnsi="Calibri" w:cs="Times New Roman"/>
        </w:rPr>
        <w:fldChar w:fldCharType="end"/>
      </w:r>
      <w:r w:rsidR="00FF6EFC">
        <w:rPr>
          <w:rFonts w:ascii="Calibri" w:eastAsia="Calibri" w:hAnsi="Calibri" w:cs="Times New Roman"/>
        </w:rPr>
        <w:t>)</w:t>
      </w:r>
      <w:r w:rsidRPr="00E6060C">
        <w:rPr>
          <w:rFonts w:ascii="Calibri" w:eastAsia="Calibri" w:hAnsi="Calibri" w:cs="Times New Roman"/>
        </w:rPr>
        <w:t>.</w:t>
      </w:r>
    </w:p>
    <w:p w14:paraId="1D269A14" w14:textId="77777777" w:rsidR="00E6060C" w:rsidRPr="00E6060C" w:rsidRDefault="00E6060C" w:rsidP="00C43948">
      <w:pPr>
        <w:spacing w:before="200" w:line="360" w:lineRule="auto"/>
        <w:contextualSpacing/>
        <w:rPr>
          <w:rFonts w:ascii="Calibri" w:eastAsia="Calibri" w:hAnsi="Calibri" w:cs="Times New Roman"/>
        </w:rPr>
      </w:pPr>
    </w:p>
    <w:p w14:paraId="6CF1BED0" w14:textId="6D95A1C6" w:rsidR="00E6060C" w:rsidRPr="00E6060C" w:rsidRDefault="00E6060C" w:rsidP="00C43948">
      <w:pPr>
        <w:spacing w:before="200" w:line="360" w:lineRule="auto"/>
        <w:contextualSpacing/>
        <w:rPr>
          <w:rFonts w:ascii="Calibri" w:eastAsia="Calibri" w:hAnsi="Calibri" w:cs="Times New Roman"/>
        </w:rPr>
      </w:pPr>
      <w:r w:rsidRPr="00E6060C">
        <w:rPr>
          <w:rFonts w:ascii="Calibri" w:eastAsia="Calibri" w:hAnsi="Calibri" w:cs="Times New Roman"/>
        </w:rPr>
        <w:t xml:space="preserve">The results of the core meta-analysis involving the </w:t>
      </w:r>
      <w:r w:rsidR="005F7E67">
        <w:rPr>
          <w:rFonts w:ascii="Calibri" w:eastAsia="Calibri" w:hAnsi="Calibri" w:cs="Times New Roman"/>
        </w:rPr>
        <w:t>14</w:t>
      </w:r>
      <w:r w:rsidRPr="00E6060C">
        <w:rPr>
          <w:rFonts w:ascii="Calibri" w:eastAsia="Calibri" w:hAnsi="Calibri" w:cs="Times New Roman"/>
        </w:rPr>
        <w:t xml:space="preserve"> studies which had measured overall work engagement are highlighted in </w:t>
      </w:r>
      <w:r w:rsidR="00FF6EFC">
        <w:rPr>
          <w:rFonts w:ascii="Calibri" w:eastAsia="Calibri" w:hAnsi="Calibri" w:cs="Times New Roman"/>
        </w:rPr>
        <w:fldChar w:fldCharType="begin"/>
      </w:r>
      <w:r w:rsidR="00FF6EFC">
        <w:rPr>
          <w:rFonts w:ascii="Calibri" w:eastAsia="Calibri" w:hAnsi="Calibri" w:cs="Times New Roman"/>
        </w:rPr>
        <w:instrText xml:space="preserve"> REF _Ref453574256 \h </w:instrText>
      </w:r>
      <w:r w:rsidR="00FF6EFC">
        <w:rPr>
          <w:rFonts w:ascii="Calibri" w:eastAsia="Calibri" w:hAnsi="Calibri" w:cs="Times New Roman"/>
        </w:rPr>
      </w:r>
      <w:r w:rsidR="00FF6EFC">
        <w:rPr>
          <w:rFonts w:ascii="Calibri" w:eastAsia="Calibri" w:hAnsi="Calibri" w:cs="Times New Roman"/>
        </w:rPr>
        <w:fldChar w:fldCharType="separate"/>
      </w:r>
      <w:r w:rsidR="00152F6D">
        <w:t xml:space="preserve">Table </w:t>
      </w:r>
      <w:r w:rsidR="00152F6D">
        <w:rPr>
          <w:noProof/>
        </w:rPr>
        <w:t>6</w:t>
      </w:r>
      <w:r w:rsidR="00152F6D">
        <w:t>.</w:t>
      </w:r>
      <w:r w:rsidR="00152F6D">
        <w:rPr>
          <w:noProof/>
        </w:rPr>
        <w:t>2</w:t>
      </w:r>
      <w:r w:rsidR="00FF6EFC">
        <w:rPr>
          <w:rFonts w:ascii="Calibri" w:eastAsia="Calibri" w:hAnsi="Calibri" w:cs="Times New Roman"/>
        </w:rPr>
        <w:fldChar w:fldCharType="end"/>
      </w:r>
      <w:r w:rsidRPr="00E6060C">
        <w:rPr>
          <w:rFonts w:ascii="Calibri" w:eastAsia="Calibri" w:hAnsi="Calibri" w:cs="Times New Roman"/>
        </w:rPr>
        <w:t xml:space="preserve">. The mean effect for work engagement was, Hedges </w:t>
      </w:r>
      <w:r w:rsidRPr="00E6060C">
        <w:rPr>
          <w:rFonts w:ascii="Calibri" w:eastAsia="Calibri" w:hAnsi="Calibri" w:cs="Times New Roman"/>
          <w:i/>
        </w:rPr>
        <w:t>g</w:t>
      </w:r>
      <w:r w:rsidRPr="00E6060C">
        <w:rPr>
          <w:rFonts w:ascii="Calibri" w:eastAsia="Calibri" w:hAnsi="Calibri" w:cs="Times New Roman"/>
        </w:rPr>
        <w:t xml:space="preserve">= 0.29, </w:t>
      </w:r>
      <w:r w:rsidRPr="00E6060C">
        <w:rPr>
          <w:rFonts w:ascii="Calibri" w:eastAsia="Calibri" w:hAnsi="Calibri" w:cs="Times New Roman"/>
          <w:i/>
        </w:rPr>
        <w:t>SE</w:t>
      </w:r>
      <w:r w:rsidRPr="00E6060C">
        <w:rPr>
          <w:rFonts w:ascii="Calibri" w:eastAsia="Calibri" w:hAnsi="Calibri" w:cs="Times New Roman"/>
        </w:rPr>
        <w:t>=0.09, 95%-CI, 0.12-0.46. Meta-analyses of studies measuring one or more of the three subcomponents of work engagement revealed the strongest mean effect for vigour (</w:t>
      </w:r>
      <w:r w:rsidR="001A7258">
        <w:rPr>
          <w:rFonts w:ascii="Calibri" w:eastAsia="Calibri" w:hAnsi="Calibri" w:cs="Times New Roman"/>
          <w:i/>
        </w:rPr>
        <w:t>k</w:t>
      </w:r>
      <w:r w:rsidRPr="00E6060C">
        <w:rPr>
          <w:rFonts w:ascii="Calibri" w:eastAsia="Calibri" w:hAnsi="Calibri" w:cs="Times New Roman"/>
        </w:rPr>
        <w:t xml:space="preserve">=11), Hedges </w:t>
      </w:r>
      <w:r w:rsidRPr="00E6060C">
        <w:rPr>
          <w:rFonts w:ascii="Calibri" w:eastAsia="Calibri" w:hAnsi="Calibri" w:cs="Times New Roman"/>
          <w:i/>
        </w:rPr>
        <w:t>g</w:t>
      </w:r>
      <w:r w:rsidRPr="00E6060C">
        <w:rPr>
          <w:rFonts w:ascii="Calibri" w:eastAsia="Calibri" w:hAnsi="Calibri" w:cs="Times New Roman"/>
        </w:rPr>
        <w:t xml:space="preserve">=0.95, </w:t>
      </w:r>
      <w:r w:rsidRPr="00E6060C">
        <w:rPr>
          <w:rFonts w:ascii="Calibri" w:eastAsia="Calibri" w:hAnsi="Calibri" w:cs="Times New Roman"/>
          <w:i/>
        </w:rPr>
        <w:t>SE</w:t>
      </w:r>
      <w:r w:rsidRPr="00E6060C">
        <w:rPr>
          <w:rFonts w:ascii="Calibri" w:eastAsia="Calibri" w:hAnsi="Calibri" w:cs="Times New Roman"/>
        </w:rPr>
        <w:t>=0.23, 95%-CI, 0.49-1.41</w:t>
      </w:r>
      <w:r w:rsidRPr="00E6060C">
        <w:rPr>
          <w:rFonts w:ascii="Calibri" w:eastAsia="Calibri" w:hAnsi="Calibri" w:cs="Times New Roman"/>
          <w:i/>
        </w:rPr>
        <w:t xml:space="preserve">. </w:t>
      </w:r>
      <w:r w:rsidRPr="00E6060C">
        <w:rPr>
          <w:rFonts w:ascii="Calibri" w:eastAsia="Calibri" w:hAnsi="Calibri" w:cs="Times New Roman"/>
        </w:rPr>
        <w:t>The next strongest mean effect was observed for absorption (</w:t>
      </w:r>
      <w:r w:rsidR="001A7258">
        <w:rPr>
          <w:rFonts w:ascii="Calibri" w:eastAsia="Calibri" w:hAnsi="Calibri" w:cs="Times New Roman"/>
          <w:i/>
        </w:rPr>
        <w:t>k</w:t>
      </w:r>
      <w:r w:rsidRPr="00E6060C">
        <w:rPr>
          <w:rFonts w:ascii="Calibri" w:eastAsia="Calibri" w:hAnsi="Calibri" w:cs="Times New Roman"/>
        </w:rPr>
        <w:t xml:space="preserve">=7), Hedges </w:t>
      </w:r>
      <w:r w:rsidRPr="00E6060C">
        <w:rPr>
          <w:rFonts w:ascii="Calibri" w:eastAsia="Calibri" w:hAnsi="Calibri" w:cs="Times New Roman"/>
          <w:i/>
        </w:rPr>
        <w:t>g</w:t>
      </w:r>
      <w:r w:rsidRPr="00E6060C">
        <w:rPr>
          <w:rFonts w:ascii="Calibri" w:eastAsia="Calibri" w:hAnsi="Calibri" w:cs="Times New Roman"/>
        </w:rPr>
        <w:t xml:space="preserve">=0.78, </w:t>
      </w:r>
      <w:r w:rsidRPr="00E6060C">
        <w:rPr>
          <w:rFonts w:ascii="Calibri" w:eastAsia="Calibri" w:hAnsi="Calibri" w:cs="Times New Roman"/>
          <w:i/>
        </w:rPr>
        <w:t>SE</w:t>
      </w:r>
      <w:r w:rsidRPr="00E6060C">
        <w:rPr>
          <w:rFonts w:ascii="Calibri" w:eastAsia="Calibri" w:hAnsi="Calibri" w:cs="Times New Roman"/>
        </w:rPr>
        <w:t>=0.23, 95%-CI, 0.33-1.22, and the weakest effect, marginally, was observed for dedication (</w:t>
      </w:r>
      <w:r w:rsidR="001A7258">
        <w:rPr>
          <w:rFonts w:ascii="Calibri" w:eastAsia="Calibri" w:hAnsi="Calibri" w:cs="Times New Roman"/>
          <w:i/>
        </w:rPr>
        <w:t>k</w:t>
      </w:r>
      <w:r w:rsidRPr="00E6060C">
        <w:rPr>
          <w:rFonts w:ascii="Calibri" w:eastAsia="Calibri" w:hAnsi="Calibri" w:cs="Times New Roman"/>
        </w:rPr>
        <w:t xml:space="preserve">=10), Hedges </w:t>
      </w:r>
      <w:r w:rsidRPr="00E6060C">
        <w:rPr>
          <w:rFonts w:ascii="Calibri" w:eastAsia="Calibri" w:hAnsi="Calibri" w:cs="Times New Roman"/>
          <w:i/>
        </w:rPr>
        <w:t>g</w:t>
      </w:r>
      <w:r w:rsidRPr="00E6060C">
        <w:rPr>
          <w:rFonts w:ascii="Calibri" w:eastAsia="Calibri" w:hAnsi="Calibri" w:cs="Times New Roman"/>
        </w:rPr>
        <w:t xml:space="preserve">=0.75; </w:t>
      </w:r>
      <w:r w:rsidRPr="00E6060C">
        <w:rPr>
          <w:rFonts w:ascii="Calibri" w:eastAsia="Calibri" w:hAnsi="Calibri" w:cs="Times New Roman"/>
          <w:i/>
        </w:rPr>
        <w:t>SE</w:t>
      </w:r>
      <w:r w:rsidRPr="00E6060C">
        <w:rPr>
          <w:rFonts w:ascii="Calibri" w:eastAsia="Calibri" w:hAnsi="Calibri" w:cs="Times New Roman"/>
        </w:rPr>
        <w:t>=0.20, 95%-CI, 0.36-1.14</w:t>
      </w:r>
      <w:r w:rsidRPr="00E6060C">
        <w:rPr>
          <w:rFonts w:ascii="Calibri" w:eastAsia="Calibri" w:hAnsi="Calibri" w:cs="Times New Roman"/>
          <w:i/>
        </w:rPr>
        <w:t xml:space="preserve">. </w:t>
      </w:r>
      <w:r w:rsidRPr="00E6060C">
        <w:rPr>
          <w:rFonts w:ascii="Calibri" w:eastAsia="Calibri" w:hAnsi="Calibri" w:cs="Times New Roman"/>
        </w:rPr>
        <w:t xml:space="preserve">Heterogeneity was high for all the mean effect sizes, the highest was for vigour, </w:t>
      </w:r>
      <w:r w:rsidRPr="00E6060C">
        <w:rPr>
          <w:rFonts w:ascii="Calibri" w:eastAsia="Calibri" w:hAnsi="Calibri" w:cs="Times New Roman"/>
          <w:i/>
        </w:rPr>
        <w:t>I</w:t>
      </w:r>
      <w:r w:rsidRPr="00E6060C">
        <w:rPr>
          <w:rFonts w:ascii="Calibri" w:eastAsia="Calibri" w:hAnsi="Calibri" w:cs="Times New Roman"/>
          <w:i/>
          <w:vertAlign w:val="superscript"/>
        </w:rPr>
        <w:t>2</w:t>
      </w:r>
      <w:r w:rsidR="005F7E67">
        <w:rPr>
          <w:rFonts w:ascii="Calibri" w:eastAsia="Calibri" w:hAnsi="Calibri" w:cs="Times New Roman"/>
        </w:rPr>
        <w:t>=</w:t>
      </w:r>
      <w:r w:rsidRPr="00E6060C">
        <w:rPr>
          <w:rFonts w:ascii="Calibri" w:eastAsia="Calibri" w:hAnsi="Calibri" w:cs="Times New Roman"/>
          <w:color w:val="000000"/>
        </w:rPr>
        <w:t>93.13</w:t>
      </w:r>
      <w:r w:rsidR="005F7E67">
        <w:rPr>
          <w:rFonts w:ascii="Calibri" w:eastAsia="Calibri" w:hAnsi="Calibri" w:cs="Times New Roman"/>
        </w:rPr>
        <w:t>%, Q=</w:t>
      </w:r>
      <w:r w:rsidRPr="00E6060C">
        <w:rPr>
          <w:rFonts w:ascii="Calibri" w:eastAsia="Calibri" w:hAnsi="Calibri" w:cs="Times New Roman"/>
        </w:rPr>
        <w:t xml:space="preserve">145.64, </w:t>
      </w:r>
      <w:r w:rsidRPr="00E6060C">
        <w:rPr>
          <w:rFonts w:ascii="Calibri" w:eastAsia="Calibri" w:hAnsi="Calibri" w:cs="Times New Roman"/>
          <w:i/>
        </w:rPr>
        <w:t>p</w:t>
      </w:r>
      <w:r w:rsidRPr="00E6060C">
        <w:rPr>
          <w:rFonts w:ascii="Calibri" w:eastAsia="Calibri" w:hAnsi="Calibri" w:cs="Times New Roman"/>
        </w:rPr>
        <w:t>=0, and the lowest was for work engagement,</w:t>
      </w:r>
      <w:r w:rsidRPr="00E6060C">
        <w:rPr>
          <w:rFonts w:ascii="Calibri" w:eastAsia="Calibri" w:hAnsi="Calibri" w:cs="Times New Roman"/>
          <w:i/>
        </w:rPr>
        <w:t xml:space="preserve"> I</w:t>
      </w:r>
      <w:r w:rsidRPr="00E6060C">
        <w:rPr>
          <w:rFonts w:ascii="Calibri" w:eastAsia="Calibri" w:hAnsi="Calibri" w:cs="Times New Roman"/>
          <w:i/>
          <w:vertAlign w:val="superscript"/>
        </w:rPr>
        <w:t xml:space="preserve">2 </w:t>
      </w:r>
      <w:r w:rsidR="005F7E67">
        <w:rPr>
          <w:rFonts w:ascii="Calibri" w:eastAsia="Calibri" w:hAnsi="Calibri" w:cs="Times New Roman"/>
        </w:rPr>
        <w:t>=76.72%, Q=</w:t>
      </w:r>
      <w:r w:rsidRPr="00E6060C">
        <w:rPr>
          <w:rFonts w:ascii="Calibri" w:eastAsia="Calibri" w:hAnsi="Calibri" w:cs="Times New Roman"/>
        </w:rPr>
        <w:t xml:space="preserve">55.84, </w:t>
      </w:r>
      <w:r w:rsidRPr="00E6060C">
        <w:rPr>
          <w:rFonts w:ascii="Calibri" w:eastAsia="Calibri" w:hAnsi="Calibri" w:cs="Times New Roman"/>
          <w:i/>
        </w:rPr>
        <w:t>p</w:t>
      </w:r>
      <w:r w:rsidRPr="00E6060C">
        <w:rPr>
          <w:rFonts w:ascii="Calibri" w:eastAsia="Calibri" w:hAnsi="Calibri" w:cs="Times New Roman"/>
        </w:rPr>
        <w:t xml:space="preserve">=0. It is important to note that despite the small mean effect sizes, none of the confidence intervals spanned zero, suggesting that we can be 95% sure that the </w:t>
      </w:r>
      <w:r w:rsidRPr="00E6060C">
        <w:rPr>
          <w:rFonts w:ascii="Calibri" w:eastAsia="Calibri" w:hAnsi="Calibri" w:cs="Times New Roman"/>
        </w:rPr>
        <w:lastRenderedPageBreak/>
        <w:t xml:space="preserve">true population effect sizes fall within the confidence limits presented, and that the interventions did indeed have a positive effect on these outcomes. Thus, the null hypothesis that the interventions had no effect on total work engagement scores, vigour, dedication or absorption, immediately post intervention, can be rejected. </w:t>
      </w:r>
    </w:p>
    <w:p w14:paraId="113231B1" w14:textId="77777777" w:rsidR="00E6060C" w:rsidRPr="00E6060C" w:rsidRDefault="00E6060C" w:rsidP="00E6060C">
      <w:pPr>
        <w:spacing w:before="200" w:line="360" w:lineRule="auto"/>
        <w:contextualSpacing/>
        <w:rPr>
          <w:rFonts w:ascii="Calibri" w:eastAsia="Calibri" w:hAnsi="Calibri" w:cs="Times New Roman"/>
        </w:rPr>
      </w:pPr>
    </w:p>
    <w:p w14:paraId="5C03A820" w14:textId="123D0B1F" w:rsidR="0035035C" w:rsidRDefault="0035035C" w:rsidP="005852AD">
      <w:pPr>
        <w:pStyle w:val="Figurestyle"/>
      </w:pPr>
      <w:bookmarkStart w:id="242" w:name="_Ref453574256"/>
      <w:bookmarkStart w:id="243" w:name="_Ref453574249"/>
      <w:bookmarkStart w:id="244" w:name="_Toc468286066"/>
      <w:r>
        <w:t xml:space="preserve">Table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w:t>
      </w:r>
      <w:r w:rsidR="00245D68">
        <w:rPr>
          <w:noProof/>
        </w:rPr>
        <w:fldChar w:fldCharType="end"/>
      </w:r>
      <w:bookmarkEnd w:id="242"/>
      <w:r>
        <w:t xml:space="preserve"> </w:t>
      </w:r>
      <w:r w:rsidRPr="00AE2C5E">
        <w:t>Results of meta-analysis for the effects of interventions on the outcomes</w:t>
      </w:r>
      <w:r w:rsidR="00A30D04">
        <w:t>,</w:t>
      </w:r>
      <w:r w:rsidRPr="00AE2C5E">
        <w:t xml:space="preserve"> work engagement, vigour, dedication and absorption, measured at post- intervention (T2) or follow-up (T3)</w:t>
      </w:r>
      <w:bookmarkEnd w:id="243"/>
      <w:bookmarkEnd w:id="244"/>
    </w:p>
    <w:p w14:paraId="3FCEA28B" w14:textId="77777777" w:rsidR="0035035C" w:rsidRDefault="0035035C" w:rsidP="005852AD">
      <w:pPr>
        <w:pStyle w:val="Figurestyle"/>
      </w:pPr>
    </w:p>
    <w:tbl>
      <w:tblPr>
        <w:tblStyle w:val="TableGrid1"/>
        <w:tblW w:w="926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456"/>
        <w:gridCol w:w="696"/>
        <w:gridCol w:w="736"/>
        <w:gridCol w:w="636"/>
        <w:gridCol w:w="667"/>
        <w:gridCol w:w="1186"/>
        <w:gridCol w:w="696"/>
        <w:gridCol w:w="876"/>
        <w:gridCol w:w="456"/>
        <w:gridCol w:w="763"/>
        <w:gridCol w:w="756"/>
      </w:tblGrid>
      <w:tr w:rsidR="00E6060C" w:rsidRPr="00E6060C" w14:paraId="3B0E8173" w14:textId="77777777" w:rsidTr="00E6060C">
        <w:trPr>
          <w:trHeight w:val="300"/>
          <w:jc w:val="center"/>
        </w:trPr>
        <w:tc>
          <w:tcPr>
            <w:tcW w:w="1338" w:type="dxa"/>
            <w:tcBorders>
              <w:top w:val="single" w:sz="4" w:space="0" w:color="auto"/>
              <w:bottom w:val="single" w:sz="4" w:space="0" w:color="auto"/>
            </w:tcBorders>
            <w:noWrap/>
          </w:tcPr>
          <w:p w14:paraId="70D5D801" w14:textId="77777777" w:rsidR="00E6060C" w:rsidRPr="00E6060C" w:rsidRDefault="00E6060C" w:rsidP="00E6060C">
            <w:pPr>
              <w:spacing w:line="360" w:lineRule="auto"/>
              <w:contextualSpacing/>
              <w:rPr>
                <w:rFonts w:ascii="Calibri" w:eastAsia="Calibri" w:hAnsi="Calibri" w:cs="Times New Roman"/>
                <w:b/>
                <w:bCs/>
              </w:rPr>
            </w:pPr>
            <w:r w:rsidRPr="00E6060C">
              <w:rPr>
                <w:rFonts w:ascii="Calibri" w:eastAsia="Calibri" w:hAnsi="Calibri" w:cs="Times New Roman"/>
                <w:b/>
                <w:bCs/>
              </w:rPr>
              <w:t>Outcome</w:t>
            </w:r>
          </w:p>
        </w:tc>
        <w:tc>
          <w:tcPr>
            <w:tcW w:w="456" w:type="dxa"/>
            <w:tcBorders>
              <w:top w:val="single" w:sz="4" w:space="0" w:color="auto"/>
              <w:bottom w:val="single" w:sz="4" w:space="0" w:color="auto"/>
            </w:tcBorders>
            <w:noWrap/>
          </w:tcPr>
          <w:p w14:paraId="56CC94D3" w14:textId="030026DC" w:rsidR="00E6060C" w:rsidRPr="00E6060C" w:rsidRDefault="005D147A" w:rsidP="00E6060C">
            <w:pPr>
              <w:spacing w:line="360" w:lineRule="auto"/>
              <w:contextualSpacing/>
              <w:jc w:val="center"/>
              <w:rPr>
                <w:rFonts w:ascii="Calibri" w:eastAsia="Calibri" w:hAnsi="Calibri" w:cs="Times New Roman"/>
                <w:b/>
                <w:bCs/>
                <w:i/>
              </w:rPr>
            </w:pPr>
            <w:r>
              <w:rPr>
                <w:rFonts w:ascii="Calibri" w:eastAsia="Calibri" w:hAnsi="Calibri" w:cs="Times New Roman"/>
                <w:b/>
                <w:bCs/>
                <w:i/>
              </w:rPr>
              <w:t>k</w:t>
            </w:r>
          </w:p>
        </w:tc>
        <w:tc>
          <w:tcPr>
            <w:tcW w:w="696" w:type="dxa"/>
            <w:tcBorders>
              <w:top w:val="single" w:sz="4" w:space="0" w:color="auto"/>
              <w:bottom w:val="single" w:sz="4" w:space="0" w:color="auto"/>
            </w:tcBorders>
            <w:noWrap/>
          </w:tcPr>
          <w:p w14:paraId="0176433D" w14:textId="77777777" w:rsidR="00E6060C" w:rsidRPr="00E6060C" w:rsidRDefault="00E6060C" w:rsidP="00E6060C">
            <w:pPr>
              <w:spacing w:line="360" w:lineRule="auto"/>
              <w:contextualSpacing/>
              <w:jc w:val="center"/>
              <w:rPr>
                <w:rFonts w:ascii="Calibri" w:eastAsia="Calibri" w:hAnsi="Calibri" w:cs="Times New Roman"/>
                <w:b/>
                <w:bCs/>
              </w:rPr>
            </w:pPr>
            <w:r w:rsidRPr="00E6060C">
              <w:rPr>
                <w:rFonts w:ascii="Calibri" w:eastAsia="Calibri" w:hAnsi="Calibri" w:cs="Times New Roman"/>
                <w:b/>
                <w:bCs/>
              </w:rPr>
              <w:t>n (int)</w:t>
            </w:r>
          </w:p>
        </w:tc>
        <w:tc>
          <w:tcPr>
            <w:tcW w:w="736" w:type="dxa"/>
            <w:tcBorders>
              <w:top w:val="single" w:sz="4" w:space="0" w:color="auto"/>
              <w:bottom w:val="single" w:sz="4" w:space="0" w:color="auto"/>
            </w:tcBorders>
            <w:noWrap/>
          </w:tcPr>
          <w:p w14:paraId="30FE33CF" w14:textId="77777777" w:rsidR="00E6060C" w:rsidRPr="00E6060C" w:rsidRDefault="00E6060C" w:rsidP="00E6060C">
            <w:pPr>
              <w:spacing w:line="360" w:lineRule="auto"/>
              <w:contextualSpacing/>
              <w:jc w:val="center"/>
              <w:rPr>
                <w:rFonts w:ascii="Calibri" w:eastAsia="Calibri" w:hAnsi="Calibri" w:cs="Times New Roman"/>
                <w:b/>
                <w:bCs/>
              </w:rPr>
            </w:pPr>
            <w:r w:rsidRPr="00E6060C">
              <w:rPr>
                <w:rFonts w:ascii="Calibri" w:eastAsia="Calibri" w:hAnsi="Calibri" w:cs="Times New Roman"/>
                <w:b/>
                <w:bCs/>
              </w:rPr>
              <w:t>n (con)</w:t>
            </w:r>
          </w:p>
        </w:tc>
        <w:tc>
          <w:tcPr>
            <w:tcW w:w="2489" w:type="dxa"/>
            <w:gridSpan w:val="3"/>
            <w:tcBorders>
              <w:top w:val="single" w:sz="4" w:space="0" w:color="auto"/>
              <w:bottom w:val="single" w:sz="4" w:space="0" w:color="auto"/>
            </w:tcBorders>
            <w:noWrap/>
          </w:tcPr>
          <w:p w14:paraId="23164BF7" w14:textId="77777777" w:rsidR="00E6060C" w:rsidRPr="00E6060C" w:rsidRDefault="00E6060C" w:rsidP="00E6060C">
            <w:pPr>
              <w:spacing w:line="360" w:lineRule="auto"/>
              <w:contextualSpacing/>
              <w:jc w:val="center"/>
              <w:rPr>
                <w:rFonts w:ascii="Calibri" w:eastAsia="Calibri" w:hAnsi="Calibri" w:cs="Times New Roman"/>
                <w:b/>
                <w:bCs/>
              </w:rPr>
            </w:pPr>
            <w:r w:rsidRPr="00E6060C">
              <w:rPr>
                <w:rFonts w:ascii="Calibri" w:eastAsia="Calibri" w:hAnsi="Calibri" w:cs="Times New Roman"/>
                <w:b/>
                <w:bCs/>
              </w:rPr>
              <w:t>Intervention effects</w:t>
            </w:r>
          </w:p>
        </w:tc>
        <w:tc>
          <w:tcPr>
            <w:tcW w:w="696" w:type="dxa"/>
            <w:tcBorders>
              <w:top w:val="single" w:sz="4" w:space="0" w:color="auto"/>
              <w:bottom w:val="single" w:sz="4" w:space="0" w:color="auto"/>
            </w:tcBorders>
          </w:tcPr>
          <w:p w14:paraId="296D17D0" w14:textId="77777777" w:rsidR="00E6060C" w:rsidRPr="00E6060C" w:rsidRDefault="00E6060C" w:rsidP="00E6060C">
            <w:pPr>
              <w:spacing w:line="360" w:lineRule="auto"/>
              <w:contextualSpacing/>
              <w:jc w:val="center"/>
              <w:rPr>
                <w:rFonts w:ascii="Calibri" w:eastAsia="Calibri" w:hAnsi="Calibri" w:cs="Times New Roman"/>
                <w:b/>
                <w:bCs/>
              </w:rPr>
            </w:pPr>
            <w:r w:rsidRPr="00E6060C">
              <w:rPr>
                <w:rFonts w:ascii="Calibri" w:eastAsia="Calibri" w:hAnsi="Calibri" w:cs="Times New Roman"/>
                <w:b/>
                <w:bCs/>
                <w:i/>
              </w:rPr>
              <w:t>p</w:t>
            </w:r>
          </w:p>
        </w:tc>
        <w:tc>
          <w:tcPr>
            <w:tcW w:w="2851" w:type="dxa"/>
            <w:gridSpan w:val="4"/>
            <w:tcBorders>
              <w:top w:val="single" w:sz="4" w:space="0" w:color="auto"/>
              <w:bottom w:val="single" w:sz="4" w:space="0" w:color="auto"/>
            </w:tcBorders>
            <w:noWrap/>
          </w:tcPr>
          <w:p w14:paraId="593756EC" w14:textId="77777777" w:rsidR="00E6060C" w:rsidRPr="00E6060C" w:rsidRDefault="00E6060C" w:rsidP="00E6060C">
            <w:pPr>
              <w:spacing w:line="360" w:lineRule="auto"/>
              <w:contextualSpacing/>
              <w:jc w:val="center"/>
              <w:rPr>
                <w:rFonts w:ascii="Calibri" w:eastAsia="Calibri" w:hAnsi="Calibri" w:cs="Times New Roman"/>
                <w:b/>
                <w:bCs/>
              </w:rPr>
            </w:pPr>
            <w:r w:rsidRPr="00E6060C">
              <w:rPr>
                <w:rFonts w:ascii="Calibri" w:eastAsia="Calibri" w:hAnsi="Calibri" w:cs="Times New Roman"/>
                <w:b/>
                <w:bCs/>
              </w:rPr>
              <w:t>Heterogeneity within each subgroup</w:t>
            </w:r>
          </w:p>
        </w:tc>
      </w:tr>
      <w:tr w:rsidR="00E6060C" w:rsidRPr="00E6060C" w14:paraId="4A99BE8D" w14:textId="77777777" w:rsidTr="00E6060C">
        <w:trPr>
          <w:trHeight w:val="300"/>
          <w:jc w:val="center"/>
        </w:trPr>
        <w:tc>
          <w:tcPr>
            <w:tcW w:w="1338" w:type="dxa"/>
            <w:tcBorders>
              <w:top w:val="single" w:sz="4" w:space="0" w:color="auto"/>
              <w:bottom w:val="single" w:sz="4" w:space="0" w:color="auto"/>
            </w:tcBorders>
            <w:noWrap/>
            <w:vAlign w:val="center"/>
          </w:tcPr>
          <w:p w14:paraId="3688F58A" w14:textId="77777777" w:rsidR="00E6060C" w:rsidRPr="00E6060C" w:rsidRDefault="00E6060C" w:rsidP="00E6060C">
            <w:pPr>
              <w:spacing w:line="360" w:lineRule="auto"/>
              <w:contextualSpacing/>
              <w:rPr>
                <w:rFonts w:ascii="Calibri" w:eastAsia="Calibri" w:hAnsi="Calibri" w:cs="Times New Roman"/>
                <w:b/>
                <w:bCs/>
              </w:rPr>
            </w:pPr>
          </w:p>
        </w:tc>
        <w:tc>
          <w:tcPr>
            <w:tcW w:w="456" w:type="dxa"/>
            <w:tcBorders>
              <w:top w:val="single" w:sz="4" w:space="0" w:color="auto"/>
              <w:bottom w:val="single" w:sz="4" w:space="0" w:color="auto"/>
            </w:tcBorders>
            <w:noWrap/>
            <w:vAlign w:val="center"/>
          </w:tcPr>
          <w:p w14:paraId="3F408407" w14:textId="77777777" w:rsidR="00E6060C" w:rsidRPr="00E6060C" w:rsidRDefault="00E6060C" w:rsidP="00E6060C">
            <w:pPr>
              <w:spacing w:line="360" w:lineRule="auto"/>
              <w:contextualSpacing/>
              <w:rPr>
                <w:rFonts w:ascii="Calibri" w:eastAsia="Calibri" w:hAnsi="Calibri" w:cs="Times New Roman"/>
                <w:b/>
                <w:bCs/>
              </w:rPr>
            </w:pPr>
          </w:p>
        </w:tc>
        <w:tc>
          <w:tcPr>
            <w:tcW w:w="696" w:type="dxa"/>
            <w:tcBorders>
              <w:top w:val="single" w:sz="4" w:space="0" w:color="auto"/>
              <w:bottom w:val="single" w:sz="4" w:space="0" w:color="auto"/>
            </w:tcBorders>
            <w:noWrap/>
            <w:vAlign w:val="center"/>
          </w:tcPr>
          <w:p w14:paraId="2915D2AB" w14:textId="77777777" w:rsidR="00E6060C" w:rsidRPr="00E6060C" w:rsidRDefault="00E6060C" w:rsidP="00E6060C">
            <w:pPr>
              <w:spacing w:line="360" w:lineRule="auto"/>
              <w:contextualSpacing/>
              <w:rPr>
                <w:rFonts w:ascii="Calibri" w:eastAsia="Calibri" w:hAnsi="Calibri" w:cs="Times New Roman"/>
                <w:b/>
                <w:bCs/>
              </w:rPr>
            </w:pPr>
          </w:p>
        </w:tc>
        <w:tc>
          <w:tcPr>
            <w:tcW w:w="736" w:type="dxa"/>
            <w:tcBorders>
              <w:top w:val="single" w:sz="4" w:space="0" w:color="auto"/>
              <w:bottom w:val="single" w:sz="4" w:space="0" w:color="auto"/>
            </w:tcBorders>
            <w:noWrap/>
            <w:vAlign w:val="center"/>
          </w:tcPr>
          <w:p w14:paraId="453FA098" w14:textId="77777777" w:rsidR="00E6060C" w:rsidRPr="00E6060C" w:rsidRDefault="00E6060C" w:rsidP="00E6060C">
            <w:pPr>
              <w:spacing w:line="360" w:lineRule="auto"/>
              <w:contextualSpacing/>
              <w:rPr>
                <w:rFonts w:ascii="Calibri" w:eastAsia="Calibri" w:hAnsi="Calibri" w:cs="Times New Roman"/>
                <w:b/>
                <w:bCs/>
              </w:rPr>
            </w:pPr>
          </w:p>
        </w:tc>
        <w:tc>
          <w:tcPr>
            <w:tcW w:w="636" w:type="dxa"/>
            <w:tcBorders>
              <w:top w:val="single" w:sz="4" w:space="0" w:color="auto"/>
              <w:bottom w:val="single" w:sz="4" w:space="0" w:color="auto"/>
            </w:tcBorders>
            <w:noWrap/>
            <w:vAlign w:val="center"/>
          </w:tcPr>
          <w:p w14:paraId="3500C315" w14:textId="77777777" w:rsidR="00E6060C" w:rsidRPr="00E6060C" w:rsidRDefault="00E6060C" w:rsidP="00E6060C">
            <w:pPr>
              <w:spacing w:line="360" w:lineRule="auto"/>
              <w:contextualSpacing/>
              <w:rPr>
                <w:rFonts w:ascii="Calibri" w:eastAsia="Calibri" w:hAnsi="Calibri" w:cs="Times New Roman"/>
                <w:b/>
                <w:bCs/>
                <w:i/>
              </w:rPr>
            </w:pPr>
            <w:r w:rsidRPr="00E6060C">
              <w:rPr>
                <w:rFonts w:ascii="Calibri" w:eastAsia="Calibri" w:hAnsi="Calibri" w:cs="Times New Roman"/>
                <w:b/>
                <w:bCs/>
                <w:i/>
              </w:rPr>
              <w:t>g</w:t>
            </w:r>
          </w:p>
        </w:tc>
        <w:tc>
          <w:tcPr>
            <w:tcW w:w="667" w:type="dxa"/>
            <w:tcBorders>
              <w:top w:val="single" w:sz="4" w:space="0" w:color="auto"/>
              <w:bottom w:val="single" w:sz="4" w:space="0" w:color="auto"/>
            </w:tcBorders>
            <w:noWrap/>
            <w:vAlign w:val="center"/>
          </w:tcPr>
          <w:p w14:paraId="7948CAA0" w14:textId="77777777" w:rsidR="00E6060C" w:rsidRPr="00E6060C" w:rsidRDefault="00E6060C" w:rsidP="00E6060C">
            <w:pPr>
              <w:spacing w:line="360" w:lineRule="auto"/>
              <w:contextualSpacing/>
              <w:rPr>
                <w:rFonts w:ascii="Calibri" w:eastAsia="Calibri" w:hAnsi="Calibri" w:cs="Times New Roman"/>
                <w:b/>
                <w:bCs/>
              </w:rPr>
            </w:pPr>
            <w:r w:rsidRPr="00E6060C">
              <w:rPr>
                <w:rFonts w:ascii="Calibri" w:eastAsia="Calibri" w:hAnsi="Calibri" w:cs="Times New Roman"/>
                <w:b/>
                <w:bCs/>
              </w:rPr>
              <w:t>SE</w:t>
            </w:r>
          </w:p>
        </w:tc>
        <w:tc>
          <w:tcPr>
            <w:tcW w:w="1186" w:type="dxa"/>
            <w:tcBorders>
              <w:top w:val="single" w:sz="4" w:space="0" w:color="auto"/>
              <w:bottom w:val="single" w:sz="4" w:space="0" w:color="auto"/>
            </w:tcBorders>
            <w:noWrap/>
            <w:vAlign w:val="center"/>
          </w:tcPr>
          <w:p w14:paraId="78925FB2" w14:textId="77777777" w:rsidR="00E6060C" w:rsidRPr="00E6060C" w:rsidRDefault="00E6060C" w:rsidP="00E6060C">
            <w:pPr>
              <w:spacing w:line="360" w:lineRule="auto"/>
              <w:contextualSpacing/>
              <w:rPr>
                <w:rFonts w:ascii="Calibri" w:eastAsia="Calibri" w:hAnsi="Calibri" w:cs="Times New Roman"/>
                <w:b/>
                <w:bCs/>
              </w:rPr>
            </w:pPr>
            <w:r w:rsidRPr="00E6060C">
              <w:rPr>
                <w:rFonts w:ascii="Calibri" w:eastAsia="Calibri" w:hAnsi="Calibri" w:cs="Times New Roman"/>
                <w:b/>
                <w:bCs/>
              </w:rPr>
              <w:t>95%-CI</w:t>
            </w:r>
          </w:p>
        </w:tc>
        <w:tc>
          <w:tcPr>
            <w:tcW w:w="696" w:type="dxa"/>
            <w:tcBorders>
              <w:top w:val="single" w:sz="4" w:space="0" w:color="auto"/>
              <w:bottom w:val="single" w:sz="4" w:space="0" w:color="auto"/>
            </w:tcBorders>
            <w:vAlign w:val="center"/>
          </w:tcPr>
          <w:p w14:paraId="226E2E5F" w14:textId="77777777" w:rsidR="00E6060C" w:rsidRPr="00E6060C" w:rsidRDefault="00E6060C" w:rsidP="00E6060C">
            <w:pPr>
              <w:spacing w:line="360" w:lineRule="auto"/>
              <w:contextualSpacing/>
              <w:rPr>
                <w:rFonts w:ascii="Calibri" w:eastAsia="Calibri" w:hAnsi="Calibri" w:cs="Times New Roman"/>
                <w:b/>
                <w:bCs/>
              </w:rPr>
            </w:pPr>
          </w:p>
        </w:tc>
        <w:tc>
          <w:tcPr>
            <w:tcW w:w="876" w:type="dxa"/>
            <w:tcBorders>
              <w:top w:val="single" w:sz="4" w:space="0" w:color="auto"/>
              <w:bottom w:val="single" w:sz="4" w:space="0" w:color="auto"/>
            </w:tcBorders>
            <w:noWrap/>
            <w:vAlign w:val="center"/>
          </w:tcPr>
          <w:p w14:paraId="77F5ABFB" w14:textId="77777777" w:rsidR="00E6060C" w:rsidRPr="00E6060C" w:rsidRDefault="00E6060C" w:rsidP="00E6060C">
            <w:pPr>
              <w:spacing w:line="360" w:lineRule="auto"/>
              <w:contextualSpacing/>
              <w:rPr>
                <w:rFonts w:ascii="Calibri" w:eastAsia="Calibri" w:hAnsi="Calibri" w:cs="Times New Roman"/>
                <w:b/>
                <w:bCs/>
              </w:rPr>
            </w:pPr>
            <w:r w:rsidRPr="00E6060C">
              <w:rPr>
                <w:rFonts w:ascii="Calibri" w:eastAsia="Calibri" w:hAnsi="Calibri" w:cs="Times New Roman"/>
                <w:b/>
                <w:bCs/>
              </w:rPr>
              <w:t>Q</w:t>
            </w:r>
          </w:p>
        </w:tc>
        <w:tc>
          <w:tcPr>
            <w:tcW w:w="456" w:type="dxa"/>
            <w:tcBorders>
              <w:top w:val="single" w:sz="4" w:space="0" w:color="auto"/>
              <w:bottom w:val="single" w:sz="4" w:space="0" w:color="auto"/>
            </w:tcBorders>
            <w:noWrap/>
            <w:vAlign w:val="center"/>
          </w:tcPr>
          <w:p w14:paraId="26D3A23D" w14:textId="77777777" w:rsidR="00E6060C" w:rsidRPr="00E6060C" w:rsidRDefault="00E6060C" w:rsidP="00E6060C">
            <w:pPr>
              <w:spacing w:line="360" w:lineRule="auto"/>
              <w:contextualSpacing/>
              <w:rPr>
                <w:rFonts w:ascii="Calibri" w:eastAsia="Calibri" w:hAnsi="Calibri" w:cs="Times New Roman"/>
                <w:b/>
                <w:bCs/>
                <w:i/>
              </w:rPr>
            </w:pPr>
            <w:r w:rsidRPr="00E6060C">
              <w:rPr>
                <w:rFonts w:ascii="Calibri" w:eastAsia="Calibri" w:hAnsi="Calibri" w:cs="Times New Roman"/>
                <w:b/>
                <w:bCs/>
                <w:i/>
              </w:rPr>
              <w:t>df</w:t>
            </w:r>
          </w:p>
        </w:tc>
        <w:tc>
          <w:tcPr>
            <w:tcW w:w="763" w:type="dxa"/>
            <w:tcBorders>
              <w:top w:val="single" w:sz="4" w:space="0" w:color="auto"/>
              <w:bottom w:val="single" w:sz="4" w:space="0" w:color="auto"/>
            </w:tcBorders>
            <w:noWrap/>
            <w:vAlign w:val="center"/>
          </w:tcPr>
          <w:p w14:paraId="2003C0EC" w14:textId="77777777" w:rsidR="00E6060C" w:rsidRPr="00E6060C" w:rsidRDefault="00E6060C" w:rsidP="00E6060C">
            <w:pPr>
              <w:spacing w:line="360" w:lineRule="auto"/>
              <w:contextualSpacing/>
              <w:rPr>
                <w:rFonts w:ascii="Calibri" w:eastAsia="Calibri" w:hAnsi="Calibri" w:cs="Times New Roman"/>
                <w:b/>
                <w:bCs/>
              </w:rPr>
            </w:pPr>
            <w:r w:rsidRPr="00E6060C">
              <w:rPr>
                <w:rFonts w:ascii="Calibri" w:eastAsia="Calibri" w:hAnsi="Calibri" w:cs="Times New Roman"/>
                <w:b/>
                <w:bCs/>
                <w:i/>
              </w:rPr>
              <w:t>p</w:t>
            </w:r>
          </w:p>
        </w:tc>
        <w:tc>
          <w:tcPr>
            <w:tcW w:w="756" w:type="dxa"/>
            <w:tcBorders>
              <w:top w:val="single" w:sz="4" w:space="0" w:color="auto"/>
              <w:bottom w:val="single" w:sz="4" w:space="0" w:color="auto"/>
            </w:tcBorders>
            <w:noWrap/>
            <w:vAlign w:val="center"/>
          </w:tcPr>
          <w:p w14:paraId="4B0CF181" w14:textId="77777777" w:rsidR="00E6060C" w:rsidRPr="00E6060C" w:rsidRDefault="00E6060C" w:rsidP="00E6060C">
            <w:pPr>
              <w:spacing w:line="360" w:lineRule="auto"/>
              <w:contextualSpacing/>
              <w:rPr>
                <w:rFonts w:ascii="Calibri" w:eastAsia="Calibri" w:hAnsi="Calibri" w:cs="Times New Roman"/>
                <w:b/>
                <w:bCs/>
              </w:rPr>
            </w:pPr>
            <w:r w:rsidRPr="00E6060C">
              <w:rPr>
                <w:rFonts w:ascii="Calibri" w:eastAsia="Calibri" w:hAnsi="Calibri" w:cs="Times New Roman"/>
                <w:b/>
                <w:bCs/>
                <w:i/>
              </w:rPr>
              <w:t>I</w:t>
            </w:r>
            <w:r w:rsidRPr="00E6060C">
              <w:rPr>
                <w:rFonts w:ascii="Calibri" w:eastAsia="Calibri" w:hAnsi="Calibri" w:cs="Times New Roman"/>
                <w:b/>
                <w:bCs/>
                <w:i/>
                <w:vertAlign w:val="superscript"/>
              </w:rPr>
              <w:t>2</w:t>
            </w:r>
          </w:p>
        </w:tc>
      </w:tr>
      <w:tr w:rsidR="00E6060C" w:rsidRPr="00E6060C" w14:paraId="1D2FD6F9" w14:textId="77777777" w:rsidTr="00E6060C">
        <w:trPr>
          <w:trHeight w:val="299"/>
          <w:jc w:val="center"/>
        </w:trPr>
        <w:tc>
          <w:tcPr>
            <w:tcW w:w="1338" w:type="dxa"/>
            <w:tcBorders>
              <w:top w:val="single" w:sz="4" w:space="0" w:color="auto"/>
            </w:tcBorders>
            <w:noWrap/>
            <w:vAlign w:val="center"/>
          </w:tcPr>
          <w:p w14:paraId="072FF527"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Absorption</w:t>
            </w:r>
          </w:p>
        </w:tc>
        <w:tc>
          <w:tcPr>
            <w:tcW w:w="456" w:type="dxa"/>
            <w:tcBorders>
              <w:top w:val="single" w:sz="4" w:space="0" w:color="auto"/>
            </w:tcBorders>
            <w:noWrap/>
            <w:vAlign w:val="center"/>
          </w:tcPr>
          <w:p w14:paraId="55DC890C"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7</w:t>
            </w:r>
          </w:p>
        </w:tc>
        <w:tc>
          <w:tcPr>
            <w:tcW w:w="696" w:type="dxa"/>
            <w:tcBorders>
              <w:top w:val="single" w:sz="4" w:space="0" w:color="auto"/>
            </w:tcBorders>
            <w:noWrap/>
            <w:vAlign w:val="center"/>
          </w:tcPr>
          <w:p w14:paraId="08826DD3"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360</w:t>
            </w:r>
          </w:p>
        </w:tc>
        <w:tc>
          <w:tcPr>
            <w:tcW w:w="736" w:type="dxa"/>
            <w:tcBorders>
              <w:top w:val="single" w:sz="4" w:space="0" w:color="auto"/>
            </w:tcBorders>
            <w:noWrap/>
            <w:vAlign w:val="center"/>
          </w:tcPr>
          <w:p w14:paraId="0EBBF0A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372</w:t>
            </w:r>
          </w:p>
        </w:tc>
        <w:tc>
          <w:tcPr>
            <w:tcW w:w="636" w:type="dxa"/>
            <w:tcBorders>
              <w:top w:val="single" w:sz="4" w:space="0" w:color="auto"/>
            </w:tcBorders>
            <w:noWrap/>
            <w:vAlign w:val="center"/>
          </w:tcPr>
          <w:p w14:paraId="5B0CD917"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0.78</w:t>
            </w:r>
          </w:p>
        </w:tc>
        <w:tc>
          <w:tcPr>
            <w:tcW w:w="667" w:type="dxa"/>
            <w:tcBorders>
              <w:top w:val="single" w:sz="4" w:space="0" w:color="auto"/>
            </w:tcBorders>
            <w:noWrap/>
            <w:vAlign w:val="center"/>
          </w:tcPr>
          <w:p w14:paraId="16F122B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0.23</w:t>
            </w:r>
          </w:p>
        </w:tc>
        <w:tc>
          <w:tcPr>
            <w:tcW w:w="1186" w:type="dxa"/>
            <w:tcBorders>
              <w:top w:val="single" w:sz="4" w:space="0" w:color="auto"/>
            </w:tcBorders>
            <w:noWrap/>
            <w:vAlign w:val="center"/>
          </w:tcPr>
          <w:p w14:paraId="3BCCCA4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0.33-1.22</w:t>
            </w:r>
          </w:p>
        </w:tc>
        <w:tc>
          <w:tcPr>
            <w:tcW w:w="696" w:type="dxa"/>
            <w:tcBorders>
              <w:top w:val="single" w:sz="4" w:space="0" w:color="auto"/>
            </w:tcBorders>
            <w:vAlign w:val="center"/>
          </w:tcPr>
          <w:p w14:paraId="3A77CCF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76" w:type="dxa"/>
            <w:tcBorders>
              <w:top w:val="single" w:sz="4" w:space="0" w:color="auto"/>
            </w:tcBorders>
            <w:noWrap/>
            <w:vAlign w:val="center"/>
          </w:tcPr>
          <w:p w14:paraId="20FE35A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43.45</w:t>
            </w:r>
          </w:p>
        </w:tc>
        <w:tc>
          <w:tcPr>
            <w:tcW w:w="456" w:type="dxa"/>
            <w:tcBorders>
              <w:top w:val="single" w:sz="4" w:space="0" w:color="auto"/>
            </w:tcBorders>
            <w:noWrap/>
            <w:vAlign w:val="center"/>
          </w:tcPr>
          <w:p w14:paraId="535C59E6"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6</w:t>
            </w:r>
          </w:p>
        </w:tc>
        <w:tc>
          <w:tcPr>
            <w:tcW w:w="763" w:type="dxa"/>
            <w:tcBorders>
              <w:top w:val="single" w:sz="4" w:space="0" w:color="auto"/>
            </w:tcBorders>
            <w:noWrap/>
            <w:vAlign w:val="center"/>
          </w:tcPr>
          <w:p w14:paraId="18F1A26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756" w:type="dxa"/>
            <w:tcBorders>
              <w:top w:val="single" w:sz="4" w:space="0" w:color="auto"/>
            </w:tcBorders>
            <w:noWrap/>
            <w:vAlign w:val="center"/>
          </w:tcPr>
          <w:p w14:paraId="08F0E939"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86.19</w:t>
            </w:r>
          </w:p>
        </w:tc>
      </w:tr>
      <w:tr w:rsidR="00E6060C" w:rsidRPr="00E6060C" w14:paraId="6E7FBF76" w14:textId="77777777" w:rsidTr="00E6060C">
        <w:trPr>
          <w:trHeight w:val="300"/>
          <w:jc w:val="center"/>
        </w:trPr>
        <w:tc>
          <w:tcPr>
            <w:tcW w:w="1338" w:type="dxa"/>
            <w:noWrap/>
            <w:vAlign w:val="center"/>
          </w:tcPr>
          <w:p w14:paraId="4F56C8D3"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Dedication</w:t>
            </w:r>
          </w:p>
        </w:tc>
        <w:tc>
          <w:tcPr>
            <w:tcW w:w="456" w:type="dxa"/>
            <w:noWrap/>
            <w:vAlign w:val="center"/>
          </w:tcPr>
          <w:p w14:paraId="4F633399"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w:t>
            </w:r>
          </w:p>
        </w:tc>
        <w:tc>
          <w:tcPr>
            <w:tcW w:w="696" w:type="dxa"/>
            <w:noWrap/>
            <w:vAlign w:val="center"/>
          </w:tcPr>
          <w:p w14:paraId="2BBF5278"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458</w:t>
            </w:r>
          </w:p>
        </w:tc>
        <w:tc>
          <w:tcPr>
            <w:tcW w:w="736" w:type="dxa"/>
            <w:noWrap/>
            <w:vAlign w:val="center"/>
          </w:tcPr>
          <w:p w14:paraId="65CB8FEC"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488</w:t>
            </w:r>
          </w:p>
        </w:tc>
        <w:tc>
          <w:tcPr>
            <w:tcW w:w="636" w:type="dxa"/>
            <w:noWrap/>
            <w:vAlign w:val="center"/>
          </w:tcPr>
          <w:p w14:paraId="4D5D31C4"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0.75</w:t>
            </w:r>
          </w:p>
        </w:tc>
        <w:tc>
          <w:tcPr>
            <w:tcW w:w="667" w:type="dxa"/>
            <w:noWrap/>
            <w:vAlign w:val="center"/>
          </w:tcPr>
          <w:p w14:paraId="0B4B0EAA"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0.20</w:t>
            </w:r>
          </w:p>
        </w:tc>
        <w:tc>
          <w:tcPr>
            <w:tcW w:w="1186" w:type="dxa"/>
            <w:noWrap/>
            <w:vAlign w:val="center"/>
          </w:tcPr>
          <w:p w14:paraId="597E36C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0.36-1.14</w:t>
            </w:r>
          </w:p>
        </w:tc>
        <w:tc>
          <w:tcPr>
            <w:tcW w:w="696" w:type="dxa"/>
            <w:vAlign w:val="center"/>
          </w:tcPr>
          <w:p w14:paraId="5A08FBEF"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76" w:type="dxa"/>
            <w:noWrap/>
            <w:vAlign w:val="center"/>
          </w:tcPr>
          <w:p w14:paraId="25B5F923"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62.52</w:t>
            </w:r>
          </w:p>
        </w:tc>
        <w:tc>
          <w:tcPr>
            <w:tcW w:w="456" w:type="dxa"/>
            <w:noWrap/>
            <w:vAlign w:val="center"/>
          </w:tcPr>
          <w:p w14:paraId="51236A1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w:t>
            </w:r>
          </w:p>
        </w:tc>
        <w:tc>
          <w:tcPr>
            <w:tcW w:w="763" w:type="dxa"/>
            <w:noWrap/>
            <w:vAlign w:val="center"/>
          </w:tcPr>
          <w:p w14:paraId="56AAAF6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756" w:type="dxa"/>
            <w:noWrap/>
            <w:vAlign w:val="center"/>
          </w:tcPr>
          <w:p w14:paraId="6D18E114"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85.60</w:t>
            </w:r>
          </w:p>
        </w:tc>
      </w:tr>
      <w:tr w:rsidR="00E6060C" w:rsidRPr="00E6060C" w14:paraId="46D65CD7" w14:textId="77777777" w:rsidTr="00E6060C">
        <w:trPr>
          <w:trHeight w:val="300"/>
          <w:jc w:val="center"/>
        </w:trPr>
        <w:tc>
          <w:tcPr>
            <w:tcW w:w="1338" w:type="dxa"/>
            <w:noWrap/>
            <w:vAlign w:val="center"/>
          </w:tcPr>
          <w:p w14:paraId="35E1142B"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Vigour</w:t>
            </w:r>
          </w:p>
        </w:tc>
        <w:tc>
          <w:tcPr>
            <w:tcW w:w="456" w:type="dxa"/>
            <w:noWrap/>
            <w:vAlign w:val="center"/>
          </w:tcPr>
          <w:p w14:paraId="16CF8AA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11</w:t>
            </w:r>
          </w:p>
        </w:tc>
        <w:tc>
          <w:tcPr>
            <w:tcW w:w="696" w:type="dxa"/>
            <w:noWrap/>
            <w:vAlign w:val="center"/>
          </w:tcPr>
          <w:p w14:paraId="33077BD1"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708</w:t>
            </w:r>
          </w:p>
        </w:tc>
        <w:tc>
          <w:tcPr>
            <w:tcW w:w="736" w:type="dxa"/>
            <w:noWrap/>
            <w:vAlign w:val="center"/>
          </w:tcPr>
          <w:p w14:paraId="4125D585"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793</w:t>
            </w:r>
          </w:p>
        </w:tc>
        <w:tc>
          <w:tcPr>
            <w:tcW w:w="636" w:type="dxa"/>
            <w:noWrap/>
            <w:vAlign w:val="center"/>
          </w:tcPr>
          <w:p w14:paraId="637D2BE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0.95</w:t>
            </w:r>
          </w:p>
        </w:tc>
        <w:tc>
          <w:tcPr>
            <w:tcW w:w="667" w:type="dxa"/>
            <w:noWrap/>
            <w:vAlign w:val="center"/>
          </w:tcPr>
          <w:p w14:paraId="540B106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0.23</w:t>
            </w:r>
          </w:p>
        </w:tc>
        <w:tc>
          <w:tcPr>
            <w:tcW w:w="1186" w:type="dxa"/>
            <w:noWrap/>
            <w:vAlign w:val="center"/>
          </w:tcPr>
          <w:p w14:paraId="4781B33C"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0.49-1.41</w:t>
            </w:r>
          </w:p>
        </w:tc>
        <w:tc>
          <w:tcPr>
            <w:tcW w:w="696" w:type="dxa"/>
            <w:vAlign w:val="center"/>
          </w:tcPr>
          <w:p w14:paraId="55C5E0E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76" w:type="dxa"/>
            <w:noWrap/>
            <w:vAlign w:val="center"/>
          </w:tcPr>
          <w:p w14:paraId="2351210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145.64</w:t>
            </w:r>
          </w:p>
        </w:tc>
        <w:tc>
          <w:tcPr>
            <w:tcW w:w="456" w:type="dxa"/>
            <w:noWrap/>
            <w:vAlign w:val="center"/>
          </w:tcPr>
          <w:p w14:paraId="7A6C1A9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w:t>
            </w:r>
          </w:p>
        </w:tc>
        <w:tc>
          <w:tcPr>
            <w:tcW w:w="763" w:type="dxa"/>
            <w:noWrap/>
            <w:vAlign w:val="center"/>
          </w:tcPr>
          <w:p w14:paraId="204452D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756" w:type="dxa"/>
            <w:noWrap/>
            <w:vAlign w:val="center"/>
          </w:tcPr>
          <w:p w14:paraId="782BE3F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93.13</w:t>
            </w:r>
          </w:p>
        </w:tc>
      </w:tr>
      <w:tr w:rsidR="00E6060C" w:rsidRPr="00E6060C" w14:paraId="2BD1BB9B" w14:textId="77777777" w:rsidTr="00E6060C">
        <w:trPr>
          <w:trHeight w:val="300"/>
          <w:jc w:val="center"/>
        </w:trPr>
        <w:tc>
          <w:tcPr>
            <w:tcW w:w="1338" w:type="dxa"/>
            <w:noWrap/>
            <w:vAlign w:val="center"/>
          </w:tcPr>
          <w:p w14:paraId="28B48EBB"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Work engagement</w:t>
            </w:r>
          </w:p>
        </w:tc>
        <w:tc>
          <w:tcPr>
            <w:tcW w:w="456" w:type="dxa"/>
            <w:noWrap/>
            <w:vAlign w:val="center"/>
          </w:tcPr>
          <w:p w14:paraId="31D4619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14</w:t>
            </w:r>
          </w:p>
        </w:tc>
        <w:tc>
          <w:tcPr>
            <w:tcW w:w="696" w:type="dxa"/>
            <w:noWrap/>
            <w:vAlign w:val="center"/>
          </w:tcPr>
          <w:p w14:paraId="3BB1C164"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1758</w:t>
            </w:r>
          </w:p>
        </w:tc>
        <w:tc>
          <w:tcPr>
            <w:tcW w:w="736" w:type="dxa"/>
            <w:noWrap/>
            <w:vAlign w:val="center"/>
          </w:tcPr>
          <w:p w14:paraId="2D54EEBF"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1934</w:t>
            </w:r>
          </w:p>
        </w:tc>
        <w:tc>
          <w:tcPr>
            <w:tcW w:w="636" w:type="dxa"/>
            <w:noWrap/>
            <w:vAlign w:val="center"/>
          </w:tcPr>
          <w:p w14:paraId="2E57F1E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0.29</w:t>
            </w:r>
          </w:p>
        </w:tc>
        <w:tc>
          <w:tcPr>
            <w:tcW w:w="667" w:type="dxa"/>
            <w:noWrap/>
            <w:vAlign w:val="center"/>
          </w:tcPr>
          <w:p w14:paraId="7EE8D115"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0.09</w:t>
            </w:r>
          </w:p>
        </w:tc>
        <w:tc>
          <w:tcPr>
            <w:tcW w:w="1186" w:type="dxa"/>
            <w:noWrap/>
            <w:vAlign w:val="center"/>
          </w:tcPr>
          <w:p w14:paraId="44AA177A"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0.12-0.46</w:t>
            </w:r>
          </w:p>
        </w:tc>
        <w:tc>
          <w:tcPr>
            <w:tcW w:w="696" w:type="dxa"/>
            <w:vAlign w:val="center"/>
          </w:tcPr>
          <w:p w14:paraId="4C537F1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76" w:type="dxa"/>
            <w:noWrap/>
            <w:vAlign w:val="center"/>
          </w:tcPr>
          <w:p w14:paraId="3A401C34"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55.84</w:t>
            </w:r>
          </w:p>
        </w:tc>
        <w:tc>
          <w:tcPr>
            <w:tcW w:w="456" w:type="dxa"/>
            <w:noWrap/>
            <w:vAlign w:val="center"/>
          </w:tcPr>
          <w:p w14:paraId="4886D839"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13</w:t>
            </w:r>
          </w:p>
        </w:tc>
        <w:tc>
          <w:tcPr>
            <w:tcW w:w="763" w:type="dxa"/>
            <w:noWrap/>
            <w:vAlign w:val="center"/>
          </w:tcPr>
          <w:p w14:paraId="7821DAA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756" w:type="dxa"/>
            <w:noWrap/>
            <w:vAlign w:val="center"/>
          </w:tcPr>
          <w:p w14:paraId="45CEDBC4"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76.72</w:t>
            </w:r>
          </w:p>
        </w:tc>
      </w:tr>
    </w:tbl>
    <w:p w14:paraId="2816F523" w14:textId="36FA7B26" w:rsidR="00E6060C" w:rsidRPr="00E6060C" w:rsidRDefault="00E6060C" w:rsidP="00E6060C">
      <w:pPr>
        <w:spacing w:before="200" w:line="360" w:lineRule="auto"/>
        <w:ind w:right="-188"/>
        <w:contextualSpacing/>
        <w:rPr>
          <w:rFonts w:ascii="Calibri" w:eastAsia="Calibri" w:hAnsi="Calibri" w:cs="Times New Roman"/>
          <w:bCs/>
        </w:rPr>
      </w:pPr>
      <w:r w:rsidRPr="00E6060C">
        <w:rPr>
          <w:rFonts w:ascii="Calibri" w:eastAsia="Calibri" w:hAnsi="Calibri" w:cs="Times New Roman"/>
          <w:bCs/>
          <w:i/>
          <w:iCs/>
        </w:rPr>
        <w:t>Notes.</w:t>
      </w:r>
      <w:r w:rsidRPr="00E6060C">
        <w:rPr>
          <w:rFonts w:ascii="Calibri" w:eastAsia="Calibri" w:hAnsi="Calibri" w:cs="Times New Roman"/>
          <w:bCs/>
        </w:rPr>
        <w:t xml:space="preserve"> </w:t>
      </w:r>
      <w:r w:rsidRPr="00E6060C">
        <w:rPr>
          <w:rFonts w:ascii="Calibri" w:eastAsia="Calibri" w:hAnsi="Calibri" w:cs="Times New Roman"/>
          <w:bCs/>
          <w:i/>
          <w:iCs/>
        </w:rPr>
        <w:t>k=</w:t>
      </w:r>
      <w:r w:rsidRPr="00E6060C">
        <w:rPr>
          <w:rFonts w:ascii="Calibri" w:eastAsia="Calibri" w:hAnsi="Calibri" w:cs="Times New Roman"/>
          <w:bCs/>
        </w:rPr>
        <w:t xml:space="preserve">number of studies included in the analysis; </w:t>
      </w:r>
      <w:r w:rsidRPr="00E6060C">
        <w:rPr>
          <w:rFonts w:ascii="Calibri" w:eastAsia="Calibri" w:hAnsi="Calibri" w:cs="Times New Roman"/>
          <w:bCs/>
          <w:i/>
          <w:iCs/>
        </w:rPr>
        <w:t>n</w:t>
      </w:r>
      <w:r w:rsidRPr="00E6060C">
        <w:rPr>
          <w:rFonts w:ascii="Calibri" w:eastAsia="Calibri" w:hAnsi="Calibri" w:cs="Times New Roman"/>
          <w:bCs/>
        </w:rPr>
        <w:t xml:space="preserve">(con)=number of participants in the control group; </w:t>
      </w:r>
      <w:r w:rsidRPr="00E6060C">
        <w:rPr>
          <w:rFonts w:ascii="Calibri" w:eastAsia="Calibri" w:hAnsi="Calibri" w:cs="Times New Roman"/>
          <w:bCs/>
          <w:i/>
          <w:iCs/>
        </w:rPr>
        <w:t>n</w:t>
      </w:r>
      <w:r w:rsidRPr="00E6060C">
        <w:rPr>
          <w:rFonts w:ascii="Calibri" w:eastAsia="Calibri" w:hAnsi="Calibri" w:cs="Times New Roman"/>
          <w:bCs/>
        </w:rPr>
        <w:t xml:space="preserve">(int)=number of participants in the intervention group; </w:t>
      </w:r>
      <w:r w:rsidRPr="00E6060C">
        <w:rPr>
          <w:rFonts w:ascii="Calibri" w:eastAsia="Calibri" w:hAnsi="Calibri" w:cs="Times New Roman"/>
          <w:bCs/>
          <w:i/>
        </w:rPr>
        <w:t>p</w:t>
      </w:r>
      <w:r w:rsidRPr="00E6060C">
        <w:rPr>
          <w:rFonts w:ascii="Calibri" w:eastAsia="Calibri" w:hAnsi="Calibri" w:cs="Times New Roman"/>
          <w:bCs/>
        </w:rPr>
        <w:t>=</w:t>
      </w:r>
      <w:r w:rsidRPr="00E6060C">
        <w:rPr>
          <w:rFonts w:ascii="Calibri" w:eastAsia="Calibri" w:hAnsi="Calibri" w:cs="Times New Roman"/>
          <w:bCs/>
          <w:i/>
        </w:rPr>
        <w:t>p</w:t>
      </w:r>
      <w:r w:rsidRPr="00E6060C">
        <w:rPr>
          <w:rFonts w:ascii="Calibri" w:eastAsia="Calibri" w:hAnsi="Calibri" w:cs="Times New Roman"/>
          <w:bCs/>
        </w:rPr>
        <w:t xml:space="preserve">=value; </w:t>
      </w:r>
      <w:r w:rsidRPr="00E6060C">
        <w:rPr>
          <w:rFonts w:ascii="Calibri" w:eastAsia="Calibri" w:hAnsi="Calibri" w:cs="Times New Roman"/>
          <w:bCs/>
          <w:i/>
          <w:iCs/>
        </w:rPr>
        <w:t>g</w:t>
      </w:r>
      <w:r w:rsidRPr="00E6060C">
        <w:rPr>
          <w:rFonts w:ascii="Calibri" w:eastAsia="Calibri" w:hAnsi="Calibri" w:cs="Times New Roman"/>
          <w:bCs/>
        </w:rPr>
        <w:t xml:space="preserve">=average </w:t>
      </w:r>
      <w:r w:rsidR="005F7E67">
        <w:rPr>
          <w:rFonts w:ascii="Calibri" w:eastAsia="Calibri" w:hAnsi="Calibri" w:cs="Times New Roman"/>
          <w:bCs/>
        </w:rPr>
        <w:t>effect size according to Hedges</w:t>
      </w:r>
      <w:r w:rsidRPr="00E6060C">
        <w:rPr>
          <w:rFonts w:ascii="Calibri" w:eastAsia="Calibri" w:hAnsi="Calibri" w:cs="Times New Roman"/>
          <w:bCs/>
        </w:rPr>
        <w:t xml:space="preserve"> </w:t>
      </w:r>
      <w:r w:rsidRPr="00E6060C">
        <w:rPr>
          <w:rFonts w:ascii="Calibri" w:eastAsia="Calibri" w:hAnsi="Calibri" w:cs="Times New Roman"/>
          <w:bCs/>
          <w:i/>
          <w:iCs/>
        </w:rPr>
        <w:t>g</w:t>
      </w:r>
      <w:r w:rsidRPr="00E6060C">
        <w:rPr>
          <w:rFonts w:ascii="Calibri" w:eastAsia="Calibri" w:hAnsi="Calibri" w:cs="Times New Roman"/>
          <w:bCs/>
        </w:rPr>
        <w:t xml:space="preserve">; </w:t>
      </w:r>
      <w:r w:rsidRPr="00E6060C">
        <w:rPr>
          <w:rFonts w:ascii="Calibri" w:eastAsia="Calibri" w:hAnsi="Calibri" w:cs="Times New Roman"/>
          <w:bCs/>
          <w:i/>
          <w:iCs/>
        </w:rPr>
        <w:t>SE</w:t>
      </w:r>
      <w:r w:rsidRPr="00E6060C">
        <w:rPr>
          <w:rFonts w:ascii="Calibri" w:eastAsia="Calibri" w:hAnsi="Calibri" w:cs="Times New Roman"/>
          <w:bCs/>
        </w:rPr>
        <w:t xml:space="preserve">=standard error of the average effect size; 95%-CI=the minimum and maximum limits of the 95% confidence interval; </w:t>
      </w:r>
      <w:r w:rsidRPr="00E6060C">
        <w:rPr>
          <w:rFonts w:ascii="Calibri" w:eastAsia="Calibri" w:hAnsi="Calibri" w:cs="Times New Roman"/>
          <w:bCs/>
          <w:i/>
          <w:iCs/>
        </w:rPr>
        <w:t>Q</w:t>
      </w:r>
      <w:r w:rsidRPr="00E6060C">
        <w:rPr>
          <w:rFonts w:ascii="Calibri" w:eastAsia="Calibri" w:hAnsi="Calibri" w:cs="Times New Roman"/>
          <w:bCs/>
        </w:rPr>
        <w:t xml:space="preserve">=statistical test used for the estimation of heterogeneity; </w:t>
      </w:r>
      <w:r w:rsidRPr="00E6060C">
        <w:rPr>
          <w:rFonts w:ascii="Calibri" w:eastAsia="Calibri" w:hAnsi="Calibri" w:cs="Times New Roman"/>
          <w:bCs/>
          <w:i/>
          <w:iCs/>
        </w:rPr>
        <w:t>I</w:t>
      </w:r>
      <w:r w:rsidRPr="00E6060C">
        <w:rPr>
          <w:rFonts w:ascii="Calibri" w:eastAsia="Calibri" w:hAnsi="Calibri" w:cs="Times New Roman"/>
          <w:bCs/>
          <w:i/>
          <w:iCs/>
          <w:vertAlign w:val="superscript"/>
        </w:rPr>
        <w:t>2</w:t>
      </w:r>
      <w:r w:rsidRPr="00E6060C">
        <w:rPr>
          <w:rFonts w:ascii="Calibri" w:eastAsia="Calibri" w:hAnsi="Calibri" w:cs="Times New Roman"/>
          <w:bCs/>
        </w:rPr>
        <w:t>= proportion of effect size variance that can be attributed to moderator variables (%).</w:t>
      </w:r>
    </w:p>
    <w:p w14:paraId="4703ACD9" w14:textId="77777777" w:rsidR="00A447F6" w:rsidRDefault="00A447F6" w:rsidP="00854E54">
      <w:pPr>
        <w:spacing w:after="160" w:line="360" w:lineRule="auto"/>
        <w:contextualSpacing/>
        <w:rPr>
          <w:rFonts w:ascii="Calibri" w:eastAsia="Calibri" w:hAnsi="Calibri" w:cs="Times New Roman"/>
        </w:rPr>
      </w:pPr>
    </w:p>
    <w:p w14:paraId="10A9656E" w14:textId="4085A044" w:rsidR="00854E54" w:rsidRDefault="00E6060C" w:rsidP="00854E54">
      <w:pPr>
        <w:spacing w:after="160" w:line="360" w:lineRule="auto"/>
        <w:contextualSpacing/>
        <w:rPr>
          <w:rFonts w:ascii="Calibri" w:eastAsia="Calibri" w:hAnsi="Calibri" w:cs="Times New Roman"/>
        </w:rPr>
      </w:pPr>
      <w:r w:rsidRPr="00E6060C">
        <w:rPr>
          <w:rFonts w:ascii="Calibri" w:eastAsia="Calibri" w:hAnsi="Calibri" w:cs="Times New Roman"/>
        </w:rPr>
        <w:t>At follow-up, the mean effect size for work engagement (</w:t>
      </w:r>
      <w:r w:rsidR="001A7258">
        <w:rPr>
          <w:rFonts w:ascii="Calibri" w:eastAsia="Calibri" w:hAnsi="Calibri" w:cs="Times New Roman"/>
          <w:i/>
        </w:rPr>
        <w:t>k</w:t>
      </w:r>
      <w:r w:rsidRPr="00E6060C">
        <w:rPr>
          <w:rFonts w:ascii="Calibri" w:eastAsia="Calibri" w:hAnsi="Calibri" w:cs="Times New Roman"/>
        </w:rPr>
        <w:t xml:space="preserve">=8, Hedges </w:t>
      </w:r>
      <w:r w:rsidRPr="00E6060C">
        <w:rPr>
          <w:rFonts w:ascii="Calibri" w:eastAsia="Calibri" w:hAnsi="Calibri" w:cs="Times New Roman"/>
          <w:i/>
        </w:rPr>
        <w:t>g</w:t>
      </w:r>
      <w:r w:rsidRPr="00E6060C">
        <w:rPr>
          <w:rFonts w:ascii="Calibri" w:eastAsia="Calibri" w:hAnsi="Calibri" w:cs="Times New Roman"/>
        </w:rPr>
        <w:t xml:space="preserve">=0.16, </w:t>
      </w:r>
      <w:r w:rsidRPr="00E6060C">
        <w:rPr>
          <w:rFonts w:ascii="Calibri" w:eastAsia="Calibri" w:hAnsi="Calibri" w:cs="Times New Roman"/>
          <w:i/>
        </w:rPr>
        <w:t>SE</w:t>
      </w:r>
      <w:r w:rsidRPr="00E6060C">
        <w:rPr>
          <w:rFonts w:ascii="Calibri" w:eastAsia="Calibri" w:hAnsi="Calibri" w:cs="Times New Roman"/>
        </w:rPr>
        <w:t>=0.05) was weaker than that observed immediately post-intervention (</w:t>
      </w:r>
      <w:r w:rsidR="001A7258">
        <w:rPr>
          <w:rFonts w:ascii="Calibri" w:eastAsia="Calibri" w:hAnsi="Calibri" w:cs="Times New Roman"/>
          <w:i/>
        </w:rPr>
        <w:t>k</w:t>
      </w:r>
      <w:r w:rsidRPr="00E6060C">
        <w:rPr>
          <w:rFonts w:ascii="Calibri" w:eastAsia="Calibri" w:hAnsi="Calibri" w:cs="Times New Roman"/>
        </w:rPr>
        <w:t xml:space="preserve">=12, Hedges </w:t>
      </w:r>
      <w:r w:rsidRPr="00E6060C">
        <w:rPr>
          <w:rFonts w:ascii="Calibri" w:eastAsia="Calibri" w:hAnsi="Calibri" w:cs="Times New Roman"/>
          <w:i/>
        </w:rPr>
        <w:t>g</w:t>
      </w:r>
      <w:r w:rsidRPr="00E6060C">
        <w:rPr>
          <w:rFonts w:ascii="Calibri" w:eastAsia="Calibri" w:hAnsi="Calibri" w:cs="Times New Roman"/>
        </w:rPr>
        <w:t xml:space="preserve">=0.31, </w:t>
      </w:r>
      <w:r w:rsidRPr="00E6060C">
        <w:rPr>
          <w:rFonts w:ascii="Calibri" w:eastAsia="Calibri" w:hAnsi="Calibri" w:cs="Times New Roman"/>
          <w:i/>
        </w:rPr>
        <w:t>SE</w:t>
      </w:r>
      <w:r w:rsidRPr="00E6060C">
        <w:rPr>
          <w:rFonts w:ascii="Calibri" w:eastAsia="Calibri" w:hAnsi="Calibri" w:cs="Times New Roman"/>
        </w:rPr>
        <w:t>=0.10), however, for vigour the opposite was observed; the mean effect size was stronger at follow-up (</w:t>
      </w:r>
      <w:r w:rsidR="001A7258">
        <w:rPr>
          <w:rFonts w:ascii="Calibri" w:eastAsia="Calibri" w:hAnsi="Calibri" w:cs="Times New Roman"/>
          <w:i/>
        </w:rPr>
        <w:t>k</w:t>
      </w:r>
      <w:r w:rsidRPr="00E6060C">
        <w:rPr>
          <w:rFonts w:ascii="Calibri" w:eastAsia="Calibri" w:hAnsi="Calibri" w:cs="Times New Roman"/>
        </w:rPr>
        <w:t xml:space="preserve">=6, Hedges </w:t>
      </w:r>
      <w:r w:rsidRPr="00E6060C">
        <w:rPr>
          <w:rFonts w:ascii="Calibri" w:eastAsia="Calibri" w:hAnsi="Calibri" w:cs="Times New Roman"/>
          <w:i/>
        </w:rPr>
        <w:t>g</w:t>
      </w:r>
      <w:r w:rsidRPr="00E6060C">
        <w:rPr>
          <w:rFonts w:ascii="Calibri" w:eastAsia="Calibri" w:hAnsi="Calibri" w:cs="Times New Roman"/>
        </w:rPr>
        <w:t xml:space="preserve">=1.05, </w:t>
      </w:r>
      <w:r w:rsidRPr="00E6060C">
        <w:rPr>
          <w:rFonts w:ascii="Calibri" w:eastAsia="Calibri" w:hAnsi="Calibri" w:cs="Times New Roman"/>
          <w:i/>
        </w:rPr>
        <w:t>SE</w:t>
      </w:r>
      <w:r w:rsidRPr="00E6060C">
        <w:rPr>
          <w:rFonts w:ascii="Calibri" w:eastAsia="Calibri" w:hAnsi="Calibri" w:cs="Times New Roman"/>
        </w:rPr>
        <w:t>=0.35) than immediately post- intervention (</w:t>
      </w:r>
      <w:r w:rsidR="001A7258">
        <w:rPr>
          <w:rFonts w:ascii="Calibri" w:eastAsia="Calibri" w:hAnsi="Calibri" w:cs="Times New Roman"/>
          <w:i/>
        </w:rPr>
        <w:t>k</w:t>
      </w:r>
      <w:r w:rsidRPr="00E6060C">
        <w:rPr>
          <w:rFonts w:ascii="Calibri" w:eastAsia="Calibri" w:hAnsi="Calibri" w:cs="Times New Roman"/>
        </w:rPr>
        <w:t xml:space="preserve">=9, Hedges </w:t>
      </w:r>
      <w:r w:rsidRPr="00E6060C">
        <w:rPr>
          <w:rFonts w:ascii="Calibri" w:eastAsia="Calibri" w:hAnsi="Calibri" w:cs="Times New Roman"/>
          <w:i/>
        </w:rPr>
        <w:t>g</w:t>
      </w:r>
      <w:r w:rsidRPr="00E6060C">
        <w:rPr>
          <w:rFonts w:ascii="Calibri" w:eastAsia="Calibri" w:hAnsi="Calibri" w:cs="Times New Roman"/>
        </w:rPr>
        <w:t xml:space="preserve">=0.77, </w:t>
      </w:r>
      <w:r w:rsidRPr="00E6060C">
        <w:rPr>
          <w:rFonts w:ascii="Calibri" w:eastAsia="Calibri" w:hAnsi="Calibri" w:cs="Times New Roman"/>
          <w:i/>
        </w:rPr>
        <w:t>SE</w:t>
      </w:r>
      <w:r w:rsidRPr="00E6060C">
        <w:rPr>
          <w:rFonts w:ascii="Calibri" w:eastAsia="Calibri" w:hAnsi="Calibri" w:cs="Times New Roman"/>
        </w:rPr>
        <w:t xml:space="preserve">=0.21). Again, none of the confidence intervals spanned zero, suggesting that the null hypothesis that the interventions had no effect on total work engagement scores, vigour, dedication and absorption at follow-up, can be rejected. In addition, heterogeneity was also high for all the mean effect sizes </w:t>
      </w:r>
      <w:r w:rsidR="00854E54">
        <w:rPr>
          <w:rFonts w:ascii="Calibri" w:eastAsia="Calibri" w:hAnsi="Calibri" w:cs="Times New Roman"/>
        </w:rPr>
        <w:t>(</w:t>
      </w:r>
      <w:r w:rsidR="00854E54">
        <w:rPr>
          <w:rFonts w:ascii="Calibri" w:eastAsia="Calibri" w:hAnsi="Calibri" w:cs="Times New Roman"/>
        </w:rPr>
        <w:fldChar w:fldCharType="begin"/>
      </w:r>
      <w:r w:rsidR="00854E54">
        <w:rPr>
          <w:rFonts w:ascii="Calibri" w:eastAsia="Calibri" w:hAnsi="Calibri" w:cs="Times New Roman"/>
        </w:rPr>
        <w:instrText xml:space="preserve"> REF _Ref453574291 \h </w:instrText>
      </w:r>
      <w:r w:rsidR="00854E54">
        <w:rPr>
          <w:rFonts w:ascii="Calibri" w:eastAsia="Calibri" w:hAnsi="Calibri" w:cs="Times New Roman"/>
        </w:rPr>
      </w:r>
      <w:r w:rsidR="00854E54">
        <w:rPr>
          <w:rFonts w:ascii="Calibri" w:eastAsia="Calibri" w:hAnsi="Calibri" w:cs="Times New Roman"/>
        </w:rPr>
        <w:fldChar w:fldCharType="separate"/>
      </w:r>
      <w:r w:rsidR="00152F6D" w:rsidRPr="0035035C">
        <w:rPr>
          <w:rStyle w:val="FigurestyleChar"/>
        </w:rPr>
        <w:t xml:space="preserve">Table </w:t>
      </w:r>
      <w:r w:rsidR="00152F6D">
        <w:rPr>
          <w:rStyle w:val="FigurestyleChar"/>
          <w:noProof/>
        </w:rPr>
        <w:t>6</w:t>
      </w:r>
      <w:r w:rsidR="00152F6D">
        <w:rPr>
          <w:rStyle w:val="FigurestyleChar"/>
        </w:rPr>
        <w:t>.</w:t>
      </w:r>
      <w:r w:rsidR="00152F6D">
        <w:rPr>
          <w:rStyle w:val="FigurestyleChar"/>
          <w:noProof/>
        </w:rPr>
        <w:t>3</w:t>
      </w:r>
      <w:r w:rsidR="00854E54">
        <w:rPr>
          <w:rFonts w:ascii="Calibri" w:eastAsia="Calibri" w:hAnsi="Calibri" w:cs="Times New Roman"/>
        </w:rPr>
        <w:fldChar w:fldCharType="end"/>
      </w:r>
      <w:r w:rsidR="00854E54">
        <w:rPr>
          <w:rFonts w:ascii="Calibri" w:eastAsia="Calibri" w:hAnsi="Calibri" w:cs="Times New Roman"/>
        </w:rPr>
        <w:t>).</w:t>
      </w:r>
      <w:r w:rsidR="00854E54">
        <w:rPr>
          <w:rFonts w:ascii="Calibri" w:eastAsia="Calibri" w:hAnsi="Calibri" w:cs="Times New Roman"/>
        </w:rPr>
        <w:br w:type="page"/>
      </w:r>
    </w:p>
    <w:p w14:paraId="730CEEE2" w14:textId="3081E8DD" w:rsidR="0035035C" w:rsidRDefault="0035035C" w:rsidP="005852AD">
      <w:pPr>
        <w:pStyle w:val="Figurestyle"/>
      </w:pPr>
      <w:bookmarkStart w:id="245" w:name="_Ref453574291"/>
      <w:bookmarkStart w:id="246" w:name="_Ref453603347"/>
      <w:bookmarkStart w:id="247" w:name="_Toc468286067"/>
      <w:r w:rsidRPr="0035035C">
        <w:rPr>
          <w:rStyle w:val="FigurestyleChar"/>
        </w:rPr>
        <w:lastRenderedPageBreak/>
        <w:t xml:space="preserve">Table </w:t>
      </w:r>
      <w:r w:rsidR="00F256F4">
        <w:rPr>
          <w:rStyle w:val="FigurestyleChar"/>
        </w:rPr>
        <w:fldChar w:fldCharType="begin"/>
      </w:r>
      <w:r w:rsidR="00F256F4">
        <w:rPr>
          <w:rStyle w:val="FigurestyleChar"/>
        </w:rPr>
        <w:instrText xml:space="preserve"> STYLEREF 1 \s </w:instrText>
      </w:r>
      <w:r w:rsidR="00F256F4">
        <w:rPr>
          <w:rStyle w:val="FigurestyleChar"/>
        </w:rPr>
        <w:fldChar w:fldCharType="separate"/>
      </w:r>
      <w:r w:rsidR="00152F6D">
        <w:rPr>
          <w:rStyle w:val="FigurestyleChar"/>
          <w:noProof/>
        </w:rPr>
        <w:t>6</w:t>
      </w:r>
      <w:r w:rsidR="00F256F4">
        <w:rPr>
          <w:rStyle w:val="FigurestyleChar"/>
        </w:rPr>
        <w:fldChar w:fldCharType="end"/>
      </w:r>
      <w:r w:rsidR="00F256F4">
        <w:rPr>
          <w:rStyle w:val="FigurestyleChar"/>
        </w:rPr>
        <w:t>.</w:t>
      </w:r>
      <w:r w:rsidR="00F256F4">
        <w:rPr>
          <w:rStyle w:val="FigurestyleChar"/>
        </w:rPr>
        <w:fldChar w:fldCharType="begin"/>
      </w:r>
      <w:r w:rsidR="00F256F4">
        <w:rPr>
          <w:rStyle w:val="FigurestyleChar"/>
        </w:rPr>
        <w:instrText xml:space="preserve"> SEQ Table \* ARABIC \s 1 </w:instrText>
      </w:r>
      <w:r w:rsidR="00F256F4">
        <w:rPr>
          <w:rStyle w:val="FigurestyleChar"/>
        </w:rPr>
        <w:fldChar w:fldCharType="separate"/>
      </w:r>
      <w:r w:rsidR="00152F6D">
        <w:rPr>
          <w:rStyle w:val="FigurestyleChar"/>
          <w:noProof/>
        </w:rPr>
        <w:t>3</w:t>
      </w:r>
      <w:r w:rsidR="00F256F4">
        <w:rPr>
          <w:rStyle w:val="FigurestyleChar"/>
        </w:rPr>
        <w:fldChar w:fldCharType="end"/>
      </w:r>
      <w:bookmarkEnd w:id="245"/>
      <w:bookmarkEnd w:id="246"/>
      <w:r w:rsidRPr="0035035C">
        <w:rPr>
          <w:rStyle w:val="FigurestyleChar"/>
        </w:rPr>
        <w:t xml:space="preserve"> Results of meta-analysis for the effects of interventions on the outcomes</w:t>
      </w:r>
      <w:r w:rsidR="00A30D04">
        <w:rPr>
          <w:rStyle w:val="FigurestyleChar"/>
        </w:rPr>
        <w:t>,</w:t>
      </w:r>
      <w:r w:rsidRPr="0035035C">
        <w:rPr>
          <w:rStyle w:val="FigurestyleChar"/>
        </w:rPr>
        <w:t xml:space="preserve"> work engagement, vigour, dedication and absorp</w:t>
      </w:r>
      <w:r w:rsidR="009711F1">
        <w:rPr>
          <w:rStyle w:val="FigurestyleChar"/>
        </w:rPr>
        <w:t>tion, at post-intervention (T2) and follow-up (</w:t>
      </w:r>
      <w:r w:rsidRPr="00411F9D">
        <w:t>T3)</w:t>
      </w:r>
      <w:bookmarkEnd w:id="247"/>
    </w:p>
    <w:p w14:paraId="063407D0" w14:textId="77777777" w:rsidR="0035035C" w:rsidRDefault="0035035C" w:rsidP="005852AD">
      <w:pPr>
        <w:pStyle w:val="Figurestyle"/>
      </w:pPr>
    </w:p>
    <w:tbl>
      <w:tblPr>
        <w:tblW w:w="9319" w:type="dxa"/>
        <w:jc w:val="center"/>
        <w:tblLook w:val="04A0" w:firstRow="1" w:lastRow="0" w:firstColumn="1" w:lastColumn="0" w:noHBand="0" w:noVBand="1"/>
      </w:tblPr>
      <w:tblGrid>
        <w:gridCol w:w="988"/>
        <w:gridCol w:w="479"/>
        <w:gridCol w:w="732"/>
        <w:gridCol w:w="774"/>
        <w:gridCol w:w="669"/>
        <w:gridCol w:w="669"/>
        <w:gridCol w:w="1201"/>
        <w:gridCol w:w="803"/>
        <w:gridCol w:w="922"/>
        <w:gridCol w:w="479"/>
        <w:gridCol w:w="803"/>
        <w:gridCol w:w="800"/>
      </w:tblGrid>
      <w:tr w:rsidR="00E6060C" w:rsidRPr="00E6060C" w14:paraId="40115ED7" w14:textId="77777777" w:rsidTr="00E6060C">
        <w:trPr>
          <w:trHeight w:val="287"/>
          <w:jc w:val="center"/>
        </w:trPr>
        <w:tc>
          <w:tcPr>
            <w:tcW w:w="988" w:type="dxa"/>
            <w:tcBorders>
              <w:top w:val="single" w:sz="4" w:space="0" w:color="auto"/>
              <w:bottom w:val="single" w:sz="4" w:space="0" w:color="auto"/>
            </w:tcBorders>
          </w:tcPr>
          <w:p w14:paraId="1258D8E8"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Time point</w:t>
            </w:r>
          </w:p>
        </w:tc>
        <w:tc>
          <w:tcPr>
            <w:tcW w:w="479" w:type="dxa"/>
            <w:tcBorders>
              <w:top w:val="single" w:sz="4" w:space="0" w:color="auto"/>
              <w:bottom w:val="single" w:sz="4" w:space="0" w:color="auto"/>
            </w:tcBorders>
            <w:noWrap/>
          </w:tcPr>
          <w:p w14:paraId="7585F320" w14:textId="37DF7700" w:rsidR="00E6060C" w:rsidRPr="00E6060C" w:rsidRDefault="005D147A" w:rsidP="00E6060C">
            <w:pPr>
              <w:spacing w:before="200" w:line="360" w:lineRule="auto"/>
              <w:contextualSpacing/>
              <w:jc w:val="center"/>
              <w:rPr>
                <w:rFonts w:ascii="Calibri" w:eastAsia="Calibri" w:hAnsi="Calibri" w:cs="Times New Roman"/>
                <w:b/>
                <w:bCs/>
                <w:i/>
              </w:rPr>
            </w:pPr>
            <w:r>
              <w:rPr>
                <w:rFonts w:ascii="Calibri" w:eastAsia="Calibri" w:hAnsi="Calibri" w:cs="Times New Roman"/>
                <w:b/>
                <w:bCs/>
                <w:i/>
              </w:rPr>
              <w:t>k</w:t>
            </w:r>
          </w:p>
        </w:tc>
        <w:tc>
          <w:tcPr>
            <w:tcW w:w="732" w:type="dxa"/>
            <w:tcBorders>
              <w:top w:val="single" w:sz="4" w:space="0" w:color="auto"/>
              <w:bottom w:val="single" w:sz="4" w:space="0" w:color="auto"/>
            </w:tcBorders>
            <w:noWrap/>
          </w:tcPr>
          <w:p w14:paraId="2ECD1155"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n (int)</w:t>
            </w:r>
          </w:p>
        </w:tc>
        <w:tc>
          <w:tcPr>
            <w:tcW w:w="774" w:type="dxa"/>
            <w:tcBorders>
              <w:top w:val="single" w:sz="4" w:space="0" w:color="auto"/>
              <w:bottom w:val="single" w:sz="4" w:space="0" w:color="auto"/>
            </w:tcBorders>
            <w:noWrap/>
          </w:tcPr>
          <w:p w14:paraId="0C1EA35A"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n</w:t>
            </w:r>
          </w:p>
          <w:p w14:paraId="0E6D7363"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(con)</w:t>
            </w:r>
          </w:p>
        </w:tc>
        <w:tc>
          <w:tcPr>
            <w:tcW w:w="2539" w:type="dxa"/>
            <w:gridSpan w:val="3"/>
            <w:tcBorders>
              <w:top w:val="single" w:sz="4" w:space="0" w:color="auto"/>
              <w:bottom w:val="single" w:sz="4" w:space="0" w:color="auto"/>
            </w:tcBorders>
            <w:noWrap/>
          </w:tcPr>
          <w:p w14:paraId="17F05F94"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Intervention effects</w:t>
            </w:r>
          </w:p>
        </w:tc>
        <w:tc>
          <w:tcPr>
            <w:tcW w:w="803" w:type="dxa"/>
            <w:tcBorders>
              <w:top w:val="single" w:sz="4" w:space="0" w:color="auto"/>
              <w:bottom w:val="single" w:sz="4" w:space="0" w:color="auto"/>
            </w:tcBorders>
          </w:tcPr>
          <w:p w14:paraId="7B8F7698"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i/>
              </w:rPr>
              <w:t>p</w:t>
            </w:r>
          </w:p>
        </w:tc>
        <w:tc>
          <w:tcPr>
            <w:tcW w:w="3004" w:type="dxa"/>
            <w:gridSpan w:val="4"/>
            <w:tcBorders>
              <w:top w:val="single" w:sz="4" w:space="0" w:color="auto"/>
              <w:bottom w:val="single" w:sz="4" w:space="0" w:color="auto"/>
            </w:tcBorders>
            <w:noWrap/>
          </w:tcPr>
          <w:p w14:paraId="49C5B083"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Heterogeneity within each subgroup</w:t>
            </w:r>
          </w:p>
        </w:tc>
      </w:tr>
      <w:tr w:rsidR="00E6060C" w:rsidRPr="00E6060C" w14:paraId="67C8B44D" w14:textId="77777777" w:rsidTr="00E6060C">
        <w:trPr>
          <w:trHeight w:val="287"/>
          <w:jc w:val="center"/>
        </w:trPr>
        <w:tc>
          <w:tcPr>
            <w:tcW w:w="988" w:type="dxa"/>
            <w:tcBorders>
              <w:top w:val="single" w:sz="4" w:space="0" w:color="auto"/>
              <w:bottom w:val="single" w:sz="4" w:space="0" w:color="auto"/>
            </w:tcBorders>
          </w:tcPr>
          <w:p w14:paraId="7570425B" w14:textId="77777777" w:rsidR="00E6060C" w:rsidRPr="00E6060C" w:rsidRDefault="00E6060C" w:rsidP="00E6060C">
            <w:pPr>
              <w:spacing w:before="200" w:line="360" w:lineRule="auto"/>
              <w:contextualSpacing/>
              <w:rPr>
                <w:rFonts w:ascii="Calibri" w:eastAsia="Calibri" w:hAnsi="Calibri" w:cs="Times New Roman"/>
                <w:b/>
                <w:bCs/>
              </w:rPr>
            </w:pPr>
          </w:p>
        </w:tc>
        <w:tc>
          <w:tcPr>
            <w:tcW w:w="479" w:type="dxa"/>
            <w:tcBorders>
              <w:top w:val="single" w:sz="4" w:space="0" w:color="auto"/>
              <w:bottom w:val="single" w:sz="4" w:space="0" w:color="auto"/>
            </w:tcBorders>
            <w:noWrap/>
          </w:tcPr>
          <w:p w14:paraId="6EAE9E9B" w14:textId="77777777" w:rsidR="00E6060C" w:rsidRPr="00E6060C" w:rsidRDefault="00E6060C" w:rsidP="00E6060C">
            <w:pPr>
              <w:spacing w:before="200" w:line="360" w:lineRule="auto"/>
              <w:contextualSpacing/>
              <w:rPr>
                <w:rFonts w:ascii="Calibri" w:eastAsia="Calibri" w:hAnsi="Calibri" w:cs="Times New Roman"/>
                <w:b/>
                <w:bCs/>
              </w:rPr>
            </w:pPr>
          </w:p>
        </w:tc>
        <w:tc>
          <w:tcPr>
            <w:tcW w:w="732" w:type="dxa"/>
            <w:tcBorders>
              <w:top w:val="single" w:sz="4" w:space="0" w:color="auto"/>
              <w:bottom w:val="single" w:sz="4" w:space="0" w:color="auto"/>
            </w:tcBorders>
            <w:noWrap/>
          </w:tcPr>
          <w:p w14:paraId="3C07A2C2" w14:textId="77777777" w:rsidR="00E6060C" w:rsidRPr="00E6060C" w:rsidRDefault="00E6060C" w:rsidP="00E6060C">
            <w:pPr>
              <w:spacing w:before="200" w:line="360" w:lineRule="auto"/>
              <w:contextualSpacing/>
              <w:rPr>
                <w:rFonts w:ascii="Calibri" w:eastAsia="Calibri" w:hAnsi="Calibri" w:cs="Times New Roman"/>
                <w:b/>
                <w:bCs/>
              </w:rPr>
            </w:pPr>
          </w:p>
        </w:tc>
        <w:tc>
          <w:tcPr>
            <w:tcW w:w="774" w:type="dxa"/>
            <w:tcBorders>
              <w:top w:val="single" w:sz="4" w:space="0" w:color="auto"/>
              <w:bottom w:val="single" w:sz="4" w:space="0" w:color="auto"/>
            </w:tcBorders>
            <w:noWrap/>
          </w:tcPr>
          <w:p w14:paraId="0BFBCF76" w14:textId="77777777" w:rsidR="00E6060C" w:rsidRPr="00E6060C" w:rsidRDefault="00E6060C" w:rsidP="00E6060C">
            <w:pPr>
              <w:spacing w:before="200" w:line="360" w:lineRule="auto"/>
              <w:contextualSpacing/>
              <w:rPr>
                <w:rFonts w:ascii="Calibri" w:eastAsia="Calibri" w:hAnsi="Calibri" w:cs="Times New Roman"/>
                <w:b/>
                <w:bCs/>
              </w:rPr>
            </w:pPr>
          </w:p>
        </w:tc>
        <w:tc>
          <w:tcPr>
            <w:tcW w:w="669" w:type="dxa"/>
            <w:tcBorders>
              <w:top w:val="single" w:sz="4" w:space="0" w:color="auto"/>
              <w:bottom w:val="single" w:sz="4" w:space="0" w:color="auto"/>
            </w:tcBorders>
            <w:noWrap/>
          </w:tcPr>
          <w:p w14:paraId="56529352" w14:textId="12E513DF" w:rsidR="00E6060C" w:rsidRPr="00E6060C" w:rsidRDefault="005D147A" w:rsidP="00E6060C">
            <w:pPr>
              <w:spacing w:before="200" w:line="360" w:lineRule="auto"/>
              <w:contextualSpacing/>
              <w:rPr>
                <w:rFonts w:ascii="Calibri" w:eastAsia="Calibri" w:hAnsi="Calibri" w:cs="Times New Roman"/>
                <w:b/>
                <w:bCs/>
                <w:i/>
              </w:rPr>
            </w:pPr>
            <w:r>
              <w:rPr>
                <w:rFonts w:ascii="Calibri" w:eastAsia="Calibri" w:hAnsi="Calibri" w:cs="Times New Roman"/>
                <w:b/>
                <w:bCs/>
                <w:i/>
              </w:rPr>
              <w:t>g</w:t>
            </w:r>
          </w:p>
        </w:tc>
        <w:tc>
          <w:tcPr>
            <w:tcW w:w="669" w:type="dxa"/>
            <w:tcBorders>
              <w:top w:val="single" w:sz="4" w:space="0" w:color="auto"/>
              <w:bottom w:val="single" w:sz="4" w:space="0" w:color="auto"/>
            </w:tcBorders>
            <w:noWrap/>
          </w:tcPr>
          <w:p w14:paraId="38EA8622"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SE</w:t>
            </w:r>
          </w:p>
        </w:tc>
        <w:tc>
          <w:tcPr>
            <w:tcW w:w="1201" w:type="dxa"/>
            <w:tcBorders>
              <w:top w:val="single" w:sz="4" w:space="0" w:color="auto"/>
              <w:bottom w:val="single" w:sz="4" w:space="0" w:color="auto"/>
            </w:tcBorders>
            <w:noWrap/>
          </w:tcPr>
          <w:p w14:paraId="18289BEC"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 xml:space="preserve">95%-CI, </w:t>
            </w:r>
          </w:p>
        </w:tc>
        <w:tc>
          <w:tcPr>
            <w:tcW w:w="803" w:type="dxa"/>
            <w:tcBorders>
              <w:top w:val="single" w:sz="4" w:space="0" w:color="auto"/>
              <w:bottom w:val="single" w:sz="4" w:space="0" w:color="auto"/>
            </w:tcBorders>
          </w:tcPr>
          <w:p w14:paraId="68F270D8" w14:textId="77777777" w:rsidR="00E6060C" w:rsidRPr="00E6060C" w:rsidRDefault="00E6060C" w:rsidP="00E6060C">
            <w:pPr>
              <w:spacing w:before="200" w:line="360" w:lineRule="auto"/>
              <w:contextualSpacing/>
              <w:rPr>
                <w:rFonts w:ascii="Calibri" w:eastAsia="Calibri" w:hAnsi="Calibri" w:cs="Times New Roman"/>
                <w:b/>
                <w:bCs/>
              </w:rPr>
            </w:pPr>
          </w:p>
        </w:tc>
        <w:tc>
          <w:tcPr>
            <w:tcW w:w="922" w:type="dxa"/>
            <w:tcBorders>
              <w:top w:val="single" w:sz="4" w:space="0" w:color="auto"/>
              <w:bottom w:val="single" w:sz="4" w:space="0" w:color="auto"/>
            </w:tcBorders>
            <w:noWrap/>
          </w:tcPr>
          <w:p w14:paraId="37DFEC94"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Q</w:t>
            </w:r>
          </w:p>
        </w:tc>
        <w:tc>
          <w:tcPr>
            <w:tcW w:w="479" w:type="dxa"/>
            <w:tcBorders>
              <w:top w:val="single" w:sz="4" w:space="0" w:color="auto"/>
              <w:bottom w:val="single" w:sz="4" w:space="0" w:color="auto"/>
            </w:tcBorders>
            <w:noWrap/>
          </w:tcPr>
          <w:p w14:paraId="2483C900" w14:textId="77777777" w:rsidR="00E6060C" w:rsidRPr="00E6060C" w:rsidRDefault="00E6060C" w:rsidP="00E6060C">
            <w:pPr>
              <w:spacing w:before="200" w:line="360" w:lineRule="auto"/>
              <w:contextualSpacing/>
              <w:rPr>
                <w:rFonts w:ascii="Calibri" w:eastAsia="Calibri" w:hAnsi="Calibri" w:cs="Times New Roman"/>
                <w:b/>
                <w:bCs/>
                <w:i/>
              </w:rPr>
            </w:pPr>
            <w:r w:rsidRPr="00E6060C">
              <w:rPr>
                <w:rFonts w:ascii="Calibri" w:eastAsia="Calibri" w:hAnsi="Calibri" w:cs="Times New Roman"/>
                <w:b/>
                <w:bCs/>
                <w:i/>
              </w:rPr>
              <w:t>df</w:t>
            </w:r>
          </w:p>
        </w:tc>
        <w:tc>
          <w:tcPr>
            <w:tcW w:w="803" w:type="dxa"/>
            <w:tcBorders>
              <w:top w:val="single" w:sz="4" w:space="0" w:color="auto"/>
              <w:bottom w:val="single" w:sz="4" w:space="0" w:color="auto"/>
            </w:tcBorders>
            <w:noWrap/>
          </w:tcPr>
          <w:p w14:paraId="6EC2D9AB" w14:textId="79380675" w:rsidR="00E6060C" w:rsidRPr="00E6060C" w:rsidRDefault="005D147A" w:rsidP="00E6060C">
            <w:pPr>
              <w:spacing w:before="200" w:line="360" w:lineRule="auto"/>
              <w:contextualSpacing/>
              <w:rPr>
                <w:rFonts w:ascii="Calibri" w:eastAsia="Calibri" w:hAnsi="Calibri" w:cs="Times New Roman"/>
                <w:b/>
                <w:bCs/>
              </w:rPr>
            </w:pPr>
            <w:r>
              <w:rPr>
                <w:rFonts w:ascii="Calibri" w:eastAsia="Calibri" w:hAnsi="Calibri" w:cs="Times New Roman"/>
                <w:b/>
                <w:bCs/>
                <w:i/>
              </w:rPr>
              <w:t>p</w:t>
            </w:r>
          </w:p>
        </w:tc>
        <w:tc>
          <w:tcPr>
            <w:tcW w:w="800" w:type="dxa"/>
            <w:tcBorders>
              <w:top w:val="single" w:sz="4" w:space="0" w:color="auto"/>
              <w:bottom w:val="single" w:sz="4" w:space="0" w:color="auto"/>
            </w:tcBorders>
            <w:noWrap/>
          </w:tcPr>
          <w:p w14:paraId="442558B3"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i/>
              </w:rPr>
              <w:t>I</w:t>
            </w:r>
            <w:r w:rsidRPr="00E6060C">
              <w:rPr>
                <w:rFonts w:ascii="Calibri" w:eastAsia="Calibri" w:hAnsi="Calibri" w:cs="Times New Roman"/>
                <w:b/>
                <w:bCs/>
                <w:i/>
                <w:vertAlign w:val="superscript"/>
              </w:rPr>
              <w:t>2</w:t>
            </w:r>
            <w:r w:rsidRPr="00E6060C">
              <w:rPr>
                <w:rFonts w:ascii="Calibri" w:eastAsia="Calibri" w:hAnsi="Calibri" w:cs="Times New Roman"/>
                <w:b/>
                <w:bCs/>
              </w:rPr>
              <w:t xml:space="preserve"> </w:t>
            </w:r>
          </w:p>
        </w:tc>
      </w:tr>
      <w:tr w:rsidR="00E6060C" w:rsidRPr="00E6060C" w14:paraId="08611AA9" w14:textId="77777777" w:rsidTr="00E6060C">
        <w:trPr>
          <w:trHeight w:val="333"/>
          <w:jc w:val="center"/>
        </w:trPr>
        <w:tc>
          <w:tcPr>
            <w:tcW w:w="9319" w:type="dxa"/>
            <w:gridSpan w:val="12"/>
            <w:tcBorders>
              <w:top w:val="single" w:sz="4" w:space="0" w:color="auto"/>
            </w:tcBorders>
            <w:vAlign w:val="center"/>
          </w:tcPr>
          <w:p w14:paraId="19B9CFAF" w14:textId="77777777" w:rsidR="00E6060C" w:rsidRPr="00E6060C" w:rsidRDefault="00E6060C" w:rsidP="00E6060C">
            <w:pPr>
              <w:spacing w:before="200" w:line="360" w:lineRule="auto"/>
              <w:contextualSpacing/>
              <w:rPr>
                <w:rFonts w:ascii="Calibri" w:eastAsia="Calibri" w:hAnsi="Calibri" w:cs="Times New Roman"/>
                <w:b/>
                <w:bCs/>
                <w:i/>
              </w:rPr>
            </w:pPr>
            <w:r w:rsidRPr="00E6060C">
              <w:rPr>
                <w:rFonts w:ascii="Calibri" w:eastAsia="Calibri" w:hAnsi="Calibri" w:cs="Times New Roman"/>
                <w:b/>
                <w:bCs/>
              </w:rPr>
              <w:t>Absorption</w:t>
            </w:r>
          </w:p>
        </w:tc>
      </w:tr>
      <w:tr w:rsidR="00E6060C" w:rsidRPr="00E6060C" w14:paraId="6943EA8F" w14:textId="77777777" w:rsidTr="00E6060C">
        <w:trPr>
          <w:trHeight w:val="287"/>
          <w:jc w:val="center"/>
        </w:trPr>
        <w:tc>
          <w:tcPr>
            <w:tcW w:w="988" w:type="dxa"/>
          </w:tcPr>
          <w:p w14:paraId="10486DB6"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T2</w:t>
            </w:r>
          </w:p>
        </w:tc>
        <w:tc>
          <w:tcPr>
            <w:tcW w:w="479" w:type="dxa"/>
            <w:noWrap/>
          </w:tcPr>
          <w:p w14:paraId="45A587F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6</w:t>
            </w:r>
          </w:p>
        </w:tc>
        <w:tc>
          <w:tcPr>
            <w:tcW w:w="732" w:type="dxa"/>
            <w:noWrap/>
          </w:tcPr>
          <w:p w14:paraId="7A5D754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310</w:t>
            </w:r>
          </w:p>
        </w:tc>
        <w:tc>
          <w:tcPr>
            <w:tcW w:w="774" w:type="dxa"/>
            <w:noWrap/>
          </w:tcPr>
          <w:p w14:paraId="6E6821BE"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296</w:t>
            </w:r>
          </w:p>
        </w:tc>
        <w:tc>
          <w:tcPr>
            <w:tcW w:w="669" w:type="dxa"/>
            <w:noWrap/>
          </w:tcPr>
          <w:p w14:paraId="2BE35BD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0.92</w:t>
            </w:r>
          </w:p>
        </w:tc>
        <w:tc>
          <w:tcPr>
            <w:tcW w:w="669" w:type="dxa"/>
            <w:noWrap/>
          </w:tcPr>
          <w:p w14:paraId="4C478E57"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0.28</w:t>
            </w:r>
          </w:p>
        </w:tc>
        <w:tc>
          <w:tcPr>
            <w:tcW w:w="1201" w:type="dxa"/>
            <w:noWrap/>
          </w:tcPr>
          <w:p w14:paraId="702C78C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0.38-1.47</w:t>
            </w:r>
          </w:p>
        </w:tc>
        <w:tc>
          <w:tcPr>
            <w:tcW w:w="803" w:type="dxa"/>
          </w:tcPr>
          <w:p w14:paraId="7521FD3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922" w:type="dxa"/>
            <w:noWrap/>
          </w:tcPr>
          <w:p w14:paraId="33FD5871"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40.92</w:t>
            </w:r>
          </w:p>
        </w:tc>
        <w:tc>
          <w:tcPr>
            <w:tcW w:w="479" w:type="dxa"/>
            <w:noWrap/>
          </w:tcPr>
          <w:p w14:paraId="1936B8F3"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5</w:t>
            </w:r>
          </w:p>
        </w:tc>
        <w:tc>
          <w:tcPr>
            <w:tcW w:w="803" w:type="dxa"/>
            <w:noWrap/>
          </w:tcPr>
          <w:p w14:paraId="63620A35"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noWrap/>
          </w:tcPr>
          <w:p w14:paraId="432E7B7B"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87.78</w:t>
            </w:r>
          </w:p>
        </w:tc>
      </w:tr>
      <w:tr w:rsidR="00E6060C" w:rsidRPr="00E6060C" w14:paraId="539B94E3" w14:textId="77777777" w:rsidTr="00E6060C">
        <w:trPr>
          <w:trHeight w:val="287"/>
          <w:jc w:val="center"/>
        </w:trPr>
        <w:tc>
          <w:tcPr>
            <w:tcW w:w="988" w:type="dxa"/>
            <w:tcBorders>
              <w:bottom w:val="single" w:sz="4" w:space="0" w:color="auto"/>
            </w:tcBorders>
          </w:tcPr>
          <w:p w14:paraId="6D8A57B9"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T3</w:t>
            </w:r>
          </w:p>
        </w:tc>
        <w:tc>
          <w:tcPr>
            <w:tcW w:w="479" w:type="dxa"/>
            <w:tcBorders>
              <w:bottom w:val="single" w:sz="4" w:space="0" w:color="auto"/>
            </w:tcBorders>
            <w:noWrap/>
          </w:tcPr>
          <w:p w14:paraId="6F5443F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4</w:t>
            </w:r>
          </w:p>
        </w:tc>
        <w:tc>
          <w:tcPr>
            <w:tcW w:w="732" w:type="dxa"/>
            <w:tcBorders>
              <w:bottom w:val="single" w:sz="4" w:space="0" w:color="auto"/>
            </w:tcBorders>
            <w:noWrap/>
          </w:tcPr>
          <w:p w14:paraId="0EC18E2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276</w:t>
            </w:r>
          </w:p>
        </w:tc>
        <w:tc>
          <w:tcPr>
            <w:tcW w:w="774" w:type="dxa"/>
            <w:tcBorders>
              <w:bottom w:val="single" w:sz="4" w:space="0" w:color="auto"/>
            </w:tcBorders>
            <w:noWrap/>
          </w:tcPr>
          <w:p w14:paraId="3276C256"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257</w:t>
            </w:r>
          </w:p>
        </w:tc>
        <w:tc>
          <w:tcPr>
            <w:tcW w:w="669" w:type="dxa"/>
            <w:tcBorders>
              <w:bottom w:val="single" w:sz="4" w:space="0" w:color="auto"/>
            </w:tcBorders>
            <w:noWrap/>
          </w:tcPr>
          <w:p w14:paraId="110A2D1E"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0.67</w:t>
            </w:r>
          </w:p>
        </w:tc>
        <w:tc>
          <w:tcPr>
            <w:tcW w:w="669" w:type="dxa"/>
            <w:tcBorders>
              <w:bottom w:val="single" w:sz="4" w:space="0" w:color="auto"/>
            </w:tcBorders>
            <w:noWrap/>
          </w:tcPr>
          <w:p w14:paraId="4E71A38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0.33</w:t>
            </w:r>
          </w:p>
        </w:tc>
        <w:tc>
          <w:tcPr>
            <w:tcW w:w="1201" w:type="dxa"/>
            <w:tcBorders>
              <w:bottom w:val="single" w:sz="4" w:space="0" w:color="auto"/>
            </w:tcBorders>
            <w:noWrap/>
          </w:tcPr>
          <w:p w14:paraId="789A49E7"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0.19-1.33</w:t>
            </w:r>
          </w:p>
        </w:tc>
        <w:tc>
          <w:tcPr>
            <w:tcW w:w="803" w:type="dxa"/>
            <w:tcBorders>
              <w:bottom w:val="single" w:sz="4" w:space="0" w:color="auto"/>
            </w:tcBorders>
          </w:tcPr>
          <w:p w14:paraId="52120C0B"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0.04</w:t>
            </w:r>
          </w:p>
        </w:tc>
        <w:tc>
          <w:tcPr>
            <w:tcW w:w="922" w:type="dxa"/>
            <w:tcBorders>
              <w:bottom w:val="single" w:sz="4" w:space="0" w:color="auto"/>
            </w:tcBorders>
            <w:noWrap/>
          </w:tcPr>
          <w:p w14:paraId="1964D5D8"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30.33</w:t>
            </w:r>
          </w:p>
        </w:tc>
        <w:tc>
          <w:tcPr>
            <w:tcW w:w="479" w:type="dxa"/>
            <w:tcBorders>
              <w:bottom w:val="single" w:sz="4" w:space="0" w:color="auto"/>
            </w:tcBorders>
            <w:noWrap/>
          </w:tcPr>
          <w:p w14:paraId="4C6C7CC2"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3</w:t>
            </w:r>
          </w:p>
        </w:tc>
        <w:tc>
          <w:tcPr>
            <w:tcW w:w="803" w:type="dxa"/>
            <w:tcBorders>
              <w:bottom w:val="single" w:sz="4" w:space="0" w:color="auto"/>
            </w:tcBorders>
            <w:noWrap/>
          </w:tcPr>
          <w:p w14:paraId="78FB0EA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tcBorders>
              <w:bottom w:val="single" w:sz="4" w:space="0" w:color="auto"/>
            </w:tcBorders>
            <w:noWrap/>
          </w:tcPr>
          <w:p w14:paraId="526DA68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90.11</w:t>
            </w:r>
          </w:p>
        </w:tc>
      </w:tr>
      <w:tr w:rsidR="00E6060C" w:rsidRPr="00E6060C" w14:paraId="60FC53C9" w14:textId="77777777" w:rsidTr="00E6060C">
        <w:trPr>
          <w:trHeight w:val="343"/>
          <w:jc w:val="center"/>
        </w:trPr>
        <w:tc>
          <w:tcPr>
            <w:tcW w:w="9319" w:type="dxa"/>
            <w:gridSpan w:val="12"/>
            <w:tcBorders>
              <w:top w:val="single" w:sz="4" w:space="0" w:color="auto"/>
            </w:tcBorders>
            <w:vAlign w:val="center"/>
          </w:tcPr>
          <w:p w14:paraId="12ABB99C"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b/>
              </w:rPr>
              <w:t>Dedication</w:t>
            </w:r>
          </w:p>
        </w:tc>
      </w:tr>
      <w:tr w:rsidR="00E6060C" w:rsidRPr="00E6060C" w14:paraId="3E6D2CD7" w14:textId="77777777" w:rsidTr="00E6060C">
        <w:trPr>
          <w:trHeight w:val="287"/>
          <w:jc w:val="center"/>
        </w:trPr>
        <w:tc>
          <w:tcPr>
            <w:tcW w:w="988" w:type="dxa"/>
          </w:tcPr>
          <w:p w14:paraId="4B27361D"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T2</w:t>
            </w:r>
          </w:p>
        </w:tc>
        <w:tc>
          <w:tcPr>
            <w:tcW w:w="479" w:type="dxa"/>
            <w:noWrap/>
          </w:tcPr>
          <w:p w14:paraId="3A53C62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9</w:t>
            </w:r>
          </w:p>
        </w:tc>
        <w:tc>
          <w:tcPr>
            <w:tcW w:w="732" w:type="dxa"/>
            <w:noWrap/>
          </w:tcPr>
          <w:p w14:paraId="3AE6D623"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408</w:t>
            </w:r>
          </w:p>
        </w:tc>
        <w:tc>
          <w:tcPr>
            <w:tcW w:w="774" w:type="dxa"/>
            <w:noWrap/>
          </w:tcPr>
          <w:p w14:paraId="44B1C71E"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412</w:t>
            </w:r>
          </w:p>
        </w:tc>
        <w:tc>
          <w:tcPr>
            <w:tcW w:w="669" w:type="dxa"/>
            <w:noWrap/>
          </w:tcPr>
          <w:p w14:paraId="7330B1E5"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0.83</w:t>
            </w:r>
          </w:p>
        </w:tc>
        <w:tc>
          <w:tcPr>
            <w:tcW w:w="669" w:type="dxa"/>
            <w:noWrap/>
          </w:tcPr>
          <w:p w14:paraId="2E25A2E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0.23</w:t>
            </w:r>
          </w:p>
        </w:tc>
        <w:tc>
          <w:tcPr>
            <w:tcW w:w="1201" w:type="dxa"/>
            <w:noWrap/>
          </w:tcPr>
          <w:p w14:paraId="74E6D2AD"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0.37-1.28</w:t>
            </w:r>
          </w:p>
        </w:tc>
        <w:tc>
          <w:tcPr>
            <w:tcW w:w="803" w:type="dxa"/>
          </w:tcPr>
          <w:p w14:paraId="562D2C7C"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922" w:type="dxa"/>
            <w:noWrap/>
          </w:tcPr>
          <w:p w14:paraId="1E1071C8"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62.20</w:t>
            </w:r>
          </w:p>
        </w:tc>
        <w:tc>
          <w:tcPr>
            <w:tcW w:w="479" w:type="dxa"/>
            <w:noWrap/>
          </w:tcPr>
          <w:p w14:paraId="77E9CC3C"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w:t>
            </w:r>
          </w:p>
        </w:tc>
        <w:tc>
          <w:tcPr>
            <w:tcW w:w="803" w:type="dxa"/>
            <w:noWrap/>
          </w:tcPr>
          <w:p w14:paraId="5F4D1E0B"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noWrap/>
          </w:tcPr>
          <w:p w14:paraId="2C867CC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87.14</w:t>
            </w:r>
          </w:p>
        </w:tc>
      </w:tr>
      <w:tr w:rsidR="00E6060C" w:rsidRPr="00E6060C" w14:paraId="73A3C83C" w14:textId="77777777" w:rsidTr="00E6060C">
        <w:trPr>
          <w:trHeight w:val="287"/>
          <w:jc w:val="center"/>
        </w:trPr>
        <w:tc>
          <w:tcPr>
            <w:tcW w:w="988" w:type="dxa"/>
            <w:tcBorders>
              <w:bottom w:val="single" w:sz="4" w:space="0" w:color="auto"/>
            </w:tcBorders>
          </w:tcPr>
          <w:p w14:paraId="7D5E1270"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T3</w:t>
            </w:r>
          </w:p>
        </w:tc>
        <w:tc>
          <w:tcPr>
            <w:tcW w:w="479" w:type="dxa"/>
            <w:tcBorders>
              <w:bottom w:val="single" w:sz="4" w:space="0" w:color="auto"/>
            </w:tcBorders>
            <w:noWrap/>
          </w:tcPr>
          <w:p w14:paraId="1CF646D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4</w:t>
            </w:r>
          </w:p>
        </w:tc>
        <w:tc>
          <w:tcPr>
            <w:tcW w:w="732" w:type="dxa"/>
            <w:tcBorders>
              <w:bottom w:val="single" w:sz="4" w:space="0" w:color="auto"/>
            </w:tcBorders>
            <w:noWrap/>
          </w:tcPr>
          <w:p w14:paraId="2F07FB79"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276</w:t>
            </w:r>
          </w:p>
        </w:tc>
        <w:tc>
          <w:tcPr>
            <w:tcW w:w="774" w:type="dxa"/>
            <w:tcBorders>
              <w:bottom w:val="single" w:sz="4" w:space="0" w:color="auto"/>
            </w:tcBorders>
            <w:noWrap/>
          </w:tcPr>
          <w:p w14:paraId="60471D3B"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257</w:t>
            </w:r>
          </w:p>
        </w:tc>
        <w:tc>
          <w:tcPr>
            <w:tcW w:w="669" w:type="dxa"/>
            <w:tcBorders>
              <w:bottom w:val="single" w:sz="4" w:space="0" w:color="auto"/>
            </w:tcBorders>
            <w:noWrap/>
          </w:tcPr>
          <w:p w14:paraId="23395D31"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0.84</w:t>
            </w:r>
          </w:p>
        </w:tc>
        <w:tc>
          <w:tcPr>
            <w:tcW w:w="669" w:type="dxa"/>
            <w:tcBorders>
              <w:bottom w:val="single" w:sz="4" w:space="0" w:color="auto"/>
            </w:tcBorders>
            <w:noWrap/>
          </w:tcPr>
          <w:p w14:paraId="6AB8E4D5"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0.39</w:t>
            </w:r>
          </w:p>
        </w:tc>
        <w:tc>
          <w:tcPr>
            <w:tcW w:w="1201" w:type="dxa"/>
            <w:tcBorders>
              <w:bottom w:val="single" w:sz="4" w:space="0" w:color="auto"/>
            </w:tcBorders>
            <w:noWrap/>
          </w:tcPr>
          <w:p w14:paraId="522FBCE2"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0.08-1.60</w:t>
            </w:r>
          </w:p>
        </w:tc>
        <w:tc>
          <w:tcPr>
            <w:tcW w:w="803" w:type="dxa"/>
            <w:tcBorders>
              <w:bottom w:val="single" w:sz="4" w:space="0" w:color="auto"/>
            </w:tcBorders>
          </w:tcPr>
          <w:p w14:paraId="0C6E0D76"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0.03</w:t>
            </w:r>
          </w:p>
        </w:tc>
        <w:tc>
          <w:tcPr>
            <w:tcW w:w="922" w:type="dxa"/>
            <w:tcBorders>
              <w:bottom w:val="single" w:sz="4" w:space="0" w:color="auto"/>
            </w:tcBorders>
            <w:noWrap/>
          </w:tcPr>
          <w:p w14:paraId="750715CC"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38.83</w:t>
            </w:r>
          </w:p>
        </w:tc>
        <w:tc>
          <w:tcPr>
            <w:tcW w:w="479" w:type="dxa"/>
            <w:tcBorders>
              <w:bottom w:val="single" w:sz="4" w:space="0" w:color="auto"/>
            </w:tcBorders>
            <w:noWrap/>
          </w:tcPr>
          <w:p w14:paraId="2BDC1A36"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3</w:t>
            </w:r>
          </w:p>
        </w:tc>
        <w:tc>
          <w:tcPr>
            <w:tcW w:w="803" w:type="dxa"/>
            <w:tcBorders>
              <w:bottom w:val="single" w:sz="4" w:space="0" w:color="auto"/>
            </w:tcBorders>
            <w:noWrap/>
          </w:tcPr>
          <w:p w14:paraId="35E6610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tcBorders>
              <w:bottom w:val="single" w:sz="4" w:space="0" w:color="auto"/>
            </w:tcBorders>
            <w:noWrap/>
          </w:tcPr>
          <w:p w14:paraId="6226555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92.27</w:t>
            </w:r>
          </w:p>
        </w:tc>
      </w:tr>
      <w:tr w:rsidR="00E6060C" w:rsidRPr="00E6060C" w14:paraId="2074A869" w14:textId="77777777" w:rsidTr="00E6060C">
        <w:trPr>
          <w:trHeight w:val="287"/>
          <w:jc w:val="center"/>
        </w:trPr>
        <w:tc>
          <w:tcPr>
            <w:tcW w:w="9319" w:type="dxa"/>
            <w:gridSpan w:val="12"/>
            <w:tcBorders>
              <w:top w:val="single" w:sz="4" w:space="0" w:color="auto"/>
            </w:tcBorders>
            <w:vAlign w:val="center"/>
          </w:tcPr>
          <w:p w14:paraId="6D458E65" w14:textId="77777777" w:rsidR="00E6060C" w:rsidRPr="00E6060C" w:rsidRDefault="00E6060C" w:rsidP="00E6060C">
            <w:pPr>
              <w:spacing w:before="200" w:line="360" w:lineRule="auto"/>
              <w:contextualSpacing/>
              <w:rPr>
                <w:rFonts w:ascii="Calibri" w:eastAsia="Calibri" w:hAnsi="Calibri" w:cs="Times New Roman"/>
                <w:b/>
              </w:rPr>
            </w:pPr>
            <w:r w:rsidRPr="00E6060C">
              <w:rPr>
                <w:rFonts w:ascii="Calibri" w:eastAsia="Calibri" w:hAnsi="Calibri" w:cs="Times New Roman"/>
                <w:b/>
              </w:rPr>
              <w:t>Vigour</w:t>
            </w:r>
          </w:p>
        </w:tc>
      </w:tr>
      <w:tr w:rsidR="00E6060C" w:rsidRPr="00E6060C" w14:paraId="5F820742" w14:textId="77777777" w:rsidTr="00E6060C">
        <w:trPr>
          <w:trHeight w:val="287"/>
          <w:jc w:val="center"/>
        </w:trPr>
        <w:tc>
          <w:tcPr>
            <w:tcW w:w="988" w:type="dxa"/>
          </w:tcPr>
          <w:p w14:paraId="366D9764"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T2</w:t>
            </w:r>
          </w:p>
        </w:tc>
        <w:tc>
          <w:tcPr>
            <w:tcW w:w="479" w:type="dxa"/>
            <w:noWrap/>
          </w:tcPr>
          <w:p w14:paraId="2555A99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9</w:t>
            </w:r>
          </w:p>
        </w:tc>
        <w:tc>
          <w:tcPr>
            <w:tcW w:w="732" w:type="dxa"/>
            <w:noWrap/>
          </w:tcPr>
          <w:p w14:paraId="62583D5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636</w:t>
            </w:r>
          </w:p>
        </w:tc>
        <w:tc>
          <w:tcPr>
            <w:tcW w:w="774" w:type="dxa"/>
            <w:noWrap/>
          </w:tcPr>
          <w:p w14:paraId="6E369FAD"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646</w:t>
            </w:r>
          </w:p>
        </w:tc>
        <w:tc>
          <w:tcPr>
            <w:tcW w:w="669" w:type="dxa"/>
            <w:noWrap/>
          </w:tcPr>
          <w:p w14:paraId="4098A4F6"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0.77</w:t>
            </w:r>
          </w:p>
        </w:tc>
        <w:tc>
          <w:tcPr>
            <w:tcW w:w="669" w:type="dxa"/>
            <w:noWrap/>
          </w:tcPr>
          <w:p w14:paraId="3AFD479C"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0.21</w:t>
            </w:r>
          </w:p>
        </w:tc>
        <w:tc>
          <w:tcPr>
            <w:tcW w:w="1201" w:type="dxa"/>
            <w:noWrap/>
          </w:tcPr>
          <w:p w14:paraId="21B10823"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0.36-1.18</w:t>
            </w:r>
          </w:p>
        </w:tc>
        <w:tc>
          <w:tcPr>
            <w:tcW w:w="803" w:type="dxa"/>
          </w:tcPr>
          <w:p w14:paraId="1F91DFBD"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922" w:type="dxa"/>
            <w:noWrap/>
          </w:tcPr>
          <w:p w14:paraId="3A4111E7"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76.03</w:t>
            </w:r>
          </w:p>
        </w:tc>
        <w:tc>
          <w:tcPr>
            <w:tcW w:w="479" w:type="dxa"/>
            <w:noWrap/>
          </w:tcPr>
          <w:p w14:paraId="6D58A641"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w:t>
            </w:r>
          </w:p>
        </w:tc>
        <w:tc>
          <w:tcPr>
            <w:tcW w:w="803" w:type="dxa"/>
            <w:noWrap/>
          </w:tcPr>
          <w:p w14:paraId="7CEEF58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noWrap/>
          </w:tcPr>
          <w:p w14:paraId="764F6927"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89.48</w:t>
            </w:r>
          </w:p>
        </w:tc>
      </w:tr>
      <w:tr w:rsidR="00E6060C" w:rsidRPr="00E6060C" w14:paraId="39EE71B5" w14:textId="77777777" w:rsidTr="00E6060C">
        <w:trPr>
          <w:trHeight w:val="287"/>
          <w:jc w:val="center"/>
        </w:trPr>
        <w:tc>
          <w:tcPr>
            <w:tcW w:w="988" w:type="dxa"/>
            <w:tcBorders>
              <w:bottom w:val="single" w:sz="4" w:space="0" w:color="auto"/>
            </w:tcBorders>
          </w:tcPr>
          <w:p w14:paraId="1A5D6631"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T3</w:t>
            </w:r>
          </w:p>
        </w:tc>
        <w:tc>
          <w:tcPr>
            <w:tcW w:w="479" w:type="dxa"/>
            <w:tcBorders>
              <w:bottom w:val="single" w:sz="4" w:space="0" w:color="auto"/>
            </w:tcBorders>
            <w:noWrap/>
          </w:tcPr>
          <w:p w14:paraId="0C2618E8"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6</w:t>
            </w:r>
          </w:p>
        </w:tc>
        <w:tc>
          <w:tcPr>
            <w:tcW w:w="732" w:type="dxa"/>
            <w:tcBorders>
              <w:bottom w:val="single" w:sz="4" w:space="0" w:color="auto"/>
            </w:tcBorders>
            <w:noWrap/>
          </w:tcPr>
          <w:p w14:paraId="2C962B1D"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548</w:t>
            </w:r>
          </w:p>
        </w:tc>
        <w:tc>
          <w:tcPr>
            <w:tcW w:w="774" w:type="dxa"/>
            <w:tcBorders>
              <w:bottom w:val="single" w:sz="4" w:space="0" w:color="auto"/>
            </w:tcBorders>
            <w:noWrap/>
          </w:tcPr>
          <w:p w14:paraId="1800BF2B"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578</w:t>
            </w:r>
          </w:p>
        </w:tc>
        <w:tc>
          <w:tcPr>
            <w:tcW w:w="669" w:type="dxa"/>
            <w:tcBorders>
              <w:bottom w:val="single" w:sz="4" w:space="0" w:color="auto"/>
            </w:tcBorders>
            <w:noWrap/>
          </w:tcPr>
          <w:p w14:paraId="6FB2A0F8"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1.05</w:t>
            </w:r>
          </w:p>
        </w:tc>
        <w:tc>
          <w:tcPr>
            <w:tcW w:w="669" w:type="dxa"/>
            <w:tcBorders>
              <w:bottom w:val="single" w:sz="4" w:space="0" w:color="auto"/>
            </w:tcBorders>
            <w:noWrap/>
          </w:tcPr>
          <w:p w14:paraId="32D64DD2"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0.35</w:t>
            </w:r>
          </w:p>
        </w:tc>
        <w:tc>
          <w:tcPr>
            <w:tcW w:w="1201" w:type="dxa"/>
            <w:tcBorders>
              <w:bottom w:val="single" w:sz="4" w:space="0" w:color="auto"/>
            </w:tcBorders>
            <w:noWrap/>
          </w:tcPr>
          <w:p w14:paraId="6274315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0.37-1.74</w:t>
            </w:r>
          </w:p>
        </w:tc>
        <w:tc>
          <w:tcPr>
            <w:tcW w:w="803" w:type="dxa"/>
            <w:tcBorders>
              <w:bottom w:val="single" w:sz="4" w:space="0" w:color="auto"/>
            </w:tcBorders>
          </w:tcPr>
          <w:p w14:paraId="1E962F27"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922" w:type="dxa"/>
            <w:tcBorders>
              <w:bottom w:val="single" w:sz="4" w:space="0" w:color="auto"/>
            </w:tcBorders>
            <w:noWrap/>
          </w:tcPr>
          <w:p w14:paraId="029B9C66"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113.57</w:t>
            </w:r>
          </w:p>
        </w:tc>
        <w:tc>
          <w:tcPr>
            <w:tcW w:w="479" w:type="dxa"/>
            <w:tcBorders>
              <w:bottom w:val="single" w:sz="4" w:space="0" w:color="auto"/>
            </w:tcBorders>
            <w:noWrap/>
          </w:tcPr>
          <w:p w14:paraId="26CBB57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5</w:t>
            </w:r>
          </w:p>
        </w:tc>
        <w:tc>
          <w:tcPr>
            <w:tcW w:w="803" w:type="dxa"/>
            <w:tcBorders>
              <w:bottom w:val="single" w:sz="4" w:space="0" w:color="auto"/>
            </w:tcBorders>
            <w:noWrap/>
          </w:tcPr>
          <w:p w14:paraId="6FFE84B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tcBorders>
              <w:bottom w:val="single" w:sz="4" w:space="0" w:color="auto"/>
            </w:tcBorders>
            <w:noWrap/>
          </w:tcPr>
          <w:p w14:paraId="1235EDB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95.59</w:t>
            </w:r>
          </w:p>
        </w:tc>
      </w:tr>
      <w:tr w:rsidR="00E6060C" w:rsidRPr="00E6060C" w14:paraId="3C00A9DE" w14:textId="77777777" w:rsidTr="00E6060C">
        <w:trPr>
          <w:trHeight w:val="287"/>
          <w:jc w:val="center"/>
        </w:trPr>
        <w:tc>
          <w:tcPr>
            <w:tcW w:w="9319" w:type="dxa"/>
            <w:gridSpan w:val="12"/>
            <w:tcBorders>
              <w:top w:val="single" w:sz="4" w:space="0" w:color="auto"/>
            </w:tcBorders>
            <w:vAlign w:val="center"/>
          </w:tcPr>
          <w:p w14:paraId="0B8D04E0" w14:textId="77777777" w:rsidR="00E6060C" w:rsidRPr="00E6060C" w:rsidRDefault="00E6060C" w:rsidP="00E6060C">
            <w:pPr>
              <w:spacing w:before="200" w:line="360" w:lineRule="auto"/>
              <w:contextualSpacing/>
              <w:rPr>
                <w:rFonts w:ascii="Calibri" w:eastAsia="Calibri" w:hAnsi="Calibri" w:cs="Times New Roman"/>
                <w:b/>
              </w:rPr>
            </w:pPr>
            <w:r w:rsidRPr="00E6060C">
              <w:rPr>
                <w:rFonts w:ascii="Calibri" w:eastAsia="Calibri" w:hAnsi="Calibri" w:cs="Times New Roman"/>
                <w:b/>
              </w:rPr>
              <w:t>Work engagement</w:t>
            </w:r>
          </w:p>
        </w:tc>
      </w:tr>
      <w:tr w:rsidR="00E6060C" w:rsidRPr="00E6060C" w14:paraId="3AD1311E" w14:textId="77777777" w:rsidTr="00E6060C">
        <w:trPr>
          <w:trHeight w:val="287"/>
          <w:jc w:val="center"/>
        </w:trPr>
        <w:tc>
          <w:tcPr>
            <w:tcW w:w="988" w:type="dxa"/>
          </w:tcPr>
          <w:p w14:paraId="00816EBD"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T2</w:t>
            </w:r>
          </w:p>
        </w:tc>
        <w:tc>
          <w:tcPr>
            <w:tcW w:w="479" w:type="dxa"/>
            <w:noWrap/>
          </w:tcPr>
          <w:p w14:paraId="0081E7E9"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12</w:t>
            </w:r>
          </w:p>
        </w:tc>
        <w:tc>
          <w:tcPr>
            <w:tcW w:w="732" w:type="dxa"/>
            <w:noWrap/>
          </w:tcPr>
          <w:p w14:paraId="12AA7F4F"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1343</w:t>
            </w:r>
          </w:p>
        </w:tc>
        <w:tc>
          <w:tcPr>
            <w:tcW w:w="774" w:type="dxa"/>
            <w:noWrap/>
          </w:tcPr>
          <w:p w14:paraId="31E2B86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1517</w:t>
            </w:r>
          </w:p>
        </w:tc>
        <w:tc>
          <w:tcPr>
            <w:tcW w:w="669" w:type="dxa"/>
            <w:noWrap/>
          </w:tcPr>
          <w:p w14:paraId="61C80EAE"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0.31</w:t>
            </w:r>
          </w:p>
        </w:tc>
        <w:tc>
          <w:tcPr>
            <w:tcW w:w="669" w:type="dxa"/>
            <w:noWrap/>
          </w:tcPr>
          <w:p w14:paraId="52E81C9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0.10</w:t>
            </w:r>
          </w:p>
        </w:tc>
        <w:tc>
          <w:tcPr>
            <w:tcW w:w="1201" w:type="dxa"/>
            <w:noWrap/>
          </w:tcPr>
          <w:p w14:paraId="2D9C9F53"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0.12-0.45</w:t>
            </w:r>
          </w:p>
        </w:tc>
        <w:tc>
          <w:tcPr>
            <w:tcW w:w="803" w:type="dxa"/>
          </w:tcPr>
          <w:p w14:paraId="6C98F2E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922" w:type="dxa"/>
            <w:noWrap/>
          </w:tcPr>
          <w:p w14:paraId="42ABEAF3"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55.84</w:t>
            </w:r>
          </w:p>
        </w:tc>
        <w:tc>
          <w:tcPr>
            <w:tcW w:w="479" w:type="dxa"/>
            <w:noWrap/>
          </w:tcPr>
          <w:p w14:paraId="5861548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11</w:t>
            </w:r>
          </w:p>
        </w:tc>
        <w:tc>
          <w:tcPr>
            <w:tcW w:w="803" w:type="dxa"/>
            <w:noWrap/>
          </w:tcPr>
          <w:p w14:paraId="28F3A5BE"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800" w:type="dxa"/>
            <w:noWrap/>
          </w:tcPr>
          <w:p w14:paraId="262A2B7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80.30</w:t>
            </w:r>
          </w:p>
        </w:tc>
      </w:tr>
      <w:tr w:rsidR="00E6060C" w:rsidRPr="00E6060C" w14:paraId="64DC4E7D" w14:textId="77777777" w:rsidTr="00E6060C">
        <w:trPr>
          <w:trHeight w:val="287"/>
          <w:jc w:val="center"/>
        </w:trPr>
        <w:tc>
          <w:tcPr>
            <w:tcW w:w="988" w:type="dxa"/>
            <w:tcBorders>
              <w:bottom w:val="single" w:sz="4" w:space="0" w:color="auto"/>
            </w:tcBorders>
          </w:tcPr>
          <w:p w14:paraId="0656260B"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T3</w:t>
            </w:r>
          </w:p>
        </w:tc>
        <w:tc>
          <w:tcPr>
            <w:tcW w:w="479" w:type="dxa"/>
            <w:tcBorders>
              <w:bottom w:val="single" w:sz="4" w:space="0" w:color="auto"/>
            </w:tcBorders>
            <w:noWrap/>
          </w:tcPr>
          <w:p w14:paraId="31FE14D1"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8</w:t>
            </w:r>
          </w:p>
        </w:tc>
        <w:tc>
          <w:tcPr>
            <w:tcW w:w="732" w:type="dxa"/>
            <w:tcBorders>
              <w:bottom w:val="single" w:sz="4" w:space="0" w:color="auto"/>
            </w:tcBorders>
            <w:noWrap/>
          </w:tcPr>
          <w:p w14:paraId="7B715ED4"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1396</w:t>
            </w:r>
          </w:p>
        </w:tc>
        <w:tc>
          <w:tcPr>
            <w:tcW w:w="774" w:type="dxa"/>
            <w:tcBorders>
              <w:bottom w:val="single" w:sz="4" w:space="0" w:color="auto"/>
            </w:tcBorders>
            <w:noWrap/>
          </w:tcPr>
          <w:p w14:paraId="474FE11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1312</w:t>
            </w:r>
          </w:p>
        </w:tc>
        <w:tc>
          <w:tcPr>
            <w:tcW w:w="669" w:type="dxa"/>
            <w:tcBorders>
              <w:bottom w:val="single" w:sz="4" w:space="0" w:color="auto"/>
            </w:tcBorders>
            <w:noWrap/>
          </w:tcPr>
          <w:p w14:paraId="5E7B8679"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0.16</w:t>
            </w:r>
          </w:p>
        </w:tc>
        <w:tc>
          <w:tcPr>
            <w:tcW w:w="669" w:type="dxa"/>
            <w:tcBorders>
              <w:bottom w:val="single" w:sz="4" w:space="0" w:color="auto"/>
            </w:tcBorders>
            <w:noWrap/>
          </w:tcPr>
          <w:p w14:paraId="43E2BC9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0.05</w:t>
            </w:r>
          </w:p>
        </w:tc>
        <w:tc>
          <w:tcPr>
            <w:tcW w:w="1201" w:type="dxa"/>
            <w:tcBorders>
              <w:bottom w:val="single" w:sz="4" w:space="0" w:color="auto"/>
            </w:tcBorders>
            <w:noWrap/>
          </w:tcPr>
          <w:p w14:paraId="6C6A4851"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0.07-0.24</w:t>
            </w:r>
          </w:p>
        </w:tc>
        <w:tc>
          <w:tcPr>
            <w:tcW w:w="803" w:type="dxa"/>
            <w:tcBorders>
              <w:bottom w:val="single" w:sz="4" w:space="0" w:color="auto"/>
            </w:tcBorders>
          </w:tcPr>
          <w:p w14:paraId="44654C9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c>
          <w:tcPr>
            <w:tcW w:w="922" w:type="dxa"/>
            <w:tcBorders>
              <w:bottom w:val="single" w:sz="4" w:space="0" w:color="auto"/>
            </w:tcBorders>
            <w:noWrap/>
          </w:tcPr>
          <w:p w14:paraId="7D388F7A"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2.74</w:t>
            </w:r>
          </w:p>
        </w:tc>
        <w:tc>
          <w:tcPr>
            <w:tcW w:w="479" w:type="dxa"/>
            <w:tcBorders>
              <w:bottom w:val="single" w:sz="4" w:space="0" w:color="auto"/>
            </w:tcBorders>
            <w:noWrap/>
          </w:tcPr>
          <w:p w14:paraId="7DE52BDC"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7</w:t>
            </w:r>
          </w:p>
        </w:tc>
        <w:tc>
          <w:tcPr>
            <w:tcW w:w="803" w:type="dxa"/>
            <w:tcBorders>
              <w:bottom w:val="single" w:sz="4" w:space="0" w:color="auto"/>
            </w:tcBorders>
            <w:noWrap/>
          </w:tcPr>
          <w:p w14:paraId="5BD09087"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0.91</w:t>
            </w:r>
          </w:p>
        </w:tc>
        <w:tc>
          <w:tcPr>
            <w:tcW w:w="800" w:type="dxa"/>
            <w:tcBorders>
              <w:bottom w:val="single" w:sz="4" w:space="0" w:color="auto"/>
            </w:tcBorders>
            <w:noWrap/>
          </w:tcPr>
          <w:p w14:paraId="6B4583C0" w14:textId="77777777" w:rsidR="00E6060C" w:rsidRPr="00E6060C" w:rsidRDefault="00E6060C" w:rsidP="00E6060C">
            <w:pPr>
              <w:spacing w:before="200" w:line="360" w:lineRule="auto"/>
              <w:contextualSpacing/>
              <w:jc w:val="center"/>
              <w:rPr>
                <w:rFonts w:ascii="Calibri" w:eastAsia="Calibri" w:hAnsi="Calibri" w:cs="Times New Roman"/>
              </w:rPr>
            </w:pPr>
            <w:r w:rsidRPr="00E6060C">
              <w:rPr>
                <w:rFonts w:ascii="Calibri" w:eastAsia="Calibri" w:hAnsi="Calibri" w:cs="Times New Roman"/>
              </w:rPr>
              <w:t>0.00</w:t>
            </w:r>
          </w:p>
        </w:tc>
      </w:tr>
    </w:tbl>
    <w:p w14:paraId="72BC076B" w14:textId="77777777" w:rsidR="00E6060C" w:rsidRPr="00E6060C" w:rsidRDefault="00E6060C" w:rsidP="00E6060C">
      <w:pPr>
        <w:spacing w:before="200" w:line="360" w:lineRule="auto"/>
        <w:ind w:right="-188"/>
        <w:contextualSpacing/>
        <w:rPr>
          <w:rFonts w:ascii="Calibri" w:eastAsia="Calibri" w:hAnsi="Calibri" w:cs="Times New Roman"/>
          <w:bCs/>
        </w:rPr>
      </w:pPr>
      <w:r w:rsidRPr="00E6060C">
        <w:rPr>
          <w:rFonts w:ascii="Calibri" w:eastAsia="Calibri" w:hAnsi="Calibri" w:cs="Times New Roman"/>
          <w:bCs/>
          <w:i/>
          <w:iCs/>
        </w:rPr>
        <w:t>Notes.</w:t>
      </w:r>
      <w:r w:rsidRPr="00E6060C">
        <w:rPr>
          <w:rFonts w:ascii="Calibri" w:eastAsia="Calibri" w:hAnsi="Calibri" w:cs="Times New Roman"/>
          <w:bCs/>
        </w:rPr>
        <w:t xml:space="preserve"> </w:t>
      </w:r>
      <w:r w:rsidRPr="00E6060C">
        <w:rPr>
          <w:rFonts w:ascii="Calibri" w:eastAsia="Calibri" w:hAnsi="Calibri" w:cs="Times New Roman"/>
          <w:bCs/>
          <w:i/>
          <w:iCs/>
        </w:rPr>
        <w:t>k=</w:t>
      </w:r>
      <w:r w:rsidRPr="00E6060C">
        <w:rPr>
          <w:rFonts w:ascii="Calibri" w:eastAsia="Calibri" w:hAnsi="Calibri" w:cs="Times New Roman"/>
          <w:bCs/>
        </w:rPr>
        <w:t xml:space="preserve">number of studies included in the analysis; </w:t>
      </w:r>
      <w:r w:rsidRPr="00E6060C">
        <w:rPr>
          <w:rFonts w:ascii="Calibri" w:eastAsia="Calibri" w:hAnsi="Calibri" w:cs="Times New Roman"/>
          <w:bCs/>
          <w:i/>
          <w:iCs/>
        </w:rPr>
        <w:t>n</w:t>
      </w:r>
      <w:r w:rsidRPr="00E6060C">
        <w:rPr>
          <w:rFonts w:ascii="Calibri" w:eastAsia="Calibri" w:hAnsi="Calibri" w:cs="Times New Roman"/>
          <w:bCs/>
        </w:rPr>
        <w:t xml:space="preserve">(con)=number of participants in the control group; </w:t>
      </w:r>
      <w:r w:rsidRPr="00E6060C">
        <w:rPr>
          <w:rFonts w:ascii="Calibri" w:eastAsia="Calibri" w:hAnsi="Calibri" w:cs="Times New Roman"/>
          <w:bCs/>
          <w:i/>
          <w:iCs/>
        </w:rPr>
        <w:t>n</w:t>
      </w:r>
      <w:r w:rsidRPr="00E6060C">
        <w:rPr>
          <w:rFonts w:ascii="Calibri" w:eastAsia="Calibri" w:hAnsi="Calibri" w:cs="Times New Roman"/>
          <w:bCs/>
        </w:rPr>
        <w:t xml:space="preserve">(int)=number of participants in the intervention group; </w:t>
      </w:r>
      <w:r w:rsidRPr="00E6060C">
        <w:rPr>
          <w:rFonts w:ascii="Calibri" w:eastAsia="Calibri" w:hAnsi="Calibri" w:cs="Times New Roman"/>
          <w:bCs/>
          <w:i/>
        </w:rPr>
        <w:t>p</w:t>
      </w:r>
      <w:r w:rsidRPr="00E6060C">
        <w:rPr>
          <w:rFonts w:ascii="Calibri" w:eastAsia="Calibri" w:hAnsi="Calibri" w:cs="Times New Roman"/>
          <w:bCs/>
        </w:rPr>
        <w:t>=</w:t>
      </w:r>
      <w:r w:rsidRPr="00E6060C">
        <w:rPr>
          <w:rFonts w:ascii="Calibri" w:eastAsia="Calibri" w:hAnsi="Calibri" w:cs="Times New Roman"/>
          <w:bCs/>
          <w:i/>
        </w:rPr>
        <w:t>p</w:t>
      </w:r>
      <w:r w:rsidRPr="00E6060C">
        <w:rPr>
          <w:rFonts w:ascii="Calibri" w:eastAsia="Calibri" w:hAnsi="Calibri" w:cs="Times New Roman"/>
          <w:bCs/>
        </w:rPr>
        <w:t xml:space="preserve">=value; </w:t>
      </w:r>
      <w:r w:rsidRPr="00E6060C">
        <w:rPr>
          <w:rFonts w:ascii="Calibri" w:eastAsia="Calibri" w:hAnsi="Calibri" w:cs="Times New Roman"/>
          <w:bCs/>
          <w:i/>
          <w:iCs/>
        </w:rPr>
        <w:t>g</w:t>
      </w:r>
      <w:r w:rsidRPr="00E6060C">
        <w:rPr>
          <w:rFonts w:ascii="Calibri" w:eastAsia="Calibri" w:hAnsi="Calibri" w:cs="Times New Roman"/>
          <w:bCs/>
        </w:rPr>
        <w:t xml:space="preserve">=average effect size according to Hedges’ </w:t>
      </w:r>
      <w:r w:rsidRPr="00E6060C">
        <w:rPr>
          <w:rFonts w:ascii="Calibri" w:eastAsia="Calibri" w:hAnsi="Calibri" w:cs="Times New Roman"/>
          <w:bCs/>
          <w:i/>
          <w:iCs/>
        </w:rPr>
        <w:t>g</w:t>
      </w:r>
      <w:r w:rsidRPr="00E6060C">
        <w:rPr>
          <w:rFonts w:ascii="Calibri" w:eastAsia="Calibri" w:hAnsi="Calibri" w:cs="Times New Roman"/>
          <w:bCs/>
        </w:rPr>
        <w:t xml:space="preserve">; </w:t>
      </w:r>
      <w:r w:rsidRPr="00E6060C">
        <w:rPr>
          <w:rFonts w:ascii="Calibri" w:eastAsia="Calibri" w:hAnsi="Calibri" w:cs="Times New Roman"/>
          <w:bCs/>
          <w:i/>
          <w:iCs/>
        </w:rPr>
        <w:t>SE</w:t>
      </w:r>
      <w:r w:rsidRPr="00E6060C">
        <w:rPr>
          <w:rFonts w:ascii="Calibri" w:eastAsia="Calibri" w:hAnsi="Calibri" w:cs="Times New Roman"/>
          <w:bCs/>
        </w:rPr>
        <w:t xml:space="preserve">=standard error of the average effect size; 95%-CI=the minimum and maximum limits of the 95% confidence interval; </w:t>
      </w:r>
      <w:r w:rsidRPr="00E6060C">
        <w:rPr>
          <w:rFonts w:ascii="Calibri" w:eastAsia="Calibri" w:hAnsi="Calibri" w:cs="Times New Roman"/>
          <w:bCs/>
          <w:i/>
          <w:iCs/>
        </w:rPr>
        <w:t>Q</w:t>
      </w:r>
      <w:r w:rsidRPr="00E6060C">
        <w:rPr>
          <w:rFonts w:ascii="Calibri" w:eastAsia="Calibri" w:hAnsi="Calibri" w:cs="Times New Roman"/>
          <w:bCs/>
        </w:rPr>
        <w:t xml:space="preserve">=statistical test used for the estimation of heterogeneity; </w:t>
      </w:r>
      <w:r w:rsidRPr="00E6060C">
        <w:rPr>
          <w:rFonts w:ascii="Calibri" w:eastAsia="Calibri" w:hAnsi="Calibri" w:cs="Times New Roman"/>
          <w:bCs/>
          <w:i/>
          <w:iCs/>
        </w:rPr>
        <w:t>I</w:t>
      </w:r>
      <w:r w:rsidRPr="00E6060C">
        <w:rPr>
          <w:rFonts w:ascii="Calibri" w:eastAsia="Calibri" w:hAnsi="Calibri" w:cs="Times New Roman"/>
          <w:bCs/>
          <w:i/>
          <w:iCs/>
          <w:vertAlign w:val="superscript"/>
        </w:rPr>
        <w:t>2</w:t>
      </w:r>
      <w:r w:rsidRPr="00E6060C">
        <w:rPr>
          <w:rFonts w:ascii="Calibri" w:eastAsia="Calibri" w:hAnsi="Calibri" w:cs="Times New Roman"/>
          <w:bCs/>
        </w:rPr>
        <w:t>= proportion of effect size variance that can be attributed to moderator variables (%).</w:t>
      </w:r>
    </w:p>
    <w:p w14:paraId="3275974C" w14:textId="77777777" w:rsidR="00E6060C" w:rsidRPr="00E6060C" w:rsidRDefault="00E6060C" w:rsidP="00E6060C">
      <w:pPr>
        <w:tabs>
          <w:tab w:val="left" w:pos="1170"/>
        </w:tabs>
        <w:spacing w:before="200" w:line="360" w:lineRule="auto"/>
        <w:contextualSpacing/>
        <w:rPr>
          <w:rFonts w:ascii="Calibri" w:eastAsia="Calibri" w:hAnsi="Calibri" w:cs="Times New Roman"/>
        </w:rPr>
      </w:pPr>
    </w:p>
    <w:p w14:paraId="643A0929" w14:textId="77777777" w:rsidR="00E6060C" w:rsidRPr="00E6060C" w:rsidRDefault="00E6060C" w:rsidP="0009618B">
      <w:pPr>
        <w:pStyle w:val="Heading3"/>
      </w:pPr>
      <w:bookmarkStart w:id="248" w:name="_Toc431470143"/>
      <w:bookmarkStart w:id="249" w:name="_Toc468285987"/>
      <w:r w:rsidRPr="00E6060C">
        <w:t>Moderator analyses</w:t>
      </w:r>
      <w:bookmarkEnd w:id="248"/>
      <w:bookmarkEnd w:id="249"/>
    </w:p>
    <w:p w14:paraId="217E5FD5" w14:textId="77777777" w:rsidR="00E6060C" w:rsidRPr="00E6060C" w:rsidRDefault="00E6060C" w:rsidP="00E6060C">
      <w:pPr>
        <w:spacing w:before="200" w:line="360" w:lineRule="auto"/>
        <w:rPr>
          <w:rFonts w:ascii="Calibri" w:eastAsia="Calibri" w:hAnsi="Calibri" w:cs="Times New Roman"/>
        </w:rPr>
      </w:pPr>
    </w:p>
    <w:p w14:paraId="082F447A" w14:textId="3C748A4B"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Moderator analyses were conducted on the core meta-analysis results, that is, the effects of the interventions on overall work engagement (</w:t>
      </w:r>
      <w:r w:rsidR="00FF6EFC">
        <w:rPr>
          <w:rFonts w:ascii="Calibri" w:eastAsia="Calibri" w:hAnsi="Calibri" w:cs="Times New Roman"/>
        </w:rPr>
        <w:fldChar w:fldCharType="begin"/>
      </w:r>
      <w:r w:rsidR="00FF6EFC">
        <w:rPr>
          <w:rFonts w:ascii="Calibri" w:eastAsia="Calibri" w:hAnsi="Calibri" w:cs="Times New Roman"/>
        </w:rPr>
        <w:instrText xml:space="preserve"> REF _Ref453574504 \h </w:instrText>
      </w:r>
      <w:r w:rsidR="00FF6EFC">
        <w:rPr>
          <w:rFonts w:ascii="Calibri" w:eastAsia="Calibri" w:hAnsi="Calibri" w:cs="Times New Roman"/>
        </w:rPr>
      </w:r>
      <w:r w:rsidR="00FF6EFC">
        <w:rPr>
          <w:rFonts w:ascii="Calibri" w:eastAsia="Calibri" w:hAnsi="Calibri" w:cs="Times New Roman"/>
        </w:rPr>
        <w:fldChar w:fldCharType="separate"/>
      </w:r>
      <w:r w:rsidR="00152F6D">
        <w:t xml:space="preserve">Table </w:t>
      </w:r>
      <w:r w:rsidR="00152F6D">
        <w:rPr>
          <w:noProof/>
        </w:rPr>
        <w:t>6</w:t>
      </w:r>
      <w:r w:rsidR="00152F6D">
        <w:t>.</w:t>
      </w:r>
      <w:r w:rsidR="00152F6D">
        <w:rPr>
          <w:noProof/>
        </w:rPr>
        <w:t>4</w:t>
      </w:r>
      <w:r w:rsidR="00FF6EFC">
        <w:rPr>
          <w:rFonts w:ascii="Calibri" w:eastAsia="Calibri" w:hAnsi="Calibri" w:cs="Times New Roman"/>
        </w:rPr>
        <w:fldChar w:fldCharType="end"/>
      </w:r>
      <w:r w:rsidRPr="00E6060C">
        <w:rPr>
          <w:rFonts w:ascii="Calibri" w:eastAsia="Calibri" w:hAnsi="Calibri" w:cs="Times New Roman"/>
        </w:rPr>
        <w:t>). Firstly, the effect of intervention type, as coded according to the coding guide (Append</w:t>
      </w:r>
      <w:r w:rsidR="001A7258">
        <w:rPr>
          <w:rFonts w:ascii="Calibri" w:eastAsia="Calibri" w:hAnsi="Calibri" w:cs="Times New Roman"/>
        </w:rPr>
        <w:t>ix 2) and described in Chapter 5</w:t>
      </w:r>
      <w:r w:rsidRPr="00E6060C">
        <w:rPr>
          <w:rFonts w:ascii="Calibri" w:eastAsia="Calibri" w:hAnsi="Calibri" w:cs="Times New Roman"/>
        </w:rPr>
        <w:t xml:space="preserve"> (section </w:t>
      </w:r>
      <w:r w:rsidR="001A7258">
        <w:rPr>
          <w:rFonts w:ascii="Calibri" w:eastAsia="Calibri" w:hAnsi="Calibri" w:cs="Times New Roman"/>
        </w:rPr>
        <w:fldChar w:fldCharType="begin"/>
      </w:r>
      <w:r w:rsidR="001A7258">
        <w:rPr>
          <w:rFonts w:ascii="Calibri" w:eastAsia="Calibri" w:hAnsi="Calibri" w:cs="Times New Roman"/>
        </w:rPr>
        <w:instrText xml:space="preserve"> REF _Ref453574471 \r \h </w:instrText>
      </w:r>
      <w:r w:rsidR="001A7258">
        <w:rPr>
          <w:rFonts w:ascii="Calibri" w:eastAsia="Calibri" w:hAnsi="Calibri" w:cs="Times New Roman"/>
        </w:rPr>
      </w:r>
      <w:r w:rsidR="001A7258">
        <w:rPr>
          <w:rFonts w:ascii="Calibri" w:eastAsia="Calibri" w:hAnsi="Calibri" w:cs="Times New Roman"/>
        </w:rPr>
        <w:fldChar w:fldCharType="separate"/>
      </w:r>
      <w:r w:rsidR="00152F6D">
        <w:rPr>
          <w:rFonts w:ascii="Calibri" w:eastAsia="Calibri" w:hAnsi="Calibri" w:cs="Times New Roman"/>
        </w:rPr>
        <w:t>5.1.3</w:t>
      </w:r>
      <w:r w:rsidR="001A7258">
        <w:rPr>
          <w:rFonts w:ascii="Calibri" w:eastAsia="Calibri" w:hAnsi="Calibri" w:cs="Times New Roman"/>
        </w:rPr>
        <w:fldChar w:fldCharType="end"/>
      </w:r>
      <w:r w:rsidRPr="00E6060C">
        <w:rPr>
          <w:rFonts w:ascii="Calibri" w:eastAsia="Calibri" w:hAnsi="Calibri" w:cs="Times New Roman"/>
        </w:rPr>
        <w:t xml:space="preserve">), was explored. The Q test, based on analysis of variance (Borenstein et al., 2009) and assuming that intervention effect varies randomly between studies, was used to identify significant differences between groups. No significant differences in effect size were observed between intervention types on work engagement, </w:t>
      </w:r>
      <w:r w:rsidRPr="00E6060C">
        <w:rPr>
          <w:rFonts w:ascii="Calibri" w:eastAsia="Calibri" w:hAnsi="Calibri" w:cs="Times New Roman"/>
          <w:i/>
          <w:iCs/>
        </w:rPr>
        <w:t>Q</w:t>
      </w:r>
      <w:r w:rsidRPr="00E6060C">
        <w:rPr>
          <w:rFonts w:ascii="Calibri" w:eastAsia="Calibri" w:hAnsi="Calibri" w:cs="Times New Roman"/>
        </w:rPr>
        <w:t xml:space="preserve">(3)=3.18, </w:t>
      </w:r>
      <w:r w:rsidRPr="00E6060C">
        <w:rPr>
          <w:rFonts w:ascii="Calibri" w:eastAsia="Calibri" w:hAnsi="Calibri" w:cs="Times New Roman"/>
          <w:i/>
          <w:iCs/>
        </w:rPr>
        <w:t>p=</w:t>
      </w:r>
      <w:r w:rsidRPr="00E6060C">
        <w:rPr>
          <w:rFonts w:ascii="Calibri" w:eastAsia="Calibri" w:hAnsi="Calibri" w:cs="Times New Roman"/>
        </w:rPr>
        <w:t xml:space="preserve">0.36, indicating that intervention type is not a moderator. </w:t>
      </w:r>
      <w:r w:rsidRPr="00E6060C">
        <w:rPr>
          <w:rFonts w:ascii="Calibri" w:eastAsia="Calibri" w:hAnsi="Calibri" w:cs="Times New Roman"/>
        </w:rPr>
        <w:lastRenderedPageBreak/>
        <w:t>Nevertheless, a reliable mean effect was observed for interventions focused on health promotion (</w:t>
      </w:r>
      <w:r w:rsidR="005F7E67">
        <w:rPr>
          <w:rFonts w:ascii="Calibri" w:eastAsia="Calibri" w:hAnsi="Calibri" w:cs="Times New Roman"/>
          <w:i/>
        </w:rPr>
        <w:t>k</w:t>
      </w:r>
      <w:r w:rsidRPr="00E6060C">
        <w:rPr>
          <w:rFonts w:ascii="Calibri" w:eastAsia="Calibri" w:hAnsi="Calibri" w:cs="Times New Roman"/>
        </w:rPr>
        <w:t xml:space="preserve">=4, Hedges </w:t>
      </w:r>
      <w:r w:rsidRPr="00E6060C">
        <w:rPr>
          <w:rFonts w:ascii="Calibri" w:eastAsia="Calibri" w:hAnsi="Calibri" w:cs="Times New Roman"/>
          <w:i/>
        </w:rPr>
        <w:t>g</w:t>
      </w:r>
      <w:r w:rsidRPr="00E6060C">
        <w:rPr>
          <w:rFonts w:ascii="Calibri" w:eastAsia="Calibri" w:hAnsi="Calibri" w:cs="Times New Roman"/>
        </w:rPr>
        <w:t xml:space="preserve">=0.14, </w:t>
      </w:r>
      <w:r w:rsidRPr="00E6060C">
        <w:rPr>
          <w:rFonts w:ascii="Calibri" w:eastAsia="Calibri" w:hAnsi="Calibri" w:cs="Times New Roman"/>
          <w:i/>
        </w:rPr>
        <w:t>SE</w:t>
      </w:r>
      <w:r w:rsidRPr="00E6060C">
        <w:rPr>
          <w:rFonts w:ascii="Calibri" w:eastAsia="Calibri" w:hAnsi="Calibri" w:cs="Times New Roman"/>
        </w:rPr>
        <w:t xml:space="preserve">=0.06, 95%-CI, 0.02-0.26, </w:t>
      </w:r>
      <w:r w:rsidRPr="00E6060C">
        <w:rPr>
          <w:rFonts w:ascii="Calibri" w:eastAsia="Calibri" w:hAnsi="Calibri" w:cs="Times New Roman"/>
          <w:i/>
        </w:rPr>
        <w:t>p</w:t>
      </w:r>
      <w:r w:rsidRPr="00E6060C">
        <w:rPr>
          <w:rFonts w:ascii="Calibri" w:eastAsia="Calibri" w:hAnsi="Calibri" w:cs="Times New Roman"/>
        </w:rPr>
        <w:t xml:space="preserve">=0.03). The mean effects of interventions to build job or personal resources, and those focused on leadership training, meaning that it is impossible to reject the null hypothesis that job or personal resource building interventions, or leadership training, have no effect on work engagement in the population. </w:t>
      </w:r>
    </w:p>
    <w:p w14:paraId="1862A47C" w14:textId="77777777" w:rsidR="00E6060C" w:rsidRPr="00E6060C" w:rsidRDefault="00E6060C" w:rsidP="00E6060C">
      <w:pPr>
        <w:spacing w:before="200" w:line="360" w:lineRule="auto"/>
        <w:contextualSpacing/>
        <w:rPr>
          <w:rFonts w:ascii="Calibri" w:eastAsia="Calibri" w:hAnsi="Calibri" w:cs="Times New Roman"/>
        </w:rPr>
      </w:pPr>
    </w:p>
    <w:p w14:paraId="519BB441" w14:textId="17F75575" w:rsidR="000B5878" w:rsidRDefault="00E6060C" w:rsidP="000B5878">
      <w:pPr>
        <w:spacing w:before="200" w:line="360" w:lineRule="auto"/>
        <w:contextualSpacing/>
        <w:rPr>
          <w:rFonts w:ascii="Calibri" w:eastAsia="Calibri" w:hAnsi="Calibri" w:cs="Times New Roman"/>
        </w:rPr>
      </w:pPr>
      <w:r w:rsidRPr="00E6060C">
        <w:rPr>
          <w:rFonts w:ascii="Calibri" w:eastAsia="Calibri" w:hAnsi="Calibri" w:cs="Times New Roman"/>
        </w:rPr>
        <w:t xml:space="preserve">The effect of intervention style on the results was also explored </w:t>
      </w:r>
      <w:r w:rsidR="00FF6EFC">
        <w:rPr>
          <w:rFonts w:ascii="Calibri" w:eastAsia="Calibri" w:hAnsi="Calibri" w:cs="Times New Roman"/>
        </w:rPr>
        <w:t>(</w:t>
      </w:r>
      <w:r w:rsidR="00FF6EFC">
        <w:rPr>
          <w:rFonts w:ascii="Calibri" w:eastAsia="Calibri" w:hAnsi="Calibri" w:cs="Times New Roman"/>
        </w:rPr>
        <w:fldChar w:fldCharType="begin"/>
      </w:r>
      <w:r w:rsidR="00FF6EFC">
        <w:rPr>
          <w:rFonts w:ascii="Calibri" w:eastAsia="Calibri" w:hAnsi="Calibri" w:cs="Times New Roman"/>
        </w:rPr>
        <w:instrText xml:space="preserve"> REF _Ref453574504 \h </w:instrText>
      </w:r>
      <w:r w:rsidR="00FF6EFC">
        <w:rPr>
          <w:rFonts w:ascii="Calibri" w:eastAsia="Calibri" w:hAnsi="Calibri" w:cs="Times New Roman"/>
        </w:rPr>
      </w:r>
      <w:r w:rsidR="00FF6EFC">
        <w:rPr>
          <w:rFonts w:ascii="Calibri" w:eastAsia="Calibri" w:hAnsi="Calibri" w:cs="Times New Roman"/>
        </w:rPr>
        <w:fldChar w:fldCharType="separate"/>
      </w:r>
      <w:r w:rsidR="00152F6D">
        <w:t xml:space="preserve">Table </w:t>
      </w:r>
      <w:r w:rsidR="00152F6D">
        <w:rPr>
          <w:noProof/>
        </w:rPr>
        <w:t>6</w:t>
      </w:r>
      <w:r w:rsidR="00152F6D">
        <w:t>.</w:t>
      </w:r>
      <w:r w:rsidR="00152F6D">
        <w:rPr>
          <w:noProof/>
        </w:rPr>
        <w:t>4</w:t>
      </w:r>
      <w:r w:rsidR="00FF6EFC">
        <w:rPr>
          <w:rFonts w:ascii="Calibri" w:eastAsia="Calibri" w:hAnsi="Calibri" w:cs="Times New Roman"/>
        </w:rPr>
        <w:fldChar w:fldCharType="end"/>
      </w:r>
      <w:r w:rsidR="00FF6EFC">
        <w:rPr>
          <w:rFonts w:ascii="Calibri" w:eastAsia="Calibri" w:hAnsi="Calibri" w:cs="Times New Roman"/>
        </w:rPr>
        <w:t>)</w:t>
      </w:r>
      <w:r w:rsidRPr="00E6060C">
        <w:rPr>
          <w:rFonts w:ascii="Calibri" w:eastAsia="Calibri" w:hAnsi="Calibri" w:cs="Times New Roman"/>
        </w:rPr>
        <w:t xml:space="preserve">. The Q-test revealed a significant difference between groups, </w:t>
      </w:r>
      <w:r w:rsidRPr="00E6060C">
        <w:rPr>
          <w:rFonts w:ascii="Calibri" w:eastAsia="Calibri" w:hAnsi="Calibri" w:cs="Times New Roman"/>
          <w:i/>
          <w:iCs/>
        </w:rPr>
        <w:t>Q</w:t>
      </w:r>
      <w:r w:rsidRPr="00E6060C">
        <w:rPr>
          <w:rFonts w:ascii="Calibri" w:eastAsia="Calibri" w:hAnsi="Calibri" w:cs="Times New Roman"/>
        </w:rPr>
        <w:t xml:space="preserve">(3)=10.89, </w:t>
      </w:r>
      <w:r w:rsidRPr="00E6060C">
        <w:rPr>
          <w:rFonts w:ascii="Calibri" w:eastAsia="Calibri" w:hAnsi="Calibri" w:cs="Times New Roman"/>
          <w:i/>
          <w:iCs/>
        </w:rPr>
        <w:t>p</w:t>
      </w:r>
      <w:r w:rsidRPr="00E6060C">
        <w:rPr>
          <w:rFonts w:ascii="Calibri" w:eastAsia="Calibri" w:hAnsi="Calibri" w:cs="Times New Roman"/>
        </w:rPr>
        <w:t>=0.01, with a medium to large, reliable, positive effect for group interventions (</w:t>
      </w:r>
      <w:r w:rsidR="001A7258">
        <w:rPr>
          <w:rFonts w:ascii="Calibri" w:eastAsia="Calibri" w:hAnsi="Calibri" w:cs="Times New Roman"/>
          <w:i/>
        </w:rPr>
        <w:t>k</w:t>
      </w:r>
      <w:r w:rsidRPr="00E6060C">
        <w:rPr>
          <w:rFonts w:ascii="Calibri" w:eastAsia="Calibri" w:hAnsi="Calibri" w:cs="Times New Roman"/>
        </w:rPr>
        <w:t xml:space="preserve">=4, Hedges </w:t>
      </w:r>
      <w:r w:rsidRPr="00E6060C">
        <w:rPr>
          <w:rFonts w:ascii="Calibri" w:eastAsia="Calibri" w:hAnsi="Calibri" w:cs="Times New Roman"/>
          <w:i/>
        </w:rPr>
        <w:t>g</w:t>
      </w:r>
      <w:r w:rsidRPr="00E6060C">
        <w:rPr>
          <w:rFonts w:ascii="Calibri" w:eastAsia="Calibri" w:hAnsi="Calibri" w:cs="Times New Roman"/>
        </w:rPr>
        <w:t xml:space="preserve">=0.51, </w:t>
      </w:r>
      <w:r w:rsidRPr="00E6060C">
        <w:rPr>
          <w:rFonts w:ascii="Calibri" w:eastAsia="Calibri" w:hAnsi="Calibri" w:cs="Times New Roman"/>
          <w:i/>
        </w:rPr>
        <w:t>SE</w:t>
      </w:r>
      <w:r w:rsidRPr="00E6060C">
        <w:rPr>
          <w:rFonts w:ascii="Calibri" w:eastAsia="Calibri" w:hAnsi="Calibri" w:cs="Times New Roman"/>
        </w:rPr>
        <w:t xml:space="preserve">=0.20, 95%-CI , 0.12-0.90, </w:t>
      </w:r>
      <w:r w:rsidRPr="00E6060C">
        <w:rPr>
          <w:rFonts w:ascii="Calibri" w:eastAsia="Calibri" w:hAnsi="Calibri" w:cs="Times New Roman"/>
          <w:i/>
        </w:rPr>
        <w:t>p</w:t>
      </w:r>
      <w:r w:rsidRPr="00E6060C">
        <w:rPr>
          <w:rFonts w:ascii="Calibri" w:eastAsia="Calibri" w:hAnsi="Calibri" w:cs="Times New Roman"/>
        </w:rPr>
        <w:t xml:space="preserve">=0.01). A large, reliable, positive effect was also observed for individual interventions, however, this category only contained one study (Naruse et al., 2014), limiting the conclusions which can be drawn. A sensitivity analysis was conducted to determine whether the Q statistic would change much with this study removed. This reduced the significance of the difference between groups to borderline, </w:t>
      </w:r>
      <w:r w:rsidRPr="00E6060C">
        <w:rPr>
          <w:rFonts w:ascii="Calibri" w:eastAsia="Calibri" w:hAnsi="Calibri" w:cs="Times New Roman"/>
          <w:i/>
          <w:iCs/>
        </w:rPr>
        <w:t>Q</w:t>
      </w:r>
      <w:r w:rsidRPr="00E6060C">
        <w:rPr>
          <w:rFonts w:ascii="Calibri" w:eastAsia="Calibri" w:hAnsi="Calibri" w:cs="Times New Roman"/>
        </w:rPr>
        <w:t xml:space="preserve">(3)=4.64, </w:t>
      </w:r>
      <w:r w:rsidRPr="00E6060C">
        <w:rPr>
          <w:rFonts w:ascii="Calibri" w:eastAsia="Calibri" w:hAnsi="Calibri" w:cs="Times New Roman"/>
          <w:i/>
          <w:iCs/>
        </w:rPr>
        <w:t>p</w:t>
      </w:r>
      <w:r w:rsidRPr="00E6060C">
        <w:rPr>
          <w:rFonts w:ascii="Calibri" w:eastAsia="Calibri" w:hAnsi="Calibri" w:cs="Times New Roman"/>
        </w:rPr>
        <w:t>=0.10. Further studies are needed within the ‘individual’ category to clarify these results. Non-statistically significant differences between subgroups were observed for the third moderator explored, private versus public organisations (</w:t>
      </w:r>
      <w:r w:rsidR="001A7258">
        <w:rPr>
          <w:rFonts w:ascii="Calibri" w:eastAsia="Calibri" w:hAnsi="Calibri" w:cs="Times New Roman"/>
        </w:rPr>
        <w:fldChar w:fldCharType="begin"/>
      </w:r>
      <w:r w:rsidR="001A7258">
        <w:rPr>
          <w:rFonts w:ascii="Calibri" w:eastAsia="Calibri" w:hAnsi="Calibri" w:cs="Times New Roman"/>
        </w:rPr>
        <w:instrText xml:space="preserve"> REF _Ref453574504 \h </w:instrText>
      </w:r>
      <w:r w:rsidR="001A7258">
        <w:rPr>
          <w:rFonts w:ascii="Calibri" w:eastAsia="Calibri" w:hAnsi="Calibri" w:cs="Times New Roman"/>
        </w:rPr>
      </w:r>
      <w:r w:rsidR="001A7258">
        <w:rPr>
          <w:rFonts w:ascii="Calibri" w:eastAsia="Calibri" w:hAnsi="Calibri" w:cs="Times New Roman"/>
        </w:rPr>
        <w:fldChar w:fldCharType="separate"/>
      </w:r>
      <w:r w:rsidR="00152F6D">
        <w:t xml:space="preserve">Table </w:t>
      </w:r>
      <w:r w:rsidR="00152F6D">
        <w:rPr>
          <w:noProof/>
        </w:rPr>
        <w:t>6</w:t>
      </w:r>
      <w:r w:rsidR="00152F6D">
        <w:t>.</w:t>
      </w:r>
      <w:r w:rsidR="00152F6D">
        <w:rPr>
          <w:noProof/>
        </w:rPr>
        <w:t>4</w:t>
      </w:r>
      <w:r w:rsidR="001A7258">
        <w:rPr>
          <w:rFonts w:ascii="Calibri" w:eastAsia="Calibri" w:hAnsi="Calibri" w:cs="Times New Roman"/>
        </w:rPr>
        <w:fldChar w:fldCharType="end"/>
      </w:r>
      <w:r w:rsidRPr="00E6060C">
        <w:rPr>
          <w:rFonts w:ascii="Calibri" w:eastAsia="Calibri" w:hAnsi="Calibri" w:cs="Times New Roman"/>
        </w:rPr>
        <w:t>). Heterogeneity remained moderate to</w:t>
      </w:r>
      <w:r w:rsidR="005F7E67">
        <w:rPr>
          <w:rFonts w:ascii="Calibri" w:eastAsia="Calibri" w:hAnsi="Calibri" w:cs="Times New Roman"/>
        </w:rPr>
        <w:t xml:space="preserve"> high for some subgroups (range:</w:t>
      </w:r>
      <w:r w:rsidRPr="00E6060C">
        <w:rPr>
          <w:rFonts w:ascii="Calibri" w:eastAsia="Calibri" w:hAnsi="Calibri" w:cs="Times New Roman"/>
        </w:rPr>
        <w:t xml:space="preserve"> </w:t>
      </w:r>
      <w:r w:rsidRPr="00E6060C">
        <w:rPr>
          <w:rFonts w:ascii="Calibri" w:eastAsia="Calibri" w:hAnsi="Calibri" w:cs="Times New Roman"/>
          <w:i/>
        </w:rPr>
        <w:t>I</w:t>
      </w:r>
      <w:r w:rsidRPr="00E6060C">
        <w:rPr>
          <w:rFonts w:ascii="Calibri" w:eastAsia="Calibri" w:hAnsi="Calibri" w:cs="Times New Roman"/>
          <w:i/>
          <w:vertAlign w:val="superscript"/>
        </w:rPr>
        <w:t>2</w:t>
      </w:r>
      <w:r w:rsidR="001A7258">
        <w:rPr>
          <w:rFonts w:ascii="Calibri" w:eastAsia="Calibri" w:hAnsi="Calibri" w:cs="Times New Roman"/>
        </w:rPr>
        <w:t xml:space="preserve">=29.23, health promotion interventions - 92.87, </w:t>
      </w:r>
      <w:r w:rsidRPr="00E6060C">
        <w:rPr>
          <w:rFonts w:ascii="Calibri" w:eastAsia="Calibri" w:hAnsi="Calibri" w:cs="Times New Roman"/>
        </w:rPr>
        <w:t>personal resource building interventio</w:t>
      </w:r>
      <w:r w:rsidR="001A7258">
        <w:rPr>
          <w:rFonts w:ascii="Calibri" w:eastAsia="Calibri" w:hAnsi="Calibri" w:cs="Times New Roman"/>
        </w:rPr>
        <w:t>ns</w:t>
      </w:r>
      <w:r w:rsidRPr="00E6060C">
        <w:rPr>
          <w:rFonts w:ascii="Calibri" w:eastAsia="Calibri" w:hAnsi="Calibri" w:cs="Times New Roman"/>
        </w:rPr>
        <w:t>). This suggests the existence of further moderators, such as gender, age, the country in which the intervention was undertaken, or the occupations of respondents. It was not possible to investigate these meta-analytically in this study due to inconsistent reporting of some of these factors between studies, and the limited study sample size which would have been present within subgroups. Bias as a result of difficulty implementing interventions as planned, or high attrition rates, may have affected the results, and these factors, amongst others, are discussed further throughout the narrative systematic review (Chapter 5)</w:t>
      </w:r>
      <w:r w:rsidR="000B5878">
        <w:rPr>
          <w:rFonts w:ascii="Calibri" w:eastAsia="Calibri" w:hAnsi="Calibri" w:cs="Times New Roman"/>
        </w:rPr>
        <w:t xml:space="preserve"> and </w:t>
      </w:r>
      <w:r w:rsidR="000B5878" w:rsidRPr="00E6060C">
        <w:rPr>
          <w:rFonts w:ascii="Calibri" w:eastAsia="Calibri" w:hAnsi="Calibri" w:cs="Times New Roman"/>
        </w:rPr>
        <w:t xml:space="preserve">in </w:t>
      </w:r>
      <w:r w:rsidR="000B5878">
        <w:rPr>
          <w:rFonts w:ascii="Calibri" w:eastAsia="Calibri" w:hAnsi="Calibri" w:cs="Times New Roman"/>
        </w:rPr>
        <w:t xml:space="preserve">the final discussion Chapter, Chapter 10. </w:t>
      </w:r>
    </w:p>
    <w:p w14:paraId="12D14D01" w14:textId="77777777" w:rsidR="000B5878" w:rsidRDefault="000B5878" w:rsidP="000B5878">
      <w:pPr>
        <w:spacing w:before="200" w:line="360" w:lineRule="auto"/>
        <w:contextualSpacing/>
        <w:rPr>
          <w:rFonts w:ascii="Calibri" w:eastAsia="Calibri" w:hAnsi="Calibri" w:cs="Times New Roman"/>
        </w:rPr>
      </w:pPr>
    </w:p>
    <w:p w14:paraId="70C5BA8E" w14:textId="06C6EF9E" w:rsidR="00E6060C" w:rsidRPr="00E6060C" w:rsidRDefault="000B5878"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In summary, the results </w:t>
      </w:r>
      <w:r>
        <w:rPr>
          <w:rFonts w:ascii="Calibri" w:eastAsia="Calibri" w:hAnsi="Calibri" w:cs="Times New Roman"/>
        </w:rPr>
        <w:t xml:space="preserve">presented here </w:t>
      </w:r>
      <w:r w:rsidRPr="00E6060C">
        <w:rPr>
          <w:rFonts w:ascii="Calibri" w:eastAsia="Calibri" w:hAnsi="Calibri" w:cs="Times New Roman"/>
        </w:rPr>
        <w:t xml:space="preserve">tentatively suggest that interventions involving either a group or an individual component have a positive impact on work engagement. </w:t>
      </w:r>
    </w:p>
    <w:p w14:paraId="0E7FC852" w14:textId="77777777" w:rsidR="0068449F" w:rsidRDefault="0068449F">
      <w:pPr>
        <w:spacing w:after="160"/>
        <w:rPr>
          <w:rFonts w:ascii="Calibri" w:eastAsia="Calibri" w:hAnsi="Calibri" w:cs="Times New Roman"/>
        </w:rPr>
      </w:pPr>
      <w:r>
        <w:rPr>
          <w:rFonts w:ascii="Calibri" w:eastAsia="Calibri" w:hAnsi="Calibri" w:cs="Times New Roman"/>
        </w:rPr>
        <w:br w:type="page"/>
      </w:r>
    </w:p>
    <w:p w14:paraId="62700AF9" w14:textId="08E84B3C" w:rsidR="0035035C" w:rsidRDefault="0035035C" w:rsidP="005852AD">
      <w:pPr>
        <w:pStyle w:val="Figurestyle"/>
      </w:pPr>
      <w:bookmarkStart w:id="250" w:name="_Ref453574504"/>
      <w:bookmarkStart w:id="251" w:name="_Toc468286068"/>
      <w:r>
        <w:lastRenderedPageBreak/>
        <w:t xml:space="preserve">Table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4</w:t>
      </w:r>
      <w:r w:rsidR="00245D68">
        <w:rPr>
          <w:noProof/>
        </w:rPr>
        <w:fldChar w:fldCharType="end"/>
      </w:r>
      <w:bookmarkEnd w:id="250"/>
      <w:r>
        <w:t xml:space="preserve"> </w:t>
      </w:r>
      <w:r w:rsidRPr="00D5155E">
        <w:t>Results of moderator analyses (intervention type, intervention style &amp; type of organisation) on the effects of interventions on work engagement</w:t>
      </w:r>
      <w:bookmarkEnd w:id="251"/>
    </w:p>
    <w:p w14:paraId="3560110A" w14:textId="77777777" w:rsidR="0035035C" w:rsidRDefault="0035035C" w:rsidP="005852AD">
      <w:pPr>
        <w:pStyle w:val="Figurestyle"/>
      </w:pPr>
    </w:p>
    <w:tbl>
      <w:tblPr>
        <w:tblW w:w="10166" w:type="dxa"/>
        <w:tblInd w:w="-426" w:type="dxa"/>
        <w:tblLayout w:type="fixed"/>
        <w:tblLook w:val="04A0" w:firstRow="1" w:lastRow="0" w:firstColumn="1" w:lastColumn="0" w:noHBand="0" w:noVBand="1"/>
      </w:tblPr>
      <w:tblGrid>
        <w:gridCol w:w="2127"/>
        <w:gridCol w:w="460"/>
        <w:gridCol w:w="704"/>
        <w:gridCol w:w="736"/>
        <w:gridCol w:w="636"/>
        <w:gridCol w:w="636"/>
        <w:gridCol w:w="1224"/>
        <w:gridCol w:w="851"/>
        <w:gridCol w:w="756"/>
        <w:gridCol w:w="517"/>
        <w:gridCol w:w="763"/>
        <w:gridCol w:w="756"/>
      </w:tblGrid>
      <w:tr w:rsidR="00E6060C" w:rsidRPr="00E6060C" w14:paraId="3AA62130" w14:textId="77777777" w:rsidTr="00D23357">
        <w:trPr>
          <w:trHeight w:val="300"/>
        </w:trPr>
        <w:tc>
          <w:tcPr>
            <w:tcW w:w="2127" w:type="dxa"/>
            <w:tcBorders>
              <w:top w:val="single" w:sz="4" w:space="0" w:color="auto"/>
              <w:bottom w:val="single" w:sz="4" w:space="0" w:color="auto"/>
            </w:tcBorders>
            <w:noWrap/>
          </w:tcPr>
          <w:p w14:paraId="7E2BEDEF"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Outcome</w:t>
            </w:r>
          </w:p>
        </w:tc>
        <w:tc>
          <w:tcPr>
            <w:tcW w:w="460" w:type="dxa"/>
            <w:tcBorders>
              <w:top w:val="single" w:sz="4" w:space="0" w:color="auto"/>
              <w:bottom w:val="single" w:sz="4" w:space="0" w:color="auto"/>
            </w:tcBorders>
            <w:noWrap/>
          </w:tcPr>
          <w:p w14:paraId="7653E59A" w14:textId="77777777" w:rsidR="00E6060C" w:rsidRPr="00E6060C" w:rsidRDefault="00E6060C" w:rsidP="00E6060C">
            <w:pPr>
              <w:spacing w:before="200" w:line="360" w:lineRule="auto"/>
              <w:contextualSpacing/>
              <w:jc w:val="center"/>
              <w:rPr>
                <w:rFonts w:ascii="Calibri" w:eastAsia="Calibri" w:hAnsi="Calibri" w:cs="Times New Roman"/>
                <w:b/>
                <w:bCs/>
                <w:i/>
              </w:rPr>
            </w:pPr>
            <w:r w:rsidRPr="00E6060C">
              <w:rPr>
                <w:rFonts w:ascii="Calibri" w:eastAsia="Calibri" w:hAnsi="Calibri" w:cs="Times New Roman"/>
                <w:b/>
                <w:bCs/>
                <w:i/>
              </w:rPr>
              <w:t>k</w:t>
            </w:r>
          </w:p>
        </w:tc>
        <w:tc>
          <w:tcPr>
            <w:tcW w:w="704" w:type="dxa"/>
            <w:tcBorders>
              <w:top w:val="single" w:sz="4" w:space="0" w:color="auto"/>
              <w:bottom w:val="single" w:sz="4" w:space="0" w:color="auto"/>
            </w:tcBorders>
            <w:noWrap/>
          </w:tcPr>
          <w:p w14:paraId="0B9C47D9"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n (int)</w:t>
            </w:r>
          </w:p>
        </w:tc>
        <w:tc>
          <w:tcPr>
            <w:tcW w:w="736" w:type="dxa"/>
            <w:tcBorders>
              <w:top w:val="single" w:sz="4" w:space="0" w:color="auto"/>
              <w:bottom w:val="single" w:sz="4" w:space="0" w:color="auto"/>
            </w:tcBorders>
            <w:noWrap/>
          </w:tcPr>
          <w:p w14:paraId="057D0FE6"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n (con)</w:t>
            </w:r>
          </w:p>
        </w:tc>
        <w:tc>
          <w:tcPr>
            <w:tcW w:w="2496" w:type="dxa"/>
            <w:gridSpan w:val="3"/>
            <w:tcBorders>
              <w:top w:val="single" w:sz="4" w:space="0" w:color="auto"/>
              <w:bottom w:val="single" w:sz="4" w:space="0" w:color="auto"/>
            </w:tcBorders>
            <w:noWrap/>
          </w:tcPr>
          <w:p w14:paraId="29D7A9A5"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Intervention effects</w:t>
            </w:r>
          </w:p>
        </w:tc>
        <w:tc>
          <w:tcPr>
            <w:tcW w:w="851" w:type="dxa"/>
            <w:tcBorders>
              <w:top w:val="single" w:sz="4" w:space="0" w:color="auto"/>
              <w:bottom w:val="single" w:sz="4" w:space="0" w:color="auto"/>
            </w:tcBorders>
          </w:tcPr>
          <w:p w14:paraId="5193F688"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i/>
              </w:rPr>
              <w:t>p-</w:t>
            </w:r>
            <w:r w:rsidRPr="00E6060C">
              <w:rPr>
                <w:rFonts w:ascii="Calibri" w:eastAsia="Calibri" w:hAnsi="Calibri" w:cs="Times New Roman"/>
                <w:b/>
                <w:bCs/>
              </w:rPr>
              <w:t>value</w:t>
            </w:r>
          </w:p>
        </w:tc>
        <w:tc>
          <w:tcPr>
            <w:tcW w:w="2792" w:type="dxa"/>
            <w:gridSpan w:val="4"/>
            <w:tcBorders>
              <w:top w:val="single" w:sz="4" w:space="0" w:color="auto"/>
              <w:bottom w:val="single" w:sz="4" w:space="0" w:color="auto"/>
            </w:tcBorders>
            <w:noWrap/>
          </w:tcPr>
          <w:p w14:paraId="3465A635" w14:textId="77777777" w:rsidR="00E6060C" w:rsidRPr="00E6060C" w:rsidRDefault="00E6060C" w:rsidP="00E6060C">
            <w:pPr>
              <w:spacing w:before="200" w:line="360" w:lineRule="auto"/>
              <w:contextualSpacing/>
              <w:jc w:val="center"/>
              <w:rPr>
                <w:rFonts w:ascii="Calibri" w:eastAsia="Calibri" w:hAnsi="Calibri" w:cs="Times New Roman"/>
                <w:b/>
                <w:bCs/>
              </w:rPr>
            </w:pPr>
            <w:r w:rsidRPr="00E6060C">
              <w:rPr>
                <w:rFonts w:ascii="Calibri" w:eastAsia="Calibri" w:hAnsi="Calibri" w:cs="Times New Roman"/>
                <w:b/>
                <w:bCs/>
              </w:rPr>
              <w:t>Heterogeneity within each subgroup</w:t>
            </w:r>
          </w:p>
        </w:tc>
      </w:tr>
      <w:tr w:rsidR="00E6060C" w:rsidRPr="00E6060C" w14:paraId="0EAF4AA0" w14:textId="77777777" w:rsidTr="00D23357">
        <w:trPr>
          <w:trHeight w:val="335"/>
        </w:trPr>
        <w:tc>
          <w:tcPr>
            <w:tcW w:w="2127" w:type="dxa"/>
            <w:tcBorders>
              <w:top w:val="single" w:sz="4" w:space="0" w:color="auto"/>
              <w:bottom w:val="single" w:sz="4" w:space="0" w:color="auto"/>
            </w:tcBorders>
            <w:noWrap/>
          </w:tcPr>
          <w:p w14:paraId="1253F16D" w14:textId="77777777" w:rsidR="00E6060C" w:rsidRPr="00E6060C" w:rsidRDefault="00E6060C" w:rsidP="00E6060C">
            <w:pPr>
              <w:spacing w:before="200" w:line="360" w:lineRule="auto"/>
              <w:contextualSpacing/>
              <w:rPr>
                <w:rFonts w:ascii="Calibri" w:eastAsia="Calibri" w:hAnsi="Calibri" w:cs="Times New Roman"/>
                <w:b/>
                <w:bCs/>
              </w:rPr>
            </w:pPr>
          </w:p>
        </w:tc>
        <w:tc>
          <w:tcPr>
            <w:tcW w:w="460" w:type="dxa"/>
            <w:tcBorders>
              <w:top w:val="single" w:sz="4" w:space="0" w:color="auto"/>
              <w:bottom w:val="single" w:sz="4" w:space="0" w:color="auto"/>
            </w:tcBorders>
            <w:noWrap/>
          </w:tcPr>
          <w:p w14:paraId="3961A4E9" w14:textId="77777777" w:rsidR="00E6060C" w:rsidRPr="00E6060C" w:rsidRDefault="00E6060C" w:rsidP="00E6060C">
            <w:pPr>
              <w:spacing w:before="200" w:line="360" w:lineRule="auto"/>
              <w:contextualSpacing/>
              <w:rPr>
                <w:rFonts w:ascii="Calibri" w:eastAsia="Calibri" w:hAnsi="Calibri" w:cs="Times New Roman"/>
                <w:b/>
                <w:bCs/>
              </w:rPr>
            </w:pPr>
          </w:p>
        </w:tc>
        <w:tc>
          <w:tcPr>
            <w:tcW w:w="704" w:type="dxa"/>
            <w:tcBorders>
              <w:top w:val="single" w:sz="4" w:space="0" w:color="auto"/>
              <w:bottom w:val="single" w:sz="4" w:space="0" w:color="auto"/>
            </w:tcBorders>
            <w:noWrap/>
          </w:tcPr>
          <w:p w14:paraId="72004EF7" w14:textId="77777777" w:rsidR="00E6060C" w:rsidRPr="00E6060C" w:rsidRDefault="00E6060C" w:rsidP="00E6060C">
            <w:pPr>
              <w:spacing w:before="200" w:line="360" w:lineRule="auto"/>
              <w:contextualSpacing/>
              <w:rPr>
                <w:rFonts w:ascii="Calibri" w:eastAsia="Calibri" w:hAnsi="Calibri" w:cs="Times New Roman"/>
                <w:b/>
                <w:bCs/>
              </w:rPr>
            </w:pPr>
          </w:p>
        </w:tc>
        <w:tc>
          <w:tcPr>
            <w:tcW w:w="736" w:type="dxa"/>
            <w:tcBorders>
              <w:top w:val="single" w:sz="4" w:space="0" w:color="auto"/>
              <w:bottom w:val="single" w:sz="4" w:space="0" w:color="auto"/>
            </w:tcBorders>
            <w:noWrap/>
          </w:tcPr>
          <w:p w14:paraId="10E24F25" w14:textId="77777777" w:rsidR="00E6060C" w:rsidRPr="00E6060C" w:rsidRDefault="00E6060C" w:rsidP="00E6060C">
            <w:pPr>
              <w:spacing w:before="200" w:line="360" w:lineRule="auto"/>
              <w:contextualSpacing/>
              <w:rPr>
                <w:rFonts w:ascii="Calibri" w:eastAsia="Calibri" w:hAnsi="Calibri" w:cs="Times New Roman"/>
                <w:b/>
                <w:bCs/>
              </w:rPr>
            </w:pPr>
          </w:p>
        </w:tc>
        <w:tc>
          <w:tcPr>
            <w:tcW w:w="636" w:type="dxa"/>
            <w:tcBorders>
              <w:top w:val="single" w:sz="4" w:space="0" w:color="auto"/>
              <w:bottom w:val="single" w:sz="4" w:space="0" w:color="auto"/>
            </w:tcBorders>
            <w:noWrap/>
          </w:tcPr>
          <w:p w14:paraId="55030A31" w14:textId="5DA73493" w:rsidR="00E6060C" w:rsidRPr="00E6060C" w:rsidRDefault="005F7E67" w:rsidP="00E6060C">
            <w:pPr>
              <w:spacing w:before="200" w:line="360" w:lineRule="auto"/>
              <w:contextualSpacing/>
              <w:rPr>
                <w:rFonts w:ascii="Calibri" w:eastAsia="Calibri" w:hAnsi="Calibri" w:cs="Times New Roman"/>
                <w:b/>
                <w:bCs/>
                <w:i/>
              </w:rPr>
            </w:pPr>
            <w:r w:rsidRPr="00E6060C">
              <w:rPr>
                <w:rFonts w:ascii="Calibri" w:eastAsia="Calibri" w:hAnsi="Calibri" w:cs="Times New Roman"/>
                <w:b/>
                <w:bCs/>
                <w:i/>
              </w:rPr>
              <w:t>G</w:t>
            </w:r>
          </w:p>
        </w:tc>
        <w:tc>
          <w:tcPr>
            <w:tcW w:w="636" w:type="dxa"/>
            <w:tcBorders>
              <w:top w:val="single" w:sz="4" w:space="0" w:color="auto"/>
              <w:bottom w:val="single" w:sz="4" w:space="0" w:color="auto"/>
            </w:tcBorders>
            <w:noWrap/>
          </w:tcPr>
          <w:p w14:paraId="70AAEC24"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SE</w:t>
            </w:r>
          </w:p>
        </w:tc>
        <w:tc>
          <w:tcPr>
            <w:tcW w:w="1224" w:type="dxa"/>
            <w:tcBorders>
              <w:top w:val="single" w:sz="4" w:space="0" w:color="auto"/>
              <w:bottom w:val="single" w:sz="4" w:space="0" w:color="auto"/>
            </w:tcBorders>
            <w:noWrap/>
          </w:tcPr>
          <w:p w14:paraId="683201F5"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95%-CI</w:t>
            </w:r>
          </w:p>
        </w:tc>
        <w:tc>
          <w:tcPr>
            <w:tcW w:w="851" w:type="dxa"/>
            <w:tcBorders>
              <w:top w:val="single" w:sz="4" w:space="0" w:color="auto"/>
              <w:bottom w:val="single" w:sz="4" w:space="0" w:color="auto"/>
            </w:tcBorders>
          </w:tcPr>
          <w:p w14:paraId="61820EF6" w14:textId="77777777" w:rsidR="00E6060C" w:rsidRPr="00E6060C" w:rsidRDefault="00E6060C" w:rsidP="00E6060C">
            <w:pPr>
              <w:spacing w:before="200" w:line="360" w:lineRule="auto"/>
              <w:contextualSpacing/>
              <w:rPr>
                <w:rFonts w:ascii="Calibri" w:eastAsia="Calibri" w:hAnsi="Calibri" w:cs="Times New Roman"/>
                <w:b/>
                <w:bCs/>
              </w:rPr>
            </w:pPr>
          </w:p>
        </w:tc>
        <w:tc>
          <w:tcPr>
            <w:tcW w:w="756" w:type="dxa"/>
            <w:tcBorders>
              <w:top w:val="single" w:sz="4" w:space="0" w:color="auto"/>
              <w:bottom w:val="single" w:sz="4" w:space="0" w:color="auto"/>
            </w:tcBorders>
            <w:noWrap/>
          </w:tcPr>
          <w:p w14:paraId="5584CFFA"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rPr>
              <w:t>Q</w:t>
            </w:r>
          </w:p>
        </w:tc>
        <w:tc>
          <w:tcPr>
            <w:tcW w:w="517" w:type="dxa"/>
            <w:tcBorders>
              <w:top w:val="single" w:sz="4" w:space="0" w:color="auto"/>
              <w:bottom w:val="single" w:sz="4" w:space="0" w:color="auto"/>
            </w:tcBorders>
            <w:noWrap/>
          </w:tcPr>
          <w:p w14:paraId="632B9724" w14:textId="77777777" w:rsidR="00E6060C" w:rsidRPr="00E6060C" w:rsidRDefault="00E6060C" w:rsidP="00E6060C">
            <w:pPr>
              <w:spacing w:before="200" w:line="360" w:lineRule="auto"/>
              <w:contextualSpacing/>
              <w:rPr>
                <w:rFonts w:ascii="Calibri" w:eastAsia="Calibri" w:hAnsi="Calibri" w:cs="Times New Roman"/>
                <w:b/>
                <w:bCs/>
                <w:i/>
              </w:rPr>
            </w:pPr>
            <w:r w:rsidRPr="00E6060C">
              <w:rPr>
                <w:rFonts w:ascii="Calibri" w:eastAsia="Calibri" w:hAnsi="Calibri" w:cs="Times New Roman"/>
                <w:b/>
                <w:bCs/>
                <w:i/>
              </w:rPr>
              <w:t>df</w:t>
            </w:r>
          </w:p>
        </w:tc>
        <w:tc>
          <w:tcPr>
            <w:tcW w:w="763" w:type="dxa"/>
            <w:tcBorders>
              <w:top w:val="single" w:sz="4" w:space="0" w:color="auto"/>
              <w:bottom w:val="single" w:sz="4" w:space="0" w:color="auto"/>
            </w:tcBorders>
            <w:noWrap/>
          </w:tcPr>
          <w:p w14:paraId="1A521A72"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i/>
              </w:rPr>
              <w:t>p</w:t>
            </w:r>
          </w:p>
        </w:tc>
        <w:tc>
          <w:tcPr>
            <w:tcW w:w="756" w:type="dxa"/>
            <w:tcBorders>
              <w:top w:val="single" w:sz="4" w:space="0" w:color="auto"/>
              <w:bottom w:val="single" w:sz="4" w:space="0" w:color="auto"/>
            </w:tcBorders>
            <w:noWrap/>
          </w:tcPr>
          <w:p w14:paraId="5ACD3D23" w14:textId="77777777" w:rsidR="00E6060C" w:rsidRPr="00E6060C" w:rsidRDefault="00E6060C" w:rsidP="00E6060C">
            <w:pPr>
              <w:spacing w:before="200" w:line="360" w:lineRule="auto"/>
              <w:contextualSpacing/>
              <w:rPr>
                <w:rFonts w:ascii="Calibri" w:eastAsia="Calibri" w:hAnsi="Calibri" w:cs="Times New Roman"/>
                <w:b/>
                <w:bCs/>
              </w:rPr>
            </w:pPr>
            <w:r w:rsidRPr="00E6060C">
              <w:rPr>
                <w:rFonts w:ascii="Calibri" w:eastAsia="Calibri" w:hAnsi="Calibri" w:cs="Times New Roman"/>
                <w:b/>
                <w:bCs/>
                <w:i/>
              </w:rPr>
              <w:t>I</w:t>
            </w:r>
            <w:r w:rsidRPr="00E6060C">
              <w:rPr>
                <w:rFonts w:ascii="Calibri" w:eastAsia="Calibri" w:hAnsi="Calibri" w:cs="Times New Roman"/>
                <w:b/>
                <w:bCs/>
                <w:i/>
                <w:vertAlign w:val="superscript"/>
              </w:rPr>
              <w:t>2</w:t>
            </w:r>
            <w:r w:rsidRPr="00E6060C">
              <w:rPr>
                <w:rFonts w:ascii="Calibri" w:eastAsia="Calibri" w:hAnsi="Calibri" w:cs="Times New Roman"/>
                <w:b/>
                <w:bCs/>
              </w:rPr>
              <w:t xml:space="preserve"> </w:t>
            </w:r>
          </w:p>
        </w:tc>
      </w:tr>
      <w:tr w:rsidR="00E6060C" w:rsidRPr="00E6060C" w14:paraId="0F0EE824" w14:textId="77777777" w:rsidTr="00D23357">
        <w:trPr>
          <w:trHeight w:val="300"/>
        </w:trPr>
        <w:tc>
          <w:tcPr>
            <w:tcW w:w="10164" w:type="dxa"/>
            <w:gridSpan w:val="12"/>
            <w:tcBorders>
              <w:top w:val="single" w:sz="4" w:space="0" w:color="auto"/>
            </w:tcBorders>
          </w:tcPr>
          <w:p w14:paraId="75CE869B"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b/>
                <w:bCs/>
              </w:rPr>
              <w:t>Intervention type</w:t>
            </w:r>
          </w:p>
        </w:tc>
      </w:tr>
      <w:tr w:rsidR="00E6060C" w:rsidRPr="00E6060C" w14:paraId="65A099F6" w14:textId="77777777" w:rsidTr="00D23357">
        <w:trPr>
          <w:trHeight w:val="300"/>
        </w:trPr>
        <w:tc>
          <w:tcPr>
            <w:tcW w:w="2127" w:type="dxa"/>
            <w:noWrap/>
          </w:tcPr>
          <w:p w14:paraId="49EC5C0F"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Health Promotion</w:t>
            </w:r>
          </w:p>
        </w:tc>
        <w:tc>
          <w:tcPr>
            <w:tcW w:w="460" w:type="dxa"/>
            <w:noWrap/>
            <w:vAlign w:val="center"/>
          </w:tcPr>
          <w:p w14:paraId="0B94810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w:t>
            </w:r>
          </w:p>
        </w:tc>
        <w:tc>
          <w:tcPr>
            <w:tcW w:w="704" w:type="dxa"/>
            <w:noWrap/>
            <w:vAlign w:val="center"/>
          </w:tcPr>
          <w:p w14:paraId="5B2660E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806</w:t>
            </w:r>
          </w:p>
        </w:tc>
        <w:tc>
          <w:tcPr>
            <w:tcW w:w="736" w:type="dxa"/>
            <w:noWrap/>
            <w:vAlign w:val="center"/>
          </w:tcPr>
          <w:p w14:paraId="6A61423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815</w:t>
            </w:r>
          </w:p>
        </w:tc>
        <w:tc>
          <w:tcPr>
            <w:tcW w:w="636" w:type="dxa"/>
            <w:noWrap/>
            <w:vAlign w:val="center"/>
          </w:tcPr>
          <w:p w14:paraId="3035CA7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0.14</w:t>
            </w:r>
          </w:p>
        </w:tc>
        <w:tc>
          <w:tcPr>
            <w:tcW w:w="636" w:type="dxa"/>
            <w:noWrap/>
            <w:vAlign w:val="center"/>
          </w:tcPr>
          <w:p w14:paraId="1AA5F21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0.06</w:t>
            </w:r>
          </w:p>
        </w:tc>
        <w:tc>
          <w:tcPr>
            <w:tcW w:w="1224" w:type="dxa"/>
            <w:noWrap/>
            <w:vAlign w:val="center"/>
          </w:tcPr>
          <w:p w14:paraId="6B44CCD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0.02-0.26</w:t>
            </w:r>
          </w:p>
        </w:tc>
        <w:tc>
          <w:tcPr>
            <w:tcW w:w="851" w:type="dxa"/>
            <w:vAlign w:val="center"/>
          </w:tcPr>
          <w:p w14:paraId="497363A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0.03</w:t>
            </w:r>
          </w:p>
        </w:tc>
        <w:tc>
          <w:tcPr>
            <w:tcW w:w="756" w:type="dxa"/>
            <w:noWrap/>
            <w:vAlign w:val="center"/>
          </w:tcPr>
          <w:p w14:paraId="6AC371D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4.24</w:t>
            </w:r>
          </w:p>
        </w:tc>
        <w:tc>
          <w:tcPr>
            <w:tcW w:w="517" w:type="dxa"/>
            <w:noWrap/>
            <w:vAlign w:val="center"/>
          </w:tcPr>
          <w:p w14:paraId="66F3DD7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w:t>
            </w:r>
          </w:p>
        </w:tc>
        <w:tc>
          <w:tcPr>
            <w:tcW w:w="763" w:type="dxa"/>
            <w:noWrap/>
            <w:vAlign w:val="center"/>
          </w:tcPr>
          <w:p w14:paraId="3484D2B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0.24</w:t>
            </w:r>
          </w:p>
        </w:tc>
        <w:tc>
          <w:tcPr>
            <w:tcW w:w="756" w:type="dxa"/>
            <w:noWrap/>
            <w:vAlign w:val="center"/>
          </w:tcPr>
          <w:p w14:paraId="669462D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29.23</w:t>
            </w:r>
          </w:p>
        </w:tc>
      </w:tr>
      <w:tr w:rsidR="00E6060C" w:rsidRPr="00E6060C" w14:paraId="196002B1" w14:textId="77777777" w:rsidTr="00D23357">
        <w:trPr>
          <w:trHeight w:val="300"/>
        </w:trPr>
        <w:tc>
          <w:tcPr>
            <w:tcW w:w="2127" w:type="dxa"/>
            <w:noWrap/>
          </w:tcPr>
          <w:p w14:paraId="5D3F539F"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Job resources</w:t>
            </w:r>
          </w:p>
        </w:tc>
        <w:tc>
          <w:tcPr>
            <w:tcW w:w="460" w:type="dxa"/>
            <w:noWrap/>
            <w:vAlign w:val="center"/>
          </w:tcPr>
          <w:p w14:paraId="6177F21F"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2</w:t>
            </w:r>
          </w:p>
        </w:tc>
        <w:tc>
          <w:tcPr>
            <w:tcW w:w="704" w:type="dxa"/>
            <w:noWrap/>
            <w:vAlign w:val="center"/>
          </w:tcPr>
          <w:p w14:paraId="519076A9"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88</w:t>
            </w:r>
          </w:p>
        </w:tc>
        <w:tc>
          <w:tcPr>
            <w:tcW w:w="736" w:type="dxa"/>
            <w:noWrap/>
            <w:vAlign w:val="center"/>
          </w:tcPr>
          <w:p w14:paraId="2E2524B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173</w:t>
            </w:r>
          </w:p>
        </w:tc>
        <w:tc>
          <w:tcPr>
            <w:tcW w:w="636" w:type="dxa"/>
            <w:noWrap/>
            <w:vAlign w:val="center"/>
          </w:tcPr>
          <w:p w14:paraId="61FE227F"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0.40</w:t>
            </w:r>
          </w:p>
        </w:tc>
        <w:tc>
          <w:tcPr>
            <w:tcW w:w="636" w:type="dxa"/>
            <w:noWrap/>
            <w:vAlign w:val="center"/>
          </w:tcPr>
          <w:p w14:paraId="6D7E4DC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0.22</w:t>
            </w:r>
          </w:p>
        </w:tc>
        <w:tc>
          <w:tcPr>
            <w:tcW w:w="1224" w:type="dxa"/>
            <w:noWrap/>
            <w:vAlign w:val="center"/>
          </w:tcPr>
          <w:p w14:paraId="217BD8B7"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-0.04-0.84</w:t>
            </w:r>
          </w:p>
        </w:tc>
        <w:tc>
          <w:tcPr>
            <w:tcW w:w="851" w:type="dxa"/>
            <w:vAlign w:val="center"/>
          </w:tcPr>
          <w:p w14:paraId="2735A824"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0.08</w:t>
            </w:r>
          </w:p>
        </w:tc>
        <w:tc>
          <w:tcPr>
            <w:tcW w:w="756" w:type="dxa"/>
            <w:noWrap/>
            <w:vAlign w:val="center"/>
          </w:tcPr>
          <w:p w14:paraId="508047B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2.84</w:t>
            </w:r>
          </w:p>
        </w:tc>
        <w:tc>
          <w:tcPr>
            <w:tcW w:w="517" w:type="dxa"/>
            <w:noWrap/>
            <w:vAlign w:val="center"/>
          </w:tcPr>
          <w:p w14:paraId="644D159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w:t>
            </w:r>
          </w:p>
        </w:tc>
        <w:tc>
          <w:tcPr>
            <w:tcW w:w="763" w:type="dxa"/>
            <w:noWrap/>
            <w:vAlign w:val="center"/>
          </w:tcPr>
          <w:p w14:paraId="7C43472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0.09</w:t>
            </w:r>
          </w:p>
        </w:tc>
        <w:tc>
          <w:tcPr>
            <w:tcW w:w="756" w:type="dxa"/>
            <w:noWrap/>
            <w:vAlign w:val="center"/>
          </w:tcPr>
          <w:p w14:paraId="3C0EA86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64.75</w:t>
            </w:r>
          </w:p>
        </w:tc>
      </w:tr>
      <w:tr w:rsidR="00E6060C" w:rsidRPr="00E6060C" w14:paraId="02942FA9" w14:textId="77777777" w:rsidTr="00D23357">
        <w:trPr>
          <w:trHeight w:val="300"/>
        </w:trPr>
        <w:tc>
          <w:tcPr>
            <w:tcW w:w="2127" w:type="dxa"/>
            <w:noWrap/>
          </w:tcPr>
          <w:p w14:paraId="1353F068"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Leadership training</w:t>
            </w:r>
          </w:p>
        </w:tc>
        <w:tc>
          <w:tcPr>
            <w:tcW w:w="460" w:type="dxa"/>
            <w:noWrap/>
            <w:vAlign w:val="center"/>
          </w:tcPr>
          <w:p w14:paraId="163A90CA"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w:t>
            </w:r>
          </w:p>
        </w:tc>
        <w:tc>
          <w:tcPr>
            <w:tcW w:w="704" w:type="dxa"/>
            <w:noWrap/>
            <w:vAlign w:val="center"/>
          </w:tcPr>
          <w:p w14:paraId="5FD1420A"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371</w:t>
            </w:r>
          </w:p>
        </w:tc>
        <w:tc>
          <w:tcPr>
            <w:tcW w:w="736" w:type="dxa"/>
            <w:noWrap/>
            <w:vAlign w:val="center"/>
          </w:tcPr>
          <w:p w14:paraId="79DF5D5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337</w:t>
            </w:r>
          </w:p>
        </w:tc>
        <w:tc>
          <w:tcPr>
            <w:tcW w:w="636" w:type="dxa"/>
            <w:noWrap/>
            <w:vAlign w:val="center"/>
          </w:tcPr>
          <w:p w14:paraId="090D8990"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0.14</w:t>
            </w:r>
          </w:p>
        </w:tc>
        <w:tc>
          <w:tcPr>
            <w:tcW w:w="636" w:type="dxa"/>
            <w:noWrap/>
            <w:vAlign w:val="center"/>
          </w:tcPr>
          <w:p w14:paraId="6763059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0.08</w:t>
            </w:r>
          </w:p>
        </w:tc>
        <w:tc>
          <w:tcPr>
            <w:tcW w:w="1224" w:type="dxa"/>
            <w:noWrap/>
            <w:vAlign w:val="center"/>
          </w:tcPr>
          <w:p w14:paraId="5CDA7F7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-0.01-0.30</w:t>
            </w:r>
          </w:p>
        </w:tc>
        <w:tc>
          <w:tcPr>
            <w:tcW w:w="851" w:type="dxa"/>
            <w:vAlign w:val="center"/>
          </w:tcPr>
          <w:p w14:paraId="455903F9"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0.07</w:t>
            </w:r>
          </w:p>
        </w:tc>
        <w:tc>
          <w:tcPr>
            <w:tcW w:w="756" w:type="dxa"/>
            <w:noWrap/>
            <w:vAlign w:val="center"/>
          </w:tcPr>
          <w:p w14:paraId="02FA381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1.72</w:t>
            </w:r>
          </w:p>
        </w:tc>
        <w:tc>
          <w:tcPr>
            <w:tcW w:w="517" w:type="dxa"/>
            <w:noWrap/>
            <w:vAlign w:val="center"/>
          </w:tcPr>
          <w:p w14:paraId="54464230"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w:t>
            </w:r>
          </w:p>
        </w:tc>
        <w:tc>
          <w:tcPr>
            <w:tcW w:w="763" w:type="dxa"/>
            <w:noWrap/>
            <w:vAlign w:val="center"/>
          </w:tcPr>
          <w:p w14:paraId="26660D00"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0.63</w:t>
            </w:r>
          </w:p>
        </w:tc>
        <w:tc>
          <w:tcPr>
            <w:tcW w:w="756" w:type="dxa"/>
            <w:noWrap/>
            <w:vAlign w:val="center"/>
          </w:tcPr>
          <w:p w14:paraId="340D702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r>
      <w:tr w:rsidR="00E6060C" w:rsidRPr="00E6060C" w14:paraId="04436A59" w14:textId="77777777" w:rsidTr="00D23357">
        <w:trPr>
          <w:trHeight w:val="300"/>
        </w:trPr>
        <w:tc>
          <w:tcPr>
            <w:tcW w:w="2127" w:type="dxa"/>
            <w:noWrap/>
          </w:tcPr>
          <w:p w14:paraId="09F50F4F"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Personal resources</w:t>
            </w:r>
          </w:p>
        </w:tc>
        <w:tc>
          <w:tcPr>
            <w:tcW w:w="460" w:type="dxa"/>
            <w:noWrap/>
            <w:vAlign w:val="center"/>
          </w:tcPr>
          <w:p w14:paraId="195903E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w:t>
            </w:r>
          </w:p>
        </w:tc>
        <w:tc>
          <w:tcPr>
            <w:tcW w:w="704" w:type="dxa"/>
            <w:noWrap/>
            <w:vAlign w:val="center"/>
          </w:tcPr>
          <w:p w14:paraId="06F8446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493</w:t>
            </w:r>
          </w:p>
        </w:tc>
        <w:tc>
          <w:tcPr>
            <w:tcW w:w="736" w:type="dxa"/>
            <w:noWrap/>
            <w:vAlign w:val="center"/>
          </w:tcPr>
          <w:p w14:paraId="7D63E4AF"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609</w:t>
            </w:r>
          </w:p>
        </w:tc>
        <w:tc>
          <w:tcPr>
            <w:tcW w:w="636" w:type="dxa"/>
            <w:noWrap/>
            <w:vAlign w:val="center"/>
          </w:tcPr>
          <w:p w14:paraId="7C4912E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1.00</w:t>
            </w:r>
          </w:p>
        </w:tc>
        <w:tc>
          <w:tcPr>
            <w:tcW w:w="636" w:type="dxa"/>
            <w:noWrap/>
            <w:vAlign w:val="center"/>
          </w:tcPr>
          <w:p w14:paraId="1A67442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0.61</w:t>
            </w:r>
          </w:p>
        </w:tc>
        <w:tc>
          <w:tcPr>
            <w:tcW w:w="1224" w:type="dxa"/>
            <w:noWrap/>
            <w:vAlign w:val="center"/>
          </w:tcPr>
          <w:p w14:paraId="06AE0EA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-0.20-2.20</w:t>
            </w:r>
          </w:p>
        </w:tc>
        <w:tc>
          <w:tcPr>
            <w:tcW w:w="851" w:type="dxa"/>
            <w:vAlign w:val="center"/>
          </w:tcPr>
          <w:p w14:paraId="5E74833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0.10</w:t>
            </w:r>
          </w:p>
        </w:tc>
        <w:tc>
          <w:tcPr>
            <w:tcW w:w="756" w:type="dxa"/>
            <w:noWrap/>
            <w:vAlign w:val="center"/>
          </w:tcPr>
          <w:p w14:paraId="36D9D1EF"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42.08</w:t>
            </w:r>
          </w:p>
        </w:tc>
        <w:tc>
          <w:tcPr>
            <w:tcW w:w="517" w:type="dxa"/>
            <w:noWrap/>
            <w:vAlign w:val="center"/>
          </w:tcPr>
          <w:p w14:paraId="5D577D3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w:t>
            </w:r>
          </w:p>
        </w:tc>
        <w:tc>
          <w:tcPr>
            <w:tcW w:w="763" w:type="dxa"/>
            <w:noWrap/>
            <w:vAlign w:val="center"/>
          </w:tcPr>
          <w:p w14:paraId="006B741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c>
          <w:tcPr>
            <w:tcW w:w="756" w:type="dxa"/>
            <w:noWrap/>
            <w:vAlign w:val="center"/>
          </w:tcPr>
          <w:p w14:paraId="35511FF3"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92.87</w:t>
            </w:r>
          </w:p>
        </w:tc>
      </w:tr>
      <w:tr w:rsidR="00E6060C" w:rsidRPr="00E6060C" w14:paraId="5F6B77D8" w14:textId="77777777" w:rsidTr="00D23357">
        <w:trPr>
          <w:trHeight w:val="300"/>
        </w:trPr>
        <w:tc>
          <w:tcPr>
            <w:tcW w:w="2127" w:type="dxa"/>
            <w:tcBorders>
              <w:bottom w:val="single" w:sz="4" w:space="0" w:color="auto"/>
            </w:tcBorders>
            <w:noWrap/>
          </w:tcPr>
          <w:p w14:paraId="295398BC"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460" w:type="dxa"/>
            <w:tcBorders>
              <w:bottom w:val="single" w:sz="4" w:space="0" w:color="auto"/>
            </w:tcBorders>
            <w:noWrap/>
            <w:vAlign w:val="center"/>
          </w:tcPr>
          <w:p w14:paraId="07172F91"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704" w:type="dxa"/>
            <w:tcBorders>
              <w:bottom w:val="single" w:sz="4" w:space="0" w:color="auto"/>
            </w:tcBorders>
            <w:noWrap/>
            <w:vAlign w:val="center"/>
          </w:tcPr>
          <w:p w14:paraId="1F887F8B"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736" w:type="dxa"/>
            <w:tcBorders>
              <w:bottom w:val="single" w:sz="4" w:space="0" w:color="auto"/>
            </w:tcBorders>
            <w:noWrap/>
            <w:vAlign w:val="center"/>
          </w:tcPr>
          <w:p w14:paraId="5291B99F"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636" w:type="dxa"/>
            <w:tcBorders>
              <w:bottom w:val="single" w:sz="4" w:space="0" w:color="auto"/>
            </w:tcBorders>
            <w:noWrap/>
            <w:vAlign w:val="center"/>
          </w:tcPr>
          <w:p w14:paraId="3B8ADAD9"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2711" w:type="dxa"/>
            <w:gridSpan w:val="3"/>
            <w:tcBorders>
              <w:bottom w:val="single" w:sz="4" w:space="0" w:color="auto"/>
            </w:tcBorders>
            <w:noWrap/>
            <w:vAlign w:val="center"/>
          </w:tcPr>
          <w:p w14:paraId="58FA7CF7" w14:textId="77777777" w:rsidR="00E6060C" w:rsidRPr="00E6060C" w:rsidRDefault="00E6060C" w:rsidP="00E6060C">
            <w:pPr>
              <w:spacing w:before="200" w:line="360" w:lineRule="auto"/>
              <w:contextualSpacing/>
              <w:rPr>
                <w:rFonts w:ascii="Calibri" w:eastAsia="Calibri" w:hAnsi="Calibri" w:cs="Times New Roman"/>
                <w:b/>
                <w:i/>
                <w:iCs/>
              </w:rPr>
            </w:pPr>
            <w:r w:rsidRPr="00E6060C">
              <w:rPr>
                <w:rFonts w:ascii="Calibri" w:eastAsia="Calibri" w:hAnsi="Calibri" w:cs="Times New Roman"/>
                <w:b/>
              </w:rPr>
              <w:t>Heterogeneity between</w:t>
            </w:r>
          </w:p>
        </w:tc>
        <w:tc>
          <w:tcPr>
            <w:tcW w:w="756" w:type="dxa"/>
            <w:tcBorders>
              <w:bottom w:val="single" w:sz="4" w:space="0" w:color="auto"/>
            </w:tcBorders>
            <w:noWrap/>
            <w:vAlign w:val="center"/>
          </w:tcPr>
          <w:p w14:paraId="1C98EA2C"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3.18</w:t>
            </w:r>
          </w:p>
        </w:tc>
        <w:tc>
          <w:tcPr>
            <w:tcW w:w="517" w:type="dxa"/>
            <w:tcBorders>
              <w:bottom w:val="single" w:sz="4" w:space="0" w:color="auto"/>
            </w:tcBorders>
            <w:noWrap/>
            <w:vAlign w:val="center"/>
          </w:tcPr>
          <w:p w14:paraId="315C56AD"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3</w:t>
            </w:r>
          </w:p>
        </w:tc>
        <w:tc>
          <w:tcPr>
            <w:tcW w:w="763" w:type="dxa"/>
            <w:tcBorders>
              <w:bottom w:val="single" w:sz="4" w:space="0" w:color="auto"/>
            </w:tcBorders>
            <w:noWrap/>
            <w:vAlign w:val="center"/>
          </w:tcPr>
          <w:p w14:paraId="3E7609A2"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0.36</w:t>
            </w:r>
          </w:p>
        </w:tc>
        <w:tc>
          <w:tcPr>
            <w:tcW w:w="756" w:type="dxa"/>
            <w:tcBorders>
              <w:bottom w:val="single" w:sz="4" w:space="0" w:color="auto"/>
            </w:tcBorders>
            <w:noWrap/>
            <w:vAlign w:val="center"/>
          </w:tcPr>
          <w:p w14:paraId="515C5D13" w14:textId="77777777" w:rsidR="00E6060C" w:rsidRPr="00E6060C" w:rsidRDefault="00E6060C" w:rsidP="00E6060C">
            <w:pPr>
              <w:spacing w:before="200" w:line="360" w:lineRule="auto"/>
              <w:contextualSpacing/>
              <w:rPr>
                <w:rFonts w:ascii="Calibri" w:eastAsia="Calibri" w:hAnsi="Calibri" w:cs="Times New Roman"/>
                <w:b/>
                <w:bCs/>
                <w:lang w:val="en-US"/>
              </w:rPr>
            </w:pPr>
          </w:p>
        </w:tc>
      </w:tr>
      <w:tr w:rsidR="00E6060C" w:rsidRPr="00E6060C" w14:paraId="3E0878BD" w14:textId="77777777" w:rsidTr="00D23357">
        <w:trPr>
          <w:trHeight w:val="300"/>
        </w:trPr>
        <w:tc>
          <w:tcPr>
            <w:tcW w:w="10164" w:type="dxa"/>
            <w:gridSpan w:val="12"/>
            <w:tcBorders>
              <w:top w:val="single" w:sz="4" w:space="0" w:color="auto"/>
            </w:tcBorders>
          </w:tcPr>
          <w:p w14:paraId="38E1806C"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b/>
                <w:bCs/>
              </w:rPr>
              <w:t>Intervention style</w:t>
            </w:r>
          </w:p>
        </w:tc>
      </w:tr>
      <w:tr w:rsidR="00E6060C" w:rsidRPr="00E6060C" w14:paraId="735129B1" w14:textId="77777777" w:rsidTr="00D23357">
        <w:trPr>
          <w:trHeight w:val="300"/>
        </w:trPr>
        <w:tc>
          <w:tcPr>
            <w:tcW w:w="2127" w:type="dxa"/>
            <w:noWrap/>
          </w:tcPr>
          <w:p w14:paraId="660CCBC4"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Group</w:t>
            </w:r>
          </w:p>
        </w:tc>
        <w:tc>
          <w:tcPr>
            <w:tcW w:w="460" w:type="dxa"/>
            <w:noWrap/>
            <w:vAlign w:val="center"/>
          </w:tcPr>
          <w:p w14:paraId="13F207A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w:t>
            </w:r>
          </w:p>
        </w:tc>
        <w:tc>
          <w:tcPr>
            <w:tcW w:w="704" w:type="dxa"/>
            <w:noWrap/>
            <w:vAlign w:val="center"/>
          </w:tcPr>
          <w:p w14:paraId="471B74C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828</w:t>
            </w:r>
          </w:p>
        </w:tc>
        <w:tc>
          <w:tcPr>
            <w:tcW w:w="736" w:type="dxa"/>
            <w:noWrap/>
            <w:vAlign w:val="center"/>
          </w:tcPr>
          <w:p w14:paraId="035B75C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797</w:t>
            </w:r>
          </w:p>
        </w:tc>
        <w:tc>
          <w:tcPr>
            <w:tcW w:w="636" w:type="dxa"/>
            <w:noWrap/>
            <w:vAlign w:val="center"/>
          </w:tcPr>
          <w:p w14:paraId="66C1D5F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0.51</w:t>
            </w:r>
          </w:p>
        </w:tc>
        <w:tc>
          <w:tcPr>
            <w:tcW w:w="636" w:type="dxa"/>
            <w:noWrap/>
            <w:vAlign w:val="center"/>
          </w:tcPr>
          <w:p w14:paraId="353B396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0.20</w:t>
            </w:r>
          </w:p>
        </w:tc>
        <w:tc>
          <w:tcPr>
            <w:tcW w:w="1224" w:type="dxa"/>
            <w:noWrap/>
            <w:vAlign w:val="center"/>
          </w:tcPr>
          <w:p w14:paraId="3C1707BA"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0.12-0.90</w:t>
            </w:r>
          </w:p>
        </w:tc>
        <w:tc>
          <w:tcPr>
            <w:tcW w:w="851" w:type="dxa"/>
            <w:vAlign w:val="center"/>
          </w:tcPr>
          <w:p w14:paraId="5A90517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0.01</w:t>
            </w:r>
          </w:p>
        </w:tc>
        <w:tc>
          <w:tcPr>
            <w:tcW w:w="756" w:type="dxa"/>
            <w:noWrap/>
            <w:vAlign w:val="center"/>
          </w:tcPr>
          <w:p w14:paraId="6D916B50"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43.28</w:t>
            </w:r>
          </w:p>
        </w:tc>
        <w:tc>
          <w:tcPr>
            <w:tcW w:w="517" w:type="dxa"/>
            <w:noWrap/>
            <w:vAlign w:val="center"/>
          </w:tcPr>
          <w:p w14:paraId="7ECEC14A"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7</w:t>
            </w:r>
          </w:p>
        </w:tc>
        <w:tc>
          <w:tcPr>
            <w:tcW w:w="763" w:type="dxa"/>
            <w:noWrap/>
            <w:vAlign w:val="center"/>
          </w:tcPr>
          <w:p w14:paraId="5CDA1D0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c>
          <w:tcPr>
            <w:tcW w:w="756" w:type="dxa"/>
            <w:noWrap/>
            <w:vAlign w:val="center"/>
          </w:tcPr>
          <w:p w14:paraId="3697A99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83.83</w:t>
            </w:r>
          </w:p>
        </w:tc>
      </w:tr>
      <w:tr w:rsidR="00E6060C" w:rsidRPr="00E6060C" w14:paraId="530832DE" w14:textId="77777777" w:rsidTr="00D23357">
        <w:trPr>
          <w:trHeight w:val="300"/>
        </w:trPr>
        <w:tc>
          <w:tcPr>
            <w:tcW w:w="2127" w:type="dxa"/>
            <w:noWrap/>
          </w:tcPr>
          <w:p w14:paraId="0BB95B79"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Group and individual</w:t>
            </w:r>
          </w:p>
        </w:tc>
        <w:tc>
          <w:tcPr>
            <w:tcW w:w="460" w:type="dxa"/>
            <w:noWrap/>
            <w:vAlign w:val="center"/>
          </w:tcPr>
          <w:p w14:paraId="60F6E149"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w:t>
            </w:r>
          </w:p>
        </w:tc>
        <w:tc>
          <w:tcPr>
            <w:tcW w:w="704" w:type="dxa"/>
            <w:noWrap/>
            <w:vAlign w:val="center"/>
          </w:tcPr>
          <w:p w14:paraId="7A2D8D6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536</w:t>
            </w:r>
          </w:p>
        </w:tc>
        <w:tc>
          <w:tcPr>
            <w:tcW w:w="736" w:type="dxa"/>
            <w:noWrap/>
            <w:vAlign w:val="center"/>
          </w:tcPr>
          <w:p w14:paraId="40977B9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479</w:t>
            </w:r>
          </w:p>
        </w:tc>
        <w:tc>
          <w:tcPr>
            <w:tcW w:w="636" w:type="dxa"/>
            <w:noWrap/>
            <w:vAlign w:val="center"/>
          </w:tcPr>
          <w:p w14:paraId="0E6E415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0.07</w:t>
            </w:r>
          </w:p>
        </w:tc>
        <w:tc>
          <w:tcPr>
            <w:tcW w:w="636" w:type="dxa"/>
            <w:noWrap/>
            <w:vAlign w:val="center"/>
          </w:tcPr>
          <w:p w14:paraId="36CD00B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0.06</w:t>
            </w:r>
          </w:p>
        </w:tc>
        <w:tc>
          <w:tcPr>
            <w:tcW w:w="1224" w:type="dxa"/>
            <w:noWrap/>
            <w:vAlign w:val="center"/>
          </w:tcPr>
          <w:p w14:paraId="71A0639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-0.05-0.20</w:t>
            </w:r>
          </w:p>
        </w:tc>
        <w:tc>
          <w:tcPr>
            <w:tcW w:w="851" w:type="dxa"/>
            <w:vAlign w:val="center"/>
          </w:tcPr>
          <w:p w14:paraId="311950C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0.26</w:t>
            </w:r>
          </w:p>
        </w:tc>
        <w:tc>
          <w:tcPr>
            <w:tcW w:w="756" w:type="dxa"/>
            <w:noWrap/>
            <w:vAlign w:val="center"/>
          </w:tcPr>
          <w:p w14:paraId="333DA41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0.98</w:t>
            </w:r>
          </w:p>
        </w:tc>
        <w:tc>
          <w:tcPr>
            <w:tcW w:w="517" w:type="dxa"/>
            <w:noWrap/>
            <w:vAlign w:val="center"/>
          </w:tcPr>
          <w:p w14:paraId="5ECDA5A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2</w:t>
            </w:r>
          </w:p>
        </w:tc>
        <w:tc>
          <w:tcPr>
            <w:tcW w:w="763" w:type="dxa"/>
            <w:noWrap/>
            <w:vAlign w:val="center"/>
          </w:tcPr>
          <w:p w14:paraId="1257FB1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0.61</w:t>
            </w:r>
          </w:p>
        </w:tc>
        <w:tc>
          <w:tcPr>
            <w:tcW w:w="756" w:type="dxa"/>
            <w:noWrap/>
            <w:vAlign w:val="center"/>
          </w:tcPr>
          <w:p w14:paraId="54476C07"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r>
      <w:tr w:rsidR="00E6060C" w:rsidRPr="00E6060C" w14:paraId="44BBEFCD" w14:textId="77777777" w:rsidTr="00D23357">
        <w:trPr>
          <w:trHeight w:val="300"/>
        </w:trPr>
        <w:tc>
          <w:tcPr>
            <w:tcW w:w="2127" w:type="dxa"/>
            <w:noWrap/>
          </w:tcPr>
          <w:p w14:paraId="7C943ED1"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Individual</w:t>
            </w:r>
          </w:p>
        </w:tc>
        <w:tc>
          <w:tcPr>
            <w:tcW w:w="460" w:type="dxa"/>
            <w:noWrap/>
            <w:vAlign w:val="center"/>
          </w:tcPr>
          <w:p w14:paraId="5E3AE5C3"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w:t>
            </w:r>
          </w:p>
        </w:tc>
        <w:tc>
          <w:tcPr>
            <w:tcW w:w="704" w:type="dxa"/>
            <w:noWrap/>
            <w:vAlign w:val="center"/>
          </w:tcPr>
          <w:p w14:paraId="148D6433"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38</w:t>
            </w:r>
          </w:p>
        </w:tc>
        <w:tc>
          <w:tcPr>
            <w:tcW w:w="736" w:type="dxa"/>
            <w:noWrap/>
            <w:vAlign w:val="center"/>
          </w:tcPr>
          <w:p w14:paraId="0F49C3C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97</w:t>
            </w:r>
          </w:p>
        </w:tc>
        <w:tc>
          <w:tcPr>
            <w:tcW w:w="636" w:type="dxa"/>
            <w:noWrap/>
            <w:vAlign w:val="center"/>
          </w:tcPr>
          <w:p w14:paraId="1BE7AB0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0.63</w:t>
            </w:r>
          </w:p>
        </w:tc>
        <w:tc>
          <w:tcPr>
            <w:tcW w:w="636" w:type="dxa"/>
            <w:noWrap/>
            <w:vAlign w:val="center"/>
          </w:tcPr>
          <w:p w14:paraId="21997600"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0.19</w:t>
            </w:r>
          </w:p>
        </w:tc>
        <w:tc>
          <w:tcPr>
            <w:tcW w:w="1224" w:type="dxa"/>
            <w:noWrap/>
            <w:vAlign w:val="center"/>
          </w:tcPr>
          <w:p w14:paraId="1750AFE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0.25-1.01</w:t>
            </w:r>
          </w:p>
        </w:tc>
        <w:tc>
          <w:tcPr>
            <w:tcW w:w="851" w:type="dxa"/>
            <w:vAlign w:val="center"/>
          </w:tcPr>
          <w:p w14:paraId="0D78D27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c>
          <w:tcPr>
            <w:tcW w:w="756" w:type="dxa"/>
            <w:noWrap/>
            <w:vAlign w:val="center"/>
          </w:tcPr>
          <w:p w14:paraId="6F2FC74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c>
          <w:tcPr>
            <w:tcW w:w="517" w:type="dxa"/>
            <w:noWrap/>
            <w:vAlign w:val="center"/>
          </w:tcPr>
          <w:p w14:paraId="16FC954F"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w:t>
            </w:r>
          </w:p>
        </w:tc>
        <w:tc>
          <w:tcPr>
            <w:tcW w:w="763" w:type="dxa"/>
            <w:noWrap/>
            <w:vAlign w:val="center"/>
          </w:tcPr>
          <w:p w14:paraId="72F8B94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1.000</w:t>
            </w:r>
          </w:p>
        </w:tc>
        <w:tc>
          <w:tcPr>
            <w:tcW w:w="756" w:type="dxa"/>
            <w:noWrap/>
            <w:vAlign w:val="center"/>
          </w:tcPr>
          <w:p w14:paraId="4AE816B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0.00</w:t>
            </w:r>
          </w:p>
        </w:tc>
      </w:tr>
      <w:tr w:rsidR="00E6060C" w:rsidRPr="00E6060C" w14:paraId="038B56FC" w14:textId="77777777" w:rsidTr="00D23357">
        <w:trPr>
          <w:trHeight w:val="300"/>
        </w:trPr>
        <w:tc>
          <w:tcPr>
            <w:tcW w:w="2127" w:type="dxa"/>
            <w:noWrap/>
          </w:tcPr>
          <w:p w14:paraId="78EB6156"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Online and individual</w:t>
            </w:r>
          </w:p>
        </w:tc>
        <w:tc>
          <w:tcPr>
            <w:tcW w:w="460" w:type="dxa"/>
            <w:noWrap/>
            <w:vAlign w:val="center"/>
          </w:tcPr>
          <w:p w14:paraId="7902269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2</w:t>
            </w:r>
          </w:p>
        </w:tc>
        <w:tc>
          <w:tcPr>
            <w:tcW w:w="704" w:type="dxa"/>
            <w:noWrap/>
            <w:vAlign w:val="center"/>
          </w:tcPr>
          <w:p w14:paraId="628F3C8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356</w:t>
            </w:r>
          </w:p>
        </w:tc>
        <w:tc>
          <w:tcPr>
            <w:tcW w:w="736" w:type="dxa"/>
            <w:noWrap/>
            <w:vAlign w:val="center"/>
          </w:tcPr>
          <w:p w14:paraId="2C12FB5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561</w:t>
            </w:r>
          </w:p>
        </w:tc>
        <w:tc>
          <w:tcPr>
            <w:tcW w:w="636" w:type="dxa"/>
            <w:noWrap/>
            <w:vAlign w:val="center"/>
          </w:tcPr>
          <w:p w14:paraId="6F41E83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0.17</w:t>
            </w:r>
          </w:p>
        </w:tc>
        <w:tc>
          <w:tcPr>
            <w:tcW w:w="636" w:type="dxa"/>
            <w:noWrap/>
            <w:vAlign w:val="center"/>
          </w:tcPr>
          <w:p w14:paraId="4E76601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0.11</w:t>
            </w:r>
          </w:p>
        </w:tc>
        <w:tc>
          <w:tcPr>
            <w:tcW w:w="1224" w:type="dxa"/>
            <w:noWrap/>
            <w:vAlign w:val="center"/>
          </w:tcPr>
          <w:p w14:paraId="2E524C8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-0.05-0.38</w:t>
            </w:r>
          </w:p>
        </w:tc>
        <w:tc>
          <w:tcPr>
            <w:tcW w:w="851" w:type="dxa"/>
            <w:vAlign w:val="center"/>
          </w:tcPr>
          <w:p w14:paraId="264E5A31"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0.14</w:t>
            </w:r>
          </w:p>
        </w:tc>
        <w:tc>
          <w:tcPr>
            <w:tcW w:w="756" w:type="dxa"/>
            <w:noWrap/>
            <w:vAlign w:val="center"/>
          </w:tcPr>
          <w:p w14:paraId="26E6D56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2.27</w:t>
            </w:r>
          </w:p>
        </w:tc>
        <w:tc>
          <w:tcPr>
            <w:tcW w:w="517" w:type="dxa"/>
            <w:noWrap/>
            <w:vAlign w:val="center"/>
          </w:tcPr>
          <w:p w14:paraId="0095B4D3"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1</w:t>
            </w:r>
          </w:p>
        </w:tc>
        <w:tc>
          <w:tcPr>
            <w:tcW w:w="763" w:type="dxa"/>
            <w:noWrap/>
            <w:vAlign w:val="center"/>
          </w:tcPr>
          <w:p w14:paraId="0A46C56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0.13</w:t>
            </w:r>
          </w:p>
        </w:tc>
        <w:tc>
          <w:tcPr>
            <w:tcW w:w="756" w:type="dxa"/>
            <w:noWrap/>
            <w:vAlign w:val="center"/>
          </w:tcPr>
          <w:p w14:paraId="58104747"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55.88</w:t>
            </w:r>
          </w:p>
        </w:tc>
      </w:tr>
      <w:tr w:rsidR="00E6060C" w:rsidRPr="00E6060C" w14:paraId="7C721985" w14:textId="77777777" w:rsidTr="00D23357">
        <w:trPr>
          <w:trHeight w:val="300"/>
        </w:trPr>
        <w:tc>
          <w:tcPr>
            <w:tcW w:w="2127" w:type="dxa"/>
            <w:tcBorders>
              <w:bottom w:val="single" w:sz="4" w:space="0" w:color="auto"/>
            </w:tcBorders>
            <w:noWrap/>
          </w:tcPr>
          <w:p w14:paraId="1394B7CC"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460" w:type="dxa"/>
            <w:tcBorders>
              <w:bottom w:val="single" w:sz="4" w:space="0" w:color="auto"/>
            </w:tcBorders>
            <w:noWrap/>
            <w:vAlign w:val="center"/>
          </w:tcPr>
          <w:p w14:paraId="4B5BD411"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704" w:type="dxa"/>
            <w:tcBorders>
              <w:bottom w:val="single" w:sz="4" w:space="0" w:color="auto"/>
            </w:tcBorders>
            <w:noWrap/>
            <w:vAlign w:val="center"/>
          </w:tcPr>
          <w:p w14:paraId="1CE36A8B"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736" w:type="dxa"/>
            <w:tcBorders>
              <w:bottom w:val="single" w:sz="4" w:space="0" w:color="auto"/>
            </w:tcBorders>
            <w:noWrap/>
            <w:vAlign w:val="center"/>
          </w:tcPr>
          <w:p w14:paraId="5B7B0C38"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636" w:type="dxa"/>
            <w:tcBorders>
              <w:bottom w:val="single" w:sz="4" w:space="0" w:color="auto"/>
            </w:tcBorders>
            <w:noWrap/>
            <w:vAlign w:val="center"/>
          </w:tcPr>
          <w:p w14:paraId="1A90A340"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2711" w:type="dxa"/>
            <w:gridSpan w:val="3"/>
            <w:tcBorders>
              <w:bottom w:val="single" w:sz="4" w:space="0" w:color="auto"/>
            </w:tcBorders>
            <w:noWrap/>
            <w:vAlign w:val="center"/>
          </w:tcPr>
          <w:p w14:paraId="39D39F19"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b/>
              </w:rPr>
              <w:t>Heterogeneity between</w:t>
            </w:r>
          </w:p>
        </w:tc>
        <w:tc>
          <w:tcPr>
            <w:tcW w:w="756" w:type="dxa"/>
            <w:tcBorders>
              <w:bottom w:val="single" w:sz="4" w:space="0" w:color="auto"/>
            </w:tcBorders>
            <w:noWrap/>
            <w:vAlign w:val="center"/>
          </w:tcPr>
          <w:p w14:paraId="068B5B8D"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10.89</w:t>
            </w:r>
          </w:p>
        </w:tc>
        <w:tc>
          <w:tcPr>
            <w:tcW w:w="517" w:type="dxa"/>
            <w:tcBorders>
              <w:bottom w:val="single" w:sz="4" w:space="0" w:color="auto"/>
            </w:tcBorders>
            <w:noWrap/>
            <w:vAlign w:val="center"/>
          </w:tcPr>
          <w:p w14:paraId="2B43DF0E"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3</w:t>
            </w:r>
          </w:p>
        </w:tc>
        <w:tc>
          <w:tcPr>
            <w:tcW w:w="763" w:type="dxa"/>
            <w:tcBorders>
              <w:bottom w:val="single" w:sz="4" w:space="0" w:color="auto"/>
            </w:tcBorders>
            <w:noWrap/>
            <w:vAlign w:val="center"/>
          </w:tcPr>
          <w:p w14:paraId="65D0E3B7"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0.01</w:t>
            </w:r>
          </w:p>
        </w:tc>
        <w:tc>
          <w:tcPr>
            <w:tcW w:w="756" w:type="dxa"/>
            <w:tcBorders>
              <w:bottom w:val="single" w:sz="4" w:space="0" w:color="auto"/>
            </w:tcBorders>
            <w:noWrap/>
            <w:vAlign w:val="center"/>
          </w:tcPr>
          <w:p w14:paraId="19BCD633" w14:textId="77777777" w:rsidR="00E6060C" w:rsidRPr="00E6060C" w:rsidRDefault="00E6060C" w:rsidP="00E6060C">
            <w:pPr>
              <w:spacing w:before="200" w:line="360" w:lineRule="auto"/>
              <w:contextualSpacing/>
              <w:rPr>
                <w:rFonts w:ascii="Calibri" w:eastAsia="Calibri" w:hAnsi="Calibri" w:cs="Times New Roman"/>
                <w:b/>
                <w:bCs/>
                <w:lang w:val="en-US"/>
              </w:rPr>
            </w:pPr>
          </w:p>
        </w:tc>
      </w:tr>
      <w:tr w:rsidR="00E6060C" w:rsidRPr="00E6060C" w14:paraId="74530198" w14:textId="77777777" w:rsidTr="00D23357">
        <w:trPr>
          <w:trHeight w:val="300"/>
        </w:trPr>
        <w:tc>
          <w:tcPr>
            <w:tcW w:w="10164" w:type="dxa"/>
            <w:gridSpan w:val="12"/>
            <w:tcBorders>
              <w:top w:val="single" w:sz="4" w:space="0" w:color="auto"/>
            </w:tcBorders>
          </w:tcPr>
          <w:p w14:paraId="404A0FF5"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b/>
                <w:bCs/>
              </w:rPr>
              <w:t>Type of organization</w:t>
            </w:r>
          </w:p>
        </w:tc>
      </w:tr>
      <w:tr w:rsidR="00E6060C" w:rsidRPr="00E6060C" w14:paraId="707BC9EB" w14:textId="77777777" w:rsidTr="00D23357">
        <w:trPr>
          <w:trHeight w:val="300"/>
        </w:trPr>
        <w:tc>
          <w:tcPr>
            <w:tcW w:w="2127" w:type="dxa"/>
            <w:noWrap/>
          </w:tcPr>
          <w:p w14:paraId="2F710B06"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 xml:space="preserve">Private </w:t>
            </w:r>
          </w:p>
        </w:tc>
        <w:tc>
          <w:tcPr>
            <w:tcW w:w="460" w:type="dxa"/>
            <w:noWrap/>
            <w:vAlign w:val="center"/>
          </w:tcPr>
          <w:p w14:paraId="1EC0A0C0"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w:t>
            </w:r>
          </w:p>
        </w:tc>
        <w:tc>
          <w:tcPr>
            <w:tcW w:w="704" w:type="dxa"/>
            <w:noWrap/>
            <w:vAlign w:val="center"/>
          </w:tcPr>
          <w:p w14:paraId="5EE3A8B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535</w:t>
            </w:r>
          </w:p>
        </w:tc>
        <w:tc>
          <w:tcPr>
            <w:tcW w:w="736" w:type="dxa"/>
            <w:noWrap/>
            <w:vAlign w:val="center"/>
          </w:tcPr>
          <w:p w14:paraId="5ECD1CF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573</w:t>
            </w:r>
          </w:p>
        </w:tc>
        <w:tc>
          <w:tcPr>
            <w:tcW w:w="636" w:type="dxa"/>
            <w:noWrap/>
            <w:vAlign w:val="center"/>
          </w:tcPr>
          <w:p w14:paraId="7DDD4CC7"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0.24</w:t>
            </w:r>
          </w:p>
        </w:tc>
        <w:tc>
          <w:tcPr>
            <w:tcW w:w="636" w:type="dxa"/>
            <w:noWrap/>
            <w:vAlign w:val="center"/>
          </w:tcPr>
          <w:p w14:paraId="2DD763B5"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0.09</w:t>
            </w:r>
          </w:p>
        </w:tc>
        <w:tc>
          <w:tcPr>
            <w:tcW w:w="1224" w:type="dxa"/>
            <w:noWrap/>
            <w:vAlign w:val="center"/>
          </w:tcPr>
          <w:p w14:paraId="3B18E28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0.07-0.41</w:t>
            </w:r>
          </w:p>
        </w:tc>
        <w:tc>
          <w:tcPr>
            <w:tcW w:w="851" w:type="dxa"/>
            <w:vAlign w:val="center"/>
          </w:tcPr>
          <w:p w14:paraId="44B66134"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0.01</w:t>
            </w:r>
          </w:p>
        </w:tc>
        <w:tc>
          <w:tcPr>
            <w:tcW w:w="756" w:type="dxa"/>
            <w:noWrap/>
            <w:vAlign w:val="center"/>
          </w:tcPr>
          <w:p w14:paraId="23BBE8C6"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5.99</w:t>
            </w:r>
          </w:p>
        </w:tc>
        <w:tc>
          <w:tcPr>
            <w:tcW w:w="517" w:type="dxa"/>
            <w:noWrap/>
            <w:vAlign w:val="center"/>
          </w:tcPr>
          <w:p w14:paraId="7ADDC87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w:t>
            </w:r>
          </w:p>
        </w:tc>
        <w:tc>
          <w:tcPr>
            <w:tcW w:w="763" w:type="dxa"/>
            <w:noWrap/>
            <w:vAlign w:val="center"/>
          </w:tcPr>
          <w:p w14:paraId="295FB96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0.20</w:t>
            </w:r>
          </w:p>
        </w:tc>
        <w:tc>
          <w:tcPr>
            <w:tcW w:w="756" w:type="dxa"/>
            <w:noWrap/>
            <w:vAlign w:val="center"/>
          </w:tcPr>
          <w:p w14:paraId="58592F63"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33.21</w:t>
            </w:r>
          </w:p>
        </w:tc>
      </w:tr>
      <w:tr w:rsidR="00E6060C" w:rsidRPr="00E6060C" w14:paraId="41FA809F" w14:textId="77777777" w:rsidTr="00D23357">
        <w:trPr>
          <w:trHeight w:val="300"/>
        </w:trPr>
        <w:tc>
          <w:tcPr>
            <w:tcW w:w="2127" w:type="dxa"/>
            <w:noWrap/>
          </w:tcPr>
          <w:p w14:paraId="57FE3E38"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rPr>
              <w:t xml:space="preserve">Public </w:t>
            </w:r>
          </w:p>
        </w:tc>
        <w:tc>
          <w:tcPr>
            <w:tcW w:w="460" w:type="dxa"/>
            <w:noWrap/>
            <w:vAlign w:val="center"/>
          </w:tcPr>
          <w:p w14:paraId="4FA5E24E"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4</w:t>
            </w:r>
          </w:p>
        </w:tc>
        <w:tc>
          <w:tcPr>
            <w:tcW w:w="704" w:type="dxa"/>
            <w:noWrap/>
            <w:vAlign w:val="center"/>
          </w:tcPr>
          <w:p w14:paraId="29E79CC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549</w:t>
            </w:r>
          </w:p>
        </w:tc>
        <w:tc>
          <w:tcPr>
            <w:tcW w:w="736" w:type="dxa"/>
            <w:noWrap/>
            <w:vAlign w:val="center"/>
          </w:tcPr>
          <w:p w14:paraId="357590D3"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676</w:t>
            </w:r>
          </w:p>
        </w:tc>
        <w:tc>
          <w:tcPr>
            <w:tcW w:w="636" w:type="dxa"/>
            <w:noWrap/>
            <w:vAlign w:val="center"/>
          </w:tcPr>
          <w:p w14:paraId="7A41BA07"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0.12</w:t>
            </w:r>
          </w:p>
        </w:tc>
        <w:tc>
          <w:tcPr>
            <w:tcW w:w="636" w:type="dxa"/>
            <w:noWrap/>
            <w:vAlign w:val="center"/>
          </w:tcPr>
          <w:p w14:paraId="468A9468"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0.10</w:t>
            </w:r>
          </w:p>
        </w:tc>
        <w:tc>
          <w:tcPr>
            <w:tcW w:w="1224" w:type="dxa"/>
            <w:noWrap/>
            <w:vAlign w:val="center"/>
          </w:tcPr>
          <w:p w14:paraId="4D6C28F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-0.03-0.38</w:t>
            </w:r>
          </w:p>
        </w:tc>
        <w:tc>
          <w:tcPr>
            <w:tcW w:w="851" w:type="dxa"/>
            <w:vAlign w:val="center"/>
          </w:tcPr>
          <w:p w14:paraId="496CFECC"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0.90</w:t>
            </w:r>
          </w:p>
        </w:tc>
        <w:tc>
          <w:tcPr>
            <w:tcW w:w="756" w:type="dxa"/>
            <w:noWrap/>
            <w:vAlign w:val="center"/>
          </w:tcPr>
          <w:p w14:paraId="7577BB3D"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8.41</w:t>
            </w:r>
          </w:p>
        </w:tc>
        <w:tc>
          <w:tcPr>
            <w:tcW w:w="517" w:type="dxa"/>
            <w:noWrap/>
            <w:vAlign w:val="center"/>
          </w:tcPr>
          <w:p w14:paraId="0D56F8E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3</w:t>
            </w:r>
          </w:p>
        </w:tc>
        <w:tc>
          <w:tcPr>
            <w:tcW w:w="763" w:type="dxa"/>
            <w:noWrap/>
            <w:vAlign w:val="center"/>
          </w:tcPr>
          <w:p w14:paraId="5C97F642"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0.04</w:t>
            </w:r>
          </w:p>
        </w:tc>
        <w:tc>
          <w:tcPr>
            <w:tcW w:w="756" w:type="dxa"/>
            <w:noWrap/>
            <w:vAlign w:val="center"/>
          </w:tcPr>
          <w:p w14:paraId="4CCF263B" w14:textId="77777777" w:rsidR="00E6060C" w:rsidRPr="00E6060C" w:rsidRDefault="00E6060C" w:rsidP="00E6060C">
            <w:pPr>
              <w:spacing w:before="200" w:line="360" w:lineRule="auto"/>
              <w:contextualSpacing/>
              <w:jc w:val="center"/>
              <w:rPr>
                <w:rFonts w:ascii="Calibri" w:eastAsia="Calibri" w:hAnsi="Calibri" w:cs="Times New Roman"/>
                <w:i/>
                <w:iCs/>
              </w:rPr>
            </w:pPr>
            <w:r w:rsidRPr="00E6060C">
              <w:rPr>
                <w:rFonts w:ascii="Calibri" w:eastAsia="Calibri" w:hAnsi="Calibri" w:cs="Times New Roman"/>
              </w:rPr>
              <w:t>64.31</w:t>
            </w:r>
          </w:p>
        </w:tc>
      </w:tr>
      <w:tr w:rsidR="00E6060C" w:rsidRPr="00E6060C" w14:paraId="626D422D" w14:textId="77777777" w:rsidTr="00D23357">
        <w:trPr>
          <w:trHeight w:val="300"/>
        </w:trPr>
        <w:tc>
          <w:tcPr>
            <w:tcW w:w="2127" w:type="dxa"/>
            <w:tcBorders>
              <w:bottom w:val="single" w:sz="4" w:space="0" w:color="auto"/>
            </w:tcBorders>
            <w:noWrap/>
          </w:tcPr>
          <w:p w14:paraId="42252FC6"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460" w:type="dxa"/>
            <w:tcBorders>
              <w:bottom w:val="single" w:sz="4" w:space="0" w:color="auto"/>
            </w:tcBorders>
            <w:noWrap/>
            <w:vAlign w:val="center"/>
          </w:tcPr>
          <w:p w14:paraId="27A69ADE"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704" w:type="dxa"/>
            <w:tcBorders>
              <w:bottom w:val="single" w:sz="4" w:space="0" w:color="auto"/>
            </w:tcBorders>
            <w:noWrap/>
            <w:vAlign w:val="center"/>
          </w:tcPr>
          <w:p w14:paraId="3D900B9E"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736" w:type="dxa"/>
            <w:tcBorders>
              <w:bottom w:val="single" w:sz="4" w:space="0" w:color="auto"/>
            </w:tcBorders>
            <w:noWrap/>
            <w:vAlign w:val="center"/>
          </w:tcPr>
          <w:p w14:paraId="5A1A857D"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636" w:type="dxa"/>
            <w:tcBorders>
              <w:bottom w:val="single" w:sz="4" w:space="0" w:color="auto"/>
            </w:tcBorders>
            <w:noWrap/>
            <w:vAlign w:val="center"/>
          </w:tcPr>
          <w:p w14:paraId="467FE520" w14:textId="77777777" w:rsidR="00E6060C" w:rsidRPr="00E6060C" w:rsidRDefault="00E6060C" w:rsidP="00E6060C">
            <w:pPr>
              <w:spacing w:before="200" w:line="360" w:lineRule="auto"/>
              <w:contextualSpacing/>
              <w:rPr>
                <w:rFonts w:ascii="Calibri" w:eastAsia="Calibri" w:hAnsi="Calibri" w:cs="Times New Roman"/>
                <w:b/>
                <w:bCs/>
                <w:lang w:val="en-US"/>
              </w:rPr>
            </w:pPr>
          </w:p>
        </w:tc>
        <w:tc>
          <w:tcPr>
            <w:tcW w:w="2711" w:type="dxa"/>
            <w:gridSpan w:val="3"/>
            <w:tcBorders>
              <w:bottom w:val="single" w:sz="4" w:space="0" w:color="auto"/>
            </w:tcBorders>
            <w:noWrap/>
            <w:vAlign w:val="center"/>
          </w:tcPr>
          <w:p w14:paraId="3385D8DD" w14:textId="77777777" w:rsidR="00E6060C" w:rsidRPr="00E6060C" w:rsidRDefault="00E6060C" w:rsidP="00E6060C">
            <w:pPr>
              <w:spacing w:before="200" w:line="360" w:lineRule="auto"/>
              <w:contextualSpacing/>
              <w:rPr>
                <w:rFonts w:ascii="Calibri" w:eastAsia="Calibri" w:hAnsi="Calibri" w:cs="Times New Roman"/>
                <w:i/>
                <w:iCs/>
              </w:rPr>
            </w:pPr>
            <w:r w:rsidRPr="00E6060C">
              <w:rPr>
                <w:rFonts w:ascii="Calibri" w:eastAsia="Calibri" w:hAnsi="Calibri" w:cs="Times New Roman"/>
                <w:b/>
              </w:rPr>
              <w:t>Heterogeneity between</w:t>
            </w:r>
          </w:p>
        </w:tc>
        <w:tc>
          <w:tcPr>
            <w:tcW w:w="756" w:type="dxa"/>
            <w:tcBorders>
              <w:bottom w:val="single" w:sz="4" w:space="0" w:color="auto"/>
            </w:tcBorders>
            <w:noWrap/>
            <w:vAlign w:val="center"/>
          </w:tcPr>
          <w:p w14:paraId="30DD60C4"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1.76</w:t>
            </w:r>
          </w:p>
        </w:tc>
        <w:tc>
          <w:tcPr>
            <w:tcW w:w="517" w:type="dxa"/>
            <w:tcBorders>
              <w:bottom w:val="single" w:sz="4" w:space="0" w:color="auto"/>
            </w:tcBorders>
            <w:noWrap/>
            <w:vAlign w:val="center"/>
          </w:tcPr>
          <w:p w14:paraId="37D607CF"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2</w:t>
            </w:r>
          </w:p>
        </w:tc>
        <w:tc>
          <w:tcPr>
            <w:tcW w:w="763" w:type="dxa"/>
            <w:tcBorders>
              <w:bottom w:val="single" w:sz="4" w:space="0" w:color="auto"/>
            </w:tcBorders>
            <w:noWrap/>
            <w:vAlign w:val="center"/>
          </w:tcPr>
          <w:p w14:paraId="28F66A6A" w14:textId="77777777" w:rsidR="00E6060C" w:rsidRPr="00E6060C" w:rsidRDefault="00E6060C" w:rsidP="00E6060C">
            <w:pPr>
              <w:spacing w:before="200" w:line="360" w:lineRule="auto"/>
              <w:contextualSpacing/>
              <w:jc w:val="center"/>
              <w:rPr>
                <w:rFonts w:ascii="Calibri" w:eastAsia="Calibri" w:hAnsi="Calibri" w:cs="Times New Roman"/>
                <w:b/>
                <w:i/>
                <w:iCs/>
              </w:rPr>
            </w:pPr>
            <w:r w:rsidRPr="00E6060C">
              <w:rPr>
                <w:rFonts w:ascii="Calibri" w:eastAsia="Calibri" w:hAnsi="Calibri" w:cs="Times New Roman"/>
                <w:b/>
              </w:rPr>
              <w:t>0.42</w:t>
            </w:r>
          </w:p>
        </w:tc>
        <w:tc>
          <w:tcPr>
            <w:tcW w:w="756" w:type="dxa"/>
            <w:tcBorders>
              <w:bottom w:val="single" w:sz="4" w:space="0" w:color="auto"/>
            </w:tcBorders>
            <w:noWrap/>
            <w:vAlign w:val="center"/>
          </w:tcPr>
          <w:p w14:paraId="105D32A9" w14:textId="77777777" w:rsidR="00E6060C" w:rsidRPr="00E6060C" w:rsidRDefault="00E6060C" w:rsidP="00E6060C">
            <w:pPr>
              <w:spacing w:before="200" w:line="360" w:lineRule="auto"/>
              <w:contextualSpacing/>
              <w:rPr>
                <w:rFonts w:ascii="Calibri" w:eastAsia="Calibri" w:hAnsi="Calibri" w:cs="Times New Roman"/>
                <w:b/>
                <w:bCs/>
                <w:lang w:val="en-US"/>
              </w:rPr>
            </w:pPr>
          </w:p>
        </w:tc>
      </w:tr>
    </w:tbl>
    <w:p w14:paraId="1490AED0" w14:textId="77777777" w:rsidR="00E6060C" w:rsidRPr="00E6060C" w:rsidRDefault="00E6060C" w:rsidP="00E6060C">
      <w:pPr>
        <w:spacing w:before="200" w:line="360" w:lineRule="auto"/>
        <w:ind w:right="-330"/>
        <w:contextualSpacing/>
        <w:rPr>
          <w:rFonts w:ascii="Calibri" w:eastAsia="Calibri" w:hAnsi="Calibri" w:cs="Times New Roman"/>
          <w:bCs/>
        </w:rPr>
      </w:pPr>
      <w:r w:rsidRPr="00E6060C">
        <w:rPr>
          <w:rFonts w:ascii="Calibri" w:eastAsia="Calibri" w:hAnsi="Calibri" w:cs="Times New Roman"/>
          <w:bCs/>
          <w:i/>
          <w:iCs/>
        </w:rPr>
        <w:t>Notes.</w:t>
      </w:r>
      <w:r w:rsidRPr="00E6060C">
        <w:rPr>
          <w:rFonts w:ascii="Calibri" w:eastAsia="Calibri" w:hAnsi="Calibri" w:cs="Times New Roman"/>
          <w:bCs/>
        </w:rPr>
        <w:t xml:space="preserve"> </w:t>
      </w:r>
      <w:r w:rsidRPr="00E6060C">
        <w:rPr>
          <w:rFonts w:ascii="Calibri" w:eastAsia="Calibri" w:hAnsi="Calibri" w:cs="Times New Roman"/>
          <w:bCs/>
          <w:i/>
          <w:iCs/>
        </w:rPr>
        <w:t>k=</w:t>
      </w:r>
      <w:r w:rsidRPr="00E6060C">
        <w:rPr>
          <w:rFonts w:ascii="Calibri" w:eastAsia="Calibri" w:hAnsi="Calibri" w:cs="Times New Roman"/>
          <w:bCs/>
        </w:rPr>
        <w:t xml:space="preserve">number of studies included in the analysis; </w:t>
      </w:r>
      <w:r w:rsidRPr="00E6060C">
        <w:rPr>
          <w:rFonts w:ascii="Calibri" w:eastAsia="Calibri" w:hAnsi="Calibri" w:cs="Times New Roman"/>
          <w:bCs/>
          <w:i/>
          <w:iCs/>
        </w:rPr>
        <w:t>n</w:t>
      </w:r>
      <w:r w:rsidRPr="00E6060C">
        <w:rPr>
          <w:rFonts w:ascii="Calibri" w:eastAsia="Calibri" w:hAnsi="Calibri" w:cs="Times New Roman"/>
          <w:bCs/>
        </w:rPr>
        <w:t xml:space="preserve">(con)=number of participants in the control group; </w:t>
      </w:r>
      <w:r w:rsidRPr="00E6060C">
        <w:rPr>
          <w:rFonts w:ascii="Calibri" w:eastAsia="Calibri" w:hAnsi="Calibri" w:cs="Times New Roman"/>
          <w:bCs/>
          <w:i/>
          <w:iCs/>
        </w:rPr>
        <w:t>n</w:t>
      </w:r>
      <w:r w:rsidRPr="00E6060C">
        <w:rPr>
          <w:rFonts w:ascii="Calibri" w:eastAsia="Calibri" w:hAnsi="Calibri" w:cs="Times New Roman"/>
          <w:bCs/>
        </w:rPr>
        <w:t xml:space="preserve">(int)=number of participants in the intervention group; </w:t>
      </w:r>
      <w:r w:rsidRPr="00E6060C">
        <w:rPr>
          <w:rFonts w:ascii="Calibri" w:eastAsia="Calibri" w:hAnsi="Calibri" w:cs="Times New Roman"/>
          <w:bCs/>
          <w:i/>
        </w:rPr>
        <w:t>p</w:t>
      </w:r>
      <w:r w:rsidRPr="00E6060C">
        <w:rPr>
          <w:rFonts w:ascii="Calibri" w:eastAsia="Calibri" w:hAnsi="Calibri" w:cs="Times New Roman"/>
          <w:bCs/>
        </w:rPr>
        <w:t>=</w:t>
      </w:r>
      <w:r w:rsidRPr="00E6060C">
        <w:rPr>
          <w:rFonts w:ascii="Calibri" w:eastAsia="Calibri" w:hAnsi="Calibri" w:cs="Times New Roman"/>
          <w:bCs/>
          <w:i/>
        </w:rPr>
        <w:t>p</w:t>
      </w:r>
      <w:r w:rsidRPr="00E6060C">
        <w:rPr>
          <w:rFonts w:ascii="Calibri" w:eastAsia="Calibri" w:hAnsi="Calibri" w:cs="Times New Roman"/>
          <w:bCs/>
        </w:rPr>
        <w:t xml:space="preserve">=value; </w:t>
      </w:r>
      <w:r w:rsidRPr="00E6060C">
        <w:rPr>
          <w:rFonts w:ascii="Calibri" w:eastAsia="Calibri" w:hAnsi="Calibri" w:cs="Times New Roman"/>
          <w:bCs/>
          <w:i/>
          <w:iCs/>
        </w:rPr>
        <w:t>g</w:t>
      </w:r>
      <w:r w:rsidRPr="00E6060C">
        <w:rPr>
          <w:rFonts w:ascii="Calibri" w:eastAsia="Calibri" w:hAnsi="Calibri" w:cs="Times New Roman"/>
          <w:bCs/>
        </w:rPr>
        <w:t xml:space="preserve">=average effect size according to Hedges’ </w:t>
      </w:r>
      <w:r w:rsidRPr="00E6060C">
        <w:rPr>
          <w:rFonts w:ascii="Calibri" w:eastAsia="Calibri" w:hAnsi="Calibri" w:cs="Times New Roman"/>
          <w:bCs/>
          <w:i/>
          <w:iCs/>
        </w:rPr>
        <w:t>g</w:t>
      </w:r>
      <w:r w:rsidRPr="00E6060C">
        <w:rPr>
          <w:rFonts w:ascii="Calibri" w:eastAsia="Calibri" w:hAnsi="Calibri" w:cs="Times New Roman"/>
          <w:bCs/>
        </w:rPr>
        <w:t xml:space="preserve">; </w:t>
      </w:r>
      <w:r w:rsidRPr="00E6060C">
        <w:rPr>
          <w:rFonts w:ascii="Calibri" w:eastAsia="Calibri" w:hAnsi="Calibri" w:cs="Times New Roman"/>
          <w:bCs/>
          <w:i/>
          <w:iCs/>
        </w:rPr>
        <w:t>SE</w:t>
      </w:r>
      <w:r w:rsidRPr="00E6060C">
        <w:rPr>
          <w:rFonts w:ascii="Calibri" w:eastAsia="Calibri" w:hAnsi="Calibri" w:cs="Times New Roman"/>
          <w:bCs/>
        </w:rPr>
        <w:t xml:space="preserve">=standard error of the average effect size; 95%-CI=the minimum and maximum limits of the 95% confidence interval; </w:t>
      </w:r>
      <w:r w:rsidRPr="00E6060C">
        <w:rPr>
          <w:rFonts w:ascii="Calibri" w:eastAsia="Calibri" w:hAnsi="Calibri" w:cs="Times New Roman"/>
          <w:bCs/>
          <w:i/>
          <w:iCs/>
        </w:rPr>
        <w:t>Q</w:t>
      </w:r>
      <w:r w:rsidRPr="00E6060C">
        <w:rPr>
          <w:rFonts w:ascii="Calibri" w:eastAsia="Calibri" w:hAnsi="Calibri" w:cs="Times New Roman"/>
          <w:bCs/>
        </w:rPr>
        <w:t xml:space="preserve">=statistical test used for the estimation of heterogeneity; </w:t>
      </w:r>
      <w:r w:rsidRPr="00E6060C">
        <w:rPr>
          <w:rFonts w:ascii="Calibri" w:eastAsia="Calibri" w:hAnsi="Calibri" w:cs="Times New Roman"/>
          <w:bCs/>
          <w:i/>
          <w:iCs/>
        </w:rPr>
        <w:t>I</w:t>
      </w:r>
      <w:r w:rsidRPr="00E6060C">
        <w:rPr>
          <w:rFonts w:ascii="Calibri" w:eastAsia="Calibri" w:hAnsi="Calibri" w:cs="Times New Roman"/>
          <w:bCs/>
          <w:i/>
          <w:iCs/>
          <w:vertAlign w:val="superscript"/>
        </w:rPr>
        <w:t>2</w:t>
      </w:r>
      <w:r w:rsidRPr="00E6060C">
        <w:rPr>
          <w:rFonts w:ascii="Calibri" w:eastAsia="Calibri" w:hAnsi="Calibri" w:cs="Times New Roman"/>
          <w:bCs/>
        </w:rPr>
        <w:t>= proportion of effect size variance that can be attributed to moderator variables (%).</w:t>
      </w:r>
    </w:p>
    <w:p w14:paraId="58A543FE" w14:textId="7FB77606" w:rsidR="00E6060C" w:rsidRPr="00E6060C" w:rsidRDefault="00E6060C" w:rsidP="00E6060C">
      <w:pPr>
        <w:spacing w:before="200" w:line="360" w:lineRule="auto"/>
        <w:contextualSpacing/>
        <w:rPr>
          <w:rFonts w:ascii="Calibri" w:eastAsia="Calibri" w:hAnsi="Calibri" w:cs="Times New Roman"/>
        </w:rPr>
      </w:pPr>
    </w:p>
    <w:p w14:paraId="572E56D7" w14:textId="77777777" w:rsidR="00E6060C" w:rsidRPr="002A6E71" w:rsidRDefault="00E6060C" w:rsidP="002A6E71">
      <w:pPr>
        <w:pStyle w:val="Heading4"/>
        <w:rPr>
          <w:rFonts w:eastAsia="Times New Roman"/>
        </w:rPr>
      </w:pPr>
      <w:r w:rsidRPr="002A6E71">
        <w:rPr>
          <w:rFonts w:eastAsia="Times New Roman"/>
        </w:rPr>
        <w:t>Meta-regression of work engagement against time between study measurements</w:t>
      </w:r>
    </w:p>
    <w:p w14:paraId="27C661B4" w14:textId="61B5F615" w:rsidR="00E6060C" w:rsidRPr="00E6060C" w:rsidRDefault="00E6060C" w:rsidP="00E6060C">
      <w:pPr>
        <w:spacing w:before="200" w:line="360" w:lineRule="auto"/>
        <w:contextualSpacing/>
        <w:rPr>
          <w:rFonts w:ascii="Calibri" w:eastAsia="Times New Roman" w:hAnsi="Calibri" w:cs="Times New Roman"/>
        </w:rPr>
      </w:pPr>
      <w:r w:rsidRPr="00E6060C">
        <w:rPr>
          <w:rFonts w:ascii="Calibri" w:eastAsia="Calibri" w:hAnsi="Calibri" w:cs="Times New Roman"/>
        </w:rPr>
        <w:t xml:space="preserve">Meta-regression (method-of moments), treating length of time between study measurements as a continuous predictor, was used to explore whether there was a significant difference in the effect size of interventions involved in the core meta-analysis. One study did not report the relevant information and thus could not be included (Sodani </w:t>
      </w:r>
      <w:r w:rsidR="00B64DD5">
        <w:rPr>
          <w:rFonts w:ascii="Calibri" w:eastAsia="Calibri" w:hAnsi="Calibri" w:cs="Times New Roman"/>
        </w:rPr>
        <w:t>et al.,</w:t>
      </w:r>
      <w:r w:rsidRPr="00E6060C">
        <w:rPr>
          <w:rFonts w:ascii="Calibri" w:eastAsia="Calibri" w:hAnsi="Calibri" w:cs="Times New Roman"/>
        </w:rPr>
        <w:t xml:space="preserve"> 2011). Results revealed no moderation </w:t>
      </w:r>
      <w:r w:rsidRPr="00E6060C">
        <w:rPr>
          <w:rFonts w:ascii="Calibri" w:eastAsia="Calibri" w:hAnsi="Calibri" w:cs="Times New Roman"/>
        </w:rPr>
        <w:lastRenderedPageBreak/>
        <w:t>effect (</w:t>
      </w:r>
      <w:r w:rsidRPr="00E6060C">
        <w:rPr>
          <w:rFonts w:ascii="Calibri" w:eastAsia="Calibri" w:hAnsi="Calibri" w:cs="Times New Roman"/>
          <w:i/>
        </w:rPr>
        <w:t>k</w:t>
      </w:r>
      <w:r w:rsidRPr="00E6060C">
        <w:rPr>
          <w:rFonts w:ascii="Calibri" w:eastAsia="Calibri" w:hAnsi="Calibri" w:cs="Times New Roman"/>
        </w:rPr>
        <w:t xml:space="preserve">=13, n=3,652, </w:t>
      </w:r>
      <m:oMath>
        <m:r>
          <w:rPr>
            <w:rFonts w:ascii="Cambria Math" w:eastAsia="Calibri" w:hAnsi="Cambria Math" w:cs="Times New Roman"/>
          </w:rPr>
          <m:t>β</m:t>
        </m:r>
      </m:oMath>
      <w:r w:rsidRPr="00E6060C">
        <w:rPr>
          <w:rFonts w:ascii="Calibri" w:eastAsia="Times New Roman" w:hAnsi="Calibri" w:cs="Times New Roman"/>
        </w:rPr>
        <w:t xml:space="preserve">=&lt;0.01, </w:t>
      </w:r>
      <w:r w:rsidRPr="00E6060C">
        <w:rPr>
          <w:rFonts w:ascii="Calibri" w:eastAsia="Times New Roman" w:hAnsi="Calibri" w:cs="Times New Roman"/>
          <w:i/>
        </w:rPr>
        <w:t>SE</w:t>
      </w:r>
      <w:r w:rsidRPr="00E6060C">
        <w:rPr>
          <w:rFonts w:ascii="Calibri" w:eastAsia="Times New Roman" w:hAnsi="Calibri" w:cs="Times New Roman"/>
        </w:rPr>
        <w:t xml:space="preserve">=&lt;0.01, </w:t>
      </w:r>
      <w:r w:rsidRPr="00E6060C">
        <w:rPr>
          <w:rFonts w:ascii="Calibri" w:eastAsia="Times New Roman" w:hAnsi="Calibri" w:cs="Times New Roman"/>
          <w:i/>
        </w:rPr>
        <w:t>p</w:t>
      </w:r>
      <w:r w:rsidR="003D797B">
        <w:rPr>
          <w:rFonts w:ascii="Calibri" w:eastAsia="Times New Roman" w:hAnsi="Calibri" w:cs="Times New Roman"/>
        </w:rPr>
        <w:t>=0.</w:t>
      </w:r>
      <w:r w:rsidRPr="00E6060C">
        <w:rPr>
          <w:rFonts w:ascii="Calibri" w:eastAsia="Times New Roman" w:hAnsi="Calibri" w:cs="Times New Roman"/>
        </w:rPr>
        <w:t>8</w:t>
      </w:r>
      <w:r w:rsidR="003D797B">
        <w:rPr>
          <w:rFonts w:ascii="Calibri" w:eastAsia="Times New Roman" w:hAnsi="Calibri" w:cs="Times New Roman"/>
        </w:rPr>
        <w:t>5</w:t>
      </w:r>
      <w:r w:rsidRPr="00E6060C">
        <w:rPr>
          <w:rFonts w:ascii="Calibri" w:eastAsia="Times New Roman" w:hAnsi="Calibri" w:cs="Times New Roman"/>
        </w:rPr>
        <w:t xml:space="preserve">) suggesting that the effect size of interventions did not vary according to the time between study measurements (see </w:t>
      </w:r>
      <w:r w:rsidR="00A56464">
        <w:rPr>
          <w:rFonts w:ascii="Calibri" w:eastAsia="Times New Roman" w:hAnsi="Calibri" w:cs="Times New Roman"/>
        </w:rPr>
        <w:fldChar w:fldCharType="begin"/>
      </w:r>
      <w:r w:rsidR="00A56464">
        <w:rPr>
          <w:rFonts w:ascii="Calibri" w:eastAsia="Times New Roman" w:hAnsi="Calibri" w:cs="Times New Roman"/>
        </w:rPr>
        <w:instrText xml:space="preserve"> REF _Ref453574760 \h </w:instrText>
      </w:r>
      <w:r w:rsidR="00A56464">
        <w:rPr>
          <w:rFonts w:ascii="Calibri" w:eastAsia="Times New Roman" w:hAnsi="Calibri" w:cs="Times New Roman"/>
        </w:rPr>
      </w:r>
      <w:r w:rsidR="00A56464">
        <w:rPr>
          <w:rFonts w:ascii="Calibri" w:eastAsia="Times New Roman" w:hAnsi="Calibri" w:cs="Times New Roman"/>
        </w:rPr>
        <w:fldChar w:fldCharType="separate"/>
      </w:r>
      <w:r w:rsidR="00152F6D">
        <w:t xml:space="preserve">Figure </w:t>
      </w:r>
      <w:r w:rsidR="00152F6D">
        <w:rPr>
          <w:noProof/>
        </w:rPr>
        <w:t>6</w:t>
      </w:r>
      <w:r w:rsidR="00152F6D">
        <w:t>.</w:t>
      </w:r>
      <w:r w:rsidR="00152F6D">
        <w:rPr>
          <w:noProof/>
        </w:rPr>
        <w:t>2</w:t>
      </w:r>
      <w:r w:rsidR="00A56464">
        <w:rPr>
          <w:rFonts w:ascii="Calibri" w:eastAsia="Times New Roman" w:hAnsi="Calibri" w:cs="Times New Roman"/>
        </w:rPr>
        <w:fldChar w:fldCharType="end"/>
      </w:r>
      <w:r w:rsidRPr="00E6060C">
        <w:rPr>
          <w:rFonts w:ascii="Calibri" w:eastAsia="Times New Roman" w:hAnsi="Calibri" w:cs="Times New Roman"/>
        </w:rPr>
        <w:t xml:space="preserve">). </w:t>
      </w:r>
    </w:p>
    <w:p w14:paraId="009F09F1" w14:textId="77777777" w:rsidR="00E6060C" w:rsidRPr="00E6060C" w:rsidRDefault="00E6060C" w:rsidP="00E6060C">
      <w:pPr>
        <w:spacing w:before="200" w:line="360" w:lineRule="auto"/>
        <w:contextualSpacing/>
        <w:rPr>
          <w:rFonts w:ascii="Calibri" w:eastAsia="Times New Roman" w:hAnsi="Calibri" w:cs="Times New Roman"/>
        </w:rPr>
      </w:pPr>
    </w:p>
    <w:p w14:paraId="070FE689" w14:textId="77802C52" w:rsidR="0068449F" w:rsidRDefault="00B5547E" w:rsidP="0068449F">
      <w:pPr>
        <w:keepNext/>
        <w:spacing w:before="200" w:line="240" w:lineRule="auto"/>
        <w:contextualSpacing/>
      </w:pPr>
      <w:r>
        <w:rPr>
          <w:noProof/>
          <w:lang w:eastAsia="en-GB"/>
        </w:rPr>
        <w:drawing>
          <wp:inline distT="0" distB="0" distL="0" distR="0" wp14:anchorId="0B314519" wp14:editId="7C347492">
            <wp:extent cx="5331460" cy="2395220"/>
            <wp:effectExtent l="0" t="0" r="2540" b="508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cstate="print">
                      <a:extLst>
                        <a:ext uri="{28A0092B-C50C-407E-A947-70E740481C1C}">
                          <a14:useLocalDpi xmlns:a14="http://schemas.microsoft.com/office/drawing/2010/main" val="0"/>
                        </a:ext>
                      </a:extLst>
                    </a:blip>
                    <a:srcRect l="4664" t="12125" r="2303"/>
                    <a:stretch/>
                  </pic:blipFill>
                  <pic:spPr bwMode="auto">
                    <a:xfrm>
                      <a:off x="0" y="0"/>
                      <a:ext cx="5331460" cy="2395220"/>
                    </a:xfrm>
                    <a:prstGeom prst="rect">
                      <a:avLst/>
                    </a:prstGeom>
                    <a:noFill/>
                    <a:ln>
                      <a:noFill/>
                    </a:ln>
                    <a:extLst>
                      <a:ext uri="{53640926-AAD7-44D8-BBD7-CCE9431645EC}">
                        <a14:shadowObscured xmlns:a14="http://schemas.microsoft.com/office/drawing/2010/main"/>
                      </a:ext>
                    </a:extLst>
                  </pic:spPr>
                </pic:pic>
              </a:graphicData>
            </a:graphic>
          </wp:inline>
        </w:drawing>
      </w:r>
    </w:p>
    <w:p w14:paraId="53CDA196" w14:textId="77777777" w:rsidR="0068449F" w:rsidRDefault="0068449F" w:rsidP="005852AD">
      <w:pPr>
        <w:pStyle w:val="Figurestyle"/>
      </w:pPr>
    </w:p>
    <w:p w14:paraId="173D6AC2" w14:textId="43FC5DA9" w:rsidR="00AE3CFA" w:rsidRPr="00AE3CFA" w:rsidRDefault="0068449F" w:rsidP="005852AD">
      <w:pPr>
        <w:pStyle w:val="Figurestyle"/>
        <w:rPr>
          <w:rFonts w:ascii="Calibri" w:eastAsia="Calibri" w:hAnsi="Calibri" w:cs="Times New Roman"/>
          <w:vanish/>
          <w:specVanish/>
        </w:rPr>
      </w:pPr>
      <w:bookmarkStart w:id="252" w:name="_Ref453574760"/>
      <w:bookmarkStart w:id="253" w:name="_Toc453238914"/>
      <w:bookmarkStart w:id="254" w:name="_Toc468286104"/>
      <w:r>
        <w:t xml:space="preserve">Figure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2</w:t>
      </w:r>
      <w:r w:rsidR="00245D68">
        <w:rPr>
          <w:noProof/>
        </w:rPr>
        <w:fldChar w:fldCharType="end"/>
      </w:r>
      <w:bookmarkEnd w:id="252"/>
      <w:r>
        <w:t xml:space="preserve"> </w:t>
      </w:r>
      <w:r w:rsidRPr="00532AA1">
        <w:t>A scatterplot indicating the relationship between the effect size of interventions measuring total work engagement scores and the duration between baseline and post-intervention / follow-up measurements</w:t>
      </w:r>
      <w:bookmarkEnd w:id="253"/>
      <w:bookmarkEnd w:id="254"/>
    </w:p>
    <w:p w14:paraId="559E1B62" w14:textId="27AFFF6F" w:rsidR="00E6060C" w:rsidRDefault="0068449F" w:rsidP="005852AD">
      <w:pPr>
        <w:pStyle w:val="Figurestyle"/>
      </w:pPr>
      <w:r w:rsidRPr="00532AA1">
        <w:t xml:space="preserve"> (</w:t>
      </w:r>
      <w:r w:rsidRPr="00A56464">
        <w:rPr>
          <w:i/>
        </w:rPr>
        <w:t>k</w:t>
      </w:r>
      <w:r w:rsidRPr="00532AA1">
        <w:t>=13, n=3,652). Each circle represents a specific</w:t>
      </w:r>
      <w:r>
        <w:t xml:space="preserve"> </w:t>
      </w:r>
      <w:r w:rsidRPr="00E6060C">
        <w:t>study; the area of each circle is proportional to the study weight i.e. the ratio between the number of participants in the study compared to the total number of participants across all 13 studies involved in this meta-regression</w:t>
      </w:r>
    </w:p>
    <w:p w14:paraId="454C9E31" w14:textId="77777777" w:rsidR="0068449F" w:rsidRPr="00E6060C" w:rsidRDefault="0068449F" w:rsidP="005852AD">
      <w:pPr>
        <w:pStyle w:val="Figurestyle"/>
      </w:pPr>
    </w:p>
    <w:p w14:paraId="46B7788A" w14:textId="5ADE21F2" w:rsidR="00E6060C" w:rsidRPr="00E6060C" w:rsidRDefault="00E6060C" w:rsidP="0009618B">
      <w:pPr>
        <w:pStyle w:val="Heading3"/>
      </w:pPr>
      <w:bookmarkStart w:id="255" w:name="_Toc431470144"/>
      <w:bookmarkStart w:id="256" w:name="_Toc468285988"/>
      <w:r w:rsidRPr="00E6060C">
        <w:t>Sensitivity analyses</w:t>
      </w:r>
      <w:bookmarkEnd w:id="255"/>
      <w:bookmarkEnd w:id="256"/>
    </w:p>
    <w:p w14:paraId="07981077" w14:textId="77777777" w:rsidR="00E6060C" w:rsidRPr="00E6060C" w:rsidRDefault="00E6060C" w:rsidP="00E6060C">
      <w:pPr>
        <w:spacing w:before="200" w:line="360" w:lineRule="auto"/>
        <w:rPr>
          <w:rFonts w:ascii="Calibri" w:eastAsia="Calibri" w:hAnsi="Calibri" w:cs="Times New Roman"/>
        </w:rPr>
      </w:pPr>
    </w:p>
    <w:p w14:paraId="6FBC5FE6" w14:textId="4F4A7448" w:rsidR="00E6060C" w:rsidRPr="00E6060C" w:rsidRDefault="00E6060C" w:rsidP="00E6060C">
      <w:pPr>
        <w:spacing w:before="200" w:line="360" w:lineRule="auto"/>
        <w:rPr>
          <w:rFonts w:ascii="Calibri" w:eastAsia="Calibri" w:hAnsi="Calibri" w:cs="Times New Roman"/>
        </w:rPr>
      </w:pPr>
      <w:r w:rsidRPr="00E6060C">
        <w:rPr>
          <w:rFonts w:ascii="Calibri" w:eastAsia="Calibri" w:hAnsi="Calibri" w:cs="Times New Roman"/>
        </w:rPr>
        <w:t>In order to assess the effects of including studies of different designs, and reporting results based on different assumptions, sensitivity analyses were conducted on the core meta-analysis results investigating the effect of interventions on overall work engagement (</w:t>
      </w:r>
      <w:r w:rsidRPr="00E6060C">
        <w:rPr>
          <w:rFonts w:ascii="Calibri" w:eastAsia="Calibri" w:hAnsi="Calibri" w:cs="Times New Roman"/>
          <w:i/>
        </w:rPr>
        <w:t>k</w:t>
      </w:r>
      <w:r w:rsidRPr="00E6060C">
        <w:rPr>
          <w:rFonts w:ascii="Calibri" w:eastAsia="Calibri" w:hAnsi="Calibri" w:cs="Times New Roman"/>
        </w:rPr>
        <w:t xml:space="preserve">=14). The </w:t>
      </w:r>
      <w:r w:rsidRPr="00E6060C">
        <w:rPr>
          <w:rFonts w:ascii="Calibri" w:eastAsia="Calibri" w:hAnsi="Calibri" w:cs="Times New Roman"/>
          <w:i/>
        </w:rPr>
        <w:t>Q</w:t>
      </w:r>
      <w:r w:rsidRPr="00E6060C">
        <w:rPr>
          <w:rFonts w:ascii="Calibri" w:eastAsia="Calibri" w:hAnsi="Calibri" w:cs="Times New Roman"/>
        </w:rPr>
        <w:t xml:space="preserve">-test revealed no significant differences between groups for any of the variables tested (randomised versus non-randomised designs, those following the ITT principle versus those not, and those adjusting for covariates such as age and gender and those not; </w:t>
      </w:r>
      <w:r w:rsidR="00FF6EFC">
        <w:rPr>
          <w:rFonts w:ascii="Calibri" w:eastAsia="Calibri" w:hAnsi="Calibri" w:cs="Times New Roman"/>
        </w:rPr>
        <w:fldChar w:fldCharType="begin"/>
      </w:r>
      <w:r w:rsidR="00FF6EFC">
        <w:rPr>
          <w:rFonts w:ascii="Calibri" w:eastAsia="Calibri" w:hAnsi="Calibri" w:cs="Times New Roman"/>
        </w:rPr>
        <w:instrText xml:space="preserve"> REF _Ref453574807 \h </w:instrText>
      </w:r>
      <w:r w:rsidR="00FF6EFC">
        <w:rPr>
          <w:rFonts w:ascii="Calibri" w:eastAsia="Calibri" w:hAnsi="Calibri" w:cs="Times New Roman"/>
        </w:rPr>
      </w:r>
      <w:r w:rsidR="00FF6EFC">
        <w:rPr>
          <w:rFonts w:ascii="Calibri" w:eastAsia="Calibri" w:hAnsi="Calibri" w:cs="Times New Roman"/>
        </w:rPr>
        <w:fldChar w:fldCharType="separate"/>
      </w:r>
      <w:r w:rsidR="00152F6D">
        <w:t xml:space="preserve">Table </w:t>
      </w:r>
      <w:r w:rsidR="00152F6D">
        <w:rPr>
          <w:noProof/>
        </w:rPr>
        <w:t>6</w:t>
      </w:r>
      <w:r w:rsidR="00152F6D">
        <w:t>.</w:t>
      </w:r>
      <w:r w:rsidR="00152F6D">
        <w:rPr>
          <w:noProof/>
        </w:rPr>
        <w:t>5</w:t>
      </w:r>
      <w:r w:rsidR="00FF6EFC">
        <w:rPr>
          <w:rFonts w:ascii="Calibri" w:eastAsia="Calibri" w:hAnsi="Calibri" w:cs="Times New Roman"/>
        </w:rPr>
        <w:fldChar w:fldCharType="end"/>
      </w:r>
      <w:r w:rsidRPr="00E6060C">
        <w:rPr>
          <w:rFonts w:ascii="Calibri" w:eastAsia="Calibri" w:hAnsi="Calibri" w:cs="Times New Roman"/>
        </w:rPr>
        <w:t xml:space="preserve">). This suggests that the type of design and statistical techniques employed by different studies had no effect on the results of the meta-analysis investigating the effect of interventions on overall work engagement.  </w:t>
      </w:r>
    </w:p>
    <w:p w14:paraId="28B7DD03" w14:textId="77777777" w:rsidR="00E6060C" w:rsidRPr="00E6060C" w:rsidRDefault="00E6060C" w:rsidP="00E6060C">
      <w:pPr>
        <w:spacing w:before="200" w:line="360" w:lineRule="auto"/>
        <w:contextualSpacing/>
        <w:rPr>
          <w:rFonts w:ascii="Calibri" w:eastAsia="Calibri" w:hAnsi="Calibri" w:cs="Times New Roman"/>
          <w:b/>
        </w:rPr>
      </w:pPr>
    </w:p>
    <w:p w14:paraId="5BDFDEF0" w14:textId="1BB9F687" w:rsidR="0035035C" w:rsidRPr="0035035C" w:rsidRDefault="0035035C" w:rsidP="005852AD">
      <w:pPr>
        <w:pStyle w:val="Figurestyle"/>
        <w:rPr>
          <w:rFonts w:ascii="Calibri" w:eastAsia="Calibri" w:hAnsi="Calibri" w:cs="Times New Roman"/>
          <w:vanish/>
          <w:specVanish/>
        </w:rPr>
      </w:pPr>
      <w:bookmarkStart w:id="257" w:name="_Ref453574807"/>
      <w:bookmarkStart w:id="258" w:name="_Toc468286069"/>
      <w:r>
        <w:lastRenderedPageBreak/>
        <w:t xml:space="preserve">Table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5</w:t>
      </w:r>
      <w:r w:rsidR="00245D68">
        <w:rPr>
          <w:noProof/>
        </w:rPr>
        <w:fldChar w:fldCharType="end"/>
      </w:r>
      <w:bookmarkEnd w:id="257"/>
      <w:r>
        <w:t xml:space="preserve"> </w:t>
      </w:r>
      <w:r w:rsidRPr="00090757">
        <w:t>Results of sensitivity analyses to determine the effect of randomised studies and studies following the ITT principle on the effect of interventions measuring the outcome work engagement</w:t>
      </w:r>
      <w:bookmarkEnd w:id="258"/>
    </w:p>
    <w:p w14:paraId="6181EF7A" w14:textId="5B9254BC" w:rsidR="0035035C" w:rsidRDefault="0035035C" w:rsidP="005852AD">
      <w:pPr>
        <w:pStyle w:val="Figurestyle"/>
      </w:pPr>
      <w:r>
        <w:t xml:space="preserve"> (the core meta-analysis) </w:t>
      </w:r>
    </w:p>
    <w:p w14:paraId="17C98FE8" w14:textId="77777777" w:rsidR="0035035C" w:rsidRDefault="0035035C" w:rsidP="005852AD">
      <w:pPr>
        <w:pStyle w:val="Figurestyle"/>
      </w:pPr>
    </w:p>
    <w:tbl>
      <w:tblPr>
        <w:tblStyle w:val="TableGrid3"/>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6"/>
        <w:gridCol w:w="440"/>
        <w:gridCol w:w="663"/>
        <w:gridCol w:w="682"/>
        <w:gridCol w:w="607"/>
        <w:gridCol w:w="607"/>
        <w:gridCol w:w="1199"/>
        <w:gridCol w:w="850"/>
        <w:gridCol w:w="936"/>
        <w:gridCol w:w="607"/>
        <w:gridCol w:w="781"/>
        <w:gridCol w:w="908"/>
      </w:tblGrid>
      <w:tr w:rsidR="00E6060C" w:rsidRPr="00A56464" w14:paraId="3C7D7BF2" w14:textId="77777777" w:rsidTr="00E6060C">
        <w:trPr>
          <w:trHeight w:val="300"/>
        </w:trPr>
        <w:tc>
          <w:tcPr>
            <w:tcW w:w="1326" w:type="dxa"/>
            <w:tcBorders>
              <w:top w:val="single" w:sz="4" w:space="0" w:color="auto"/>
              <w:bottom w:val="single" w:sz="4" w:space="0" w:color="auto"/>
            </w:tcBorders>
            <w:noWrap/>
          </w:tcPr>
          <w:p w14:paraId="62C724AC" w14:textId="77777777" w:rsidR="00E6060C" w:rsidRPr="00A56464" w:rsidRDefault="00E6060C" w:rsidP="00E6060C">
            <w:pPr>
              <w:spacing w:line="360" w:lineRule="auto"/>
              <w:contextualSpacing/>
              <w:rPr>
                <w:rFonts w:ascii="Calibri" w:eastAsia="Calibri" w:hAnsi="Calibri" w:cs="Times New Roman"/>
                <w:b/>
              </w:rPr>
            </w:pPr>
            <w:r w:rsidRPr="00A56464">
              <w:rPr>
                <w:rFonts w:ascii="Calibri" w:eastAsia="Calibri" w:hAnsi="Calibri" w:cs="Times New Roman"/>
                <w:b/>
              </w:rPr>
              <w:t>Outcome</w:t>
            </w:r>
          </w:p>
        </w:tc>
        <w:tc>
          <w:tcPr>
            <w:tcW w:w="440" w:type="dxa"/>
            <w:tcBorders>
              <w:top w:val="single" w:sz="4" w:space="0" w:color="auto"/>
              <w:bottom w:val="single" w:sz="4" w:space="0" w:color="auto"/>
            </w:tcBorders>
            <w:noWrap/>
          </w:tcPr>
          <w:p w14:paraId="0CD6B813" w14:textId="01A96484" w:rsidR="00E6060C" w:rsidRPr="00A56464" w:rsidRDefault="00A56464" w:rsidP="00E6060C">
            <w:pPr>
              <w:spacing w:line="360" w:lineRule="auto"/>
              <w:contextualSpacing/>
              <w:jc w:val="center"/>
              <w:rPr>
                <w:rFonts w:ascii="Calibri" w:eastAsia="Calibri" w:hAnsi="Calibri" w:cs="Times New Roman"/>
                <w:b/>
                <w:i/>
              </w:rPr>
            </w:pPr>
            <w:r>
              <w:rPr>
                <w:rFonts w:ascii="Calibri" w:eastAsia="Calibri" w:hAnsi="Calibri" w:cs="Times New Roman"/>
                <w:b/>
                <w:i/>
              </w:rPr>
              <w:t>k</w:t>
            </w:r>
          </w:p>
        </w:tc>
        <w:tc>
          <w:tcPr>
            <w:tcW w:w="663" w:type="dxa"/>
            <w:tcBorders>
              <w:top w:val="single" w:sz="4" w:space="0" w:color="auto"/>
              <w:bottom w:val="single" w:sz="4" w:space="0" w:color="auto"/>
            </w:tcBorders>
            <w:noWrap/>
          </w:tcPr>
          <w:p w14:paraId="24605F5C" w14:textId="77777777" w:rsidR="00E6060C" w:rsidRPr="00A56464" w:rsidRDefault="00E6060C" w:rsidP="00E6060C">
            <w:pPr>
              <w:spacing w:line="360" w:lineRule="auto"/>
              <w:contextualSpacing/>
              <w:jc w:val="center"/>
              <w:rPr>
                <w:rFonts w:ascii="Calibri" w:eastAsia="Calibri" w:hAnsi="Calibri" w:cs="Times New Roman"/>
                <w:b/>
              </w:rPr>
            </w:pPr>
            <w:r w:rsidRPr="00A56464">
              <w:rPr>
                <w:rFonts w:ascii="Calibri" w:eastAsia="Calibri" w:hAnsi="Calibri" w:cs="Times New Roman"/>
                <w:b/>
              </w:rPr>
              <w:t>n (int)</w:t>
            </w:r>
          </w:p>
        </w:tc>
        <w:tc>
          <w:tcPr>
            <w:tcW w:w="682" w:type="dxa"/>
            <w:tcBorders>
              <w:top w:val="single" w:sz="4" w:space="0" w:color="auto"/>
              <w:bottom w:val="single" w:sz="4" w:space="0" w:color="auto"/>
            </w:tcBorders>
            <w:noWrap/>
          </w:tcPr>
          <w:p w14:paraId="20371794" w14:textId="77777777" w:rsidR="00E6060C" w:rsidRPr="00A56464" w:rsidRDefault="00E6060C" w:rsidP="00E6060C">
            <w:pPr>
              <w:spacing w:line="360" w:lineRule="auto"/>
              <w:contextualSpacing/>
              <w:jc w:val="center"/>
              <w:rPr>
                <w:rFonts w:ascii="Calibri" w:eastAsia="Calibri" w:hAnsi="Calibri" w:cs="Times New Roman"/>
                <w:b/>
              </w:rPr>
            </w:pPr>
            <w:r w:rsidRPr="00A56464">
              <w:rPr>
                <w:rFonts w:ascii="Calibri" w:eastAsia="Calibri" w:hAnsi="Calibri" w:cs="Times New Roman"/>
                <w:b/>
              </w:rPr>
              <w:t>n (con)</w:t>
            </w:r>
          </w:p>
        </w:tc>
        <w:tc>
          <w:tcPr>
            <w:tcW w:w="2413" w:type="dxa"/>
            <w:gridSpan w:val="3"/>
            <w:tcBorders>
              <w:top w:val="single" w:sz="4" w:space="0" w:color="auto"/>
              <w:bottom w:val="single" w:sz="4" w:space="0" w:color="auto"/>
            </w:tcBorders>
            <w:noWrap/>
          </w:tcPr>
          <w:p w14:paraId="7C90435B" w14:textId="77777777" w:rsidR="00E6060C" w:rsidRPr="00A56464" w:rsidRDefault="00E6060C" w:rsidP="00E6060C">
            <w:pPr>
              <w:spacing w:line="360" w:lineRule="auto"/>
              <w:contextualSpacing/>
              <w:jc w:val="center"/>
              <w:rPr>
                <w:rFonts w:ascii="Calibri" w:eastAsia="Calibri" w:hAnsi="Calibri" w:cs="Times New Roman"/>
                <w:b/>
              </w:rPr>
            </w:pPr>
            <w:r w:rsidRPr="00A56464">
              <w:rPr>
                <w:rFonts w:ascii="Calibri" w:eastAsia="Calibri" w:hAnsi="Calibri" w:cs="Times New Roman"/>
                <w:b/>
              </w:rPr>
              <w:t>Intervention effects</w:t>
            </w:r>
          </w:p>
        </w:tc>
        <w:tc>
          <w:tcPr>
            <w:tcW w:w="850" w:type="dxa"/>
            <w:tcBorders>
              <w:top w:val="single" w:sz="4" w:space="0" w:color="auto"/>
              <w:bottom w:val="single" w:sz="4" w:space="0" w:color="auto"/>
            </w:tcBorders>
          </w:tcPr>
          <w:p w14:paraId="4574FBE9" w14:textId="77777777" w:rsidR="00E6060C" w:rsidRPr="00A56464" w:rsidRDefault="00E6060C" w:rsidP="00E6060C">
            <w:pPr>
              <w:spacing w:line="360" w:lineRule="auto"/>
              <w:contextualSpacing/>
              <w:jc w:val="center"/>
              <w:rPr>
                <w:rFonts w:ascii="Calibri" w:eastAsia="Calibri" w:hAnsi="Calibri" w:cs="Times New Roman"/>
                <w:b/>
              </w:rPr>
            </w:pPr>
            <w:r w:rsidRPr="00A56464">
              <w:rPr>
                <w:rFonts w:ascii="Calibri" w:eastAsia="Calibri" w:hAnsi="Calibri" w:cs="Times New Roman"/>
                <w:b/>
                <w:i/>
              </w:rPr>
              <w:t>p</w:t>
            </w:r>
          </w:p>
        </w:tc>
        <w:tc>
          <w:tcPr>
            <w:tcW w:w="3232" w:type="dxa"/>
            <w:gridSpan w:val="4"/>
            <w:tcBorders>
              <w:top w:val="single" w:sz="4" w:space="0" w:color="auto"/>
              <w:bottom w:val="single" w:sz="4" w:space="0" w:color="auto"/>
            </w:tcBorders>
            <w:noWrap/>
          </w:tcPr>
          <w:p w14:paraId="33F0EB3E" w14:textId="77777777" w:rsidR="00E6060C" w:rsidRPr="00A56464" w:rsidRDefault="00E6060C" w:rsidP="00E6060C">
            <w:pPr>
              <w:spacing w:line="360" w:lineRule="auto"/>
              <w:contextualSpacing/>
              <w:jc w:val="center"/>
              <w:rPr>
                <w:rFonts w:ascii="Calibri" w:eastAsia="Calibri" w:hAnsi="Calibri" w:cs="Times New Roman"/>
                <w:b/>
              </w:rPr>
            </w:pPr>
            <w:r w:rsidRPr="00A56464">
              <w:rPr>
                <w:rFonts w:ascii="Calibri" w:eastAsia="Calibri" w:hAnsi="Calibri" w:cs="Times New Roman"/>
                <w:b/>
              </w:rPr>
              <w:t>Heterogeneity within each subgroup</w:t>
            </w:r>
          </w:p>
        </w:tc>
      </w:tr>
      <w:tr w:rsidR="00E6060C" w:rsidRPr="00E6060C" w14:paraId="3D1A3F13" w14:textId="77777777" w:rsidTr="00E6060C">
        <w:trPr>
          <w:trHeight w:val="300"/>
        </w:trPr>
        <w:tc>
          <w:tcPr>
            <w:tcW w:w="1326" w:type="dxa"/>
            <w:tcBorders>
              <w:top w:val="single" w:sz="4" w:space="0" w:color="auto"/>
              <w:bottom w:val="single" w:sz="4" w:space="0" w:color="auto"/>
            </w:tcBorders>
            <w:noWrap/>
            <w:hideMark/>
          </w:tcPr>
          <w:p w14:paraId="3508C543" w14:textId="77777777" w:rsidR="00E6060C" w:rsidRPr="00E6060C" w:rsidRDefault="00E6060C" w:rsidP="00E6060C">
            <w:pPr>
              <w:spacing w:line="360" w:lineRule="auto"/>
              <w:contextualSpacing/>
              <w:rPr>
                <w:rFonts w:ascii="Calibri" w:eastAsia="Calibri" w:hAnsi="Calibri" w:cs="Times New Roman"/>
              </w:rPr>
            </w:pPr>
          </w:p>
        </w:tc>
        <w:tc>
          <w:tcPr>
            <w:tcW w:w="440" w:type="dxa"/>
            <w:tcBorders>
              <w:top w:val="single" w:sz="4" w:space="0" w:color="auto"/>
              <w:bottom w:val="single" w:sz="4" w:space="0" w:color="auto"/>
            </w:tcBorders>
            <w:noWrap/>
            <w:hideMark/>
          </w:tcPr>
          <w:p w14:paraId="2C8466B8" w14:textId="77777777" w:rsidR="00E6060C" w:rsidRPr="00E6060C" w:rsidRDefault="00E6060C" w:rsidP="00E6060C">
            <w:pPr>
              <w:spacing w:line="360" w:lineRule="auto"/>
              <w:contextualSpacing/>
              <w:jc w:val="center"/>
              <w:rPr>
                <w:rFonts w:ascii="Calibri" w:eastAsia="Calibri" w:hAnsi="Calibri" w:cs="Times New Roman"/>
              </w:rPr>
            </w:pPr>
          </w:p>
        </w:tc>
        <w:tc>
          <w:tcPr>
            <w:tcW w:w="663" w:type="dxa"/>
            <w:tcBorders>
              <w:top w:val="single" w:sz="4" w:space="0" w:color="auto"/>
              <w:bottom w:val="single" w:sz="4" w:space="0" w:color="auto"/>
            </w:tcBorders>
            <w:noWrap/>
            <w:hideMark/>
          </w:tcPr>
          <w:p w14:paraId="6E657057" w14:textId="77777777" w:rsidR="00E6060C" w:rsidRPr="00E6060C" w:rsidRDefault="00E6060C" w:rsidP="00E6060C">
            <w:pPr>
              <w:spacing w:line="360" w:lineRule="auto"/>
              <w:contextualSpacing/>
              <w:jc w:val="center"/>
              <w:rPr>
                <w:rFonts w:ascii="Calibri" w:eastAsia="Calibri" w:hAnsi="Calibri" w:cs="Times New Roman"/>
              </w:rPr>
            </w:pPr>
          </w:p>
        </w:tc>
        <w:tc>
          <w:tcPr>
            <w:tcW w:w="682" w:type="dxa"/>
            <w:tcBorders>
              <w:top w:val="single" w:sz="4" w:space="0" w:color="auto"/>
              <w:bottom w:val="single" w:sz="4" w:space="0" w:color="auto"/>
            </w:tcBorders>
            <w:noWrap/>
            <w:hideMark/>
          </w:tcPr>
          <w:p w14:paraId="4493AF18" w14:textId="77777777" w:rsidR="00E6060C" w:rsidRPr="00E6060C" w:rsidRDefault="00E6060C" w:rsidP="00E6060C">
            <w:pPr>
              <w:spacing w:line="360" w:lineRule="auto"/>
              <w:contextualSpacing/>
              <w:jc w:val="center"/>
              <w:rPr>
                <w:rFonts w:ascii="Calibri" w:eastAsia="Calibri" w:hAnsi="Calibri" w:cs="Times New Roman"/>
              </w:rPr>
            </w:pPr>
          </w:p>
        </w:tc>
        <w:tc>
          <w:tcPr>
            <w:tcW w:w="607" w:type="dxa"/>
            <w:tcBorders>
              <w:top w:val="single" w:sz="4" w:space="0" w:color="auto"/>
              <w:bottom w:val="single" w:sz="4" w:space="0" w:color="auto"/>
            </w:tcBorders>
            <w:noWrap/>
            <w:hideMark/>
          </w:tcPr>
          <w:p w14:paraId="70B0FE5D" w14:textId="77777777" w:rsidR="00E6060C" w:rsidRPr="00E6060C" w:rsidRDefault="00E6060C" w:rsidP="00E6060C">
            <w:pPr>
              <w:spacing w:line="360" w:lineRule="auto"/>
              <w:contextualSpacing/>
              <w:jc w:val="center"/>
              <w:rPr>
                <w:rFonts w:ascii="Calibri" w:eastAsia="Calibri" w:hAnsi="Calibri" w:cs="Times New Roman"/>
                <w:i/>
              </w:rPr>
            </w:pPr>
            <w:r w:rsidRPr="00E6060C">
              <w:rPr>
                <w:rFonts w:ascii="Calibri" w:eastAsia="Calibri" w:hAnsi="Calibri" w:cs="Times New Roman"/>
                <w:i/>
              </w:rPr>
              <w:t>g</w:t>
            </w:r>
          </w:p>
        </w:tc>
        <w:tc>
          <w:tcPr>
            <w:tcW w:w="607" w:type="dxa"/>
            <w:tcBorders>
              <w:top w:val="single" w:sz="4" w:space="0" w:color="auto"/>
              <w:bottom w:val="single" w:sz="4" w:space="0" w:color="auto"/>
            </w:tcBorders>
            <w:noWrap/>
            <w:hideMark/>
          </w:tcPr>
          <w:p w14:paraId="511B1D09"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SE</w:t>
            </w:r>
          </w:p>
        </w:tc>
        <w:tc>
          <w:tcPr>
            <w:tcW w:w="1199" w:type="dxa"/>
            <w:tcBorders>
              <w:top w:val="single" w:sz="4" w:space="0" w:color="auto"/>
              <w:bottom w:val="single" w:sz="4" w:space="0" w:color="auto"/>
            </w:tcBorders>
            <w:noWrap/>
            <w:hideMark/>
          </w:tcPr>
          <w:p w14:paraId="1835C7C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95%-CI</w:t>
            </w:r>
          </w:p>
        </w:tc>
        <w:tc>
          <w:tcPr>
            <w:tcW w:w="850" w:type="dxa"/>
            <w:tcBorders>
              <w:top w:val="single" w:sz="4" w:space="0" w:color="auto"/>
              <w:bottom w:val="single" w:sz="4" w:space="0" w:color="auto"/>
            </w:tcBorders>
          </w:tcPr>
          <w:p w14:paraId="623EBBAB" w14:textId="77777777" w:rsidR="00E6060C" w:rsidRPr="00E6060C" w:rsidRDefault="00E6060C" w:rsidP="00E6060C">
            <w:pPr>
              <w:spacing w:line="360" w:lineRule="auto"/>
              <w:contextualSpacing/>
              <w:jc w:val="center"/>
              <w:rPr>
                <w:rFonts w:ascii="Calibri" w:eastAsia="Calibri" w:hAnsi="Calibri" w:cs="Times New Roman"/>
              </w:rPr>
            </w:pPr>
          </w:p>
        </w:tc>
        <w:tc>
          <w:tcPr>
            <w:tcW w:w="936" w:type="dxa"/>
            <w:tcBorders>
              <w:top w:val="single" w:sz="4" w:space="0" w:color="auto"/>
              <w:bottom w:val="single" w:sz="4" w:space="0" w:color="auto"/>
            </w:tcBorders>
            <w:noWrap/>
            <w:hideMark/>
          </w:tcPr>
          <w:p w14:paraId="1BB271C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Q</w:t>
            </w:r>
          </w:p>
        </w:tc>
        <w:tc>
          <w:tcPr>
            <w:tcW w:w="607" w:type="dxa"/>
            <w:tcBorders>
              <w:top w:val="single" w:sz="4" w:space="0" w:color="auto"/>
              <w:bottom w:val="single" w:sz="4" w:space="0" w:color="auto"/>
            </w:tcBorders>
            <w:noWrap/>
            <w:hideMark/>
          </w:tcPr>
          <w:p w14:paraId="27C4A7C8" w14:textId="77777777" w:rsidR="00E6060C" w:rsidRPr="00E6060C" w:rsidRDefault="00E6060C" w:rsidP="00E6060C">
            <w:pPr>
              <w:spacing w:line="360" w:lineRule="auto"/>
              <w:contextualSpacing/>
              <w:jc w:val="center"/>
              <w:rPr>
                <w:rFonts w:ascii="Calibri" w:eastAsia="Calibri" w:hAnsi="Calibri" w:cs="Times New Roman"/>
                <w:i/>
              </w:rPr>
            </w:pPr>
            <w:r w:rsidRPr="00E6060C">
              <w:rPr>
                <w:rFonts w:ascii="Calibri" w:eastAsia="Calibri" w:hAnsi="Calibri" w:cs="Times New Roman"/>
                <w:i/>
              </w:rPr>
              <w:t>df</w:t>
            </w:r>
          </w:p>
        </w:tc>
        <w:tc>
          <w:tcPr>
            <w:tcW w:w="781" w:type="dxa"/>
            <w:tcBorders>
              <w:top w:val="single" w:sz="4" w:space="0" w:color="auto"/>
              <w:bottom w:val="single" w:sz="4" w:space="0" w:color="auto"/>
            </w:tcBorders>
            <w:noWrap/>
            <w:hideMark/>
          </w:tcPr>
          <w:p w14:paraId="3E65631F"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i/>
              </w:rPr>
              <w:t>p</w:t>
            </w:r>
          </w:p>
        </w:tc>
        <w:tc>
          <w:tcPr>
            <w:tcW w:w="908" w:type="dxa"/>
            <w:tcBorders>
              <w:top w:val="single" w:sz="4" w:space="0" w:color="auto"/>
              <w:bottom w:val="single" w:sz="4" w:space="0" w:color="auto"/>
            </w:tcBorders>
            <w:noWrap/>
            <w:hideMark/>
          </w:tcPr>
          <w:p w14:paraId="52987055"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i/>
              </w:rPr>
              <w:t>I</w:t>
            </w:r>
            <w:r w:rsidRPr="00E6060C">
              <w:rPr>
                <w:rFonts w:ascii="Calibri" w:eastAsia="Calibri" w:hAnsi="Calibri" w:cs="Times New Roman"/>
                <w:i/>
                <w:vertAlign w:val="superscript"/>
              </w:rPr>
              <w:t>2</w:t>
            </w:r>
            <w:r w:rsidRPr="00E6060C">
              <w:rPr>
                <w:rFonts w:ascii="Calibri" w:eastAsia="Calibri" w:hAnsi="Calibri" w:cs="Times New Roman"/>
              </w:rPr>
              <w:t xml:space="preserve"> (%)</w:t>
            </w:r>
          </w:p>
        </w:tc>
      </w:tr>
      <w:tr w:rsidR="00E6060C" w:rsidRPr="00E6060C" w14:paraId="20E5BA7F" w14:textId="77777777" w:rsidTr="00E6060C">
        <w:trPr>
          <w:trHeight w:val="300"/>
        </w:trPr>
        <w:tc>
          <w:tcPr>
            <w:tcW w:w="9606" w:type="dxa"/>
            <w:gridSpan w:val="12"/>
            <w:tcBorders>
              <w:top w:val="single" w:sz="4" w:space="0" w:color="auto"/>
            </w:tcBorders>
          </w:tcPr>
          <w:p w14:paraId="32F29FB5" w14:textId="77777777" w:rsidR="00E6060C" w:rsidRPr="00A56464" w:rsidRDefault="00E6060C" w:rsidP="00E6060C">
            <w:pPr>
              <w:spacing w:line="360" w:lineRule="auto"/>
              <w:contextualSpacing/>
              <w:rPr>
                <w:rFonts w:ascii="Calibri" w:eastAsia="Calibri" w:hAnsi="Calibri" w:cs="Times New Roman"/>
                <w:b/>
              </w:rPr>
            </w:pPr>
            <w:r w:rsidRPr="00A56464">
              <w:rPr>
                <w:rFonts w:ascii="Calibri" w:eastAsia="Calibri" w:hAnsi="Calibri" w:cs="Times New Roman"/>
                <w:b/>
              </w:rPr>
              <w:t>Randomised vs Non-randomised</w:t>
            </w:r>
          </w:p>
        </w:tc>
      </w:tr>
      <w:tr w:rsidR="00E6060C" w:rsidRPr="00E6060C" w14:paraId="688DB9B0" w14:textId="77777777" w:rsidTr="00E6060C">
        <w:trPr>
          <w:trHeight w:val="300"/>
        </w:trPr>
        <w:tc>
          <w:tcPr>
            <w:tcW w:w="1326" w:type="dxa"/>
            <w:noWrap/>
            <w:hideMark/>
          </w:tcPr>
          <w:p w14:paraId="28306883"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Non-randomised</w:t>
            </w:r>
          </w:p>
        </w:tc>
        <w:tc>
          <w:tcPr>
            <w:tcW w:w="440" w:type="dxa"/>
            <w:noWrap/>
            <w:vAlign w:val="center"/>
            <w:hideMark/>
          </w:tcPr>
          <w:p w14:paraId="6426434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6</w:t>
            </w:r>
          </w:p>
        </w:tc>
        <w:tc>
          <w:tcPr>
            <w:tcW w:w="663" w:type="dxa"/>
            <w:noWrap/>
            <w:vAlign w:val="center"/>
            <w:hideMark/>
          </w:tcPr>
          <w:p w14:paraId="2AEFE4E5"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495</w:t>
            </w:r>
          </w:p>
        </w:tc>
        <w:tc>
          <w:tcPr>
            <w:tcW w:w="682" w:type="dxa"/>
            <w:noWrap/>
            <w:vAlign w:val="center"/>
            <w:hideMark/>
          </w:tcPr>
          <w:p w14:paraId="502CE076"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659</w:t>
            </w:r>
          </w:p>
        </w:tc>
        <w:tc>
          <w:tcPr>
            <w:tcW w:w="607" w:type="dxa"/>
            <w:noWrap/>
            <w:vAlign w:val="center"/>
            <w:hideMark/>
          </w:tcPr>
          <w:p w14:paraId="64ABDC5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0.17</w:t>
            </w:r>
          </w:p>
        </w:tc>
        <w:tc>
          <w:tcPr>
            <w:tcW w:w="607" w:type="dxa"/>
            <w:noWrap/>
            <w:vAlign w:val="center"/>
            <w:hideMark/>
          </w:tcPr>
          <w:p w14:paraId="3030EEC4"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0.10</w:t>
            </w:r>
          </w:p>
        </w:tc>
        <w:tc>
          <w:tcPr>
            <w:tcW w:w="1199" w:type="dxa"/>
            <w:noWrap/>
            <w:vAlign w:val="center"/>
            <w:hideMark/>
          </w:tcPr>
          <w:p w14:paraId="6044A40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-0.02-0.35</w:t>
            </w:r>
          </w:p>
        </w:tc>
        <w:tc>
          <w:tcPr>
            <w:tcW w:w="850" w:type="dxa"/>
            <w:vAlign w:val="center"/>
          </w:tcPr>
          <w:p w14:paraId="44557DAE"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w:t>
            </w:r>
          </w:p>
        </w:tc>
        <w:tc>
          <w:tcPr>
            <w:tcW w:w="936" w:type="dxa"/>
            <w:noWrap/>
            <w:vAlign w:val="center"/>
            <w:hideMark/>
          </w:tcPr>
          <w:p w14:paraId="1EC34D96"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10.02</w:t>
            </w:r>
          </w:p>
        </w:tc>
        <w:tc>
          <w:tcPr>
            <w:tcW w:w="607" w:type="dxa"/>
            <w:noWrap/>
            <w:vAlign w:val="center"/>
            <w:hideMark/>
          </w:tcPr>
          <w:p w14:paraId="4584310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5</w:t>
            </w:r>
          </w:p>
        </w:tc>
        <w:tc>
          <w:tcPr>
            <w:tcW w:w="781" w:type="dxa"/>
            <w:noWrap/>
            <w:vAlign w:val="center"/>
            <w:hideMark/>
          </w:tcPr>
          <w:p w14:paraId="7B58F86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0.07</w:t>
            </w:r>
          </w:p>
        </w:tc>
        <w:tc>
          <w:tcPr>
            <w:tcW w:w="908" w:type="dxa"/>
            <w:noWrap/>
            <w:vAlign w:val="center"/>
            <w:hideMark/>
          </w:tcPr>
          <w:p w14:paraId="1F3FAAF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50.08</w:t>
            </w:r>
          </w:p>
        </w:tc>
      </w:tr>
      <w:tr w:rsidR="00E6060C" w:rsidRPr="00E6060C" w14:paraId="6D149B87" w14:textId="77777777" w:rsidTr="00E6060C">
        <w:trPr>
          <w:trHeight w:val="300"/>
        </w:trPr>
        <w:tc>
          <w:tcPr>
            <w:tcW w:w="1326" w:type="dxa"/>
            <w:tcBorders>
              <w:bottom w:val="nil"/>
            </w:tcBorders>
            <w:noWrap/>
            <w:hideMark/>
          </w:tcPr>
          <w:p w14:paraId="2019827C"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Randomised</w:t>
            </w:r>
          </w:p>
        </w:tc>
        <w:tc>
          <w:tcPr>
            <w:tcW w:w="440" w:type="dxa"/>
            <w:tcBorders>
              <w:bottom w:val="nil"/>
            </w:tcBorders>
            <w:noWrap/>
            <w:vAlign w:val="center"/>
            <w:hideMark/>
          </w:tcPr>
          <w:p w14:paraId="0DAF97F5"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8</w:t>
            </w:r>
          </w:p>
        </w:tc>
        <w:tc>
          <w:tcPr>
            <w:tcW w:w="663" w:type="dxa"/>
            <w:tcBorders>
              <w:bottom w:val="nil"/>
            </w:tcBorders>
            <w:noWrap/>
            <w:vAlign w:val="center"/>
            <w:hideMark/>
          </w:tcPr>
          <w:p w14:paraId="24653B5E"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495</w:t>
            </w:r>
          </w:p>
        </w:tc>
        <w:tc>
          <w:tcPr>
            <w:tcW w:w="682" w:type="dxa"/>
            <w:tcBorders>
              <w:bottom w:val="nil"/>
            </w:tcBorders>
            <w:noWrap/>
            <w:vAlign w:val="center"/>
            <w:hideMark/>
          </w:tcPr>
          <w:p w14:paraId="5AA342D0"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659</w:t>
            </w:r>
          </w:p>
        </w:tc>
        <w:tc>
          <w:tcPr>
            <w:tcW w:w="607" w:type="dxa"/>
            <w:tcBorders>
              <w:bottom w:val="nil"/>
            </w:tcBorders>
            <w:noWrap/>
            <w:vAlign w:val="center"/>
            <w:hideMark/>
          </w:tcPr>
          <w:p w14:paraId="44471235"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0.20</w:t>
            </w:r>
          </w:p>
        </w:tc>
        <w:tc>
          <w:tcPr>
            <w:tcW w:w="607" w:type="dxa"/>
            <w:tcBorders>
              <w:bottom w:val="nil"/>
            </w:tcBorders>
            <w:noWrap/>
            <w:vAlign w:val="center"/>
            <w:hideMark/>
          </w:tcPr>
          <w:p w14:paraId="759263A0"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0.09</w:t>
            </w:r>
          </w:p>
        </w:tc>
        <w:tc>
          <w:tcPr>
            <w:tcW w:w="1199" w:type="dxa"/>
            <w:tcBorders>
              <w:bottom w:val="nil"/>
            </w:tcBorders>
            <w:noWrap/>
            <w:vAlign w:val="center"/>
            <w:hideMark/>
          </w:tcPr>
          <w:p w14:paraId="0C04F24E"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0.02-0.37</w:t>
            </w:r>
          </w:p>
        </w:tc>
        <w:tc>
          <w:tcPr>
            <w:tcW w:w="850" w:type="dxa"/>
            <w:tcBorders>
              <w:bottom w:val="nil"/>
            </w:tcBorders>
            <w:vAlign w:val="center"/>
          </w:tcPr>
          <w:p w14:paraId="34D0538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0.03</w:t>
            </w:r>
          </w:p>
        </w:tc>
        <w:tc>
          <w:tcPr>
            <w:tcW w:w="936" w:type="dxa"/>
            <w:tcBorders>
              <w:bottom w:val="nil"/>
            </w:tcBorders>
            <w:noWrap/>
            <w:vAlign w:val="center"/>
            <w:hideMark/>
          </w:tcPr>
          <w:p w14:paraId="37206C68"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8.59</w:t>
            </w:r>
          </w:p>
        </w:tc>
        <w:tc>
          <w:tcPr>
            <w:tcW w:w="607" w:type="dxa"/>
            <w:tcBorders>
              <w:bottom w:val="nil"/>
            </w:tcBorders>
            <w:noWrap/>
            <w:vAlign w:val="center"/>
            <w:hideMark/>
          </w:tcPr>
          <w:p w14:paraId="71EBA4E0"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5</w:t>
            </w:r>
          </w:p>
        </w:tc>
        <w:tc>
          <w:tcPr>
            <w:tcW w:w="781" w:type="dxa"/>
            <w:tcBorders>
              <w:bottom w:val="nil"/>
            </w:tcBorders>
            <w:noWrap/>
            <w:vAlign w:val="center"/>
            <w:hideMark/>
          </w:tcPr>
          <w:p w14:paraId="7821101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0.127</w:t>
            </w:r>
          </w:p>
        </w:tc>
        <w:tc>
          <w:tcPr>
            <w:tcW w:w="908" w:type="dxa"/>
            <w:tcBorders>
              <w:bottom w:val="nil"/>
            </w:tcBorders>
            <w:noWrap/>
            <w:vAlign w:val="center"/>
            <w:hideMark/>
          </w:tcPr>
          <w:p w14:paraId="2772758E"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41.77</w:t>
            </w:r>
          </w:p>
        </w:tc>
      </w:tr>
      <w:tr w:rsidR="00E6060C" w:rsidRPr="00E6060C" w14:paraId="35855DC2" w14:textId="77777777" w:rsidTr="00E6060C">
        <w:trPr>
          <w:trHeight w:val="300"/>
        </w:trPr>
        <w:tc>
          <w:tcPr>
            <w:tcW w:w="1326" w:type="dxa"/>
            <w:tcBorders>
              <w:top w:val="nil"/>
              <w:bottom w:val="single" w:sz="4" w:space="0" w:color="auto"/>
            </w:tcBorders>
            <w:noWrap/>
          </w:tcPr>
          <w:p w14:paraId="4A9F8D2B" w14:textId="77777777" w:rsidR="00E6060C" w:rsidRPr="00E6060C" w:rsidRDefault="00E6060C" w:rsidP="00E6060C">
            <w:pPr>
              <w:spacing w:line="360" w:lineRule="auto"/>
              <w:contextualSpacing/>
              <w:rPr>
                <w:rFonts w:ascii="Calibri" w:eastAsia="Calibri" w:hAnsi="Calibri" w:cs="Times New Roman"/>
              </w:rPr>
            </w:pPr>
          </w:p>
        </w:tc>
        <w:tc>
          <w:tcPr>
            <w:tcW w:w="440" w:type="dxa"/>
            <w:tcBorders>
              <w:top w:val="nil"/>
              <w:bottom w:val="single" w:sz="4" w:space="0" w:color="auto"/>
            </w:tcBorders>
            <w:noWrap/>
            <w:vAlign w:val="center"/>
          </w:tcPr>
          <w:p w14:paraId="65F77FAA" w14:textId="77777777" w:rsidR="00E6060C" w:rsidRPr="00E6060C" w:rsidRDefault="00E6060C" w:rsidP="00E6060C">
            <w:pPr>
              <w:spacing w:line="360" w:lineRule="auto"/>
              <w:contextualSpacing/>
              <w:rPr>
                <w:rFonts w:ascii="Calibri" w:eastAsia="Calibri" w:hAnsi="Calibri" w:cs="Times New Roman"/>
                <w:color w:val="000000"/>
              </w:rPr>
            </w:pPr>
          </w:p>
        </w:tc>
        <w:tc>
          <w:tcPr>
            <w:tcW w:w="663" w:type="dxa"/>
            <w:tcBorders>
              <w:top w:val="nil"/>
              <w:bottom w:val="single" w:sz="4" w:space="0" w:color="auto"/>
            </w:tcBorders>
            <w:noWrap/>
            <w:vAlign w:val="center"/>
          </w:tcPr>
          <w:p w14:paraId="62E97CD0" w14:textId="77777777" w:rsidR="00E6060C" w:rsidRPr="00E6060C" w:rsidRDefault="00E6060C" w:rsidP="00E6060C">
            <w:pPr>
              <w:spacing w:line="360" w:lineRule="auto"/>
              <w:contextualSpacing/>
              <w:rPr>
                <w:rFonts w:ascii="Calibri" w:eastAsia="Calibri" w:hAnsi="Calibri" w:cs="Times New Roman"/>
                <w:color w:val="000000"/>
              </w:rPr>
            </w:pPr>
          </w:p>
        </w:tc>
        <w:tc>
          <w:tcPr>
            <w:tcW w:w="682" w:type="dxa"/>
            <w:tcBorders>
              <w:top w:val="nil"/>
              <w:bottom w:val="single" w:sz="4" w:space="0" w:color="auto"/>
            </w:tcBorders>
            <w:noWrap/>
            <w:vAlign w:val="center"/>
          </w:tcPr>
          <w:p w14:paraId="32663285" w14:textId="77777777" w:rsidR="00E6060C" w:rsidRPr="00E6060C" w:rsidRDefault="00E6060C" w:rsidP="00E6060C">
            <w:pPr>
              <w:spacing w:line="360" w:lineRule="auto"/>
              <w:contextualSpacing/>
              <w:rPr>
                <w:rFonts w:ascii="Calibri" w:eastAsia="Calibri" w:hAnsi="Calibri" w:cs="Times New Roman"/>
                <w:color w:val="000000"/>
              </w:rPr>
            </w:pPr>
          </w:p>
        </w:tc>
        <w:tc>
          <w:tcPr>
            <w:tcW w:w="607" w:type="dxa"/>
            <w:tcBorders>
              <w:top w:val="nil"/>
              <w:bottom w:val="single" w:sz="4" w:space="0" w:color="auto"/>
            </w:tcBorders>
            <w:noWrap/>
            <w:vAlign w:val="center"/>
          </w:tcPr>
          <w:p w14:paraId="15ACF4EE" w14:textId="77777777" w:rsidR="00E6060C" w:rsidRPr="00E6060C" w:rsidRDefault="00E6060C" w:rsidP="00E6060C">
            <w:pPr>
              <w:spacing w:line="360" w:lineRule="auto"/>
              <w:contextualSpacing/>
              <w:rPr>
                <w:rFonts w:ascii="Calibri" w:eastAsia="Calibri" w:hAnsi="Calibri" w:cs="Times New Roman"/>
                <w:color w:val="000000"/>
              </w:rPr>
            </w:pPr>
          </w:p>
        </w:tc>
        <w:tc>
          <w:tcPr>
            <w:tcW w:w="2656" w:type="dxa"/>
            <w:gridSpan w:val="3"/>
            <w:tcBorders>
              <w:top w:val="nil"/>
              <w:bottom w:val="single" w:sz="4" w:space="0" w:color="auto"/>
            </w:tcBorders>
            <w:noWrap/>
            <w:vAlign w:val="center"/>
          </w:tcPr>
          <w:p w14:paraId="273D156B" w14:textId="77777777" w:rsidR="00E6060C" w:rsidRPr="00E6060C" w:rsidRDefault="00E6060C" w:rsidP="00E6060C">
            <w:pPr>
              <w:spacing w:line="360" w:lineRule="auto"/>
              <w:contextualSpacing/>
              <w:rPr>
                <w:rFonts w:ascii="Calibri" w:eastAsia="Calibri" w:hAnsi="Calibri" w:cs="Times New Roman"/>
                <w:color w:val="000000"/>
              </w:rPr>
            </w:pPr>
            <w:r w:rsidRPr="00E6060C">
              <w:rPr>
                <w:rFonts w:ascii="Calibri" w:eastAsia="Calibri" w:hAnsi="Calibri" w:cs="Times New Roman"/>
                <w:color w:val="000000"/>
              </w:rPr>
              <w:t>Heterogeneity between</w:t>
            </w:r>
          </w:p>
        </w:tc>
        <w:tc>
          <w:tcPr>
            <w:tcW w:w="936" w:type="dxa"/>
            <w:tcBorders>
              <w:top w:val="nil"/>
              <w:bottom w:val="single" w:sz="4" w:space="0" w:color="auto"/>
            </w:tcBorders>
            <w:noWrap/>
            <w:vAlign w:val="center"/>
          </w:tcPr>
          <w:p w14:paraId="6D6B843B"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1.46</w:t>
            </w:r>
          </w:p>
        </w:tc>
        <w:tc>
          <w:tcPr>
            <w:tcW w:w="607" w:type="dxa"/>
            <w:tcBorders>
              <w:top w:val="nil"/>
              <w:bottom w:val="single" w:sz="4" w:space="0" w:color="auto"/>
            </w:tcBorders>
            <w:noWrap/>
            <w:vAlign w:val="center"/>
          </w:tcPr>
          <w:p w14:paraId="50BCCDE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w:t>
            </w:r>
          </w:p>
        </w:tc>
        <w:tc>
          <w:tcPr>
            <w:tcW w:w="781" w:type="dxa"/>
            <w:tcBorders>
              <w:top w:val="nil"/>
              <w:bottom w:val="single" w:sz="4" w:space="0" w:color="auto"/>
            </w:tcBorders>
            <w:noWrap/>
            <w:vAlign w:val="center"/>
          </w:tcPr>
          <w:p w14:paraId="76333A14"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0.228</w:t>
            </w:r>
          </w:p>
        </w:tc>
        <w:tc>
          <w:tcPr>
            <w:tcW w:w="908" w:type="dxa"/>
            <w:tcBorders>
              <w:top w:val="nil"/>
              <w:bottom w:val="single" w:sz="4" w:space="0" w:color="auto"/>
            </w:tcBorders>
            <w:noWrap/>
            <w:vAlign w:val="center"/>
          </w:tcPr>
          <w:p w14:paraId="26480F72" w14:textId="77777777" w:rsidR="00E6060C" w:rsidRPr="00E6060C" w:rsidRDefault="00E6060C" w:rsidP="00E6060C">
            <w:pPr>
              <w:spacing w:line="360" w:lineRule="auto"/>
              <w:contextualSpacing/>
              <w:jc w:val="center"/>
              <w:rPr>
                <w:rFonts w:ascii="Calibri" w:eastAsia="Calibri" w:hAnsi="Calibri" w:cs="Times New Roman"/>
                <w:color w:val="000000"/>
              </w:rPr>
            </w:pPr>
          </w:p>
        </w:tc>
      </w:tr>
      <w:tr w:rsidR="00E6060C" w:rsidRPr="00E6060C" w14:paraId="1016DD79" w14:textId="77777777" w:rsidTr="00E6060C">
        <w:trPr>
          <w:trHeight w:val="300"/>
        </w:trPr>
        <w:tc>
          <w:tcPr>
            <w:tcW w:w="9606" w:type="dxa"/>
            <w:gridSpan w:val="12"/>
            <w:tcBorders>
              <w:top w:val="single" w:sz="4" w:space="0" w:color="auto"/>
            </w:tcBorders>
          </w:tcPr>
          <w:p w14:paraId="586AB10B" w14:textId="77777777" w:rsidR="00E6060C" w:rsidRPr="00A56464" w:rsidRDefault="00E6060C" w:rsidP="00E6060C">
            <w:pPr>
              <w:spacing w:line="360" w:lineRule="auto"/>
              <w:contextualSpacing/>
              <w:rPr>
                <w:rFonts w:ascii="Calibri" w:eastAsia="Calibri" w:hAnsi="Calibri" w:cs="Times New Roman"/>
                <w:b/>
              </w:rPr>
            </w:pPr>
            <w:r w:rsidRPr="00A56464">
              <w:rPr>
                <w:rFonts w:ascii="Calibri" w:eastAsia="Calibri" w:hAnsi="Calibri" w:cs="Times New Roman"/>
                <w:b/>
              </w:rPr>
              <w:t>ITT principle followed vs ITT principle not followed</w:t>
            </w:r>
          </w:p>
        </w:tc>
      </w:tr>
      <w:tr w:rsidR="00E6060C" w:rsidRPr="00E6060C" w14:paraId="0C6285AD" w14:textId="77777777" w:rsidTr="00E6060C">
        <w:trPr>
          <w:trHeight w:val="300"/>
        </w:trPr>
        <w:tc>
          <w:tcPr>
            <w:tcW w:w="1326" w:type="dxa"/>
            <w:noWrap/>
            <w:hideMark/>
          </w:tcPr>
          <w:p w14:paraId="583B22B4"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 xml:space="preserve">ITT </w:t>
            </w:r>
          </w:p>
        </w:tc>
        <w:tc>
          <w:tcPr>
            <w:tcW w:w="440" w:type="dxa"/>
            <w:noWrap/>
            <w:vAlign w:val="center"/>
            <w:hideMark/>
          </w:tcPr>
          <w:p w14:paraId="6FAF329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4</w:t>
            </w:r>
          </w:p>
        </w:tc>
        <w:tc>
          <w:tcPr>
            <w:tcW w:w="663" w:type="dxa"/>
            <w:noWrap/>
            <w:vAlign w:val="center"/>
          </w:tcPr>
          <w:p w14:paraId="2F35F8CC"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701</w:t>
            </w:r>
          </w:p>
        </w:tc>
        <w:tc>
          <w:tcPr>
            <w:tcW w:w="682" w:type="dxa"/>
            <w:noWrap/>
            <w:vAlign w:val="center"/>
          </w:tcPr>
          <w:p w14:paraId="4496677A"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646</w:t>
            </w:r>
          </w:p>
        </w:tc>
        <w:tc>
          <w:tcPr>
            <w:tcW w:w="607" w:type="dxa"/>
            <w:noWrap/>
            <w:vAlign w:val="center"/>
            <w:hideMark/>
          </w:tcPr>
          <w:p w14:paraId="590C8418"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0.12</w:t>
            </w:r>
          </w:p>
        </w:tc>
        <w:tc>
          <w:tcPr>
            <w:tcW w:w="607" w:type="dxa"/>
            <w:noWrap/>
            <w:vAlign w:val="center"/>
            <w:hideMark/>
          </w:tcPr>
          <w:p w14:paraId="50345F3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0.08</w:t>
            </w:r>
          </w:p>
        </w:tc>
        <w:tc>
          <w:tcPr>
            <w:tcW w:w="1199" w:type="dxa"/>
            <w:noWrap/>
            <w:vAlign w:val="center"/>
            <w:hideMark/>
          </w:tcPr>
          <w:p w14:paraId="04359A4D"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-0.02-0.29</w:t>
            </w:r>
          </w:p>
        </w:tc>
        <w:tc>
          <w:tcPr>
            <w:tcW w:w="850" w:type="dxa"/>
            <w:vAlign w:val="center"/>
          </w:tcPr>
          <w:p w14:paraId="176D1CDE"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0.09</w:t>
            </w:r>
          </w:p>
        </w:tc>
        <w:tc>
          <w:tcPr>
            <w:tcW w:w="936" w:type="dxa"/>
            <w:noWrap/>
            <w:vAlign w:val="center"/>
            <w:hideMark/>
          </w:tcPr>
          <w:p w14:paraId="4FF94085"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0.34</w:t>
            </w:r>
          </w:p>
        </w:tc>
        <w:tc>
          <w:tcPr>
            <w:tcW w:w="607" w:type="dxa"/>
            <w:noWrap/>
            <w:vAlign w:val="center"/>
            <w:hideMark/>
          </w:tcPr>
          <w:p w14:paraId="282D2049"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3</w:t>
            </w:r>
          </w:p>
        </w:tc>
        <w:tc>
          <w:tcPr>
            <w:tcW w:w="781" w:type="dxa"/>
            <w:noWrap/>
            <w:vAlign w:val="center"/>
            <w:hideMark/>
          </w:tcPr>
          <w:p w14:paraId="663C4E8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0.95</w:t>
            </w:r>
          </w:p>
        </w:tc>
        <w:tc>
          <w:tcPr>
            <w:tcW w:w="908" w:type="dxa"/>
            <w:noWrap/>
            <w:vAlign w:val="center"/>
            <w:hideMark/>
          </w:tcPr>
          <w:p w14:paraId="329EAD13"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0.00</w:t>
            </w:r>
          </w:p>
        </w:tc>
      </w:tr>
      <w:tr w:rsidR="00E6060C" w:rsidRPr="00E6060C" w14:paraId="704C25C1" w14:textId="77777777" w:rsidTr="00E6060C">
        <w:trPr>
          <w:trHeight w:val="300"/>
        </w:trPr>
        <w:tc>
          <w:tcPr>
            <w:tcW w:w="1326" w:type="dxa"/>
            <w:tcBorders>
              <w:bottom w:val="nil"/>
            </w:tcBorders>
            <w:noWrap/>
            <w:hideMark/>
          </w:tcPr>
          <w:p w14:paraId="3AAEF42C"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 xml:space="preserve">No ITT </w:t>
            </w:r>
          </w:p>
        </w:tc>
        <w:tc>
          <w:tcPr>
            <w:tcW w:w="440" w:type="dxa"/>
            <w:tcBorders>
              <w:bottom w:val="nil"/>
            </w:tcBorders>
            <w:noWrap/>
            <w:vAlign w:val="center"/>
            <w:hideMark/>
          </w:tcPr>
          <w:p w14:paraId="64DA09E8"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10</w:t>
            </w:r>
          </w:p>
        </w:tc>
        <w:tc>
          <w:tcPr>
            <w:tcW w:w="663" w:type="dxa"/>
            <w:tcBorders>
              <w:bottom w:val="nil"/>
            </w:tcBorders>
            <w:noWrap/>
            <w:vAlign w:val="center"/>
          </w:tcPr>
          <w:p w14:paraId="1BBB05E4"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1057</w:t>
            </w:r>
          </w:p>
        </w:tc>
        <w:tc>
          <w:tcPr>
            <w:tcW w:w="682" w:type="dxa"/>
            <w:tcBorders>
              <w:bottom w:val="nil"/>
            </w:tcBorders>
            <w:noWrap/>
            <w:vAlign w:val="center"/>
          </w:tcPr>
          <w:p w14:paraId="70DDB1EC"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1288</w:t>
            </w:r>
          </w:p>
        </w:tc>
        <w:tc>
          <w:tcPr>
            <w:tcW w:w="607" w:type="dxa"/>
            <w:tcBorders>
              <w:bottom w:val="nil"/>
            </w:tcBorders>
            <w:noWrap/>
            <w:vAlign w:val="center"/>
            <w:hideMark/>
          </w:tcPr>
          <w:p w14:paraId="03FFB07C"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0.37</w:t>
            </w:r>
          </w:p>
        </w:tc>
        <w:tc>
          <w:tcPr>
            <w:tcW w:w="607" w:type="dxa"/>
            <w:tcBorders>
              <w:bottom w:val="nil"/>
            </w:tcBorders>
            <w:noWrap/>
            <w:vAlign w:val="center"/>
            <w:hideMark/>
          </w:tcPr>
          <w:p w14:paraId="0322415E"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0.12</w:t>
            </w:r>
          </w:p>
        </w:tc>
        <w:tc>
          <w:tcPr>
            <w:tcW w:w="1199" w:type="dxa"/>
            <w:tcBorders>
              <w:bottom w:val="nil"/>
            </w:tcBorders>
            <w:noWrap/>
            <w:vAlign w:val="center"/>
            <w:hideMark/>
          </w:tcPr>
          <w:p w14:paraId="54326F1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0.14-0.61</w:t>
            </w:r>
          </w:p>
        </w:tc>
        <w:tc>
          <w:tcPr>
            <w:tcW w:w="850" w:type="dxa"/>
            <w:tcBorders>
              <w:bottom w:val="nil"/>
            </w:tcBorders>
            <w:vAlign w:val="center"/>
          </w:tcPr>
          <w:p w14:paraId="2DDCAB30"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0.00</w:t>
            </w:r>
          </w:p>
        </w:tc>
        <w:tc>
          <w:tcPr>
            <w:tcW w:w="936" w:type="dxa"/>
            <w:tcBorders>
              <w:bottom w:val="nil"/>
            </w:tcBorders>
            <w:noWrap/>
            <w:vAlign w:val="center"/>
            <w:hideMark/>
          </w:tcPr>
          <w:p w14:paraId="05A0152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55.06</w:t>
            </w:r>
          </w:p>
        </w:tc>
        <w:tc>
          <w:tcPr>
            <w:tcW w:w="607" w:type="dxa"/>
            <w:tcBorders>
              <w:bottom w:val="nil"/>
            </w:tcBorders>
            <w:noWrap/>
            <w:vAlign w:val="center"/>
            <w:hideMark/>
          </w:tcPr>
          <w:p w14:paraId="69581BE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9</w:t>
            </w:r>
          </w:p>
        </w:tc>
        <w:tc>
          <w:tcPr>
            <w:tcW w:w="781" w:type="dxa"/>
            <w:tcBorders>
              <w:bottom w:val="nil"/>
            </w:tcBorders>
            <w:noWrap/>
            <w:vAlign w:val="center"/>
            <w:hideMark/>
          </w:tcPr>
          <w:p w14:paraId="74348473"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0.00</w:t>
            </w:r>
          </w:p>
        </w:tc>
        <w:tc>
          <w:tcPr>
            <w:tcW w:w="908" w:type="dxa"/>
            <w:tcBorders>
              <w:bottom w:val="nil"/>
            </w:tcBorders>
            <w:noWrap/>
            <w:vAlign w:val="center"/>
            <w:hideMark/>
          </w:tcPr>
          <w:p w14:paraId="1DCA2DC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83.65</w:t>
            </w:r>
          </w:p>
        </w:tc>
      </w:tr>
      <w:tr w:rsidR="00E6060C" w:rsidRPr="00E6060C" w14:paraId="5D44F9B3" w14:textId="77777777" w:rsidTr="00E6060C">
        <w:trPr>
          <w:trHeight w:val="300"/>
        </w:trPr>
        <w:tc>
          <w:tcPr>
            <w:tcW w:w="1326" w:type="dxa"/>
            <w:tcBorders>
              <w:top w:val="nil"/>
              <w:bottom w:val="single" w:sz="4" w:space="0" w:color="auto"/>
            </w:tcBorders>
            <w:noWrap/>
          </w:tcPr>
          <w:p w14:paraId="345148DC" w14:textId="77777777" w:rsidR="00E6060C" w:rsidRPr="00E6060C" w:rsidRDefault="00E6060C" w:rsidP="00E6060C">
            <w:pPr>
              <w:spacing w:line="360" w:lineRule="auto"/>
              <w:contextualSpacing/>
              <w:rPr>
                <w:rFonts w:ascii="Calibri" w:eastAsia="Calibri" w:hAnsi="Calibri" w:cs="Times New Roman"/>
              </w:rPr>
            </w:pPr>
          </w:p>
        </w:tc>
        <w:tc>
          <w:tcPr>
            <w:tcW w:w="440" w:type="dxa"/>
            <w:tcBorders>
              <w:top w:val="nil"/>
              <w:bottom w:val="single" w:sz="4" w:space="0" w:color="auto"/>
            </w:tcBorders>
            <w:noWrap/>
            <w:vAlign w:val="center"/>
          </w:tcPr>
          <w:p w14:paraId="2D65018E" w14:textId="77777777" w:rsidR="00E6060C" w:rsidRPr="00E6060C" w:rsidRDefault="00E6060C" w:rsidP="00E6060C">
            <w:pPr>
              <w:spacing w:line="360" w:lineRule="auto"/>
              <w:contextualSpacing/>
              <w:rPr>
                <w:rFonts w:ascii="Calibri" w:eastAsia="Calibri" w:hAnsi="Calibri" w:cs="Times New Roman"/>
                <w:color w:val="000000"/>
              </w:rPr>
            </w:pPr>
          </w:p>
        </w:tc>
        <w:tc>
          <w:tcPr>
            <w:tcW w:w="663" w:type="dxa"/>
            <w:tcBorders>
              <w:top w:val="nil"/>
              <w:bottom w:val="single" w:sz="4" w:space="0" w:color="auto"/>
            </w:tcBorders>
            <w:noWrap/>
            <w:vAlign w:val="center"/>
          </w:tcPr>
          <w:p w14:paraId="16F97211" w14:textId="77777777" w:rsidR="00E6060C" w:rsidRPr="00E6060C" w:rsidRDefault="00E6060C" w:rsidP="00E6060C">
            <w:pPr>
              <w:spacing w:line="360" w:lineRule="auto"/>
              <w:contextualSpacing/>
              <w:rPr>
                <w:rFonts w:ascii="Calibri" w:eastAsia="Calibri" w:hAnsi="Calibri" w:cs="Times New Roman"/>
                <w:color w:val="000000"/>
              </w:rPr>
            </w:pPr>
          </w:p>
        </w:tc>
        <w:tc>
          <w:tcPr>
            <w:tcW w:w="682" w:type="dxa"/>
            <w:tcBorders>
              <w:top w:val="nil"/>
              <w:bottom w:val="single" w:sz="4" w:space="0" w:color="auto"/>
            </w:tcBorders>
            <w:noWrap/>
            <w:vAlign w:val="center"/>
          </w:tcPr>
          <w:p w14:paraId="7A99A29B" w14:textId="77777777" w:rsidR="00E6060C" w:rsidRPr="00E6060C" w:rsidRDefault="00E6060C" w:rsidP="00E6060C">
            <w:pPr>
              <w:spacing w:line="360" w:lineRule="auto"/>
              <w:contextualSpacing/>
              <w:rPr>
                <w:rFonts w:ascii="Calibri" w:eastAsia="Calibri" w:hAnsi="Calibri" w:cs="Times New Roman"/>
                <w:color w:val="000000"/>
              </w:rPr>
            </w:pPr>
          </w:p>
        </w:tc>
        <w:tc>
          <w:tcPr>
            <w:tcW w:w="607" w:type="dxa"/>
            <w:tcBorders>
              <w:top w:val="nil"/>
              <w:bottom w:val="single" w:sz="4" w:space="0" w:color="auto"/>
            </w:tcBorders>
            <w:noWrap/>
            <w:vAlign w:val="center"/>
          </w:tcPr>
          <w:p w14:paraId="7300097E" w14:textId="77777777" w:rsidR="00E6060C" w:rsidRPr="00E6060C" w:rsidRDefault="00E6060C" w:rsidP="00E6060C">
            <w:pPr>
              <w:spacing w:line="360" w:lineRule="auto"/>
              <w:contextualSpacing/>
              <w:rPr>
                <w:rFonts w:ascii="Calibri" w:eastAsia="Calibri" w:hAnsi="Calibri" w:cs="Times New Roman"/>
                <w:color w:val="000000"/>
              </w:rPr>
            </w:pPr>
          </w:p>
        </w:tc>
        <w:tc>
          <w:tcPr>
            <w:tcW w:w="2656" w:type="dxa"/>
            <w:gridSpan w:val="3"/>
            <w:tcBorders>
              <w:top w:val="nil"/>
              <w:bottom w:val="single" w:sz="4" w:space="0" w:color="auto"/>
            </w:tcBorders>
            <w:noWrap/>
            <w:vAlign w:val="center"/>
          </w:tcPr>
          <w:p w14:paraId="63792A45" w14:textId="77777777" w:rsidR="00E6060C" w:rsidRPr="00E6060C" w:rsidRDefault="00E6060C" w:rsidP="00E6060C">
            <w:pPr>
              <w:spacing w:line="360" w:lineRule="auto"/>
              <w:contextualSpacing/>
              <w:rPr>
                <w:rFonts w:ascii="Calibri" w:eastAsia="Calibri" w:hAnsi="Calibri" w:cs="Times New Roman"/>
                <w:color w:val="000000"/>
              </w:rPr>
            </w:pPr>
            <w:r w:rsidRPr="00E6060C">
              <w:rPr>
                <w:rFonts w:ascii="Calibri" w:eastAsia="Calibri" w:hAnsi="Calibri" w:cs="Times New Roman"/>
                <w:color w:val="000000"/>
              </w:rPr>
              <w:t>Heterogeneity between</w:t>
            </w:r>
          </w:p>
        </w:tc>
        <w:tc>
          <w:tcPr>
            <w:tcW w:w="936" w:type="dxa"/>
            <w:tcBorders>
              <w:top w:val="nil"/>
              <w:bottom w:val="single" w:sz="4" w:space="0" w:color="auto"/>
            </w:tcBorders>
            <w:noWrap/>
            <w:vAlign w:val="center"/>
          </w:tcPr>
          <w:p w14:paraId="3A5790E1"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2.69</w:t>
            </w:r>
          </w:p>
        </w:tc>
        <w:tc>
          <w:tcPr>
            <w:tcW w:w="607" w:type="dxa"/>
            <w:tcBorders>
              <w:top w:val="nil"/>
              <w:bottom w:val="single" w:sz="4" w:space="0" w:color="auto"/>
            </w:tcBorders>
            <w:noWrap/>
            <w:vAlign w:val="center"/>
          </w:tcPr>
          <w:p w14:paraId="4C5DCC39"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w:t>
            </w:r>
          </w:p>
        </w:tc>
        <w:tc>
          <w:tcPr>
            <w:tcW w:w="781" w:type="dxa"/>
            <w:tcBorders>
              <w:top w:val="nil"/>
              <w:bottom w:val="single" w:sz="4" w:space="0" w:color="auto"/>
            </w:tcBorders>
            <w:noWrap/>
            <w:vAlign w:val="center"/>
          </w:tcPr>
          <w:p w14:paraId="4570814C"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0.10</w:t>
            </w:r>
          </w:p>
        </w:tc>
        <w:tc>
          <w:tcPr>
            <w:tcW w:w="908" w:type="dxa"/>
            <w:tcBorders>
              <w:top w:val="nil"/>
              <w:bottom w:val="single" w:sz="4" w:space="0" w:color="auto"/>
            </w:tcBorders>
            <w:noWrap/>
            <w:vAlign w:val="center"/>
          </w:tcPr>
          <w:p w14:paraId="081D0B3E" w14:textId="77777777" w:rsidR="00E6060C" w:rsidRPr="00E6060C" w:rsidRDefault="00E6060C" w:rsidP="00E6060C">
            <w:pPr>
              <w:spacing w:line="360" w:lineRule="auto"/>
              <w:contextualSpacing/>
              <w:rPr>
                <w:rFonts w:ascii="Calibri" w:eastAsia="Calibri" w:hAnsi="Calibri" w:cs="Times New Roman"/>
                <w:color w:val="000000"/>
              </w:rPr>
            </w:pPr>
          </w:p>
        </w:tc>
      </w:tr>
      <w:tr w:rsidR="00E6060C" w:rsidRPr="00E6060C" w14:paraId="4EADFEAF" w14:textId="77777777" w:rsidTr="00E6060C">
        <w:trPr>
          <w:trHeight w:val="300"/>
        </w:trPr>
        <w:tc>
          <w:tcPr>
            <w:tcW w:w="9606" w:type="dxa"/>
            <w:gridSpan w:val="12"/>
            <w:tcBorders>
              <w:top w:val="single" w:sz="4" w:space="0" w:color="auto"/>
            </w:tcBorders>
            <w:noWrap/>
          </w:tcPr>
          <w:p w14:paraId="3A2C405D" w14:textId="77777777" w:rsidR="00E6060C" w:rsidRPr="00A56464" w:rsidRDefault="00E6060C" w:rsidP="00E6060C">
            <w:pPr>
              <w:spacing w:line="360" w:lineRule="auto"/>
              <w:contextualSpacing/>
              <w:rPr>
                <w:rFonts w:ascii="Calibri" w:eastAsia="Calibri" w:hAnsi="Calibri" w:cs="Times New Roman"/>
                <w:b/>
                <w:color w:val="000000"/>
              </w:rPr>
            </w:pPr>
            <w:r w:rsidRPr="00A56464">
              <w:rPr>
                <w:rFonts w:ascii="Calibri" w:eastAsia="Calibri" w:hAnsi="Calibri" w:cs="Times New Roman"/>
                <w:b/>
                <w:color w:val="000000"/>
              </w:rPr>
              <w:t>Adjusted for covariates vs not adjusted</w:t>
            </w:r>
          </w:p>
        </w:tc>
      </w:tr>
      <w:tr w:rsidR="00E6060C" w:rsidRPr="00E6060C" w14:paraId="406692EE" w14:textId="77777777" w:rsidTr="00E6060C">
        <w:trPr>
          <w:trHeight w:val="300"/>
        </w:trPr>
        <w:tc>
          <w:tcPr>
            <w:tcW w:w="1326" w:type="dxa"/>
            <w:noWrap/>
          </w:tcPr>
          <w:p w14:paraId="041063AF"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Adjusted</w:t>
            </w:r>
          </w:p>
        </w:tc>
        <w:tc>
          <w:tcPr>
            <w:tcW w:w="440" w:type="dxa"/>
            <w:noWrap/>
            <w:vAlign w:val="center"/>
          </w:tcPr>
          <w:p w14:paraId="03CCD77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2</w:t>
            </w:r>
          </w:p>
        </w:tc>
        <w:tc>
          <w:tcPr>
            <w:tcW w:w="663" w:type="dxa"/>
            <w:noWrap/>
            <w:vAlign w:val="center"/>
          </w:tcPr>
          <w:p w14:paraId="6472AE1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536</w:t>
            </w:r>
          </w:p>
        </w:tc>
        <w:tc>
          <w:tcPr>
            <w:tcW w:w="682" w:type="dxa"/>
            <w:noWrap/>
            <w:vAlign w:val="center"/>
          </w:tcPr>
          <w:p w14:paraId="1E8EB674"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463</w:t>
            </w:r>
          </w:p>
        </w:tc>
        <w:tc>
          <w:tcPr>
            <w:tcW w:w="607" w:type="dxa"/>
            <w:noWrap/>
            <w:vAlign w:val="center"/>
          </w:tcPr>
          <w:p w14:paraId="63FA35CA"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0.09</w:t>
            </w:r>
          </w:p>
        </w:tc>
        <w:tc>
          <w:tcPr>
            <w:tcW w:w="607" w:type="dxa"/>
            <w:noWrap/>
            <w:vAlign w:val="center"/>
          </w:tcPr>
          <w:p w14:paraId="10EE6253"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0.08</w:t>
            </w:r>
          </w:p>
        </w:tc>
        <w:tc>
          <w:tcPr>
            <w:tcW w:w="1199" w:type="dxa"/>
            <w:noWrap/>
            <w:vAlign w:val="center"/>
          </w:tcPr>
          <w:p w14:paraId="243EB8C3"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0.14-0.32</w:t>
            </w:r>
          </w:p>
        </w:tc>
        <w:tc>
          <w:tcPr>
            <w:tcW w:w="850" w:type="dxa"/>
            <w:vAlign w:val="center"/>
          </w:tcPr>
          <w:p w14:paraId="1542C39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0.45</w:t>
            </w:r>
          </w:p>
        </w:tc>
        <w:tc>
          <w:tcPr>
            <w:tcW w:w="936" w:type="dxa"/>
            <w:noWrap/>
            <w:vAlign w:val="center"/>
          </w:tcPr>
          <w:p w14:paraId="3D556A64"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0.02</w:t>
            </w:r>
          </w:p>
        </w:tc>
        <w:tc>
          <w:tcPr>
            <w:tcW w:w="607" w:type="dxa"/>
            <w:noWrap/>
            <w:vAlign w:val="center"/>
          </w:tcPr>
          <w:p w14:paraId="10DF5A91"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w:t>
            </w:r>
          </w:p>
        </w:tc>
        <w:tc>
          <w:tcPr>
            <w:tcW w:w="781" w:type="dxa"/>
            <w:noWrap/>
            <w:vAlign w:val="center"/>
          </w:tcPr>
          <w:p w14:paraId="63A2372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0.893</w:t>
            </w:r>
          </w:p>
        </w:tc>
        <w:tc>
          <w:tcPr>
            <w:tcW w:w="908" w:type="dxa"/>
            <w:noWrap/>
            <w:vAlign w:val="center"/>
          </w:tcPr>
          <w:p w14:paraId="612AC223"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0.00</w:t>
            </w:r>
          </w:p>
        </w:tc>
      </w:tr>
      <w:tr w:rsidR="00E6060C" w:rsidRPr="00E6060C" w14:paraId="31D2E026" w14:textId="77777777" w:rsidTr="00E6060C">
        <w:trPr>
          <w:trHeight w:val="300"/>
        </w:trPr>
        <w:tc>
          <w:tcPr>
            <w:tcW w:w="1326" w:type="dxa"/>
            <w:noWrap/>
          </w:tcPr>
          <w:p w14:paraId="3A1F829D"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Not adjusted</w:t>
            </w:r>
          </w:p>
        </w:tc>
        <w:tc>
          <w:tcPr>
            <w:tcW w:w="440" w:type="dxa"/>
            <w:noWrap/>
            <w:vAlign w:val="center"/>
          </w:tcPr>
          <w:p w14:paraId="65E285D1"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12</w:t>
            </w:r>
          </w:p>
        </w:tc>
        <w:tc>
          <w:tcPr>
            <w:tcW w:w="663" w:type="dxa"/>
            <w:noWrap/>
            <w:vAlign w:val="center"/>
          </w:tcPr>
          <w:p w14:paraId="3E349963"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1222</w:t>
            </w:r>
          </w:p>
        </w:tc>
        <w:tc>
          <w:tcPr>
            <w:tcW w:w="682" w:type="dxa"/>
            <w:noWrap/>
            <w:vAlign w:val="center"/>
          </w:tcPr>
          <w:p w14:paraId="02ED4B7A"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1471</w:t>
            </w:r>
          </w:p>
        </w:tc>
        <w:tc>
          <w:tcPr>
            <w:tcW w:w="607" w:type="dxa"/>
            <w:noWrap/>
            <w:vAlign w:val="center"/>
          </w:tcPr>
          <w:p w14:paraId="647538FF"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0.32</w:t>
            </w:r>
          </w:p>
        </w:tc>
        <w:tc>
          <w:tcPr>
            <w:tcW w:w="607" w:type="dxa"/>
            <w:noWrap/>
            <w:vAlign w:val="center"/>
          </w:tcPr>
          <w:p w14:paraId="001878E4"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0.20</w:t>
            </w:r>
          </w:p>
        </w:tc>
        <w:tc>
          <w:tcPr>
            <w:tcW w:w="1199" w:type="dxa"/>
            <w:noWrap/>
            <w:vAlign w:val="center"/>
          </w:tcPr>
          <w:p w14:paraId="45E27CAC"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0.01-0.52</w:t>
            </w:r>
          </w:p>
        </w:tc>
        <w:tc>
          <w:tcPr>
            <w:tcW w:w="850" w:type="dxa"/>
            <w:vAlign w:val="center"/>
          </w:tcPr>
          <w:p w14:paraId="1CD5B505"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0.00</w:t>
            </w:r>
          </w:p>
        </w:tc>
        <w:tc>
          <w:tcPr>
            <w:tcW w:w="936" w:type="dxa"/>
            <w:noWrap/>
            <w:vAlign w:val="center"/>
          </w:tcPr>
          <w:p w14:paraId="4D8E3C75"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55.08</w:t>
            </w:r>
          </w:p>
        </w:tc>
        <w:tc>
          <w:tcPr>
            <w:tcW w:w="607" w:type="dxa"/>
            <w:noWrap/>
            <w:vAlign w:val="center"/>
          </w:tcPr>
          <w:p w14:paraId="64B244D2"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11</w:t>
            </w:r>
          </w:p>
        </w:tc>
        <w:tc>
          <w:tcPr>
            <w:tcW w:w="781" w:type="dxa"/>
            <w:noWrap/>
            <w:vAlign w:val="center"/>
          </w:tcPr>
          <w:p w14:paraId="260710D8"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0.000</w:t>
            </w:r>
          </w:p>
        </w:tc>
        <w:tc>
          <w:tcPr>
            <w:tcW w:w="908" w:type="dxa"/>
            <w:noWrap/>
            <w:vAlign w:val="center"/>
          </w:tcPr>
          <w:p w14:paraId="781DFF2A"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libri" w:eastAsia="Calibri" w:hAnsi="Calibri" w:cs="Times New Roman"/>
                <w:color w:val="000000"/>
              </w:rPr>
              <w:t>80.03</w:t>
            </w:r>
          </w:p>
        </w:tc>
      </w:tr>
      <w:tr w:rsidR="00E6060C" w:rsidRPr="00E6060C" w14:paraId="3EEC7792" w14:textId="77777777" w:rsidTr="00E6060C">
        <w:trPr>
          <w:trHeight w:val="300"/>
        </w:trPr>
        <w:tc>
          <w:tcPr>
            <w:tcW w:w="1326" w:type="dxa"/>
            <w:noWrap/>
          </w:tcPr>
          <w:p w14:paraId="01EDEF3F" w14:textId="77777777" w:rsidR="00E6060C" w:rsidRPr="00E6060C" w:rsidRDefault="00E6060C" w:rsidP="00E6060C">
            <w:pPr>
              <w:spacing w:line="360" w:lineRule="auto"/>
              <w:contextualSpacing/>
              <w:rPr>
                <w:rFonts w:ascii="Calibri" w:eastAsia="Calibri" w:hAnsi="Calibri" w:cs="Times New Roman"/>
              </w:rPr>
            </w:pPr>
          </w:p>
        </w:tc>
        <w:tc>
          <w:tcPr>
            <w:tcW w:w="440" w:type="dxa"/>
            <w:noWrap/>
            <w:vAlign w:val="center"/>
          </w:tcPr>
          <w:p w14:paraId="1FFFE468" w14:textId="77777777" w:rsidR="00E6060C" w:rsidRPr="00E6060C" w:rsidRDefault="00E6060C" w:rsidP="00E6060C">
            <w:pPr>
              <w:spacing w:line="360" w:lineRule="auto"/>
              <w:contextualSpacing/>
              <w:rPr>
                <w:rFonts w:ascii="Calibri" w:eastAsia="Calibri" w:hAnsi="Calibri" w:cs="Times New Roman"/>
                <w:color w:val="000000"/>
              </w:rPr>
            </w:pPr>
          </w:p>
        </w:tc>
        <w:tc>
          <w:tcPr>
            <w:tcW w:w="663" w:type="dxa"/>
            <w:noWrap/>
            <w:vAlign w:val="center"/>
          </w:tcPr>
          <w:p w14:paraId="36EA3D2E" w14:textId="77777777" w:rsidR="00E6060C" w:rsidRPr="00E6060C" w:rsidRDefault="00E6060C" w:rsidP="00E6060C">
            <w:pPr>
              <w:spacing w:line="360" w:lineRule="auto"/>
              <w:contextualSpacing/>
              <w:rPr>
                <w:rFonts w:ascii="Calibri" w:eastAsia="Calibri" w:hAnsi="Calibri" w:cs="Times New Roman"/>
                <w:color w:val="000000"/>
              </w:rPr>
            </w:pPr>
          </w:p>
        </w:tc>
        <w:tc>
          <w:tcPr>
            <w:tcW w:w="682" w:type="dxa"/>
            <w:noWrap/>
            <w:vAlign w:val="center"/>
          </w:tcPr>
          <w:p w14:paraId="5339DE8F" w14:textId="77777777" w:rsidR="00E6060C" w:rsidRPr="00E6060C" w:rsidRDefault="00E6060C" w:rsidP="00E6060C">
            <w:pPr>
              <w:spacing w:line="360" w:lineRule="auto"/>
              <w:contextualSpacing/>
              <w:rPr>
                <w:rFonts w:ascii="Calibri" w:eastAsia="Calibri" w:hAnsi="Calibri" w:cs="Times New Roman"/>
                <w:color w:val="000000"/>
              </w:rPr>
            </w:pPr>
          </w:p>
        </w:tc>
        <w:tc>
          <w:tcPr>
            <w:tcW w:w="607" w:type="dxa"/>
            <w:noWrap/>
            <w:vAlign w:val="center"/>
          </w:tcPr>
          <w:p w14:paraId="6E1BED69" w14:textId="77777777" w:rsidR="00E6060C" w:rsidRPr="00E6060C" w:rsidRDefault="00E6060C" w:rsidP="00E6060C">
            <w:pPr>
              <w:spacing w:line="360" w:lineRule="auto"/>
              <w:contextualSpacing/>
              <w:rPr>
                <w:rFonts w:ascii="Calibri" w:eastAsia="Calibri" w:hAnsi="Calibri" w:cs="Times New Roman"/>
                <w:color w:val="000000"/>
              </w:rPr>
            </w:pPr>
          </w:p>
        </w:tc>
        <w:tc>
          <w:tcPr>
            <w:tcW w:w="2656" w:type="dxa"/>
            <w:gridSpan w:val="3"/>
            <w:noWrap/>
            <w:vAlign w:val="center"/>
          </w:tcPr>
          <w:p w14:paraId="406FD0B4" w14:textId="77777777" w:rsidR="00E6060C" w:rsidRPr="00E6060C" w:rsidRDefault="00E6060C" w:rsidP="00E6060C">
            <w:pPr>
              <w:spacing w:line="360" w:lineRule="auto"/>
              <w:contextualSpacing/>
              <w:rPr>
                <w:rFonts w:ascii="Calibri" w:eastAsia="Calibri" w:hAnsi="Calibri" w:cs="Times New Roman"/>
                <w:color w:val="000000"/>
              </w:rPr>
            </w:pPr>
            <w:r w:rsidRPr="00E6060C">
              <w:rPr>
                <w:rFonts w:ascii="Calibri" w:eastAsia="Calibri" w:hAnsi="Calibri" w:cs="Times New Roman"/>
                <w:color w:val="000000"/>
              </w:rPr>
              <w:t>Heterogeneity between</w:t>
            </w:r>
          </w:p>
        </w:tc>
        <w:tc>
          <w:tcPr>
            <w:tcW w:w="936" w:type="dxa"/>
            <w:noWrap/>
            <w:vAlign w:val="center"/>
          </w:tcPr>
          <w:p w14:paraId="1CA65119"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mbria" w:eastAsia="Calibri" w:hAnsi="Cambria" w:cs="Times New Roman"/>
                <w:color w:val="000000"/>
              </w:rPr>
              <w:t>2.34</w:t>
            </w:r>
          </w:p>
        </w:tc>
        <w:tc>
          <w:tcPr>
            <w:tcW w:w="607" w:type="dxa"/>
            <w:noWrap/>
            <w:vAlign w:val="center"/>
          </w:tcPr>
          <w:p w14:paraId="3381FF67"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mbria" w:eastAsia="Calibri" w:hAnsi="Cambria" w:cs="Times New Roman"/>
                <w:color w:val="000000"/>
              </w:rPr>
              <w:t>1</w:t>
            </w:r>
          </w:p>
        </w:tc>
        <w:tc>
          <w:tcPr>
            <w:tcW w:w="781" w:type="dxa"/>
            <w:noWrap/>
            <w:vAlign w:val="center"/>
          </w:tcPr>
          <w:p w14:paraId="1D2FEBA9" w14:textId="77777777" w:rsidR="00E6060C" w:rsidRPr="00E6060C" w:rsidRDefault="00E6060C" w:rsidP="00E6060C">
            <w:pPr>
              <w:spacing w:line="360" w:lineRule="auto"/>
              <w:contextualSpacing/>
              <w:jc w:val="center"/>
              <w:rPr>
                <w:rFonts w:ascii="Calibri" w:eastAsia="Calibri" w:hAnsi="Calibri" w:cs="Times New Roman"/>
                <w:color w:val="000000"/>
              </w:rPr>
            </w:pPr>
            <w:r w:rsidRPr="00E6060C">
              <w:rPr>
                <w:rFonts w:ascii="Cambria" w:eastAsia="Calibri" w:hAnsi="Cambria" w:cs="Times New Roman"/>
                <w:color w:val="000000"/>
              </w:rPr>
              <w:t>0.13</w:t>
            </w:r>
          </w:p>
        </w:tc>
        <w:tc>
          <w:tcPr>
            <w:tcW w:w="908" w:type="dxa"/>
            <w:noWrap/>
            <w:vAlign w:val="center"/>
          </w:tcPr>
          <w:p w14:paraId="527072AF" w14:textId="77777777" w:rsidR="00E6060C" w:rsidRPr="00E6060C" w:rsidRDefault="00E6060C" w:rsidP="00E6060C">
            <w:pPr>
              <w:spacing w:line="360" w:lineRule="auto"/>
              <w:contextualSpacing/>
              <w:rPr>
                <w:rFonts w:ascii="Calibri" w:eastAsia="Calibri" w:hAnsi="Calibri" w:cs="Times New Roman"/>
                <w:color w:val="000000"/>
              </w:rPr>
            </w:pPr>
          </w:p>
        </w:tc>
      </w:tr>
    </w:tbl>
    <w:p w14:paraId="27E40EDB" w14:textId="78E74007" w:rsidR="00C23D06" w:rsidRDefault="00E6060C" w:rsidP="009711F1">
      <w:pPr>
        <w:spacing w:before="200" w:line="360" w:lineRule="auto"/>
        <w:ind w:right="-188"/>
        <w:contextualSpacing/>
        <w:rPr>
          <w:rFonts w:ascii="Calibri" w:eastAsia="Calibri" w:hAnsi="Calibri" w:cs="Times New Roman"/>
          <w:bCs/>
        </w:rPr>
      </w:pPr>
      <w:r w:rsidRPr="00E6060C">
        <w:rPr>
          <w:rFonts w:ascii="Calibri" w:eastAsia="Calibri" w:hAnsi="Calibri" w:cs="Times New Roman"/>
          <w:bCs/>
          <w:i/>
          <w:iCs/>
        </w:rPr>
        <w:t>Notes.</w:t>
      </w:r>
      <w:r w:rsidRPr="00E6060C">
        <w:rPr>
          <w:rFonts w:ascii="Calibri" w:eastAsia="Calibri" w:hAnsi="Calibri" w:cs="Times New Roman"/>
          <w:bCs/>
        </w:rPr>
        <w:t xml:space="preserve"> </w:t>
      </w:r>
      <w:r w:rsidRPr="00E6060C">
        <w:rPr>
          <w:rFonts w:ascii="Calibri" w:eastAsia="Calibri" w:hAnsi="Calibri" w:cs="Times New Roman"/>
          <w:bCs/>
          <w:i/>
          <w:iCs/>
        </w:rPr>
        <w:t>k=</w:t>
      </w:r>
      <w:r w:rsidRPr="00E6060C">
        <w:rPr>
          <w:rFonts w:ascii="Calibri" w:eastAsia="Calibri" w:hAnsi="Calibri" w:cs="Times New Roman"/>
          <w:bCs/>
        </w:rPr>
        <w:t xml:space="preserve">number of studies included in the analysis; </w:t>
      </w:r>
      <w:r w:rsidRPr="00E6060C">
        <w:rPr>
          <w:rFonts w:ascii="Calibri" w:eastAsia="Calibri" w:hAnsi="Calibri" w:cs="Times New Roman"/>
          <w:bCs/>
          <w:i/>
          <w:iCs/>
        </w:rPr>
        <w:t>n</w:t>
      </w:r>
      <w:r w:rsidRPr="00E6060C">
        <w:rPr>
          <w:rFonts w:ascii="Calibri" w:eastAsia="Calibri" w:hAnsi="Calibri" w:cs="Times New Roman"/>
          <w:bCs/>
        </w:rPr>
        <w:t xml:space="preserve">(con)=number of participants in the control group; </w:t>
      </w:r>
      <w:r w:rsidRPr="00E6060C">
        <w:rPr>
          <w:rFonts w:ascii="Calibri" w:eastAsia="Calibri" w:hAnsi="Calibri" w:cs="Times New Roman"/>
          <w:bCs/>
          <w:i/>
          <w:iCs/>
        </w:rPr>
        <w:t>n</w:t>
      </w:r>
      <w:r w:rsidRPr="00E6060C">
        <w:rPr>
          <w:rFonts w:ascii="Calibri" w:eastAsia="Calibri" w:hAnsi="Calibri" w:cs="Times New Roman"/>
          <w:bCs/>
        </w:rPr>
        <w:t xml:space="preserve">(int)=number of participants in the intervention group; </w:t>
      </w:r>
      <w:r w:rsidRPr="00E6060C">
        <w:rPr>
          <w:rFonts w:ascii="Calibri" w:eastAsia="Calibri" w:hAnsi="Calibri" w:cs="Times New Roman"/>
          <w:bCs/>
          <w:i/>
        </w:rPr>
        <w:t>p</w:t>
      </w:r>
      <w:r w:rsidRPr="00E6060C">
        <w:rPr>
          <w:rFonts w:ascii="Calibri" w:eastAsia="Calibri" w:hAnsi="Calibri" w:cs="Times New Roman"/>
          <w:bCs/>
        </w:rPr>
        <w:t>=</w:t>
      </w:r>
      <w:r w:rsidRPr="00E6060C">
        <w:rPr>
          <w:rFonts w:ascii="Calibri" w:eastAsia="Calibri" w:hAnsi="Calibri" w:cs="Times New Roman"/>
          <w:bCs/>
          <w:i/>
        </w:rPr>
        <w:t>p</w:t>
      </w:r>
      <w:r w:rsidRPr="00E6060C">
        <w:rPr>
          <w:rFonts w:ascii="Calibri" w:eastAsia="Calibri" w:hAnsi="Calibri" w:cs="Times New Roman"/>
          <w:bCs/>
        </w:rPr>
        <w:t xml:space="preserve">=value; </w:t>
      </w:r>
      <w:r w:rsidRPr="00E6060C">
        <w:rPr>
          <w:rFonts w:ascii="Calibri" w:eastAsia="Calibri" w:hAnsi="Calibri" w:cs="Times New Roman"/>
          <w:bCs/>
          <w:i/>
          <w:iCs/>
        </w:rPr>
        <w:t>g</w:t>
      </w:r>
      <w:r w:rsidRPr="00E6060C">
        <w:rPr>
          <w:rFonts w:ascii="Calibri" w:eastAsia="Calibri" w:hAnsi="Calibri" w:cs="Times New Roman"/>
          <w:bCs/>
        </w:rPr>
        <w:t xml:space="preserve">=average effect size according to Hedges’ </w:t>
      </w:r>
      <w:r w:rsidRPr="00E6060C">
        <w:rPr>
          <w:rFonts w:ascii="Calibri" w:eastAsia="Calibri" w:hAnsi="Calibri" w:cs="Times New Roman"/>
          <w:bCs/>
          <w:i/>
          <w:iCs/>
        </w:rPr>
        <w:t>g</w:t>
      </w:r>
      <w:r w:rsidRPr="00E6060C">
        <w:rPr>
          <w:rFonts w:ascii="Calibri" w:eastAsia="Calibri" w:hAnsi="Calibri" w:cs="Times New Roman"/>
          <w:bCs/>
        </w:rPr>
        <w:t xml:space="preserve">; </w:t>
      </w:r>
      <w:r w:rsidRPr="00E6060C">
        <w:rPr>
          <w:rFonts w:ascii="Calibri" w:eastAsia="Calibri" w:hAnsi="Calibri" w:cs="Times New Roman"/>
          <w:bCs/>
          <w:i/>
          <w:iCs/>
        </w:rPr>
        <w:t>SE</w:t>
      </w:r>
      <w:r w:rsidRPr="00E6060C">
        <w:rPr>
          <w:rFonts w:ascii="Calibri" w:eastAsia="Calibri" w:hAnsi="Calibri" w:cs="Times New Roman"/>
          <w:bCs/>
        </w:rPr>
        <w:t xml:space="preserve">=standard error of the average effect size; 95%-CI=the minimum and maximum limits of the 95% confidence interval; </w:t>
      </w:r>
      <w:r w:rsidRPr="00E6060C">
        <w:rPr>
          <w:rFonts w:ascii="Calibri" w:eastAsia="Calibri" w:hAnsi="Calibri" w:cs="Times New Roman"/>
          <w:bCs/>
          <w:i/>
          <w:iCs/>
        </w:rPr>
        <w:t>Q</w:t>
      </w:r>
      <w:r w:rsidRPr="00E6060C">
        <w:rPr>
          <w:rFonts w:ascii="Calibri" w:eastAsia="Calibri" w:hAnsi="Calibri" w:cs="Times New Roman"/>
          <w:bCs/>
        </w:rPr>
        <w:t xml:space="preserve">=statistical test used for the estimation of heterogeneity; </w:t>
      </w:r>
      <w:r w:rsidRPr="00E6060C">
        <w:rPr>
          <w:rFonts w:ascii="Calibri" w:eastAsia="Calibri" w:hAnsi="Calibri" w:cs="Times New Roman"/>
          <w:bCs/>
          <w:i/>
          <w:iCs/>
        </w:rPr>
        <w:t>I</w:t>
      </w:r>
      <w:r w:rsidRPr="00E6060C">
        <w:rPr>
          <w:rFonts w:ascii="Calibri" w:eastAsia="Calibri" w:hAnsi="Calibri" w:cs="Times New Roman"/>
          <w:bCs/>
          <w:i/>
          <w:iCs/>
          <w:vertAlign w:val="superscript"/>
        </w:rPr>
        <w:t>2</w:t>
      </w:r>
      <w:r w:rsidRPr="00E6060C">
        <w:rPr>
          <w:rFonts w:ascii="Calibri" w:eastAsia="Calibri" w:hAnsi="Calibri" w:cs="Times New Roman"/>
          <w:bCs/>
        </w:rPr>
        <w:t>= proportion of effect size variance that can be attributed to moderator variables (%).</w:t>
      </w:r>
    </w:p>
    <w:p w14:paraId="5A903298" w14:textId="77777777" w:rsidR="009711F1" w:rsidRDefault="009711F1" w:rsidP="009711F1">
      <w:pPr>
        <w:spacing w:before="200" w:line="360" w:lineRule="auto"/>
        <w:ind w:right="-188"/>
        <w:contextualSpacing/>
        <w:rPr>
          <w:rFonts w:ascii="Calibri" w:eastAsia="Calibri" w:hAnsi="Calibri" w:cs="Times New Roman"/>
          <w:b/>
        </w:rPr>
      </w:pPr>
    </w:p>
    <w:p w14:paraId="731AB974" w14:textId="77777777" w:rsidR="00E6060C" w:rsidRPr="00E6060C" w:rsidRDefault="00E6060C" w:rsidP="0009618B">
      <w:pPr>
        <w:pStyle w:val="Heading3"/>
      </w:pPr>
      <w:bookmarkStart w:id="259" w:name="_Toc431470145"/>
      <w:bookmarkStart w:id="260" w:name="_Ref453250938"/>
      <w:bookmarkStart w:id="261" w:name="_Ref456257363"/>
      <w:bookmarkStart w:id="262" w:name="_Ref456257499"/>
      <w:bookmarkStart w:id="263" w:name="_Toc468285989"/>
      <w:r w:rsidRPr="00E6060C">
        <w:t>Risk of bias within and across studies</w:t>
      </w:r>
      <w:bookmarkEnd w:id="259"/>
      <w:bookmarkEnd w:id="260"/>
      <w:bookmarkEnd w:id="261"/>
      <w:bookmarkEnd w:id="262"/>
      <w:bookmarkEnd w:id="263"/>
    </w:p>
    <w:p w14:paraId="6349856F" w14:textId="77777777" w:rsidR="00E6060C" w:rsidRPr="00E6060C" w:rsidRDefault="00E6060C" w:rsidP="00E6060C">
      <w:pPr>
        <w:spacing w:before="200" w:line="360" w:lineRule="auto"/>
        <w:rPr>
          <w:rFonts w:ascii="Calibri" w:eastAsia="Calibri" w:hAnsi="Calibri" w:cs="Times New Roman"/>
        </w:rPr>
      </w:pPr>
    </w:p>
    <w:p w14:paraId="1690DB8D" w14:textId="50380C31"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The Cochrane Collaboration’s (Higgins &amp; Green, 2011) ‘Risk of Bias’ tool was used to assess each study for risk of bias. This tool advocates the use of qualitative, as opposed to quantitative, judgements on a number of criteria, along with supporting statements for each judgement. This is due to difficulty applying standard numerical criteria to the assessment of bias within and between studies, given the subjective nature of scoring, the temptation to score how well an item has been </w:t>
      </w:r>
      <w:r w:rsidRPr="00E6060C">
        <w:rPr>
          <w:rFonts w:ascii="Calibri" w:eastAsia="Calibri" w:hAnsi="Calibri" w:cs="Times New Roman"/>
        </w:rPr>
        <w:lastRenderedPageBreak/>
        <w:t>reported as opposed to how appropriately it has been implemented, difficulty assigning different weights to diff</w:t>
      </w:r>
      <w:r w:rsidR="005F7E67">
        <w:rPr>
          <w:rFonts w:ascii="Calibri" w:eastAsia="Calibri" w:hAnsi="Calibri" w:cs="Times New Roman"/>
        </w:rPr>
        <w:t>erent items in order to create</w:t>
      </w:r>
      <w:r w:rsidRPr="00E6060C">
        <w:rPr>
          <w:rFonts w:ascii="Calibri" w:eastAsia="Calibri" w:hAnsi="Calibri" w:cs="Times New Roman"/>
        </w:rPr>
        <w:t xml:space="preserve"> summary scores, and difficulty assessing the validity of such tools (Higgins</w:t>
      </w:r>
      <w:r w:rsidR="00895875">
        <w:rPr>
          <w:rFonts w:ascii="Calibri" w:eastAsia="Calibri" w:hAnsi="Calibri" w:cs="Times New Roman"/>
        </w:rPr>
        <w:t>, Altman, et al.</w:t>
      </w:r>
      <w:r w:rsidRPr="00E6060C">
        <w:rPr>
          <w:rFonts w:ascii="Calibri" w:eastAsia="Calibri" w:hAnsi="Calibri" w:cs="Times New Roman"/>
        </w:rPr>
        <w:t xml:space="preserve">, 2011). </w:t>
      </w:r>
    </w:p>
    <w:p w14:paraId="4E437D19" w14:textId="77777777" w:rsidR="00E6060C" w:rsidRPr="00E6060C" w:rsidRDefault="00E6060C" w:rsidP="00E6060C">
      <w:pPr>
        <w:spacing w:before="200" w:line="360" w:lineRule="auto"/>
        <w:contextualSpacing/>
        <w:rPr>
          <w:rFonts w:ascii="Calibri" w:eastAsia="Calibri" w:hAnsi="Calibri" w:cs="Times New Roman"/>
        </w:rPr>
      </w:pPr>
    </w:p>
    <w:p w14:paraId="0E230FDC" w14:textId="5723DF61"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In contrast, The Cochrane Collaboration’</w:t>
      </w:r>
      <w:r w:rsidR="005F7E67">
        <w:rPr>
          <w:rFonts w:ascii="Calibri" w:eastAsia="Calibri" w:hAnsi="Calibri" w:cs="Times New Roman"/>
        </w:rPr>
        <w:t>s ‘Risk of Bias’ tool assesses five</w:t>
      </w:r>
      <w:r w:rsidRPr="00E6060C">
        <w:rPr>
          <w:rFonts w:ascii="Calibri" w:eastAsia="Calibri" w:hAnsi="Calibri" w:cs="Times New Roman"/>
        </w:rPr>
        <w:t xml:space="preserve"> key domains by assigning each one a subjective, qualitative judgement of ‘low risk’, ‘high risk’ or ‘unclear risk’. The five domains consist of 1) selection bias (random sequence generation &amp; allocation concealment); 2) performance bias (blinding of participants and personnel); 3) detection bias (blinding of outcome assessment); 4) attrition bias (incomplete outcome data); and 5) reporting bias (selective reporting). ‘Other</w:t>
      </w:r>
      <w:r w:rsidR="005F7E67">
        <w:rPr>
          <w:rFonts w:ascii="Calibri" w:eastAsia="Calibri" w:hAnsi="Calibri" w:cs="Times New Roman"/>
        </w:rPr>
        <w:t>’</w:t>
      </w:r>
      <w:r w:rsidRPr="00E6060C">
        <w:rPr>
          <w:rFonts w:ascii="Calibri" w:eastAsia="Calibri" w:hAnsi="Calibri" w:cs="Times New Roman"/>
        </w:rPr>
        <w:t xml:space="preserve"> sou</w:t>
      </w:r>
      <w:r w:rsidR="005F7E67">
        <w:rPr>
          <w:rFonts w:ascii="Calibri" w:eastAsia="Calibri" w:hAnsi="Calibri" w:cs="Times New Roman"/>
        </w:rPr>
        <w:t>rces of bias</w:t>
      </w:r>
      <w:r w:rsidRPr="00E6060C">
        <w:rPr>
          <w:rFonts w:ascii="Calibri" w:eastAsia="Calibri" w:hAnsi="Calibri" w:cs="Times New Roman"/>
        </w:rPr>
        <w:t xml:space="preserve"> are also considered and may include factors such as the fidelity of interventions, compliance with protocol, and crossover effects. A summary risk of bias judgement for each outcome for each study may also be made, which takes into account the individual judgements made for each domain and the reasons for them, and considers the importance that different reasons may contribute towards the overall judgement. </w:t>
      </w:r>
    </w:p>
    <w:p w14:paraId="72243459" w14:textId="77777777" w:rsidR="00E6060C" w:rsidRPr="00E6060C" w:rsidRDefault="00E6060C" w:rsidP="00E6060C">
      <w:pPr>
        <w:spacing w:before="200" w:line="360" w:lineRule="auto"/>
        <w:contextualSpacing/>
        <w:rPr>
          <w:rFonts w:ascii="Calibri" w:eastAsia="Calibri" w:hAnsi="Calibri" w:cs="Times New Roman"/>
        </w:rPr>
      </w:pPr>
    </w:p>
    <w:p w14:paraId="71F93AD5" w14:textId="58B51D52"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Given that work engagement and its sub-components were the key outcomes investigated in this meta-analysis, and are measured by the same scale across all but one of the studies (Aikens, 2014), it was felt appropriate that a single summary risk of bias judgement be made for each </w:t>
      </w:r>
      <w:r w:rsidRPr="00B06205">
        <w:rPr>
          <w:rFonts w:ascii="Calibri" w:eastAsia="Calibri" w:hAnsi="Calibri" w:cs="Times New Roman"/>
        </w:rPr>
        <w:t>study (</w:t>
      </w:r>
      <w:r w:rsidR="00B06205" w:rsidRPr="00B06205">
        <w:rPr>
          <w:rFonts w:ascii="Calibri" w:eastAsia="Calibri" w:hAnsi="Calibri" w:cs="Times New Roman"/>
        </w:rPr>
        <w:fldChar w:fldCharType="begin"/>
      </w:r>
      <w:r w:rsidR="00B06205" w:rsidRPr="00B06205">
        <w:rPr>
          <w:rFonts w:ascii="Calibri" w:eastAsia="Calibri" w:hAnsi="Calibri" w:cs="Times New Roman"/>
        </w:rPr>
        <w:instrText xml:space="preserve"> REF _Ref453576594 \h </w:instrText>
      </w:r>
      <w:r w:rsidR="00B06205">
        <w:rPr>
          <w:rFonts w:ascii="Calibri" w:eastAsia="Calibri" w:hAnsi="Calibri" w:cs="Times New Roman"/>
        </w:rPr>
        <w:instrText xml:space="preserve"> \* MERGEFORMAT </w:instrText>
      </w:r>
      <w:r w:rsidR="00B06205" w:rsidRPr="00B06205">
        <w:rPr>
          <w:rFonts w:ascii="Calibri" w:eastAsia="Calibri" w:hAnsi="Calibri" w:cs="Times New Roman"/>
        </w:rPr>
      </w:r>
      <w:r w:rsidR="00B06205" w:rsidRPr="00B06205">
        <w:rPr>
          <w:rFonts w:ascii="Calibri" w:eastAsia="Calibri" w:hAnsi="Calibri" w:cs="Times New Roman"/>
        </w:rPr>
        <w:fldChar w:fldCharType="separate"/>
      </w:r>
      <w:r w:rsidR="00152F6D">
        <w:t xml:space="preserve">Figure </w:t>
      </w:r>
      <w:r w:rsidR="00152F6D">
        <w:rPr>
          <w:noProof/>
        </w:rPr>
        <w:t>6.3</w:t>
      </w:r>
      <w:r w:rsidR="00B06205" w:rsidRPr="00B06205">
        <w:rPr>
          <w:rFonts w:ascii="Calibri" w:eastAsia="Calibri" w:hAnsi="Calibri" w:cs="Times New Roman"/>
        </w:rPr>
        <w:fldChar w:fldCharType="end"/>
      </w:r>
      <w:r w:rsidR="00B06205">
        <w:rPr>
          <w:rFonts w:ascii="Calibri" w:eastAsia="Calibri" w:hAnsi="Calibri" w:cs="Times New Roman"/>
        </w:rPr>
        <w:t>)</w:t>
      </w:r>
      <w:r w:rsidRPr="00E6060C">
        <w:rPr>
          <w:rFonts w:ascii="Calibri" w:eastAsia="Calibri" w:hAnsi="Calibri" w:cs="Times New Roman"/>
        </w:rPr>
        <w:t>, in accordance with The Cochrane Handbook guidelines (Higgins</w:t>
      </w:r>
      <w:r w:rsidR="00895875">
        <w:rPr>
          <w:rFonts w:ascii="Calibri" w:eastAsia="Calibri" w:hAnsi="Calibri" w:cs="Times New Roman"/>
        </w:rPr>
        <w:t>, Altman,</w:t>
      </w:r>
      <w:r w:rsidRPr="00E6060C">
        <w:rPr>
          <w:rFonts w:ascii="Calibri" w:eastAsia="Calibri" w:hAnsi="Calibri" w:cs="Times New Roman"/>
        </w:rPr>
        <w:t xml:space="preserve"> et al</w:t>
      </w:r>
      <w:r w:rsidR="00895875">
        <w:rPr>
          <w:rFonts w:ascii="Calibri" w:eastAsia="Calibri" w:hAnsi="Calibri" w:cs="Times New Roman"/>
        </w:rPr>
        <w:t>.</w:t>
      </w:r>
      <w:r w:rsidRPr="00E6060C">
        <w:rPr>
          <w:rFonts w:ascii="Calibri" w:eastAsia="Calibri" w:hAnsi="Calibri" w:cs="Times New Roman"/>
        </w:rPr>
        <w:t>, 2011, Table 8.7.a). Hence, a summary judgement of ‘low risk’ was mad</w:t>
      </w:r>
      <w:r w:rsidR="005F7E67">
        <w:rPr>
          <w:rFonts w:ascii="Calibri" w:eastAsia="Calibri" w:hAnsi="Calibri" w:cs="Times New Roman"/>
        </w:rPr>
        <w:t>e if a study was judged</w:t>
      </w:r>
      <w:r w:rsidRPr="00E6060C">
        <w:rPr>
          <w:rFonts w:ascii="Calibri" w:eastAsia="Calibri" w:hAnsi="Calibri" w:cs="Times New Roman"/>
        </w:rPr>
        <w:t xml:space="preserve"> low risk of bias across all domains, a judgement of ‘high risk’ was made if a study was judged high risk for one or more domains, and a judgement of ‘unclear risk’ was made if the risk of bias of at least one domain was unclear. Studies which contained both ‘unclear’ and ‘high’ risk of bias judgements were conservatively rated as ‘high’ risk overall. </w:t>
      </w:r>
      <w:r w:rsidR="006F4C41">
        <w:rPr>
          <w:rFonts w:ascii="Calibri" w:eastAsia="Calibri" w:hAnsi="Calibri" w:cs="Times New Roman"/>
        </w:rPr>
        <w:fldChar w:fldCharType="begin"/>
      </w:r>
      <w:r w:rsidR="006F4C41">
        <w:rPr>
          <w:rFonts w:ascii="Calibri" w:eastAsia="Calibri" w:hAnsi="Calibri" w:cs="Times New Roman"/>
        </w:rPr>
        <w:instrText xml:space="preserve"> REF _Ref453574938 \h </w:instrText>
      </w:r>
      <w:r w:rsidR="006F4C41">
        <w:rPr>
          <w:rFonts w:ascii="Calibri" w:eastAsia="Calibri" w:hAnsi="Calibri" w:cs="Times New Roman"/>
        </w:rPr>
      </w:r>
      <w:r w:rsidR="006F4C41">
        <w:rPr>
          <w:rFonts w:ascii="Calibri" w:eastAsia="Calibri" w:hAnsi="Calibri" w:cs="Times New Roman"/>
        </w:rPr>
        <w:fldChar w:fldCharType="separate"/>
      </w:r>
      <w:r w:rsidR="00152F6D">
        <w:t xml:space="preserve">Figure </w:t>
      </w:r>
      <w:r w:rsidR="00152F6D">
        <w:rPr>
          <w:noProof/>
        </w:rPr>
        <w:t>6</w:t>
      </w:r>
      <w:r w:rsidR="00152F6D">
        <w:t>.</w:t>
      </w:r>
      <w:r w:rsidR="00152F6D">
        <w:rPr>
          <w:noProof/>
        </w:rPr>
        <w:t>4</w:t>
      </w:r>
      <w:r w:rsidR="006F4C41">
        <w:rPr>
          <w:rFonts w:ascii="Calibri" w:eastAsia="Calibri" w:hAnsi="Calibri" w:cs="Times New Roman"/>
        </w:rPr>
        <w:fldChar w:fldCharType="end"/>
      </w:r>
      <w:r w:rsidR="006F4C41">
        <w:rPr>
          <w:rFonts w:ascii="Calibri" w:eastAsia="Calibri" w:hAnsi="Calibri" w:cs="Times New Roman"/>
        </w:rPr>
        <w:t xml:space="preserve"> </w:t>
      </w:r>
      <w:r w:rsidRPr="00E6060C">
        <w:rPr>
          <w:rFonts w:ascii="Calibri" w:eastAsia="Calibri" w:hAnsi="Calibri" w:cs="Times New Roman"/>
        </w:rPr>
        <w:t>shows the relative percentage of each risk of bias judgement for each domain across all of the included studies, and highlights the fact that all of the included studies received a judgement of ‘high risk’, as determined by double coding of the studies by two independent coders</w:t>
      </w:r>
      <w:r w:rsidR="002957FC">
        <w:rPr>
          <w:rFonts w:ascii="Calibri" w:eastAsia="Calibri" w:hAnsi="Calibri" w:cs="Times New Roman"/>
        </w:rPr>
        <w:t xml:space="preserve"> (for details of the coding process and the results of agreement rates according to Cohen’s Kappa, please see section </w:t>
      </w:r>
      <w:r w:rsidR="002957FC">
        <w:rPr>
          <w:rFonts w:ascii="Calibri" w:eastAsia="Calibri" w:hAnsi="Calibri" w:cs="Times New Roman"/>
        </w:rPr>
        <w:fldChar w:fldCharType="begin"/>
      </w:r>
      <w:r w:rsidR="002957FC">
        <w:rPr>
          <w:rFonts w:ascii="Calibri" w:eastAsia="Calibri" w:hAnsi="Calibri" w:cs="Times New Roman"/>
        </w:rPr>
        <w:instrText xml:space="preserve"> REF _Ref456257816 \n \h </w:instrText>
      </w:r>
      <w:r w:rsidR="002957FC">
        <w:rPr>
          <w:rFonts w:ascii="Calibri" w:eastAsia="Calibri" w:hAnsi="Calibri" w:cs="Times New Roman"/>
        </w:rPr>
      </w:r>
      <w:r w:rsidR="002957FC">
        <w:rPr>
          <w:rFonts w:ascii="Calibri" w:eastAsia="Calibri" w:hAnsi="Calibri" w:cs="Times New Roman"/>
        </w:rPr>
        <w:fldChar w:fldCharType="separate"/>
      </w:r>
      <w:r w:rsidR="00152F6D">
        <w:rPr>
          <w:rFonts w:ascii="Calibri" w:eastAsia="Calibri" w:hAnsi="Calibri" w:cs="Times New Roman"/>
        </w:rPr>
        <w:t>6.2.3</w:t>
      </w:r>
      <w:r w:rsidR="002957FC">
        <w:rPr>
          <w:rFonts w:ascii="Calibri" w:eastAsia="Calibri" w:hAnsi="Calibri" w:cs="Times New Roman"/>
        </w:rPr>
        <w:fldChar w:fldCharType="end"/>
      </w:r>
      <w:r w:rsidR="002957FC">
        <w:rPr>
          <w:rFonts w:ascii="Calibri" w:eastAsia="Calibri" w:hAnsi="Calibri" w:cs="Times New Roman"/>
        </w:rPr>
        <w:t>)</w:t>
      </w:r>
      <w:r w:rsidR="00B06205">
        <w:rPr>
          <w:rFonts w:ascii="Calibri" w:eastAsia="Calibri" w:hAnsi="Calibri" w:cs="Times New Roman"/>
        </w:rPr>
        <w:t>. Both f</w:t>
      </w:r>
      <w:r w:rsidRPr="00E6060C">
        <w:rPr>
          <w:rFonts w:ascii="Calibri" w:eastAsia="Calibri" w:hAnsi="Calibri" w:cs="Times New Roman"/>
        </w:rPr>
        <w:t>igures demonstrate that, in particular, blinding of participants, personnel and outcome measures, and lack of allocation concealment, were present in the largest proportion of studies (over 80%,</w:t>
      </w:r>
      <w:r w:rsidR="0029784D">
        <w:rPr>
          <w:rFonts w:ascii="Calibri" w:eastAsia="Calibri" w:hAnsi="Calibri" w:cs="Times New Roman"/>
        </w:rPr>
        <w:t xml:space="preserve"> </w:t>
      </w:r>
      <w:r w:rsidR="0029784D">
        <w:rPr>
          <w:rFonts w:ascii="Calibri" w:eastAsia="Calibri" w:hAnsi="Calibri" w:cs="Times New Roman"/>
        </w:rPr>
        <w:fldChar w:fldCharType="begin"/>
      </w:r>
      <w:r w:rsidR="0029784D">
        <w:rPr>
          <w:rFonts w:ascii="Calibri" w:eastAsia="Calibri" w:hAnsi="Calibri" w:cs="Times New Roman"/>
        </w:rPr>
        <w:instrText xml:space="preserve"> REF _Ref453574938 \h </w:instrText>
      </w:r>
      <w:r w:rsidR="0029784D">
        <w:rPr>
          <w:rFonts w:ascii="Calibri" w:eastAsia="Calibri" w:hAnsi="Calibri" w:cs="Times New Roman"/>
        </w:rPr>
      </w:r>
      <w:r w:rsidR="0029784D">
        <w:rPr>
          <w:rFonts w:ascii="Calibri" w:eastAsia="Calibri" w:hAnsi="Calibri" w:cs="Times New Roman"/>
        </w:rPr>
        <w:fldChar w:fldCharType="separate"/>
      </w:r>
      <w:r w:rsidR="00152F6D">
        <w:t xml:space="preserve">Figure </w:t>
      </w:r>
      <w:r w:rsidR="00152F6D">
        <w:rPr>
          <w:noProof/>
        </w:rPr>
        <w:t>6</w:t>
      </w:r>
      <w:r w:rsidR="00152F6D">
        <w:t>.</w:t>
      </w:r>
      <w:r w:rsidR="00152F6D">
        <w:rPr>
          <w:noProof/>
        </w:rPr>
        <w:t>4</w:t>
      </w:r>
      <w:r w:rsidR="0029784D">
        <w:rPr>
          <w:rFonts w:ascii="Calibri" w:eastAsia="Calibri" w:hAnsi="Calibri" w:cs="Times New Roman"/>
        </w:rPr>
        <w:fldChar w:fldCharType="end"/>
      </w:r>
      <w:r w:rsidRPr="00E6060C">
        <w:rPr>
          <w:rFonts w:ascii="Calibri" w:eastAsia="Calibri" w:hAnsi="Calibri" w:cs="Times New Roman"/>
        </w:rPr>
        <w:t xml:space="preserve">). This indicates that the results of the meta-analyses are likely to be biased, and thus that they should be interpreted with caution. The factors assessed here and their potential effect on study quality and the results of statistical evaluations of intervention effectiveness are discussed in depth in the </w:t>
      </w:r>
      <w:r w:rsidRPr="00E6060C">
        <w:rPr>
          <w:rFonts w:ascii="Calibri" w:eastAsia="Calibri" w:hAnsi="Calibri" w:cs="Times New Roman"/>
        </w:rPr>
        <w:lastRenderedPageBreak/>
        <w:t xml:space="preserve">narrative systematic review (see the results sections describing the quality of the studies in particular, </w:t>
      </w:r>
      <w:r w:rsidR="006F4C41">
        <w:rPr>
          <w:rFonts w:ascii="Calibri" w:eastAsia="Calibri" w:hAnsi="Calibri" w:cs="Times New Roman"/>
        </w:rPr>
        <w:t xml:space="preserve">Chapter 5, </w:t>
      </w:r>
      <w:r w:rsidRPr="00E6060C">
        <w:rPr>
          <w:rFonts w:ascii="Calibri" w:eastAsia="Calibri" w:hAnsi="Calibri" w:cs="Times New Roman"/>
        </w:rPr>
        <w:t xml:space="preserve">sections </w:t>
      </w:r>
      <w:r w:rsidR="006F4C41">
        <w:rPr>
          <w:rFonts w:ascii="Calibri" w:eastAsia="Calibri" w:hAnsi="Calibri" w:cs="Times New Roman"/>
        </w:rPr>
        <w:fldChar w:fldCharType="begin"/>
      </w:r>
      <w:r w:rsidR="006F4C41">
        <w:rPr>
          <w:rFonts w:ascii="Calibri" w:eastAsia="Calibri" w:hAnsi="Calibri" w:cs="Times New Roman"/>
        </w:rPr>
        <w:instrText xml:space="preserve"> REF _Ref453575361 \r \h </w:instrText>
      </w:r>
      <w:r w:rsidR="006F4C41">
        <w:rPr>
          <w:rFonts w:ascii="Calibri" w:eastAsia="Calibri" w:hAnsi="Calibri" w:cs="Times New Roman"/>
        </w:rPr>
      </w:r>
      <w:r w:rsidR="006F4C41">
        <w:rPr>
          <w:rFonts w:ascii="Calibri" w:eastAsia="Calibri" w:hAnsi="Calibri" w:cs="Times New Roman"/>
        </w:rPr>
        <w:fldChar w:fldCharType="separate"/>
      </w:r>
      <w:r w:rsidR="00152F6D">
        <w:rPr>
          <w:rFonts w:ascii="Calibri" w:eastAsia="Calibri" w:hAnsi="Calibri" w:cs="Times New Roman"/>
        </w:rPr>
        <w:t>5.3.3.4</w:t>
      </w:r>
      <w:r w:rsidR="006F4C41">
        <w:rPr>
          <w:rFonts w:ascii="Calibri" w:eastAsia="Calibri" w:hAnsi="Calibri" w:cs="Times New Roman"/>
        </w:rPr>
        <w:fldChar w:fldCharType="end"/>
      </w:r>
      <w:r w:rsidR="006F4C41">
        <w:rPr>
          <w:rFonts w:ascii="Calibri" w:eastAsia="Calibri" w:hAnsi="Calibri" w:cs="Times New Roman"/>
        </w:rPr>
        <w:t xml:space="preserve">, </w:t>
      </w:r>
      <w:r w:rsidR="006F4C41">
        <w:rPr>
          <w:rFonts w:ascii="Calibri" w:eastAsia="Calibri" w:hAnsi="Calibri" w:cs="Times New Roman"/>
        </w:rPr>
        <w:fldChar w:fldCharType="begin"/>
      </w:r>
      <w:r w:rsidR="006F4C41">
        <w:rPr>
          <w:rFonts w:ascii="Calibri" w:eastAsia="Calibri" w:hAnsi="Calibri" w:cs="Times New Roman"/>
        </w:rPr>
        <w:instrText xml:space="preserve"> REF _Ref453575384 \r \h </w:instrText>
      </w:r>
      <w:r w:rsidR="006F4C41">
        <w:rPr>
          <w:rFonts w:ascii="Calibri" w:eastAsia="Calibri" w:hAnsi="Calibri" w:cs="Times New Roman"/>
        </w:rPr>
      </w:r>
      <w:r w:rsidR="006F4C41">
        <w:rPr>
          <w:rFonts w:ascii="Calibri" w:eastAsia="Calibri" w:hAnsi="Calibri" w:cs="Times New Roman"/>
        </w:rPr>
        <w:fldChar w:fldCharType="separate"/>
      </w:r>
      <w:r w:rsidR="00152F6D">
        <w:rPr>
          <w:rFonts w:ascii="Calibri" w:eastAsia="Calibri" w:hAnsi="Calibri" w:cs="Times New Roman"/>
        </w:rPr>
        <w:t>5.3.4.4</w:t>
      </w:r>
      <w:r w:rsidR="006F4C41">
        <w:rPr>
          <w:rFonts w:ascii="Calibri" w:eastAsia="Calibri" w:hAnsi="Calibri" w:cs="Times New Roman"/>
        </w:rPr>
        <w:fldChar w:fldCharType="end"/>
      </w:r>
      <w:r w:rsidR="006F4C41">
        <w:rPr>
          <w:rFonts w:ascii="Calibri" w:eastAsia="Calibri" w:hAnsi="Calibri" w:cs="Times New Roman"/>
        </w:rPr>
        <w:t xml:space="preserve">, </w:t>
      </w:r>
      <w:r w:rsidR="006F4C41">
        <w:rPr>
          <w:rFonts w:ascii="Calibri" w:eastAsia="Calibri" w:hAnsi="Calibri" w:cs="Times New Roman"/>
        </w:rPr>
        <w:fldChar w:fldCharType="begin"/>
      </w:r>
      <w:r w:rsidR="006F4C41">
        <w:rPr>
          <w:rFonts w:ascii="Calibri" w:eastAsia="Calibri" w:hAnsi="Calibri" w:cs="Times New Roman"/>
        </w:rPr>
        <w:instrText xml:space="preserve"> REF _Ref453575395 \r \h </w:instrText>
      </w:r>
      <w:r w:rsidR="006F4C41">
        <w:rPr>
          <w:rFonts w:ascii="Calibri" w:eastAsia="Calibri" w:hAnsi="Calibri" w:cs="Times New Roman"/>
        </w:rPr>
      </w:r>
      <w:r w:rsidR="006F4C41">
        <w:rPr>
          <w:rFonts w:ascii="Calibri" w:eastAsia="Calibri" w:hAnsi="Calibri" w:cs="Times New Roman"/>
        </w:rPr>
        <w:fldChar w:fldCharType="separate"/>
      </w:r>
      <w:r w:rsidR="00152F6D">
        <w:rPr>
          <w:rFonts w:ascii="Calibri" w:eastAsia="Calibri" w:hAnsi="Calibri" w:cs="Times New Roman"/>
        </w:rPr>
        <w:t>5.3.5.4</w:t>
      </w:r>
      <w:r w:rsidR="006F4C41">
        <w:rPr>
          <w:rFonts w:ascii="Calibri" w:eastAsia="Calibri" w:hAnsi="Calibri" w:cs="Times New Roman"/>
        </w:rPr>
        <w:fldChar w:fldCharType="end"/>
      </w:r>
      <w:r w:rsidR="006F4C41">
        <w:rPr>
          <w:rFonts w:ascii="Calibri" w:eastAsia="Calibri" w:hAnsi="Calibri" w:cs="Times New Roman"/>
        </w:rPr>
        <w:t xml:space="preserve">, and </w:t>
      </w:r>
      <w:r w:rsidR="006F4C41">
        <w:rPr>
          <w:rFonts w:ascii="Calibri" w:eastAsia="Calibri" w:hAnsi="Calibri" w:cs="Times New Roman"/>
        </w:rPr>
        <w:fldChar w:fldCharType="begin"/>
      </w:r>
      <w:r w:rsidR="006F4C41">
        <w:rPr>
          <w:rFonts w:ascii="Calibri" w:eastAsia="Calibri" w:hAnsi="Calibri" w:cs="Times New Roman"/>
        </w:rPr>
        <w:instrText xml:space="preserve"> REF _Ref453575411 \r \h </w:instrText>
      </w:r>
      <w:r w:rsidR="006F4C41">
        <w:rPr>
          <w:rFonts w:ascii="Calibri" w:eastAsia="Calibri" w:hAnsi="Calibri" w:cs="Times New Roman"/>
        </w:rPr>
      </w:r>
      <w:r w:rsidR="006F4C41">
        <w:rPr>
          <w:rFonts w:ascii="Calibri" w:eastAsia="Calibri" w:hAnsi="Calibri" w:cs="Times New Roman"/>
        </w:rPr>
        <w:fldChar w:fldCharType="separate"/>
      </w:r>
      <w:r w:rsidR="00152F6D">
        <w:rPr>
          <w:rFonts w:ascii="Calibri" w:eastAsia="Calibri" w:hAnsi="Calibri" w:cs="Times New Roman"/>
        </w:rPr>
        <w:t>5.3.6.4</w:t>
      </w:r>
      <w:r w:rsidR="006F4C41">
        <w:rPr>
          <w:rFonts w:ascii="Calibri" w:eastAsia="Calibri" w:hAnsi="Calibri" w:cs="Times New Roman"/>
        </w:rPr>
        <w:fldChar w:fldCharType="end"/>
      </w:r>
      <w:r w:rsidRPr="00E6060C">
        <w:rPr>
          <w:rFonts w:ascii="Calibri" w:eastAsia="Calibri" w:hAnsi="Calibri" w:cs="Times New Roman"/>
        </w:rPr>
        <w:t xml:space="preserve">). </w:t>
      </w:r>
    </w:p>
    <w:p w14:paraId="0152EB01" w14:textId="77777777" w:rsidR="00E6060C" w:rsidRPr="00E6060C" w:rsidRDefault="00E6060C" w:rsidP="00E6060C">
      <w:pPr>
        <w:spacing w:before="200" w:line="360" w:lineRule="auto"/>
        <w:contextualSpacing/>
        <w:rPr>
          <w:rFonts w:ascii="Calibri" w:eastAsia="Calibri" w:hAnsi="Calibri" w:cs="Times New Roman"/>
        </w:rPr>
      </w:pPr>
    </w:p>
    <w:p w14:paraId="276FC166" w14:textId="755CBC66"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It is acknowledged that assessing the quality of studies based on five criteria only is arguably limiting, and omits an assessment of how well the intervention was implemented and adhered to. The importance of evaluating intervention implementation is discussed in Chapter 3 and reiterated throughout the narrative systematic review (Chapter 5). The large impact that these factors may have on the effectiveness of interventions have led some researchers, including myself, to strongly promote their inclusion in the evaluation of organizational interventions as a matter of course (see Briner &amp; Walshe, 2015; Nielsen, Randall</w:t>
      </w:r>
      <w:r w:rsidR="00671EEB">
        <w:rPr>
          <w:rFonts w:ascii="Calibri" w:eastAsia="Calibri" w:hAnsi="Calibri" w:cs="Times New Roman"/>
        </w:rPr>
        <w:t xml:space="preserve">, Holten &amp; </w:t>
      </w:r>
      <w:r w:rsidR="00671EEB" w:rsidRPr="00C53B72">
        <w:rPr>
          <w:rFonts w:cs="Times New Roman"/>
          <w:noProof/>
        </w:rPr>
        <w:t>González</w:t>
      </w:r>
      <w:r w:rsidRPr="00E6060C">
        <w:rPr>
          <w:rFonts w:ascii="Calibri" w:eastAsia="Calibri" w:hAnsi="Calibri" w:cs="Times New Roman"/>
        </w:rPr>
        <w:t>, 2010). However, the focus in this Chapter is on controlled interventions and quantitatively analysing the results via meta-analyses, hence The Cochrane Collaboration’s (Higgins &amp; Green, 2011) guidelines for evaluating controlled interventions, which are considered best practice for this type of review, have been followed throughout. In keeping with this method, the ‘Risk of Bias’ tool is considered an appropriate means for providing a snapshot of study quality and enabling the results to be compared with meta-analyses following a similar protocol. The findings are presented visually here, but are incorporated narratively into the discussions of study quality explored extensively in the narrative systematic review (Chapter 5).</w:t>
      </w:r>
    </w:p>
    <w:p w14:paraId="055B339C" w14:textId="77777777" w:rsidR="00E6060C" w:rsidRPr="00E6060C" w:rsidRDefault="00E6060C" w:rsidP="00E6060C">
      <w:pPr>
        <w:spacing w:before="200" w:line="360" w:lineRule="auto"/>
        <w:contextualSpacing/>
        <w:rPr>
          <w:rFonts w:ascii="Calibri" w:eastAsia="Calibri" w:hAnsi="Calibri" w:cs="Times New Roman"/>
        </w:rPr>
      </w:pPr>
    </w:p>
    <w:p w14:paraId="16D79B13" w14:textId="77777777" w:rsidR="00E6060C" w:rsidRPr="00E6060C" w:rsidRDefault="00E6060C" w:rsidP="00E6060C">
      <w:pPr>
        <w:spacing w:before="200" w:line="360" w:lineRule="auto"/>
        <w:contextualSpacing/>
        <w:rPr>
          <w:rFonts w:ascii="Calibri" w:eastAsia="Calibri" w:hAnsi="Calibri" w:cs="Times New Roman"/>
        </w:rPr>
        <w:sectPr w:rsidR="00E6060C" w:rsidRPr="00E6060C" w:rsidSect="00F0168C">
          <w:headerReference w:type="default" r:id="rId21"/>
          <w:footerReference w:type="default" r:id="rId22"/>
          <w:pgSz w:w="11906" w:h="16838"/>
          <w:pgMar w:top="1440" w:right="1440" w:bottom="1440" w:left="1440" w:header="709" w:footer="709" w:gutter="0"/>
          <w:pgNumType w:start="109"/>
          <w:cols w:space="708"/>
          <w:docGrid w:linePitch="360"/>
        </w:sectPr>
      </w:pPr>
    </w:p>
    <w:p w14:paraId="6864F29B" w14:textId="0B29AE6B" w:rsidR="00E6060C" w:rsidRPr="00E6060C" w:rsidRDefault="00026729" w:rsidP="00E6060C">
      <w:pPr>
        <w:spacing w:before="200" w:line="360" w:lineRule="auto"/>
        <w:contextualSpacing/>
        <w:rPr>
          <w:rFonts w:ascii="Calibri" w:eastAsia="Calibri" w:hAnsi="Calibri" w:cs="Times New Roman"/>
        </w:rPr>
      </w:pPr>
      <w:r>
        <w:rPr>
          <w:noProof/>
          <w:lang w:eastAsia="en-GB"/>
        </w:rPr>
        <w:lastRenderedPageBreak/>
        <mc:AlternateContent>
          <mc:Choice Requires="wps">
            <w:drawing>
              <wp:anchor distT="0" distB="0" distL="114300" distR="114300" simplePos="0" relativeHeight="251663360" behindDoc="0" locked="0" layoutInCell="1" allowOverlap="1" wp14:anchorId="1A547900" wp14:editId="47B1376A">
                <wp:simplePos x="0" y="0"/>
                <wp:positionH relativeFrom="margin">
                  <wp:align>left</wp:align>
                </wp:positionH>
                <wp:positionV relativeFrom="paragraph">
                  <wp:posOffset>3734435</wp:posOffset>
                </wp:positionV>
                <wp:extent cx="858012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8580120" cy="635"/>
                        </a:xfrm>
                        <a:prstGeom prst="rect">
                          <a:avLst/>
                        </a:prstGeom>
                        <a:solidFill>
                          <a:prstClr val="white"/>
                        </a:solidFill>
                        <a:ln>
                          <a:noFill/>
                        </a:ln>
                      </wps:spPr>
                      <wps:txbx>
                        <w:txbxContent>
                          <w:p w14:paraId="61B6B2C2" w14:textId="55A9FB1C" w:rsidR="004D1676" w:rsidRPr="00AE3CFA" w:rsidRDefault="004D1676" w:rsidP="005852AD">
                            <w:pPr>
                              <w:pStyle w:val="Figurestyle"/>
                              <w:rPr>
                                <w:rFonts w:ascii="Calibri" w:eastAsia="Calibri" w:hAnsi="Calibri" w:cs="Times New Roman"/>
                                <w:vanish/>
                                <w:specVanish/>
                              </w:rPr>
                            </w:pPr>
                            <w:bookmarkStart w:id="264" w:name="_Toc453238915"/>
                            <w:r>
                              <w:t xml:space="preserve"> </w:t>
                            </w:r>
                            <w:r w:rsidRPr="002828B5">
                              <w:t>Risk of bias diagram displaying the domain and summary risk of bias judgements for each domain for each study</w:t>
                            </w:r>
                            <w:bookmarkEnd w:id="264"/>
                          </w:p>
                          <w:p w14:paraId="756EDDA8" w14:textId="05F41C02" w:rsidR="004D1676" w:rsidRPr="00AE3CFA" w:rsidRDefault="004D1676" w:rsidP="005852AD">
                            <w:pPr>
                              <w:pStyle w:val="Figurestyle"/>
                            </w:pPr>
                            <w:r w:rsidRPr="002828B5">
                              <w:t xml:space="preserve"> (k=20; the two comparable studies by Rigotti et al (2014) have been presented as one due to the similarities between them; green=low risk, clea</w:t>
                            </w:r>
                            <w:r>
                              <w:t>r</w:t>
                            </w:r>
                            <w:r w:rsidRPr="00E6060C">
                              <w:rPr>
                                <w:rFonts w:ascii="Calibri" w:eastAsia="Calibri" w:hAnsi="Calibri" w:cs="Times New Roman"/>
                              </w:rPr>
                              <w:t xml:space="preserve">=unclear risk, red=high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1A547900" id="_x0000_t202" coordsize="21600,21600" o:spt="202" path="m,l,21600r21600,l21600,xe">
                <v:stroke joinstyle="miter"/>
                <v:path gradientshapeok="t" o:connecttype="rect"/>
              </v:shapetype>
              <v:shape id="Text Box 1" o:spid="_x0000_s1026" type="#_x0000_t202" style="position:absolute;margin-left:0;margin-top:294.05pt;width:675.6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gKQIAAF0EAAAOAAAAZHJzL2Uyb0RvYy54bWysVFFv2jAQfp+0/2D5fQSYWqGIUDEqpkmo&#10;rVSqPhvHIZFsn3c2JOzX7+wkdOv2NO3FXO4+f/Z335nlXWc0Oyv0DdiCzyZTzpSVUDb2WPCX/fbT&#10;gjMfhC2FBqsKflGe360+fli2LldzqEGXChmRWJ+3ruB1CC7PMi9rZYSfgFOWihWgEYE+8ZiVKFpi&#10;NzqbT6e3WQtYOgSpvKfsfV/kq8RfVUqGx6ryKjBdcLpbSCum9RDXbLUU+RGFqxs5XEP8wy2MaCwd&#10;eqW6F0GwEzZ/UJlGIniowkSCyaCqGqmSBlIzm75T81wLp5IWao531zb5/0crH85PyJqSvOPMCkMW&#10;7VUX2Bfo2Cx2p3U+J9CzI1joKB2RQ95TMoruKjTxl+QwqlOfL9feRjJJycXNYjqbU0lS7fbzTeTI&#10;3rY69OGrAsNiUHAk41I/xXnnQw8dIfEkD7opt43W8SMWNhrZWZDJbd0ENZD/htI2Yi3EXT1hzGRR&#10;X68jRqE7dIO4A5QX0ozQz4x3ctvQQTvhw5NAGhLSQoMfHmmpNLQFhyHirAb88bd8xJN3VOWspaEr&#10;uP9+Eqg4098suRondAxwDA5jYE9mAySRnKLbpJA2YNBjWCGYV3oP63gKlYSVdFbBwxhuQj/69J6k&#10;Wq8TiObQibCzz05G6rGh++5VoBvsCOTiA4zjKPJ3rvTY5ItbnwK1OFkWG9p3cegzzXAyfXhv8ZH8&#10;+p1Qb/8Kq58AAAD//wMAUEsDBBQABgAIAAAAIQB1H2z34AAAAAkBAAAPAAAAZHJzL2Rvd25yZXYu&#10;eG1sTI/NTsMwEITvSLyDtUhcEHWS/igKcaqqggNcqoZeuLnxNg7E68h22vD2uFzgODurmW/K9WR6&#10;dkbnO0sC0lkCDKmxqqNWwOH95TEH5oMkJXtLKOAbPayr25tSFspeaI/nOrQshpAvpAAdwlBw7huN&#10;RvqZHZCid7LOyBCla7ly8hLDTc+zJFlxIzuKDVoOuNXYfNWjEbBbfOz0w3h6ftss5u71MG5Xn20t&#10;xP3dtHkCFnAKf89wxY/oUEWmox1JedYLiEOCgGWep8Cu9nyZZsCOv6cMeFXy/wuqHwAAAP//AwBQ&#10;SwECLQAUAAYACAAAACEAtoM4kv4AAADhAQAAEwAAAAAAAAAAAAAAAAAAAAAAW0NvbnRlbnRfVHlw&#10;ZXNdLnhtbFBLAQItABQABgAIAAAAIQA4/SH/1gAAAJQBAAALAAAAAAAAAAAAAAAAAC8BAABfcmVs&#10;cy8ucmVsc1BLAQItABQABgAIAAAAIQBy+CsgKQIAAF0EAAAOAAAAAAAAAAAAAAAAAC4CAABkcnMv&#10;ZTJvRG9jLnhtbFBLAQItABQABgAIAAAAIQB1H2z34AAAAAkBAAAPAAAAAAAAAAAAAAAAAIMEAABk&#10;cnMvZG93bnJldi54bWxQSwUGAAAAAAQABADzAAAAkAUAAAAA&#10;" stroked="f">
                <v:textbox style="mso-fit-shape-to-text:t" inset="0,0,0,0">
                  <w:txbxContent>
                    <w:p w14:paraId="61B6B2C2" w14:textId="55A9FB1C" w:rsidR="004D1676" w:rsidRPr="00AE3CFA" w:rsidRDefault="004D1676" w:rsidP="005852AD">
                      <w:pPr>
                        <w:pStyle w:val="Figurestyle"/>
                        <w:rPr>
                          <w:rFonts w:ascii="Calibri" w:eastAsia="Calibri" w:hAnsi="Calibri" w:cs="Times New Roman"/>
                          <w:vanish/>
                          <w:specVanish/>
                        </w:rPr>
                      </w:pPr>
                      <w:bookmarkStart w:id="264" w:name="_Toc453238915"/>
                      <w:r>
                        <w:t xml:space="preserve"> </w:t>
                      </w:r>
                      <w:r w:rsidRPr="002828B5">
                        <w:t>Risk of bias diagram displaying the domain and summary risk of bias judgements for each domain for each study</w:t>
                      </w:r>
                      <w:bookmarkEnd w:id="264"/>
                    </w:p>
                    <w:p w14:paraId="756EDDA8" w14:textId="05F41C02" w:rsidR="004D1676" w:rsidRPr="00AE3CFA" w:rsidRDefault="004D1676" w:rsidP="005852AD">
                      <w:pPr>
                        <w:pStyle w:val="Figurestyle"/>
                      </w:pPr>
                      <w:r w:rsidRPr="002828B5">
                        <w:t xml:space="preserve"> (k=20; the two comparable studies by Rigotti et al (2014) have been presented as one due to the similarities between them; green=low risk, clea</w:t>
                      </w:r>
                      <w:r>
                        <w:t>r</w:t>
                      </w:r>
                      <w:r w:rsidRPr="00E6060C">
                        <w:rPr>
                          <w:rFonts w:ascii="Calibri" w:eastAsia="Calibri" w:hAnsi="Calibri" w:cs="Times New Roman"/>
                        </w:rPr>
                        <w:t xml:space="preserve">=unclear risk, red=high </w:t>
                      </w:r>
                    </w:p>
                  </w:txbxContent>
                </v:textbox>
                <w10:wrap type="square" anchorx="margin"/>
              </v:shape>
            </w:pict>
          </mc:Fallback>
        </mc:AlternateContent>
      </w:r>
      <w:r w:rsidR="00392B2E">
        <w:rPr>
          <w:noProof/>
          <w:lang w:eastAsia="en-GB"/>
        </w:rPr>
        <mc:AlternateContent>
          <mc:Choice Requires="wps">
            <w:drawing>
              <wp:anchor distT="0" distB="0" distL="114300" distR="114300" simplePos="0" relativeHeight="251665408" behindDoc="0" locked="0" layoutInCell="1" allowOverlap="1" wp14:anchorId="5914F904" wp14:editId="657AD832">
                <wp:simplePos x="0" y="0"/>
                <wp:positionH relativeFrom="column">
                  <wp:posOffset>635</wp:posOffset>
                </wp:positionH>
                <wp:positionV relativeFrom="paragraph">
                  <wp:posOffset>3648710</wp:posOffset>
                </wp:positionV>
                <wp:extent cx="858012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580120" cy="635"/>
                        </a:xfrm>
                        <a:prstGeom prst="rect">
                          <a:avLst/>
                        </a:prstGeom>
                        <a:solidFill>
                          <a:prstClr val="white"/>
                        </a:solidFill>
                        <a:ln>
                          <a:noFill/>
                        </a:ln>
                      </wps:spPr>
                      <wps:txbx>
                        <w:txbxContent>
                          <w:p w14:paraId="24E86F1A" w14:textId="735B2BAA" w:rsidR="004D1676" w:rsidRPr="00C23D06" w:rsidRDefault="004D1676" w:rsidP="005852AD">
                            <w:pPr>
                              <w:pStyle w:val="Figurestyle"/>
                              <w:rPr>
                                <w:rFonts w:ascii="Calibri" w:eastAsia="Calibri" w:hAnsi="Calibri" w:cs="Times New Roman"/>
                                <w:i/>
                                <w:vanish/>
                                <w:specVanish/>
                              </w:rPr>
                            </w:pPr>
                            <w:bookmarkStart w:id="265" w:name="_Ref453576594"/>
                            <w:bookmarkStart w:id="266" w:name="_Ref453576579"/>
                            <w:bookmarkStart w:id="267" w:name="_Toc468286105"/>
                            <w:r>
                              <w:t xml:space="preserve">Figure </w:t>
                            </w:r>
                            <w:r w:rsidR="00245D68">
                              <w:fldChar w:fldCharType="begin"/>
                            </w:r>
                            <w:r w:rsidR="00245D68">
                              <w:instrText xml:space="preserve"> STYLEREF 1 \s </w:instrText>
                            </w:r>
                            <w:r w:rsidR="00245D68">
                              <w:fldChar w:fldCharType="separate"/>
                            </w:r>
                            <w:r>
                              <w:rPr>
                                <w:noProof/>
                              </w:rPr>
                              <w:t>6</w:t>
                            </w:r>
                            <w:r w:rsidR="00245D68">
                              <w:rPr>
                                <w:noProof/>
                              </w:rPr>
                              <w:fldChar w:fldCharType="end"/>
                            </w:r>
                            <w:r>
                              <w:t>.</w:t>
                            </w:r>
                            <w:r w:rsidR="00245D68">
                              <w:fldChar w:fldCharType="begin"/>
                            </w:r>
                            <w:r w:rsidR="00245D68">
                              <w:instrText xml:space="preserve"> SEQ Figure \* ARABIC \s 1 </w:instrText>
                            </w:r>
                            <w:r w:rsidR="00245D68">
                              <w:fldChar w:fldCharType="separate"/>
                            </w:r>
                            <w:r>
                              <w:rPr>
                                <w:noProof/>
                              </w:rPr>
                              <w:t>3</w:t>
                            </w:r>
                            <w:r w:rsidR="00245D68">
                              <w:rPr>
                                <w:noProof/>
                              </w:rPr>
                              <w:fldChar w:fldCharType="end"/>
                            </w:r>
                            <w:bookmarkEnd w:id="265"/>
                            <w:r>
                              <w:t xml:space="preserve"> </w:t>
                            </w:r>
                            <w:r w:rsidRPr="00B23495">
                              <w:t>Risk of bias diagram displaying the domain and summary risk of bias judgements for each domain for each study</w:t>
                            </w:r>
                            <w:bookmarkEnd w:id="266"/>
                            <w:bookmarkEnd w:id="267"/>
                          </w:p>
                          <w:p w14:paraId="1D0EE6EC" w14:textId="3849BBAA" w:rsidR="004D1676" w:rsidRPr="00A2487C" w:rsidRDefault="004D1676" w:rsidP="00392B2E">
                            <w:pPr>
                              <w:pStyle w:val="TableofFigures"/>
                              <w:rPr>
                                <w:noProof/>
                              </w:rPr>
                            </w:pPr>
                            <w:r>
                              <w:t xml:space="preserve"> </w:t>
                            </w:r>
                            <w:r w:rsidRPr="00E6060C">
                              <w:rPr>
                                <w:rFonts w:ascii="Calibri" w:eastAsia="Calibri" w:hAnsi="Calibri" w:cs="Times New Roman"/>
                              </w:rPr>
                              <w:t xml:space="preserve">risk </w:t>
                            </w:r>
                            <w:r>
                              <w:rPr>
                                <w:rFonts w:ascii="Calibri" w:eastAsia="Calibri" w:hAnsi="Calibri" w:cs="Times New Roman"/>
                              </w:rPr>
                              <w:t>(</w:t>
                            </w:r>
                            <w:r w:rsidRPr="00E6060C">
                              <w:rPr>
                                <w:rFonts w:ascii="Calibri" w:eastAsia="Calibri" w:hAnsi="Calibri" w:cs="Times New Roman"/>
                              </w:rPr>
                              <w:t>produced using Review Manager, Version 5.3, The Cochrane Collaboration,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914F904" id="Text Box 2" o:spid="_x0000_s1027" type="#_x0000_t202" style="position:absolute;margin-left:.05pt;margin-top:287.3pt;width:675.6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KLAIAAGQEAAAOAAAAZHJzL2Uyb0RvYy54bWysVMFu2zAMvQ/YPwi6L04ytAiMOEWWIsOA&#10;oC3QFD0rshwbkESNUmJnXz9KttOt22nYRaZIitJ7j/TyrjOanRX6BmzBZ5MpZ8pKKBt7LPjLfvtp&#10;wZkPwpZCg1UFvyjP71YfPyxbl6s51KBLhYyKWJ+3ruB1CC7PMi9rZYSfgFOWghWgEYG2eMxKFC1V&#10;NzqbT6e3WQtYOgSpvCfvfR/kq1S/qpQMj1XlVWC64PS2kFZM6yGu2Wop8iMKVzdyeIb4h1cY0Vi6&#10;9FrqXgTBTtj8Uco0EsFDFSYSTAZV1UiVMBCa2fQdmudaOJWwEDneXWny/6+sfDg/IWvKgs85s8KQ&#10;RHvVBfYFOjaP7LTO55T07CgtdOQmlUe/J2cE3VVo4pfgMIoTz5crt7GYJOfiZjGdzSkkKXb7+SbW&#10;yN6OOvThqwLDolFwJOESn+K886FPHVPiTR50U24breMmBjYa2VmQyG3dBDUU/y1L25hrIZ7qC0ZP&#10;FvH1OKIVukOX2LhiPEB5IegIfet4J7cN3bcTPjwJpF4hSNT/4ZGWSkNbcBgszmrAH3/zx3ySkKKc&#10;tdR7BfffTwIVZ/qbJXFjo44GjsZhNOzJbICQzmiynEwmHcCgR7NCMK80Fut4C4WElXRXwcNobkI/&#10;ATRWUq3XKYna0Ymws89OxtIjr/vuVaAbVAkk5gOMXSnyd+L0uUketz4FYjopF3ntWRzoplZO2g9j&#10;F2fl133Kevs5rH4CAAD//wMAUEsDBBQABgAIAAAAIQCYJpFQ3wAAAAkBAAAPAAAAZHJzL2Rvd25y&#10;ZXYueG1sTI/BTsMwEETvSPyDtUhcEHVK0rQKcaqqggNcKkIvvbnxNg7E6yh22vD3OL3AcXZWM2/y&#10;9WhadsbeNZYEzGcRMKTKqoZqAfvP18cVMOclKdlaQgE/6GBd3N7kMlP2Qh94Ln3NQgi5TArQ3ncZ&#10;567SaKSb2Q4peCfbG+mD7GuuenkJ4ablT1GUciMbCg1adrjVWH2XgxGwSw47/TCcXt43Sdy/7Ydt&#10;+lWXQtzfjZtnYB5H//cME35AhyIwHe1AyrF20swLWCyTFNhkx4t5DOx4PS2BFzn/v6D4BQAA//8D&#10;AFBLAQItABQABgAIAAAAIQC2gziS/gAAAOEBAAATAAAAAAAAAAAAAAAAAAAAAABbQ29udGVudF9U&#10;eXBlc10ueG1sUEsBAi0AFAAGAAgAAAAhADj9If/WAAAAlAEAAAsAAAAAAAAAAAAAAAAALwEAAF9y&#10;ZWxzLy5yZWxzUEsBAi0AFAAGAAgAAAAhAOs78IosAgAAZAQAAA4AAAAAAAAAAAAAAAAALgIAAGRy&#10;cy9lMm9Eb2MueG1sUEsBAi0AFAAGAAgAAAAhAJgmkVDfAAAACQEAAA8AAAAAAAAAAAAAAAAAhgQA&#10;AGRycy9kb3ducmV2LnhtbFBLBQYAAAAABAAEAPMAAACSBQAAAAA=&#10;" stroked="f">
                <v:textbox style="mso-fit-shape-to-text:t" inset="0,0,0,0">
                  <w:txbxContent>
                    <w:p w14:paraId="24E86F1A" w14:textId="735B2BAA" w:rsidR="004D1676" w:rsidRPr="00C23D06" w:rsidRDefault="004D1676" w:rsidP="005852AD">
                      <w:pPr>
                        <w:pStyle w:val="Figurestyle"/>
                        <w:rPr>
                          <w:rFonts w:ascii="Calibri" w:eastAsia="Calibri" w:hAnsi="Calibri" w:cs="Times New Roman"/>
                          <w:i/>
                          <w:vanish/>
                          <w:specVanish/>
                        </w:rPr>
                      </w:pPr>
                      <w:bookmarkStart w:id="268" w:name="_Ref453576594"/>
                      <w:bookmarkStart w:id="269" w:name="_Ref453576579"/>
                      <w:bookmarkStart w:id="270" w:name="_Toc468286105"/>
                      <w:r>
                        <w:t xml:space="preserve">Figure </w:t>
                      </w:r>
                      <w:fldSimple w:instr=" STYLEREF 1 \s ">
                        <w:r>
                          <w:rPr>
                            <w:noProof/>
                          </w:rPr>
                          <w:t>6</w:t>
                        </w:r>
                      </w:fldSimple>
                      <w:r>
                        <w:t>.</w:t>
                      </w:r>
                      <w:fldSimple w:instr=" SEQ Figure \* ARABIC \s 1 ">
                        <w:r>
                          <w:rPr>
                            <w:noProof/>
                          </w:rPr>
                          <w:t>3</w:t>
                        </w:r>
                      </w:fldSimple>
                      <w:bookmarkEnd w:id="268"/>
                      <w:r>
                        <w:t xml:space="preserve"> </w:t>
                      </w:r>
                      <w:r w:rsidRPr="00B23495">
                        <w:t>Risk of bias diagram displaying the domain and summary risk of bias judgements for each domain for each study</w:t>
                      </w:r>
                      <w:bookmarkEnd w:id="269"/>
                      <w:bookmarkEnd w:id="270"/>
                    </w:p>
                    <w:p w14:paraId="1D0EE6EC" w14:textId="3849BBAA" w:rsidR="004D1676" w:rsidRPr="00A2487C" w:rsidRDefault="004D1676" w:rsidP="00392B2E">
                      <w:pPr>
                        <w:pStyle w:val="TableofFigures"/>
                        <w:rPr>
                          <w:noProof/>
                        </w:rPr>
                      </w:pPr>
                      <w:r>
                        <w:t xml:space="preserve"> </w:t>
                      </w:r>
                      <w:r w:rsidRPr="00E6060C">
                        <w:rPr>
                          <w:rFonts w:ascii="Calibri" w:eastAsia="Calibri" w:hAnsi="Calibri" w:cs="Times New Roman"/>
                        </w:rPr>
                        <w:t xml:space="preserve">risk </w:t>
                      </w:r>
                      <w:r>
                        <w:rPr>
                          <w:rFonts w:ascii="Calibri" w:eastAsia="Calibri" w:hAnsi="Calibri" w:cs="Times New Roman"/>
                        </w:rPr>
                        <w:t>(</w:t>
                      </w:r>
                      <w:r w:rsidRPr="00E6060C">
                        <w:rPr>
                          <w:rFonts w:ascii="Calibri" w:eastAsia="Calibri" w:hAnsi="Calibri" w:cs="Times New Roman"/>
                        </w:rPr>
                        <w:t>produced using Review Manager, Version 5.3, The Cochrane Collaboration, 2014)</w:t>
                      </w:r>
                    </w:p>
                  </w:txbxContent>
                </v:textbox>
                <w10:wrap type="square"/>
              </v:shape>
            </w:pict>
          </mc:Fallback>
        </mc:AlternateContent>
      </w:r>
      <w:r w:rsidR="00E6060C" w:rsidRPr="00E6060C">
        <w:rPr>
          <w:rFonts w:ascii="Calibri" w:eastAsia="Calibri" w:hAnsi="Calibri" w:cs="Times New Roman"/>
          <w:noProof/>
          <w:lang w:eastAsia="en-GB"/>
        </w:rPr>
        <w:drawing>
          <wp:anchor distT="0" distB="0" distL="114300" distR="114300" simplePos="0" relativeHeight="251659264" behindDoc="0" locked="0" layoutInCell="1" allowOverlap="1" wp14:anchorId="52261D88" wp14:editId="2392E597">
            <wp:simplePos x="0" y="0"/>
            <wp:positionH relativeFrom="margin">
              <wp:align>left</wp:align>
            </wp:positionH>
            <wp:positionV relativeFrom="paragraph">
              <wp:posOffset>-2360295</wp:posOffset>
            </wp:positionV>
            <wp:extent cx="3323590" cy="8580120"/>
            <wp:effectExtent l="635"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3323590" cy="8580120"/>
                    </a:xfrm>
                    <a:prstGeom prst="rect">
                      <a:avLst/>
                    </a:prstGeom>
                  </pic:spPr>
                </pic:pic>
              </a:graphicData>
            </a:graphic>
            <wp14:sizeRelH relativeFrom="margin">
              <wp14:pctWidth>0</wp14:pctWidth>
            </wp14:sizeRelH>
            <wp14:sizeRelV relativeFrom="margin">
              <wp14:pctHeight>0</wp14:pctHeight>
            </wp14:sizeRelV>
          </wp:anchor>
        </w:drawing>
      </w:r>
    </w:p>
    <w:p w14:paraId="06E56B5B" w14:textId="7373CE5E" w:rsidR="00E6060C" w:rsidRPr="00E6060C" w:rsidRDefault="00E6060C" w:rsidP="00E6060C">
      <w:pPr>
        <w:spacing w:before="200" w:line="360" w:lineRule="auto"/>
        <w:contextualSpacing/>
        <w:rPr>
          <w:rFonts w:ascii="Calibri" w:eastAsia="Calibri" w:hAnsi="Calibri" w:cs="Times New Roman"/>
        </w:rPr>
        <w:sectPr w:rsidR="00E6060C" w:rsidRPr="00E6060C" w:rsidSect="00E6060C">
          <w:pgSz w:w="16838" w:h="11906" w:orient="landscape"/>
          <w:pgMar w:top="1440" w:right="1440" w:bottom="1440" w:left="1440" w:header="709" w:footer="709" w:gutter="0"/>
          <w:cols w:space="708"/>
          <w:docGrid w:linePitch="360"/>
        </w:sectPr>
      </w:pPr>
      <w:r w:rsidRPr="00E6060C">
        <w:rPr>
          <w:rFonts w:ascii="Calibri" w:eastAsia="Calibri" w:hAnsi="Calibri" w:cs="Times New Roman"/>
        </w:rPr>
        <w:br w:type="textWrapping" w:clear="all"/>
      </w:r>
    </w:p>
    <w:p w14:paraId="2A543C48" w14:textId="77777777" w:rsidR="00E6060C" w:rsidRPr="00E6060C" w:rsidRDefault="00E6060C" w:rsidP="00E6060C">
      <w:pPr>
        <w:spacing w:before="200" w:line="360" w:lineRule="auto"/>
        <w:contextualSpacing/>
        <w:rPr>
          <w:rFonts w:ascii="Calibri" w:eastAsia="Calibri" w:hAnsi="Calibri" w:cs="Times New Roman"/>
        </w:rPr>
      </w:pPr>
    </w:p>
    <w:p w14:paraId="3C30C049" w14:textId="77777777" w:rsidR="00026729" w:rsidRDefault="00E6060C" w:rsidP="00026729">
      <w:pPr>
        <w:keepNext/>
        <w:spacing w:before="200" w:line="360" w:lineRule="auto"/>
        <w:contextualSpacing/>
      </w:pPr>
      <w:r w:rsidRPr="00E6060C">
        <w:rPr>
          <w:rFonts w:ascii="Calibri" w:eastAsia="Calibri" w:hAnsi="Calibri" w:cs="Times New Roman"/>
          <w:noProof/>
          <w:lang w:eastAsia="en-GB"/>
        </w:rPr>
        <w:drawing>
          <wp:inline distT="0" distB="0" distL="0" distR="0" wp14:anchorId="2D3A5FCC" wp14:editId="3379F219">
            <wp:extent cx="5731510" cy="265718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657181"/>
                    </a:xfrm>
                    <a:prstGeom prst="rect">
                      <a:avLst/>
                    </a:prstGeom>
                  </pic:spPr>
                </pic:pic>
              </a:graphicData>
            </a:graphic>
          </wp:inline>
        </w:drawing>
      </w:r>
    </w:p>
    <w:p w14:paraId="4BCFBD3F" w14:textId="62875368" w:rsidR="00745A8A" w:rsidRPr="00C23D06" w:rsidRDefault="00026729" w:rsidP="005852AD">
      <w:pPr>
        <w:pStyle w:val="Figurestyle"/>
        <w:rPr>
          <w:rFonts w:ascii="Calibri" w:eastAsia="Calibri" w:hAnsi="Calibri" w:cs="Times New Roman"/>
          <w:i/>
          <w:vanish/>
          <w:specVanish/>
        </w:rPr>
      </w:pPr>
      <w:bookmarkStart w:id="268" w:name="_Ref453574938"/>
      <w:bookmarkStart w:id="269" w:name="_Toc453238916"/>
      <w:bookmarkStart w:id="270" w:name="_Ref453575130"/>
      <w:bookmarkStart w:id="271" w:name="_Ref453575246"/>
      <w:bookmarkStart w:id="272" w:name="_Toc468286106"/>
      <w:r>
        <w:t xml:space="preserve">Figure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4</w:t>
      </w:r>
      <w:r w:rsidR="00245D68">
        <w:rPr>
          <w:noProof/>
        </w:rPr>
        <w:fldChar w:fldCharType="end"/>
      </w:r>
      <w:bookmarkEnd w:id="268"/>
      <w:r>
        <w:t xml:space="preserve"> </w:t>
      </w:r>
      <w:r w:rsidRPr="0067252C">
        <w:t>Risk of bias graph depicting the relative percentage of each risk of bias judgement for each domain across all of the included studies</w:t>
      </w:r>
      <w:bookmarkEnd w:id="269"/>
      <w:bookmarkEnd w:id="270"/>
      <w:bookmarkEnd w:id="271"/>
      <w:bookmarkEnd w:id="272"/>
    </w:p>
    <w:p w14:paraId="6BFAD65D" w14:textId="1472E806" w:rsidR="005077F1" w:rsidRDefault="00026729" w:rsidP="005852AD">
      <w:pPr>
        <w:pStyle w:val="Figurestyle"/>
        <w:rPr>
          <w:rFonts w:ascii="Calibri" w:eastAsia="Calibri" w:hAnsi="Calibri" w:cs="Times New Roman"/>
        </w:rPr>
      </w:pPr>
      <w:r w:rsidRPr="0067252C">
        <w:t xml:space="preserve"> (k=20; green=low risk, clear=unclear risk, red=high risk; produced using Review Manager, Version 5.3, The Cochrane </w:t>
      </w:r>
      <w:r w:rsidRPr="00E6060C">
        <w:rPr>
          <w:rFonts w:ascii="Calibri" w:eastAsia="Calibri" w:hAnsi="Calibri" w:cs="Times New Roman"/>
        </w:rPr>
        <w:t>Collaboration, 2014)</w:t>
      </w:r>
      <w:bookmarkStart w:id="273" w:name="_Toc431470146"/>
    </w:p>
    <w:p w14:paraId="03283E61" w14:textId="77777777" w:rsidR="00026729" w:rsidRDefault="00026729" w:rsidP="005852AD">
      <w:pPr>
        <w:pStyle w:val="Figurestyle"/>
      </w:pPr>
    </w:p>
    <w:p w14:paraId="2864819A" w14:textId="6B5BCCB1" w:rsidR="00E6060C" w:rsidRPr="00E6060C" w:rsidRDefault="00E6060C" w:rsidP="0009618B">
      <w:pPr>
        <w:pStyle w:val="Heading3"/>
      </w:pPr>
      <w:bookmarkStart w:id="274" w:name="_Toc468285990"/>
      <w:r w:rsidRPr="00E6060C">
        <w:t>Publication bias</w:t>
      </w:r>
      <w:bookmarkEnd w:id="273"/>
      <w:bookmarkEnd w:id="274"/>
    </w:p>
    <w:p w14:paraId="32CCB9A0" w14:textId="77777777" w:rsidR="00E6060C" w:rsidRPr="00E6060C" w:rsidRDefault="00E6060C" w:rsidP="00E6060C">
      <w:pPr>
        <w:spacing w:before="200" w:line="360" w:lineRule="auto"/>
        <w:rPr>
          <w:rFonts w:ascii="Calibri" w:eastAsia="Calibri" w:hAnsi="Calibri" w:cs="Times New Roman"/>
        </w:rPr>
      </w:pPr>
    </w:p>
    <w:p w14:paraId="7E5070BA" w14:textId="71BDA17A"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Publication bias was assessed via Rosenthal’s (1979) Fail-safe N. This analysis indicated that 127 studies demonstrating no effect would be needed to reduce the size of the effect observed for the outcome work engagement to the point where the associated </w:t>
      </w:r>
      <w:r w:rsidRPr="00E6060C">
        <w:rPr>
          <w:rFonts w:ascii="Calibri" w:eastAsia="Calibri" w:hAnsi="Calibri" w:cs="Times New Roman"/>
          <w:i/>
        </w:rPr>
        <w:t>p-</w:t>
      </w:r>
      <w:r w:rsidRPr="00E6060C">
        <w:rPr>
          <w:rFonts w:ascii="Calibri" w:eastAsia="Calibri" w:hAnsi="Calibri" w:cs="Times New Roman"/>
        </w:rPr>
        <w:t xml:space="preserve">value was &gt;0.05 (two-tailed). </w:t>
      </w:r>
      <w:r w:rsidR="00A627C0">
        <w:rPr>
          <w:rFonts w:ascii="Calibri" w:eastAsia="Calibri" w:hAnsi="Calibri" w:cs="Times New Roman"/>
        </w:rPr>
        <w:fldChar w:fldCharType="begin"/>
      </w:r>
      <w:r w:rsidR="00A627C0">
        <w:rPr>
          <w:rFonts w:ascii="Calibri" w:eastAsia="Calibri" w:hAnsi="Calibri" w:cs="Times New Roman"/>
        </w:rPr>
        <w:instrText xml:space="preserve"> REF _Ref453575604 \h </w:instrText>
      </w:r>
      <w:r w:rsidR="00A627C0">
        <w:rPr>
          <w:rFonts w:ascii="Calibri" w:eastAsia="Calibri" w:hAnsi="Calibri" w:cs="Times New Roman"/>
        </w:rPr>
      </w:r>
      <w:r w:rsidR="00A627C0">
        <w:rPr>
          <w:rFonts w:ascii="Calibri" w:eastAsia="Calibri" w:hAnsi="Calibri" w:cs="Times New Roman"/>
        </w:rPr>
        <w:fldChar w:fldCharType="separate"/>
      </w:r>
      <w:r w:rsidR="00152F6D">
        <w:t xml:space="preserve">Figure </w:t>
      </w:r>
      <w:r w:rsidR="00152F6D">
        <w:rPr>
          <w:noProof/>
        </w:rPr>
        <w:t>6</w:t>
      </w:r>
      <w:r w:rsidR="00152F6D">
        <w:t>.</w:t>
      </w:r>
      <w:r w:rsidR="00152F6D">
        <w:rPr>
          <w:noProof/>
        </w:rPr>
        <w:t>5</w:t>
      </w:r>
      <w:r w:rsidR="00A627C0">
        <w:rPr>
          <w:rFonts w:ascii="Calibri" w:eastAsia="Calibri" w:hAnsi="Calibri" w:cs="Times New Roman"/>
        </w:rPr>
        <w:fldChar w:fldCharType="end"/>
      </w:r>
      <w:r w:rsidR="00A627C0">
        <w:rPr>
          <w:rFonts w:ascii="Calibri" w:eastAsia="Calibri" w:hAnsi="Calibri" w:cs="Times New Roman"/>
        </w:rPr>
        <w:t xml:space="preserve"> </w:t>
      </w:r>
      <w:r w:rsidRPr="00E6060C">
        <w:rPr>
          <w:rFonts w:ascii="Calibri" w:eastAsia="Calibri" w:hAnsi="Calibri" w:cs="Times New Roman"/>
        </w:rPr>
        <w:t xml:space="preserve">graphically depicts the relationship between the effect sizes and measure of precision (standard error) of the 14 studies measuring work engagement, and demonstrates some asymmetry. Duval and Tweedie’s (2000) Trim and Fill method was employed to determine funnel plot asymmetry and correct for it. The Trim and Fill method involves removing (‘trimming’) studies causing the asymmetry, estimating the ‘true’ centre of the adjusted funnel plot, and replacing the trimmed studies around the centre (‘filling’). This analysis suggested that three studies would need to fall on the right hand side of the mean effect size to make the funnel plot depicted in </w:t>
      </w:r>
      <w:r w:rsidR="00A627C0">
        <w:rPr>
          <w:rFonts w:ascii="Calibri" w:eastAsia="Calibri" w:hAnsi="Calibri" w:cs="Times New Roman"/>
        </w:rPr>
        <w:fldChar w:fldCharType="begin"/>
      </w:r>
      <w:r w:rsidR="00A627C0">
        <w:rPr>
          <w:rFonts w:ascii="Calibri" w:eastAsia="Calibri" w:hAnsi="Calibri" w:cs="Times New Roman"/>
        </w:rPr>
        <w:instrText xml:space="preserve"> REF _Ref453575604 \h </w:instrText>
      </w:r>
      <w:r w:rsidR="00A627C0">
        <w:rPr>
          <w:rFonts w:ascii="Calibri" w:eastAsia="Calibri" w:hAnsi="Calibri" w:cs="Times New Roman"/>
        </w:rPr>
      </w:r>
      <w:r w:rsidR="00A627C0">
        <w:rPr>
          <w:rFonts w:ascii="Calibri" w:eastAsia="Calibri" w:hAnsi="Calibri" w:cs="Times New Roman"/>
        </w:rPr>
        <w:fldChar w:fldCharType="separate"/>
      </w:r>
      <w:r w:rsidR="00152F6D">
        <w:t xml:space="preserve">Figure </w:t>
      </w:r>
      <w:r w:rsidR="00152F6D">
        <w:rPr>
          <w:noProof/>
        </w:rPr>
        <w:t>6</w:t>
      </w:r>
      <w:r w:rsidR="00152F6D">
        <w:t>.</w:t>
      </w:r>
      <w:r w:rsidR="00152F6D">
        <w:rPr>
          <w:noProof/>
        </w:rPr>
        <w:t>5</w:t>
      </w:r>
      <w:r w:rsidR="00A627C0">
        <w:rPr>
          <w:rFonts w:ascii="Calibri" w:eastAsia="Calibri" w:hAnsi="Calibri" w:cs="Times New Roman"/>
        </w:rPr>
        <w:fldChar w:fldCharType="end"/>
      </w:r>
      <w:r w:rsidRPr="00E6060C">
        <w:rPr>
          <w:rFonts w:ascii="Calibri" w:eastAsia="Calibri" w:hAnsi="Calibri" w:cs="Times New Roman"/>
        </w:rPr>
        <w:t xml:space="preserve"> symmetric. Assuming a random effects model, the new imputed mean effect size would be, Hedges </w:t>
      </w:r>
      <w:r w:rsidRPr="00E6060C">
        <w:rPr>
          <w:rFonts w:ascii="Calibri" w:eastAsia="Calibri" w:hAnsi="Calibri" w:cs="Times New Roman"/>
          <w:i/>
        </w:rPr>
        <w:t xml:space="preserve">g, </w:t>
      </w:r>
      <w:r w:rsidRPr="00E6060C">
        <w:rPr>
          <w:rFonts w:ascii="Calibri" w:eastAsia="Calibri" w:hAnsi="Calibri" w:cs="Times New Roman"/>
        </w:rPr>
        <w:t xml:space="preserve">0.41, 95%-CI, </w:t>
      </w:r>
      <w:r w:rsidRPr="00E6060C">
        <w:rPr>
          <w:rFonts w:ascii="Calibri" w:eastAsia="Calibri" w:hAnsi="Calibri" w:cs="Times New Roman"/>
          <w:i/>
        </w:rPr>
        <w:t>LL</w:t>
      </w:r>
      <w:r w:rsidRPr="00E6060C">
        <w:rPr>
          <w:rFonts w:ascii="Calibri" w:eastAsia="Calibri" w:hAnsi="Calibri" w:cs="Times New Roman"/>
        </w:rPr>
        <w:t xml:space="preserve">, 0.22, </w:t>
      </w:r>
      <w:r w:rsidRPr="00E6060C">
        <w:rPr>
          <w:rFonts w:ascii="Calibri" w:eastAsia="Calibri" w:hAnsi="Calibri" w:cs="Times New Roman"/>
          <w:i/>
        </w:rPr>
        <w:t>UL</w:t>
      </w:r>
      <w:r w:rsidRPr="00E6060C">
        <w:rPr>
          <w:rFonts w:ascii="Calibri" w:eastAsia="Calibri" w:hAnsi="Calibri" w:cs="Times New Roman"/>
        </w:rPr>
        <w:t xml:space="preserve">, 0.60. These results suggest that the effect size estimates from the observed studies (Hedges </w:t>
      </w:r>
      <w:r w:rsidRPr="00E6060C">
        <w:rPr>
          <w:rFonts w:ascii="Calibri" w:eastAsia="Calibri" w:hAnsi="Calibri" w:cs="Times New Roman"/>
          <w:i/>
        </w:rPr>
        <w:t>g</w:t>
      </w:r>
      <w:r w:rsidRPr="00E6060C">
        <w:rPr>
          <w:rFonts w:ascii="Calibri" w:eastAsia="Calibri" w:hAnsi="Calibri" w:cs="Times New Roman"/>
        </w:rPr>
        <w:t xml:space="preserve">, 0.29, SE, 0.09, 95%-CI, </w:t>
      </w:r>
      <w:r w:rsidRPr="00E6060C">
        <w:rPr>
          <w:rFonts w:ascii="Calibri" w:eastAsia="Calibri" w:hAnsi="Calibri" w:cs="Times New Roman"/>
          <w:i/>
        </w:rPr>
        <w:t>LL</w:t>
      </w:r>
      <w:r w:rsidRPr="00E6060C">
        <w:rPr>
          <w:rFonts w:ascii="Calibri" w:eastAsia="Calibri" w:hAnsi="Calibri" w:cs="Times New Roman"/>
        </w:rPr>
        <w:t xml:space="preserve">, 0.12, </w:t>
      </w:r>
      <w:r w:rsidRPr="00E6060C">
        <w:rPr>
          <w:rFonts w:ascii="Calibri" w:eastAsia="Calibri" w:hAnsi="Calibri" w:cs="Times New Roman"/>
          <w:i/>
        </w:rPr>
        <w:t>UL,</w:t>
      </w:r>
      <w:r w:rsidRPr="00E6060C">
        <w:rPr>
          <w:rFonts w:ascii="Calibri" w:eastAsia="Calibri" w:hAnsi="Calibri" w:cs="Times New Roman"/>
        </w:rPr>
        <w:t xml:space="preserve">0.46) </w:t>
      </w:r>
      <w:r w:rsidR="002A6E71">
        <w:rPr>
          <w:rFonts w:ascii="Calibri" w:eastAsia="Calibri" w:hAnsi="Calibri" w:cs="Times New Roman"/>
        </w:rPr>
        <w:t xml:space="preserve">were unbiased and robust. </w:t>
      </w:r>
    </w:p>
    <w:p w14:paraId="6F017B17" w14:textId="77777777" w:rsidR="00E6060C" w:rsidRPr="00E6060C" w:rsidRDefault="00E6060C" w:rsidP="00E6060C">
      <w:pPr>
        <w:spacing w:before="200" w:line="360" w:lineRule="auto"/>
        <w:contextualSpacing/>
        <w:rPr>
          <w:rFonts w:ascii="Calibri" w:eastAsia="Calibri" w:hAnsi="Calibri" w:cs="Times New Roman"/>
        </w:rPr>
      </w:pPr>
    </w:p>
    <w:p w14:paraId="7FBD8AFD" w14:textId="77777777" w:rsidR="00026729" w:rsidRDefault="00E6060C" w:rsidP="00026729">
      <w:pPr>
        <w:keepNext/>
        <w:spacing w:before="200" w:line="360" w:lineRule="auto"/>
        <w:contextualSpacing/>
      </w:pPr>
      <w:r w:rsidRPr="00E6060C">
        <w:rPr>
          <w:rFonts w:ascii="Calibri" w:eastAsia="Calibri" w:hAnsi="Calibri" w:cs="Times New Roman"/>
          <w:noProof/>
          <w:lang w:eastAsia="en-GB"/>
        </w:rPr>
        <w:lastRenderedPageBreak/>
        <w:drawing>
          <wp:inline distT="0" distB="0" distL="0" distR="0" wp14:anchorId="68496C84" wp14:editId="63D4F013">
            <wp:extent cx="5680572" cy="2857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14" t="10130" r="10924" b="2888"/>
                    <a:stretch/>
                  </pic:blipFill>
                  <pic:spPr bwMode="auto">
                    <a:xfrm>
                      <a:off x="0" y="0"/>
                      <a:ext cx="5695566" cy="2865043"/>
                    </a:xfrm>
                    <a:prstGeom prst="rect">
                      <a:avLst/>
                    </a:prstGeom>
                    <a:noFill/>
                    <a:ln>
                      <a:noFill/>
                    </a:ln>
                    <a:extLst>
                      <a:ext uri="{53640926-AAD7-44D8-BBD7-CCE9431645EC}">
                        <a14:shadowObscured xmlns:a14="http://schemas.microsoft.com/office/drawing/2010/main"/>
                      </a:ext>
                    </a:extLst>
                  </pic:spPr>
                </pic:pic>
              </a:graphicData>
            </a:graphic>
          </wp:inline>
        </w:drawing>
      </w:r>
    </w:p>
    <w:p w14:paraId="26DC145F" w14:textId="187C745E" w:rsidR="00E6060C" w:rsidRPr="00E6060C" w:rsidRDefault="00026729" w:rsidP="005852AD">
      <w:pPr>
        <w:pStyle w:val="Figurestyle"/>
        <w:rPr>
          <w:rFonts w:ascii="Calibri" w:eastAsia="Calibri" w:hAnsi="Calibri" w:cs="Times New Roman"/>
        </w:rPr>
      </w:pPr>
      <w:bookmarkStart w:id="275" w:name="_Ref453575604"/>
      <w:bookmarkStart w:id="276" w:name="_Toc453238917"/>
      <w:bookmarkStart w:id="277" w:name="_Ref453575590"/>
      <w:bookmarkStart w:id="278" w:name="_Toc468286107"/>
      <w:r>
        <w:t xml:space="preserve">Figure </w:t>
      </w:r>
      <w:r w:rsidR="00245D68">
        <w:fldChar w:fldCharType="begin"/>
      </w:r>
      <w:r w:rsidR="00245D68">
        <w:instrText xml:space="preserve"> STYLEREF 1 \s </w:instrText>
      </w:r>
      <w:r w:rsidR="00245D68">
        <w:fldChar w:fldCharType="separate"/>
      </w:r>
      <w:r w:rsidR="00152F6D">
        <w:rPr>
          <w:noProof/>
        </w:rPr>
        <w:t>6</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5</w:t>
      </w:r>
      <w:r w:rsidR="00245D68">
        <w:rPr>
          <w:noProof/>
        </w:rPr>
        <w:fldChar w:fldCharType="end"/>
      </w:r>
      <w:bookmarkEnd w:id="275"/>
      <w:r>
        <w:t xml:space="preserve"> </w:t>
      </w:r>
      <w:r w:rsidRPr="00BC6C51">
        <w:t>Funnel plot displaying Hedges g, and its standard error, for the 14 studies in the core meta-analysis of intervention studies measuring work engagement</w:t>
      </w:r>
      <w:bookmarkEnd w:id="276"/>
      <w:bookmarkEnd w:id="277"/>
      <w:bookmarkEnd w:id="278"/>
    </w:p>
    <w:p w14:paraId="61BC8C43" w14:textId="77777777" w:rsidR="00E6060C" w:rsidRPr="00E6060C" w:rsidRDefault="00E6060C" w:rsidP="00E6060C">
      <w:pPr>
        <w:spacing w:before="200" w:line="360" w:lineRule="auto"/>
        <w:contextualSpacing/>
        <w:rPr>
          <w:rFonts w:ascii="Calibri" w:eastAsia="Calibri" w:hAnsi="Calibri" w:cs="Times New Roman"/>
        </w:rPr>
      </w:pPr>
    </w:p>
    <w:p w14:paraId="41A47CB4" w14:textId="1EAA5EAE"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Despite the widespread use of these methods in meta-analysis to determine publication bias, they are not without controversy. For example, the Fail-Safe N assumes that there is a mean intervention effect for the unpublished studies and that different computational methods lead to a wide variety of estimates of the number of additional studies needed to raise the </w:t>
      </w:r>
      <w:r w:rsidRPr="00E6060C">
        <w:rPr>
          <w:rFonts w:ascii="Calibri" w:eastAsia="Calibri" w:hAnsi="Calibri" w:cs="Times New Roman"/>
          <w:i/>
        </w:rPr>
        <w:t>p</w:t>
      </w:r>
      <w:r w:rsidRPr="00E6060C">
        <w:rPr>
          <w:rFonts w:ascii="Calibri" w:eastAsia="Calibri" w:hAnsi="Calibri" w:cs="Times New Roman"/>
        </w:rPr>
        <w:t xml:space="preserve">-value of the effect size for a group of studies above 0.05 (Sterne, Egger &amp; Moher, 2011). Furthermore, the emphasis on </w:t>
      </w:r>
      <w:r w:rsidRPr="00E6060C">
        <w:rPr>
          <w:rFonts w:ascii="Calibri" w:eastAsia="Calibri" w:hAnsi="Calibri" w:cs="Times New Roman"/>
          <w:i/>
        </w:rPr>
        <w:t>p</w:t>
      </w:r>
      <w:r w:rsidRPr="00E6060C">
        <w:rPr>
          <w:rFonts w:ascii="Calibri" w:eastAsia="Calibri" w:hAnsi="Calibri" w:cs="Times New Roman"/>
        </w:rPr>
        <w:t xml:space="preserve">-values contradicts current standard practice which places emphasis on the actual intervention effect and its associated confidence intervals. Similarly, the use of the Trim and Fill method is controversial due to the assumption that there should be a symmetric funnel plot, that any asymmetry is due to publication bias alone, the fact that the actual mechanism of publication bias is not known, and the use of imputed intervention effects to re-estimate intervention effects (Sterne </w:t>
      </w:r>
      <w:r w:rsidR="00B64DD5">
        <w:rPr>
          <w:rFonts w:ascii="Calibri" w:eastAsia="Calibri" w:hAnsi="Calibri" w:cs="Times New Roman"/>
        </w:rPr>
        <w:t>et al.,</w:t>
      </w:r>
      <w:r w:rsidRPr="00E6060C">
        <w:rPr>
          <w:rFonts w:ascii="Calibri" w:eastAsia="Calibri" w:hAnsi="Calibri" w:cs="Times New Roman"/>
        </w:rPr>
        <w:t xml:space="preserve"> 2011). Other selection models have been proposed (Dear &amp; Begg, 1992, Hedges, 1992), however, they require a large number of studies and are statistically complex, which may be why they have not been w</w:t>
      </w:r>
      <w:r w:rsidR="0051129B">
        <w:rPr>
          <w:rFonts w:ascii="Calibri" w:eastAsia="Calibri" w:hAnsi="Calibri" w:cs="Times New Roman"/>
        </w:rPr>
        <w:t xml:space="preserve">idely implemented in practice. </w:t>
      </w:r>
      <w:r w:rsidRPr="00E6060C">
        <w:rPr>
          <w:rFonts w:ascii="Calibri" w:eastAsia="Calibri" w:hAnsi="Calibri" w:cs="Times New Roman"/>
        </w:rPr>
        <w:t>Despite these criticisms, however, Sterne et al. (2011) condone the use of funnel plots and statistical tests to assess publication bias for intervention effects measured via mean differences, hence the use of these tests in this meta-analysis. Their only caveat is that there should be at least 10 studies to maintain the power of the test, as was the case in this study. They also recommend viewing publication bias as only one of a number of possible explanations of asymmetry</w:t>
      </w:r>
      <w:r w:rsidR="005D147A">
        <w:rPr>
          <w:rFonts w:ascii="Calibri" w:eastAsia="Calibri" w:hAnsi="Calibri" w:cs="Times New Roman"/>
        </w:rPr>
        <w:t xml:space="preserve">. This </w:t>
      </w:r>
      <w:r w:rsidR="005707E0">
        <w:rPr>
          <w:rFonts w:ascii="Calibri" w:eastAsia="Calibri" w:hAnsi="Calibri" w:cs="Times New Roman"/>
        </w:rPr>
        <w:t xml:space="preserve">was </w:t>
      </w:r>
      <w:r w:rsidRPr="00E6060C">
        <w:rPr>
          <w:rFonts w:ascii="Calibri" w:eastAsia="Calibri" w:hAnsi="Calibri" w:cs="Times New Roman"/>
        </w:rPr>
        <w:t xml:space="preserve"> addressed in th</w:t>
      </w:r>
      <w:r w:rsidR="005707E0">
        <w:rPr>
          <w:rFonts w:ascii="Calibri" w:eastAsia="Calibri" w:hAnsi="Calibri" w:cs="Times New Roman"/>
        </w:rPr>
        <w:t>is</w:t>
      </w:r>
      <w:r w:rsidRPr="00E6060C">
        <w:rPr>
          <w:rFonts w:ascii="Calibri" w:eastAsia="Calibri" w:hAnsi="Calibri" w:cs="Times New Roman"/>
        </w:rPr>
        <w:t xml:space="preserve"> study through extensive consideration of the risk of bias within and between </w:t>
      </w:r>
      <w:r w:rsidRPr="00FF6EFC">
        <w:rPr>
          <w:rFonts w:ascii="Calibri" w:eastAsia="Calibri" w:hAnsi="Calibri" w:cs="Times New Roman"/>
        </w:rPr>
        <w:t>studies (</w:t>
      </w:r>
      <w:r w:rsidR="00FF6EFC">
        <w:rPr>
          <w:rFonts w:ascii="Calibri" w:eastAsia="Calibri" w:hAnsi="Calibri" w:cs="Times New Roman"/>
        </w:rPr>
        <w:fldChar w:fldCharType="begin"/>
      </w:r>
      <w:r w:rsidR="00FF6EFC">
        <w:rPr>
          <w:rFonts w:ascii="Calibri" w:eastAsia="Calibri" w:hAnsi="Calibri" w:cs="Times New Roman"/>
        </w:rPr>
        <w:instrText xml:space="preserve"> REF _Ref453576594 \h </w:instrText>
      </w:r>
      <w:r w:rsidR="00FF6EFC">
        <w:rPr>
          <w:rFonts w:ascii="Calibri" w:eastAsia="Calibri" w:hAnsi="Calibri" w:cs="Times New Roman"/>
        </w:rPr>
      </w:r>
      <w:r w:rsidR="00FF6EFC">
        <w:rPr>
          <w:rFonts w:ascii="Calibri" w:eastAsia="Calibri" w:hAnsi="Calibri" w:cs="Times New Roman"/>
        </w:rPr>
        <w:fldChar w:fldCharType="separate"/>
      </w:r>
      <w:r w:rsidR="00152F6D">
        <w:t xml:space="preserve">Figure </w:t>
      </w:r>
      <w:r w:rsidR="00152F6D">
        <w:rPr>
          <w:noProof/>
        </w:rPr>
        <w:t>6</w:t>
      </w:r>
      <w:r w:rsidR="00152F6D">
        <w:t>.</w:t>
      </w:r>
      <w:r w:rsidR="00152F6D">
        <w:rPr>
          <w:noProof/>
        </w:rPr>
        <w:t>3</w:t>
      </w:r>
      <w:r w:rsidR="00FF6EFC">
        <w:rPr>
          <w:rFonts w:ascii="Calibri" w:eastAsia="Calibri" w:hAnsi="Calibri" w:cs="Times New Roman"/>
        </w:rPr>
        <w:fldChar w:fldCharType="end"/>
      </w:r>
      <w:r w:rsidR="00FF6EFC">
        <w:rPr>
          <w:rFonts w:ascii="Calibri" w:eastAsia="Calibri" w:hAnsi="Calibri" w:cs="Times New Roman"/>
        </w:rPr>
        <w:t xml:space="preserve"> </w:t>
      </w:r>
      <w:r w:rsidR="00A627C0" w:rsidRPr="00FF6EFC">
        <w:rPr>
          <w:rFonts w:ascii="Calibri" w:eastAsia="Calibri" w:hAnsi="Calibri" w:cs="Times New Roman"/>
        </w:rPr>
        <w:t xml:space="preserve">&amp; </w:t>
      </w:r>
      <w:r w:rsidR="00A627C0" w:rsidRPr="00FF6EFC">
        <w:rPr>
          <w:rFonts w:ascii="Calibri" w:eastAsia="Calibri" w:hAnsi="Calibri" w:cs="Times New Roman"/>
        </w:rPr>
        <w:fldChar w:fldCharType="begin"/>
      </w:r>
      <w:r w:rsidR="00A627C0" w:rsidRPr="00FF6EFC">
        <w:rPr>
          <w:rFonts w:ascii="Calibri" w:eastAsia="Calibri" w:hAnsi="Calibri" w:cs="Times New Roman"/>
        </w:rPr>
        <w:instrText xml:space="preserve"> REF _Ref453574938 \h </w:instrText>
      </w:r>
      <w:r w:rsidR="00FF6EFC">
        <w:rPr>
          <w:rFonts w:ascii="Calibri" w:eastAsia="Calibri" w:hAnsi="Calibri" w:cs="Times New Roman"/>
        </w:rPr>
        <w:instrText xml:space="preserve"> \* MERGEFORMAT </w:instrText>
      </w:r>
      <w:r w:rsidR="00A627C0" w:rsidRPr="00FF6EFC">
        <w:rPr>
          <w:rFonts w:ascii="Calibri" w:eastAsia="Calibri" w:hAnsi="Calibri" w:cs="Times New Roman"/>
        </w:rPr>
      </w:r>
      <w:r w:rsidR="00A627C0" w:rsidRPr="00FF6EFC">
        <w:rPr>
          <w:rFonts w:ascii="Calibri" w:eastAsia="Calibri" w:hAnsi="Calibri" w:cs="Times New Roman"/>
        </w:rPr>
        <w:fldChar w:fldCharType="separate"/>
      </w:r>
      <w:r w:rsidR="00152F6D">
        <w:t xml:space="preserve">Figure </w:t>
      </w:r>
      <w:r w:rsidR="00152F6D">
        <w:rPr>
          <w:noProof/>
        </w:rPr>
        <w:t>6.4</w:t>
      </w:r>
      <w:r w:rsidR="00A627C0" w:rsidRPr="00FF6EFC">
        <w:rPr>
          <w:rFonts w:ascii="Calibri" w:eastAsia="Calibri" w:hAnsi="Calibri" w:cs="Times New Roman"/>
        </w:rPr>
        <w:fldChar w:fldCharType="end"/>
      </w:r>
      <w:r w:rsidRPr="00E6060C">
        <w:rPr>
          <w:rFonts w:ascii="Calibri" w:eastAsia="Calibri" w:hAnsi="Calibri" w:cs="Times New Roman"/>
        </w:rPr>
        <w:t>).</w:t>
      </w:r>
    </w:p>
    <w:p w14:paraId="5E50E23A" w14:textId="5D8808B8" w:rsidR="00E6060C" w:rsidRPr="00E6060C" w:rsidRDefault="00A627C0" w:rsidP="00B7614E">
      <w:pPr>
        <w:pStyle w:val="Thesisheading2"/>
      </w:pPr>
      <w:bookmarkStart w:id="279" w:name="_Toc431470147"/>
      <w:bookmarkStart w:id="280" w:name="_Toc468285991"/>
      <w:r>
        <w:lastRenderedPageBreak/>
        <w:t>Summary</w:t>
      </w:r>
      <w:bookmarkEnd w:id="279"/>
      <w:bookmarkEnd w:id="280"/>
    </w:p>
    <w:p w14:paraId="6003A6EE" w14:textId="77777777" w:rsidR="00E6060C" w:rsidRPr="00E6060C" w:rsidRDefault="00E6060C" w:rsidP="00E6060C">
      <w:pPr>
        <w:spacing w:before="200" w:line="360" w:lineRule="auto"/>
        <w:contextualSpacing/>
        <w:rPr>
          <w:rFonts w:ascii="Calibri" w:eastAsia="Calibri" w:hAnsi="Calibri" w:cs="Times New Roman"/>
        </w:rPr>
      </w:pPr>
    </w:p>
    <w:p w14:paraId="0727ECD4" w14:textId="05D1A8AD"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This meta-analysis aimed to quantitatively synthesise the evidence for the effectiveness of work engagement interventions identified by the narrative systematic review in Chapter 5. The core meta-analysis, involving 14 studies (N=3,692), revealed a positive, reliable effect of interventions on work engagement. Further meta-analyses also revealed positive, reliable effects for each of the three subcomponents, vigo</w:t>
      </w:r>
      <w:r w:rsidR="00A627C0">
        <w:rPr>
          <w:rFonts w:ascii="Calibri" w:eastAsia="Calibri" w:hAnsi="Calibri" w:cs="Times New Roman"/>
        </w:rPr>
        <w:t xml:space="preserve">ur, dedication and absorption. </w:t>
      </w:r>
      <w:r w:rsidRPr="00E6060C">
        <w:rPr>
          <w:rFonts w:ascii="Calibri" w:eastAsia="Calibri" w:hAnsi="Calibri" w:cs="Times New Roman"/>
        </w:rPr>
        <w:t xml:space="preserve">These results suggest that interventions are effective for increasing work engagement in employees. </w:t>
      </w:r>
    </w:p>
    <w:p w14:paraId="21B537DE" w14:textId="77777777" w:rsidR="00E6060C" w:rsidRPr="00E6060C" w:rsidRDefault="00E6060C" w:rsidP="00E6060C">
      <w:pPr>
        <w:spacing w:before="200" w:line="360" w:lineRule="auto"/>
        <w:contextualSpacing/>
        <w:rPr>
          <w:rFonts w:ascii="Calibri" w:eastAsia="Calibri" w:hAnsi="Calibri" w:cs="Times New Roman"/>
        </w:rPr>
      </w:pPr>
    </w:p>
    <w:p w14:paraId="402CF1A0" w14:textId="0FD802B8"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Moderator analyses revealed a significant difference between groups for intervention style, with a medium to strong, reliable effect observed for group interventions, although the significance level of the difference between groups was reduced to borderline when the one study conducting an individual intervention was removed from the analysis.</w:t>
      </w:r>
      <w:r w:rsidR="0051129B">
        <w:rPr>
          <w:rFonts w:ascii="Calibri" w:eastAsia="Calibri" w:hAnsi="Calibri" w:cs="Times New Roman"/>
        </w:rPr>
        <w:t xml:space="preserve"> The results were not moderated by</w:t>
      </w:r>
      <w:r w:rsidRPr="00E6060C">
        <w:rPr>
          <w:rFonts w:ascii="Calibri" w:eastAsia="Calibri" w:hAnsi="Calibri" w:cs="Times New Roman"/>
        </w:rPr>
        <w:t xml:space="preserve"> intervention type (i.e. personal resource building, job resource building, leadership training, or health promotion), type of organisation (private vs public), or duration between measurement time points. Heterogeneity within subgroups was high, suggesting that there are other moderators of the results, however, the limited number of studies within subcategories prevented an exploration of these. </w:t>
      </w:r>
    </w:p>
    <w:p w14:paraId="173E66E3" w14:textId="77777777" w:rsidR="00E6060C" w:rsidRPr="00E6060C" w:rsidRDefault="00E6060C" w:rsidP="00E6060C">
      <w:pPr>
        <w:spacing w:before="200" w:line="360" w:lineRule="auto"/>
        <w:contextualSpacing/>
        <w:rPr>
          <w:rFonts w:ascii="Calibri" w:eastAsia="Calibri" w:hAnsi="Calibri" w:cs="Times New Roman"/>
        </w:rPr>
      </w:pPr>
    </w:p>
    <w:p w14:paraId="4FFDCB2F"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 xml:space="preserve">Sensitivity analyses also revealed no significant differences between groups for any of the variables tested (randomised versus non-randomised studies; studies following the ITT principle versus those not; and studies adjusting results for covariates versus those not. No publication bias was detected, however, a qualitative analysis of the risk of bias within the studies, using The Cochrane Collaboration’s Risk of Bias tool (2011), revealed that all the studies were considered ‘high risk’ due to being assessed as such for one or more of five key areas (selection bias, performance bias, detection bias, attrition bias and reporting bias). </w:t>
      </w:r>
    </w:p>
    <w:p w14:paraId="5668B72B" w14:textId="77777777" w:rsidR="00E6060C" w:rsidRPr="00E6060C" w:rsidRDefault="00E6060C" w:rsidP="00E6060C">
      <w:pPr>
        <w:spacing w:before="200" w:line="360" w:lineRule="auto"/>
        <w:contextualSpacing/>
        <w:rPr>
          <w:rFonts w:ascii="Calibri" w:eastAsia="Calibri" w:hAnsi="Calibri" w:cs="Times New Roman"/>
        </w:rPr>
      </w:pPr>
    </w:p>
    <w:p w14:paraId="30A1E43F" w14:textId="3A1247D9" w:rsidR="008977DA" w:rsidRDefault="00E6060C" w:rsidP="008977DA">
      <w:pPr>
        <w:spacing w:after="200" w:line="360" w:lineRule="auto"/>
        <w:contextualSpacing/>
        <w:rPr>
          <w:rFonts w:ascii="Calibri" w:eastAsia="Calibri" w:hAnsi="Calibri" w:cs="Times New Roman"/>
        </w:rPr>
      </w:pPr>
      <w:r w:rsidRPr="00E6060C">
        <w:rPr>
          <w:rFonts w:ascii="Calibri" w:eastAsia="Calibri" w:hAnsi="Calibri" w:cs="Times New Roman"/>
        </w:rPr>
        <w:t xml:space="preserve">In sum, the results of this meta-analysis do not allow particular intervention types or styles for increasing work engagement to be recommended and neither do they suggest which time period might be best for observing the strongest effects of work engagement post-intervention. Nevertheless, the positive, reliable effect of interventions on work engagement suggests that it is worth pursuing research to develop work engagement interventions further. In particular, they suggest that pursuing group interventions could be an effective way of taking work engagement research forward. These results </w:t>
      </w:r>
      <w:r w:rsidR="008977DA">
        <w:rPr>
          <w:rFonts w:ascii="Calibri" w:eastAsia="Calibri" w:hAnsi="Calibri" w:cs="Times New Roman"/>
        </w:rPr>
        <w:t>are</w:t>
      </w:r>
      <w:r w:rsidRPr="00E6060C">
        <w:rPr>
          <w:rFonts w:ascii="Calibri" w:eastAsia="Calibri" w:hAnsi="Calibri" w:cs="Times New Roman"/>
        </w:rPr>
        <w:t xml:space="preserve"> discussed further</w:t>
      </w:r>
      <w:r w:rsidR="0051129B">
        <w:rPr>
          <w:rFonts w:ascii="Calibri" w:eastAsia="Calibri" w:hAnsi="Calibri" w:cs="Times New Roman"/>
        </w:rPr>
        <w:t xml:space="preserve"> in Chapter 10</w:t>
      </w:r>
      <w:r w:rsidR="008977DA">
        <w:rPr>
          <w:rFonts w:ascii="Calibri" w:eastAsia="Calibri" w:hAnsi="Calibri" w:cs="Times New Roman"/>
        </w:rPr>
        <w:t xml:space="preserve">, section </w:t>
      </w:r>
      <w:r w:rsidR="008977DA">
        <w:rPr>
          <w:rFonts w:ascii="Calibri" w:eastAsia="Calibri" w:hAnsi="Calibri" w:cs="Times New Roman"/>
        </w:rPr>
        <w:fldChar w:fldCharType="begin"/>
      </w:r>
      <w:r w:rsidR="008977DA">
        <w:rPr>
          <w:rFonts w:ascii="Calibri" w:eastAsia="Calibri" w:hAnsi="Calibri" w:cs="Times New Roman"/>
        </w:rPr>
        <w:instrText xml:space="preserve"> REF _Ref468108805 \n \h </w:instrText>
      </w:r>
      <w:r w:rsidR="008977DA">
        <w:rPr>
          <w:rFonts w:ascii="Calibri" w:eastAsia="Calibri" w:hAnsi="Calibri" w:cs="Times New Roman"/>
        </w:rPr>
      </w:r>
      <w:r w:rsidR="008977DA">
        <w:rPr>
          <w:rFonts w:ascii="Calibri" w:eastAsia="Calibri" w:hAnsi="Calibri" w:cs="Times New Roman"/>
        </w:rPr>
        <w:fldChar w:fldCharType="separate"/>
      </w:r>
      <w:r w:rsidR="008977DA">
        <w:rPr>
          <w:rFonts w:ascii="Calibri" w:eastAsia="Calibri" w:hAnsi="Calibri" w:cs="Times New Roman"/>
        </w:rPr>
        <w:t>10.1</w:t>
      </w:r>
      <w:r w:rsidR="008977DA">
        <w:rPr>
          <w:rFonts w:ascii="Calibri" w:eastAsia="Calibri" w:hAnsi="Calibri" w:cs="Times New Roman"/>
        </w:rPr>
        <w:fldChar w:fldCharType="end"/>
      </w:r>
      <w:r w:rsidR="008977DA">
        <w:rPr>
          <w:rFonts w:ascii="Calibri" w:eastAsia="Calibri" w:hAnsi="Calibri" w:cs="Times New Roman"/>
        </w:rPr>
        <w:t xml:space="preserve">. As indicated at the </w:t>
      </w:r>
      <w:r w:rsidR="008977DA">
        <w:rPr>
          <w:rFonts w:ascii="Calibri" w:eastAsia="Calibri" w:hAnsi="Calibri" w:cs="Times New Roman"/>
        </w:rPr>
        <w:lastRenderedPageBreak/>
        <w:t>end of Chapter 5, this discussion integrates the findings of this meta-analysis with those of the narrative systematic review, and draws general conclusions about the effectiveness of work engagement interventions. More specifically, it discusses whether intervention type and study quality have impact on effectiveness and concludes with a discussion of the theoretical, research, and practical implications of this study</w:t>
      </w:r>
      <w:r w:rsidR="00AB65CE">
        <w:rPr>
          <w:rFonts w:ascii="Calibri" w:eastAsia="Calibri" w:hAnsi="Calibri" w:cs="Times New Roman"/>
        </w:rPr>
        <w:t>, as well as limitations</w:t>
      </w:r>
      <w:r w:rsidR="008977DA">
        <w:rPr>
          <w:rFonts w:ascii="Calibri" w:eastAsia="Calibri" w:hAnsi="Calibri" w:cs="Times New Roman"/>
        </w:rPr>
        <w:t xml:space="preserve">.   </w:t>
      </w:r>
    </w:p>
    <w:p w14:paraId="1F7F4037" w14:textId="77777777" w:rsidR="005077F1" w:rsidRDefault="005077F1" w:rsidP="00E06405">
      <w:pPr>
        <w:pStyle w:val="Thesisheading1"/>
        <w:sectPr w:rsidR="005077F1" w:rsidSect="005077F1">
          <w:footerReference w:type="default" r:id="rId26"/>
          <w:headerReference w:type="first" r:id="rId27"/>
          <w:footerReference w:type="first" r:id="rId28"/>
          <w:pgSz w:w="11906" w:h="16838"/>
          <w:pgMar w:top="1440" w:right="1440" w:bottom="1440" w:left="1440" w:header="708" w:footer="708" w:gutter="0"/>
          <w:cols w:space="708"/>
          <w:titlePg/>
          <w:docGrid w:linePitch="360"/>
        </w:sectPr>
      </w:pPr>
      <w:bookmarkStart w:id="281" w:name="_Toc445389232"/>
    </w:p>
    <w:p w14:paraId="4F6D7C92" w14:textId="2D4B47FE" w:rsidR="00E6060C" w:rsidRPr="00E6060C" w:rsidRDefault="00E6060C" w:rsidP="00554CE1">
      <w:pPr>
        <w:pStyle w:val="Heading1"/>
        <w:jc w:val="left"/>
      </w:pPr>
      <w:bookmarkStart w:id="282" w:name="_Toc468285992"/>
      <w:r w:rsidRPr="00E6060C">
        <w:lastRenderedPageBreak/>
        <w:t xml:space="preserve">Study 2 </w:t>
      </w:r>
      <w:r w:rsidRPr="002A6E71">
        <w:t>method</w:t>
      </w:r>
      <w:r w:rsidRPr="00E6060C">
        <w:t xml:space="preserve"> – A participatory </w:t>
      </w:r>
      <w:r w:rsidR="00554CE1">
        <w:t xml:space="preserve">action intervention to increase </w:t>
      </w:r>
      <w:r w:rsidRPr="00E6060C">
        <w:t>work engagement in nursing staff on acute elderly NHS wards</w:t>
      </w:r>
      <w:bookmarkEnd w:id="281"/>
      <w:bookmarkEnd w:id="282"/>
    </w:p>
    <w:p w14:paraId="3650C318" w14:textId="77777777" w:rsidR="00E6060C" w:rsidRPr="00E6060C" w:rsidRDefault="00E6060C" w:rsidP="00E6060C">
      <w:pPr>
        <w:spacing w:after="200" w:line="360" w:lineRule="auto"/>
        <w:contextualSpacing/>
        <w:rPr>
          <w:rFonts w:ascii="Calibri" w:eastAsia="Calibri" w:hAnsi="Calibri" w:cs="Times New Roman"/>
        </w:rPr>
      </w:pPr>
    </w:p>
    <w:p w14:paraId="53594DFA" w14:textId="77777777" w:rsidR="00E6060C" w:rsidRPr="00E6060C" w:rsidRDefault="00E6060C" w:rsidP="00E6060C">
      <w:pPr>
        <w:spacing w:after="200" w:line="360" w:lineRule="auto"/>
        <w:contextualSpacing/>
        <w:rPr>
          <w:rFonts w:ascii="Calibri" w:eastAsia="Calibri" w:hAnsi="Calibri" w:cs="Times New Roman"/>
        </w:rPr>
      </w:pPr>
    </w:p>
    <w:p w14:paraId="24115CFE" w14:textId="0E826CF8" w:rsidR="00E6060C" w:rsidRPr="00E6060C" w:rsidRDefault="00AD3813" w:rsidP="00E6060C">
      <w:pPr>
        <w:spacing w:after="200" w:line="360" w:lineRule="auto"/>
        <w:contextualSpacing/>
        <w:rPr>
          <w:rFonts w:ascii="Calibri" w:eastAsia="Calibri" w:hAnsi="Calibri" w:cs="Times New Roman"/>
        </w:rPr>
      </w:pPr>
      <w:r>
        <w:rPr>
          <w:rFonts w:ascii="Calibri" w:eastAsia="Calibri" w:hAnsi="Calibri" w:cs="Times New Roman"/>
        </w:rPr>
        <w:t>Chapter 4</w:t>
      </w:r>
      <w:r w:rsidR="00E6060C" w:rsidRPr="00E6060C">
        <w:rPr>
          <w:rFonts w:ascii="Calibri" w:eastAsia="Calibri" w:hAnsi="Calibri" w:cs="Times New Roman"/>
        </w:rPr>
        <w:t xml:space="preserve"> outlined the theory underlying participatory action research and the rationale for its use in an intervention to increase work engagement in nursing staff on acute elderly care wards in the NHS (Study 2). The chapter concluded with the two core aims of this research. This chapter presents in detail the method used to carry out and analyse this participatory action research intervention. </w:t>
      </w:r>
    </w:p>
    <w:p w14:paraId="01438838" w14:textId="77777777" w:rsidR="00E6060C" w:rsidRPr="00E6060C" w:rsidRDefault="00E6060C" w:rsidP="002A6E71">
      <w:bookmarkStart w:id="283" w:name="_Toc444684384"/>
      <w:bookmarkStart w:id="284" w:name="_Toc445389233"/>
      <w:bookmarkStart w:id="285" w:name="_Toc444684385"/>
      <w:bookmarkStart w:id="286" w:name="_Toc445389234"/>
      <w:bookmarkStart w:id="287" w:name="_Toc444684386"/>
      <w:bookmarkStart w:id="288" w:name="_Toc445389235"/>
      <w:bookmarkStart w:id="289" w:name="_Toc444684387"/>
      <w:bookmarkStart w:id="290" w:name="_Toc445389236"/>
      <w:bookmarkStart w:id="291" w:name="_Toc444684388"/>
      <w:bookmarkStart w:id="292" w:name="_Toc445389237"/>
      <w:bookmarkStart w:id="293" w:name="_Toc444684389"/>
      <w:bookmarkStart w:id="294" w:name="_Toc445389238"/>
      <w:bookmarkStart w:id="295" w:name="_Toc444684390"/>
      <w:bookmarkStart w:id="296" w:name="_Toc445389239"/>
      <w:bookmarkStart w:id="297" w:name="_Toc444684391"/>
      <w:bookmarkStart w:id="298" w:name="_Toc445389240"/>
      <w:bookmarkStart w:id="299" w:name="_Toc444684392"/>
      <w:bookmarkStart w:id="300" w:name="_Toc445389241"/>
      <w:bookmarkStart w:id="301" w:name="_Toc444684393"/>
      <w:bookmarkStart w:id="302" w:name="_Toc445389242"/>
      <w:bookmarkStart w:id="303" w:name="_Toc444684394"/>
      <w:bookmarkStart w:id="304" w:name="_Toc445389243"/>
      <w:bookmarkStart w:id="305" w:name="_Toc444684395"/>
      <w:bookmarkStart w:id="306" w:name="_Toc445389244"/>
      <w:bookmarkStart w:id="307" w:name="_Toc444684396"/>
      <w:bookmarkStart w:id="308" w:name="_Toc445389245"/>
      <w:bookmarkStart w:id="309" w:name="_Toc444684397"/>
      <w:bookmarkStart w:id="310" w:name="_Toc445389246"/>
      <w:bookmarkStart w:id="311" w:name="_Toc444684398"/>
      <w:bookmarkStart w:id="312" w:name="_Toc445389247"/>
      <w:bookmarkStart w:id="313" w:name="_Toc444684399"/>
      <w:bookmarkStart w:id="314" w:name="_Toc445389248"/>
      <w:bookmarkStart w:id="315" w:name="_Toc444684400"/>
      <w:bookmarkStart w:id="316" w:name="_Toc445389249"/>
      <w:bookmarkStart w:id="317" w:name="_Toc444684401"/>
      <w:bookmarkStart w:id="318" w:name="_Toc445389250"/>
      <w:bookmarkStart w:id="319" w:name="_Toc444684402"/>
      <w:bookmarkStart w:id="320" w:name="_Toc445389251"/>
      <w:bookmarkStart w:id="321" w:name="_Toc444684403"/>
      <w:bookmarkStart w:id="322" w:name="_Toc445389252"/>
      <w:bookmarkStart w:id="323" w:name="_Toc444684404"/>
      <w:bookmarkStart w:id="324" w:name="_Toc445389253"/>
      <w:bookmarkStart w:id="325" w:name="_Toc444684405"/>
      <w:bookmarkStart w:id="326" w:name="_Toc445389254"/>
      <w:bookmarkStart w:id="327" w:name="_Toc397071007"/>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6CD7DE0" w14:textId="6BC03021" w:rsidR="00E6060C" w:rsidRPr="002A6E71" w:rsidRDefault="00E6060C" w:rsidP="00B7614E">
      <w:pPr>
        <w:pStyle w:val="Thesisheading2"/>
      </w:pPr>
      <w:bookmarkStart w:id="328" w:name="_Toc445389256"/>
      <w:bookmarkStart w:id="329" w:name="_Toc468285993"/>
      <w:r w:rsidRPr="002A6E71">
        <w:t>Design</w:t>
      </w:r>
      <w:bookmarkEnd w:id="327"/>
      <w:bookmarkEnd w:id="328"/>
      <w:bookmarkEnd w:id="329"/>
    </w:p>
    <w:p w14:paraId="6462B053" w14:textId="77777777" w:rsidR="00E6060C" w:rsidRPr="00E6060C" w:rsidRDefault="00E6060C" w:rsidP="00E6060C">
      <w:pPr>
        <w:spacing w:after="200" w:line="360" w:lineRule="auto"/>
        <w:contextualSpacing/>
        <w:rPr>
          <w:rFonts w:ascii="Calibri" w:eastAsia="Calibri" w:hAnsi="Calibri" w:cs="Times New Roman"/>
        </w:rPr>
      </w:pPr>
    </w:p>
    <w:p w14:paraId="39133D1A" w14:textId="5A8AC69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 non-randomised, matched control group, pre-test, post-test quasi-experimental design was employed in which three acute elderly care wards within two hospitals of a large NHS Foundation Trust in the East Midlands participated in a participatory action intervention designed to increase the work engagement of nursing staff on acute elderly care wards. Staff from both intervention and control wards (8 wards in total) were invited to complete a question</w:t>
      </w:r>
      <w:r w:rsidR="00AD3813">
        <w:rPr>
          <w:rFonts w:ascii="Calibri" w:eastAsia="Calibri" w:hAnsi="Calibri" w:cs="Times New Roman"/>
        </w:rPr>
        <w:t>naire post-intervention (after nine</w:t>
      </w:r>
      <w:r w:rsidRPr="00E6060C">
        <w:rPr>
          <w:rFonts w:ascii="Calibri" w:eastAsia="Calibri" w:hAnsi="Calibri" w:cs="Times New Roman"/>
        </w:rPr>
        <w:t xml:space="preserve"> months). </w:t>
      </w:r>
    </w:p>
    <w:p w14:paraId="321BE19E" w14:textId="77777777" w:rsidR="00E6060C" w:rsidRPr="00E6060C" w:rsidRDefault="00E6060C" w:rsidP="00E6060C">
      <w:pPr>
        <w:spacing w:after="200" w:line="360" w:lineRule="auto"/>
        <w:contextualSpacing/>
        <w:rPr>
          <w:rFonts w:ascii="Calibri" w:eastAsia="Calibri" w:hAnsi="Calibri" w:cs="Times New Roman"/>
        </w:rPr>
      </w:pPr>
    </w:p>
    <w:p w14:paraId="72AB35B3" w14:textId="0BAE9592" w:rsidR="00E6060C" w:rsidRPr="002A6E71" w:rsidRDefault="00E6060C" w:rsidP="00B7614E">
      <w:pPr>
        <w:pStyle w:val="Thesisheading2"/>
        <w:rPr>
          <w:bCs/>
        </w:rPr>
      </w:pPr>
      <w:bookmarkStart w:id="330" w:name="_Toc397071008"/>
      <w:bookmarkStart w:id="331" w:name="_Toc445389257"/>
      <w:bookmarkStart w:id="332" w:name="_Toc468285994"/>
      <w:r w:rsidRPr="002A6E71">
        <w:t>Participant</w:t>
      </w:r>
      <w:bookmarkEnd w:id="330"/>
      <w:r w:rsidRPr="002A6E71">
        <w:t>s</w:t>
      </w:r>
      <w:bookmarkEnd w:id="331"/>
      <w:bookmarkEnd w:id="332"/>
    </w:p>
    <w:p w14:paraId="2D3802EC" w14:textId="77777777" w:rsidR="00E6060C" w:rsidRPr="00E6060C" w:rsidRDefault="00E6060C" w:rsidP="00E6060C">
      <w:pPr>
        <w:spacing w:after="200" w:line="360" w:lineRule="auto"/>
        <w:contextualSpacing/>
        <w:rPr>
          <w:rFonts w:ascii="Calibri" w:eastAsia="Calibri" w:hAnsi="Calibri" w:cs="Times New Roman"/>
        </w:rPr>
      </w:pPr>
    </w:p>
    <w:p w14:paraId="7B477174" w14:textId="77777777" w:rsidR="00E6060C" w:rsidRPr="00E6060C" w:rsidRDefault="00E6060C" w:rsidP="00E6060C">
      <w:pPr>
        <w:spacing w:after="200" w:line="360" w:lineRule="auto"/>
        <w:contextualSpacing/>
        <w:rPr>
          <w:rFonts w:ascii="Calibri" w:eastAsia="Calibri" w:hAnsi="Calibri" w:cs="Times New Roman"/>
          <w:i/>
        </w:rPr>
      </w:pPr>
      <w:r w:rsidRPr="00E6060C">
        <w:rPr>
          <w:rFonts w:ascii="Calibri" w:eastAsia="Calibri" w:hAnsi="Calibri" w:cs="Times New Roman"/>
          <w:i/>
        </w:rPr>
        <w:t>Characteristics of the intervention wards</w:t>
      </w:r>
    </w:p>
    <w:p w14:paraId="052704A6" w14:textId="77777777" w:rsidR="00AC4DD2" w:rsidRDefault="00AC4DD2" w:rsidP="00E6060C">
      <w:pPr>
        <w:spacing w:after="200" w:line="360" w:lineRule="auto"/>
        <w:contextualSpacing/>
        <w:rPr>
          <w:rFonts w:ascii="Calibri" w:eastAsia="Calibri" w:hAnsi="Calibri" w:cs="Times New Roman"/>
        </w:rPr>
      </w:pPr>
    </w:p>
    <w:p w14:paraId="7ED859E9" w14:textId="18F34F0A"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target population was nursing staff on acute elderly care wards in a large NHS Foundation Trust in the East Midlands. Six control research team wards and six intervention wards were recruited through careful and lengthy negotiation between the research team</w:t>
      </w:r>
      <w:r w:rsidR="00AD3813">
        <w:rPr>
          <w:rFonts w:ascii="Calibri" w:eastAsia="Calibri" w:hAnsi="Calibri" w:cs="Times New Roman"/>
        </w:rPr>
        <w:t>,</w:t>
      </w:r>
      <w:r w:rsidRPr="00E6060C">
        <w:rPr>
          <w:rFonts w:ascii="Calibri" w:eastAsia="Calibri" w:hAnsi="Calibri" w:cs="Times New Roman"/>
        </w:rPr>
        <w:t xml:space="preserve"> top management</w:t>
      </w:r>
      <w:r w:rsidR="00AD3813">
        <w:rPr>
          <w:rFonts w:ascii="Calibri" w:eastAsia="Calibri" w:hAnsi="Calibri" w:cs="Times New Roman"/>
        </w:rPr>
        <w:t>,</w:t>
      </w:r>
      <w:r w:rsidRPr="00E6060C">
        <w:rPr>
          <w:rFonts w:ascii="Calibri" w:eastAsia="Calibri" w:hAnsi="Calibri" w:cs="Times New Roman"/>
        </w:rPr>
        <w:t xml:space="preserve"> and nursing staff of the participating hospitals. These wards were matched as far as possible according to ward type and age of the patients (</w:t>
      </w:r>
      <w:r w:rsidR="00286B35">
        <w:rPr>
          <w:rFonts w:ascii="Calibri" w:eastAsia="Calibri" w:hAnsi="Calibri" w:cs="Times New Roman"/>
        </w:rPr>
        <w:fldChar w:fldCharType="begin"/>
      </w:r>
      <w:r w:rsidR="00286B35">
        <w:rPr>
          <w:rFonts w:ascii="Calibri" w:eastAsia="Calibri" w:hAnsi="Calibri" w:cs="Times New Roman"/>
        </w:rPr>
        <w:instrText xml:space="preserve"> REF _Ref453576705 \h </w:instrText>
      </w:r>
      <w:r w:rsidR="00286B35">
        <w:rPr>
          <w:rFonts w:ascii="Calibri" w:eastAsia="Calibri" w:hAnsi="Calibri" w:cs="Times New Roman"/>
        </w:rPr>
      </w:r>
      <w:r w:rsidR="00286B35">
        <w:rPr>
          <w:rFonts w:ascii="Calibri" w:eastAsia="Calibri" w:hAnsi="Calibri" w:cs="Times New Roman"/>
        </w:rPr>
        <w:fldChar w:fldCharType="separate"/>
      </w:r>
      <w:r w:rsidR="00152F6D">
        <w:t xml:space="preserve">Table </w:t>
      </w:r>
      <w:r w:rsidR="00152F6D">
        <w:rPr>
          <w:noProof/>
        </w:rPr>
        <w:t>7</w:t>
      </w:r>
      <w:r w:rsidR="00152F6D">
        <w:t>.</w:t>
      </w:r>
      <w:r w:rsidR="00152F6D">
        <w:rPr>
          <w:noProof/>
        </w:rPr>
        <w:t>1</w:t>
      </w:r>
      <w:r w:rsidR="00286B35">
        <w:rPr>
          <w:rFonts w:ascii="Calibri" w:eastAsia="Calibri" w:hAnsi="Calibri" w:cs="Times New Roman"/>
        </w:rPr>
        <w:fldChar w:fldCharType="end"/>
      </w:r>
      <w:r w:rsidR="00286B35">
        <w:rPr>
          <w:rFonts w:ascii="Calibri" w:eastAsia="Calibri" w:hAnsi="Calibri" w:cs="Times New Roman"/>
        </w:rPr>
        <w:t xml:space="preserve">). As indicated in </w:t>
      </w:r>
      <w:r w:rsidR="00286B35">
        <w:rPr>
          <w:rFonts w:ascii="Calibri" w:eastAsia="Calibri" w:hAnsi="Calibri" w:cs="Times New Roman"/>
        </w:rPr>
        <w:fldChar w:fldCharType="begin"/>
      </w:r>
      <w:r w:rsidR="00286B35">
        <w:rPr>
          <w:rFonts w:ascii="Calibri" w:eastAsia="Calibri" w:hAnsi="Calibri" w:cs="Times New Roman"/>
        </w:rPr>
        <w:instrText xml:space="preserve"> REF _Ref453576705 \h </w:instrText>
      </w:r>
      <w:r w:rsidR="00286B35">
        <w:rPr>
          <w:rFonts w:ascii="Calibri" w:eastAsia="Calibri" w:hAnsi="Calibri" w:cs="Times New Roman"/>
        </w:rPr>
      </w:r>
      <w:r w:rsidR="00286B35">
        <w:rPr>
          <w:rFonts w:ascii="Calibri" w:eastAsia="Calibri" w:hAnsi="Calibri" w:cs="Times New Roman"/>
        </w:rPr>
        <w:fldChar w:fldCharType="separate"/>
      </w:r>
      <w:r w:rsidR="00152F6D">
        <w:t xml:space="preserve">Table </w:t>
      </w:r>
      <w:r w:rsidR="00152F6D">
        <w:rPr>
          <w:noProof/>
        </w:rPr>
        <w:t>7</w:t>
      </w:r>
      <w:r w:rsidR="00152F6D">
        <w:t>.</w:t>
      </w:r>
      <w:r w:rsidR="00152F6D">
        <w:rPr>
          <w:noProof/>
        </w:rPr>
        <w:t>1</w:t>
      </w:r>
      <w:r w:rsidR="00286B35">
        <w:rPr>
          <w:rFonts w:ascii="Calibri" w:eastAsia="Calibri" w:hAnsi="Calibri" w:cs="Times New Roman"/>
        </w:rPr>
        <w:fldChar w:fldCharType="end"/>
      </w:r>
      <w:r w:rsidR="00286B35">
        <w:rPr>
          <w:rFonts w:ascii="Calibri" w:eastAsia="Calibri" w:hAnsi="Calibri" w:cs="Times New Roman"/>
        </w:rPr>
        <w:t>, t</w:t>
      </w:r>
      <w:r w:rsidRPr="00E6060C">
        <w:rPr>
          <w:rFonts w:ascii="Calibri" w:eastAsia="Calibri" w:hAnsi="Calibri" w:cs="Times New Roman"/>
        </w:rPr>
        <w:t>wo intervention wards</w:t>
      </w:r>
      <w:r w:rsidR="00AD3813">
        <w:rPr>
          <w:rFonts w:ascii="Calibri" w:eastAsia="Calibri" w:hAnsi="Calibri" w:cs="Times New Roman"/>
        </w:rPr>
        <w:t>,</w:t>
      </w:r>
      <w:r w:rsidRPr="00E6060C">
        <w:rPr>
          <w:rFonts w:ascii="Calibri" w:eastAsia="Calibri" w:hAnsi="Calibri" w:cs="Times New Roman"/>
        </w:rPr>
        <w:t xml:space="preserve"> and one control ward</w:t>
      </w:r>
      <w:r w:rsidR="00AD3813">
        <w:rPr>
          <w:rFonts w:ascii="Calibri" w:eastAsia="Calibri" w:hAnsi="Calibri" w:cs="Times New Roman"/>
        </w:rPr>
        <w:t>,</w:t>
      </w:r>
      <w:r w:rsidRPr="00E6060C">
        <w:rPr>
          <w:rFonts w:ascii="Calibri" w:eastAsia="Calibri" w:hAnsi="Calibri" w:cs="Times New Roman"/>
        </w:rPr>
        <w:t xml:space="preserve"> dropped out during the intervention, citing lack of time and resources</w:t>
      </w:r>
      <w:r w:rsidR="00286B35">
        <w:rPr>
          <w:rFonts w:ascii="Calibri" w:eastAsia="Calibri" w:hAnsi="Calibri" w:cs="Times New Roman"/>
        </w:rPr>
        <w:t>.</w:t>
      </w:r>
      <w:r w:rsidRPr="00E6060C">
        <w:rPr>
          <w:rFonts w:ascii="Calibri" w:eastAsia="Calibri" w:hAnsi="Calibri" w:cs="Times New Roman"/>
        </w:rPr>
        <w:t xml:space="preserve"> One intervention ward moved location approximately two months after the intervention began (end of December, 2014) and was subsequently closed around the time the intervention ended (end of May</w:t>
      </w:r>
      <w:r w:rsidR="00AD3813">
        <w:rPr>
          <w:rFonts w:ascii="Calibri" w:eastAsia="Calibri" w:hAnsi="Calibri" w:cs="Times New Roman"/>
        </w:rPr>
        <w:t>,</w:t>
      </w:r>
      <w:r w:rsidRPr="00E6060C">
        <w:rPr>
          <w:rFonts w:ascii="Calibri" w:eastAsia="Calibri" w:hAnsi="Calibri" w:cs="Times New Roman"/>
        </w:rPr>
        <w:t xml:space="preserve"> 2015), and the staff were redistributed to other wards. Characteristics of the remaining three intervention wards (A, B &amp; C) can be found in </w:t>
      </w:r>
      <w:r w:rsidR="00286B35">
        <w:rPr>
          <w:rFonts w:ascii="Calibri" w:eastAsia="Calibri" w:hAnsi="Calibri" w:cs="Times New Roman"/>
        </w:rPr>
        <w:fldChar w:fldCharType="begin"/>
      </w:r>
      <w:r w:rsidR="00286B35">
        <w:rPr>
          <w:rFonts w:ascii="Calibri" w:eastAsia="Calibri" w:hAnsi="Calibri" w:cs="Times New Roman"/>
        </w:rPr>
        <w:instrText xml:space="preserve"> REF _Ref453576782 \h </w:instrText>
      </w:r>
      <w:r w:rsidR="00286B35">
        <w:rPr>
          <w:rFonts w:ascii="Calibri" w:eastAsia="Calibri" w:hAnsi="Calibri" w:cs="Times New Roman"/>
        </w:rPr>
      </w:r>
      <w:r w:rsidR="00286B35">
        <w:rPr>
          <w:rFonts w:ascii="Calibri" w:eastAsia="Calibri" w:hAnsi="Calibri" w:cs="Times New Roman"/>
        </w:rPr>
        <w:fldChar w:fldCharType="separate"/>
      </w:r>
      <w:r w:rsidR="00152F6D">
        <w:t xml:space="preserve">Table </w:t>
      </w:r>
      <w:r w:rsidR="00152F6D">
        <w:rPr>
          <w:noProof/>
        </w:rPr>
        <w:t>7</w:t>
      </w:r>
      <w:r w:rsidR="00152F6D">
        <w:t>.</w:t>
      </w:r>
      <w:r w:rsidR="00152F6D">
        <w:rPr>
          <w:noProof/>
        </w:rPr>
        <w:t>2</w:t>
      </w:r>
      <w:r w:rsidR="00286B35">
        <w:rPr>
          <w:rFonts w:ascii="Calibri" w:eastAsia="Calibri" w:hAnsi="Calibri" w:cs="Times New Roman"/>
        </w:rPr>
        <w:fldChar w:fldCharType="end"/>
      </w:r>
      <w:r w:rsidRPr="00E6060C">
        <w:rPr>
          <w:rFonts w:ascii="Calibri" w:eastAsia="Calibri" w:hAnsi="Calibri" w:cs="Times New Roman"/>
        </w:rPr>
        <w:t xml:space="preserve">. It was not possible to obtain this data from the control wards. </w:t>
      </w:r>
    </w:p>
    <w:p w14:paraId="4FF8842F"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br w:type="page"/>
      </w:r>
    </w:p>
    <w:p w14:paraId="276BBB30" w14:textId="6AD6C175" w:rsidR="0035035C" w:rsidRDefault="0035035C" w:rsidP="005852AD">
      <w:pPr>
        <w:pStyle w:val="Figurestyle"/>
      </w:pPr>
      <w:bookmarkStart w:id="333" w:name="_Ref453576705"/>
      <w:bookmarkStart w:id="334" w:name="_Toc468286070"/>
      <w:r>
        <w:lastRenderedPageBreak/>
        <w:t xml:space="preserve">Table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w:t>
      </w:r>
      <w:r w:rsidR="00245D68">
        <w:rPr>
          <w:noProof/>
        </w:rPr>
        <w:fldChar w:fldCharType="end"/>
      </w:r>
      <w:bookmarkEnd w:id="333"/>
      <w:r>
        <w:t xml:space="preserve"> </w:t>
      </w:r>
      <w:r w:rsidRPr="00581E96">
        <w:t>A list of the intervention and matched control wards at baseline</w:t>
      </w:r>
      <w:bookmarkEnd w:id="334"/>
    </w:p>
    <w:p w14:paraId="20432F66" w14:textId="77777777" w:rsidR="0035035C" w:rsidRDefault="0035035C" w:rsidP="005852AD">
      <w:pPr>
        <w:pStyle w:val="Figurestyle"/>
      </w:pP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081"/>
        <w:gridCol w:w="3081"/>
      </w:tblGrid>
      <w:tr w:rsidR="00E6060C" w:rsidRPr="00E6060C" w14:paraId="38054AC1" w14:textId="77777777" w:rsidTr="00E6060C">
        <w:tc>
          <w:tcPr>
            <w:tcW w:w="959" w:type="dxa"/>
            <w:tcBorders>
              <w:top w:val="single" w:sz="4" w:space="0" w:color="auto"/>
              <w:bottom w:val="single" w:sz="4" w:space="0" w:color="auto"/>
            </w:tcBorders>
          </w:tcPr>
          <w:p w14:paraId="24B5BC1B" w14:textId="77777777" w:rsidR="00E6060C" w:rsidRPr="00E6060C" w:rsidRDefault="00E6060C" w:rsidP="00E6060C">
            <w:pPr>
              <w:spacing w:line="360" w:lineRule="auto"/>
              <w:contextualSpacing/>
              <w:rPr>
                <w:rFonts w:ascii="Calibri" w:eastAsia="Calibri" w:hAnsi="Calibri" w:cs="Times New Roman"/>
                <w:b/>
              </w:rPr>
            </w:pPr>
            <w:r w:rsidRPr="00E6060C">
              <w:rPr>
                <w:rFonts w:ascii="Calibri" w:eastAsia="Calibri" w:hAnsi="Calibri" w:cs="Times New Roman"/>
                <w:b/>
              </w:rPr>
              <w:t>Pair no.</w:t>
            </w:r>
          </w:p>
        </w:tc>
        <w:tc>
          <w:tcPr>
            <w:tcW w:w="3081" w:type="dxa"/>
            <w:tcBorders>
              <w:top w:val="single" w:sz="4" w:space="0" w:color="auto"/>
              <w:bottom w:val="single" w:sz="4" w:space="0" w:color="auto"/>
            </w:tcBorders>
          </w:tcPr>
          <w:p w14:paraId="6AFE11CD" w14:textId="77777777" w:rsidR="00E6060C" w:rsidRPr="00E6060C" w:rsidRDefault="00E6060C" w:rsidP="00E6060C">
            <w:pPr>
              <w:spacing w:line="360" w:lineRule="auto"/>
              <w:contextualSpacing/>
              <w:rPr>
                <w:rFonts w:ascii="Calibri" w:eastAsia="Calibri" w:hAnsi="Calibri" w:cs="Times New Roman"/>
                <w:b/>
              </w:rPr>
            </w:pPr>
            <w:r w:rsidRPr="00E6060C">
              <w:rPr>
                <w:rFonts w:ascii="Calibri" w:eastAsia="Calibri" w:hAnsi="Calibri" w:cs="Times New Roman"/>
                <w:b/>
              </w:rPr>
              <w:t>Intervention wards</w:t>
            </w:r>
          </w:p>
        </w:tc>
        <w:tc>
          <w:tcPr>
            <w:tcW w:w="3081" w:type="dxa"/>
            <w:tcBorders>
              <w:top w:val="single" w:sz="4" w:space="0" w:color="auto"/>
              <w:bottom w:val="single" w:sz="4" w:space="0" w:color="auto"/>
            </w:tcBorders>
          </w:tcPr>
          <w:p w14:paraId="2FFDD5F1" w14:textId="77777777" w:rsidR="00E6060C" w:rsidRPr="00E6060C" w:rsidRDefault="00E6060C" w:rsidP="00E6060C">
            <w:pPr>
              <w:spacing w:line="360" w:lineRule="auto"/>
              <w:contextualSpacing/>
              <w:rPr>
                <w:rFonts w:ascii="Calibri" w:eastAsia="Calibri" w:hAnsi="Calibri" w:cs="Times New Roman"/>
                <w:b/>
              </w:rPr>
            </w:pPr>
            <w:r w:rsidRPr="00E6060C">
              <w:rPr>
                <w:rFonts w:ascii="Calibri" w:eastAsia="Calibri" w:hAnsi="Calibri" w:cs="Times New Roman"/>
                <w:b/>
              </w:rPr>
              <w:t>Control wards</w:t>
            </w:r>
          </w:p>
        </w:tc>
      </w:tr>
      <w:tr w:rsidR="00E6060C" w:rsidRPr="00E6060C" w14:paraId="6B68972E" w14:textId="77777777" w:rsidTr="00E6060C">
        <w:tc>
          <w:tcPr>
            <w:tcW w:w="959" w:type="dxa"/>
            <w:tcBorders>
              <w:top w:val="single" w:sz="4" w:space="0" w:color="auto"/>
            </w:tcBorders>
          </w:tcPr>
          <w:p w14:paraId="3E119D8A"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1</w:t>
            </w:r>
          </w:p>
        </w:tc>
        <w:tc>
          <w:tcPr>
            <w:tcW w:w="3081" w:type="dxa"/>
            <w:tcBorders>
              <w:top w:val="single" w:sz="4" w:space="0" w:color="auto"/>
            </w:tcBorders>
          </w:tcPr>
          <w:p w14:paraId="44D57F4A"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Elderly Acute Frailty Unit (B, Table 7.2)</w:t>
            </w:r>
          </w:p>
        </w:tc>
        <w:tc>
          <w:tcPr>
            <w:tcW w:w="3081" w:type="dxa"/>
            <w:tcBorders>
              <w:top w:val="single" w:sz="4" w:space="0" w:color="auto"/>
            </w:tcBorders>
          </w:tcPr>
          <w:p w14:paraId="4D8110A6"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Medical Admissions Ward</w:t>
            </w:r>
          </w:p>
        </w:tc>
      </w:tr>
      <w:tr w:rsidR="00E6060C" w:rsidRPr="00E6060C" w14:paraId="30B45C1D" w14:textId="77777777" w:rsidTr="00E6060C">
        <w:tc>
          <w:tcPr>
            <w:tcW w:w="959" w:type="dxa"/>
          </w:tcPr>
          <w:p w14:paraId="267CA89D"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w:t>
            </w:r>
          </w:p>
        </w:tc>
        <w:tc>
          <w:tcPr>
            <w:tcW w:w="3081" w:type="dxa"/>
          </w:tcPr>
          <w:p w14:paraId="175D4DE7"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Female older people’s medicine ward (C, Table 7.2))</w:t>
            </w:r>
          </w:p>
        </w:tc>
        <w:tc>
          <w:tcPr>
            <w:tcW w:w="3081" w:type="dxa"/>
          </w:tcPr>
          <w:p w14:paraId="7182599A"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Female older people’s medicine ward</w:t>
            </w:r>
          </w:p>
        </w:tc>
      </w:tr>
      <w:tr w:rsidR="00E6060C" w:rsidRPr="00E6060C" w14:paraId="43A65EB9" w14:textId="77777777" w:rsidTr="00E6060C">
        <w:tc>
          <w:tcPr>
            <w:tcW w:w="959" w:type="dxa"/>
          </w:tcPr>
          <w:p w14:paraId="123E7F0F"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3</w:t>
            </w:r>
          </w:p>
        </w:tc>
        <w:tc>
          <w:tcPr>
            <w:tcW w:w="3081" w:type="dxa"/>
          </w:tcPr>
          <w:p w14:paraId="029D109C" w14:textId="7B681D0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Older peopl</w:t>
            </w:r>
            <w:r w:rsidR="00AD3813">
              <w:rPr>
                <w:rFonts w:ascii="Calibri" w:eastAsia="Calibri" w:hAnsi="Calibri" w:cs="Times New Roman"/>
              </w:rPr>
              <w:t xml:space="preserve">e arriving from A &amp; E, who </w:t>
            </w:r>
            <w:r w:rsidRPr="00E6060C">
              <w:rPr>
                <w:rFonts w:ascii="Calibri" w:eastAsia="Calibri" w:hAnsi="Calibri" w:cs="Times New Roman"/>
              </w:rPr>
              <w:t>receive an early intervention and quick discharge (A, Table 7.2)</w:t>
            </w:r>
          </w:p>
        </w:tc>
        <w:tc>
          <w:tcPr>
            <w:tcW w:w="3081" w:type="dxa"/>
          </w:tcPr>
          <w:p w14:paraId="5E92DFF3"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Medical Admission’s Ward</w:t>
            </w:r>
          </w:p>
        </w:tc>
      </w:tr>
      <w:tr w:rsidR="00E6060C" w:rsidRPr="00E6060C" w14:paraId="20DE9FAD" w14:textId="77777777" w:rsidTr="00E6060C">
        <w:tc>
          <w:tcPr>
            <w:tcW w:w="959" w:type="dxa"/>
          </w:tcPr>
          <w:p w14:paraId="608CA9D5"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4</w:t>
            </w:r>
          </w:p>
        </w:tc>
        <w:tc>
          <w:tcPr>
            <w:tcW w:w="3081" w:type="dxa"/>
          </w:tcPr>
          <w:p w14:paraId="0F5C4D4A"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*Female General Medicine ward (Diabetes)</w:t>
            </w:r>
          </w:p>
        </w:tc>
        <w:tc>
          <w:tcPr>
            <w:tcW w:w="3081" w:type="dxa"/>
          </w:tcPr>
          <w:p w14:paraId="630DBB7D"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Male older peoples’ medicine ward (Diabetes)</w:t>
            </w:r>
          </w:p>
        </w:tc>
      </w:tr>
      <w:tr w:rsidR="00E6060C" w:rsidRPr="00E6060C" w14:paraId="1F27F001" w14:textId="77777777" w:rsidTr="00E6060C">
        <w:tc>
          <w:tcPr>
            <w:tcW w:w="959" w:type="dxa"/>
          </w:tcPr>
          <w:p w14:paraId="17A06D97"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5</w:t>
            </w:r>
          </w:p>
        </w:tc>
        <w:tc>
          <w:tcPr>
            <w:tcW w:w="3081" w:type="dxa"/>
          </w:tcPr>
          <w:p w14:paraId="0099071C"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*Male older people’s medicine</w:t>
            </w:r>
          </w:p>
        </w:tc>
        <w:tc>
          <w:tcPr>
            <w:tcW w:w="3081" w:type="dxa"/>
          </w:tcPr>
          <w:p w14:paraId="09B27B11"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Female older people’s medicine ward</w:t>
            </w:r>
          </w:p>
        </w:tc>
      </w:tr>
      <w:tr w:rsidR="00E6060C" w:rsidRPr="00E6060C" w14:paraId="22E601BE" w14:textId="77777777" w:rsidTr="00E6060C">
        <w:tc>
          <w:tcPr>
            <w:tcW w:w="959" w:type="dxa"/>
          </w:tcPr>
          <w:p w14:paraId="5A2F1783"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6</w:t>
            </w:r>
          </w:p>
        </w:tc>
        <w:tc>
          <w:tcPr>
            <w:tcW w:w="3081" w:type="dxa"/>
          </w:tcPr>
          <w:p w14:paraId="5BA5E72D"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**Ward for patients fit for discharge and waiting to be transferred out</w:t>
            </w:r>
          </w:p>
        </w:tc>
        <w:tc>
          <w:tcPr>
            <w:tcW w:w="3081" w:type="dxa"/>
          </w:tcPr>
          <w:p w14:paraId="06A27EC5"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*Male older people’s medicine ward</w:t>
            </w:r>
          </w:p>
        </w:tc>
      </w:tr>
    </w:tbl>
    <w:p w14:paraId="6CDD9603"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rPr>
        <w:t>*Wards that dropped out of the intervention</w:t>
      </w:r>
    </w:p>
    <w:p w14:paraId="0BD0CF94"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rPr>
        <w:t>**Ward that was closed at the same time the intervention ended</w:t>
      </w:r>
    </w:p>
    <w:p w14:paraId="64B81630" w14:textId="77777777" w:rsidR="00E6060C" w:rsidRPr="00E6060C" w:rsidRDefault="00E6060C" w:rsidP="00E6060C">
      <w:pPr>
        <w:spacing w:after="200" w:line="240" w:lineRule="auto"/>
        <w:contextualSpacing/>
        <w:rPr>
          <w:rFonts w:ascii="Calibri" w:eastAsia="Calibri" w:hAnsi="Calibri" w:cs="Times New Roman"/>
          <w:i/>
        </w:rPr>
      </w:pPr>
    </w:p>
    <w:p w14:paraId="05381CD6"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br w:type="page"/>
      </w:r>
    </w:p>
    <w:p w14:paraId="54B6F8B6" w14:textId="77777777" w:rsidR="00E6060C" w:rsidRPr="00E6060C" w:rsidRDefault="00E6060C" w:rsidP="00E6060C">
      <w:pPr>
        <w:spacing w:after="200" w:line="360" w:lineRule="auto"/>
        <w:contextualSpacing/>
        <w:rPr>
          <w:rFonts w:ascii="Calibri" w:eastAsia="Calibri" w:hAnsi="Calibri" w:cs="Times New Roman"/>
        </w:rPr>
        <w:sectPr w:rsidR="00E6060C" w:rsidRPr="00E6060C" w:rsidSect="00C23D06">
          <w:pgSz w:w="11906" w:h="16838"/>
          <w:pgMar w:top="1440" w:right="1440" w:bottom="1440" w:left="1440" w:header="708" w:footer="708" w:gutter="0"/>
          <w:cols w:space="708"/>
          <w:titlePg/>
          <w:docGrid w:linePitch="360"/>
        </w:sectPr>
      </w:pPr>
    </w:p>
    <w:p w14:paraId="00E186DB" w14:textId="34ADCBB6" w:rsidR="0035035C" w:rsidRDefault="0035035C" w:rsidP="005852AD">
      <w:pPr>
        <w:pStyle w:val="Figurestyle"/>
      </w:pPr>
      <w:bookmarkStart w:id="335" w:name="_Ref453576782"/>
      <w:bookmarkStart w:id="336" w:name="_Toc468286071"/>
      <w:r>
        <w:lastRenderedPageBreak/>
        <w:t xml:space="preserve">Table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w:t>
      </w:r>
      <w:r w:rsidR="00245D68">
        <w:rPr>
          <w:noProof/>
        </w:rPr>
        <w:fldChar w:fldCharType="end"/>
      </w:r>
      <w:bookmarkEnd w:id="335"/>
      <w:r>
        <w:t xml:space="preserve"> </w:t>
      </w:r>
      <w:r w:rsidRPr="00720541">
        <w:t>Characteristics of the three intervention wards that completed the intervention</w:t>
      </w:r>
      <w:bookmarkEnd w:id="336"/>
    </w:p>
    <w:p w14:paraId="02B35CA2" w14:textId="77777777" w:rsidR="0035035C" w:rsidRDefault="0035035C" w:rsidP="005852AD">
      <w:pPr>
        <w:pStyle w:val="Figurestyle"/>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77"/>
        <w:gridCol w:w="2694"/>
        <w:gridCol w:w="2835"/>
      </w:tblGrid>
      <w:tr w:rsidR="00E6060C" w:rsidRPr="00E6060C" w14:paraId="15EE5036" w14:textId="77777777" w:rsidTr="00BB0757">
        <w:trPr>
          <w:trHeight w:val="259"/>
          <w:tblHeader/>
        </w:trPr>
        <w:tc>
          <w:tcPr>
            <w:tcW w:w="2830" w:type="dxa"/>
            <w:tcBorders>
              <w:top w:val="single" w:sz="4" w:space="0" w:color="auto"/>
              <w:bottom w:val="single" w:sz="4" w:space="0" w:color="auto"/>
            </w:tcBorders>
          </w:tcPr>
          <w:p w14:paraId="252B05F9" w14:textId="77777777" w:rsidR="00E6060C" w:rsidRPr="00E6060C" w:rsidRDefault="00E6060C" w:rsidP="008C1906">
            <w:pPr>
              <w:jc w:val="left"/>
              <w:rPr>
                <w:rFonts w:ascii="Calibri" w:hAnsi="Calibri" w:cs="Times New Roman"/>
                <w:b/>
                <w:bCs/>
              </w:rPr>
            </w:pPr>
            <w:r w:rsidRPr="00E6060C">
              <w:rPr>
                <w:rFonts w:ascii="Calibri" w:hAnsi="Calibri" w:cs="Times New Roman"/>
                <w:b/>
                <w:bCs/>
              </w:rPr>
              <w:t>Ward characteristics</w:t>
            </w:r>
          </w:p>
          <w:p w14:paraId="7E90E650" w14:textId="77777777" w:rsidR="00E6060C" w:rsidRPr="00E6060C" w:rsidRDefault="00E6060C" w:rsidP="008C1906">
            <w:pPr>
              <w:jc w:val="left"/>
              <w:rPr>
                <w:rFonts w:ascii="Calibri" w:hAnsi="Calibri" w:cs="Times New Roman"/>
                <w:bCs/>
              </w:rPr>
            </w:pPr>
          </w:p>
        </w:tc>
        <w:tc>
          <w:tcPr>
            <w:tcW w:w="2877" w:type="dxa"/>
            <w:tcBorders>
              <w:top w:val="single" w:sz="4" w:space="0" w:color="auto"/>
              <w:bottom w:val="single" w:sz="4" w:space="0" w:color="auto"/>
            </w:tcBorders>
          </w:tcPr>
          <w:p w14:paraId="17E0887F" w14:textId="77777777" w:rsidR="00E6060C" w:rsidRPr="00E6060C" w:rsidRDefault="00E6060C" w:rsidP="008C1906">
            <w:pPr>
              <w:jc w:val="left"/>
              <w:rPr>
                <w:rFonts w:ascii="Calibri" w:hAnsi="Calibri" w:cs="Calibri"/>
                <w:b/>
              </w:rPr>
            </w:pPr>
            <w:r w:rsidRPr="00E6060C">
              <w:rPr>
                <w:rFonts w:ascii="Calibri" w:hAnsi="Calibri" w:cs="Times New Roman"/>
                <w:b/>
              </w:rPr>
              <w:t>A</w:t>
            </w:r>
          </w:p>
        </w:tc>
        <w:tc>
          <w:tcPr>
            <w:tcW w:w="2694" w:type="dxa"/>
            <w:tcBorders>
              <w:top w:val="single" w:sz="4" w:space="0" w:color="auto"/>
              <w:bottom w:val="single" w:sz="4" w:space="0" w:color="auto"/>
            </w:tcBorders>
          </w:tcPr>
          <w:p w14:paraId="1BE12650" w14:textId="77777777" w:rsidR="00E6060C" w:rsidRPr="00E6060C" w:rsidRDefault="00E6060C" w:rsidP="008C1906">
            <w:pPr>
              <w:jc w:val="left"/>
              <w:rPr>
                <w:rFonts w:ascii="Calibri" w:hAnsi="Calibri" w:cs="Times New Roman"/>
                <w:b/>
              </w:rPr>
            </w:pPr>
            <w:r w:rsidRPr="00E6060C">
              <w:rPr>
                <w:rFonts w:ascii="Calibri" w:hAnsi="Calibri" w:cs="Times New Roman"/>
                <w:b/>
              </w:rPr>
              <w:t>B</w:t>
            </w:r>
          </w:p>
        </w:tc>
        <w:tc>
          <w:tcPr>
            <w:tcW w:w="2835" w:type="dxa"/>
            <w:tcBorders>
              <w:top w:val="single" w:sz="4" w:space="0" w:color="auto"/>
              <w:bottom w:val="single" w:sz="4" w:space="0" w:color="auto"/>
            </w:tcBorders>
          </w:tcPr>
          <w:p w14:paraId="27878B0E" w14:textId="77777777" w:rsidR="00E6060C" w:rsidRPr="00E6060C" w:rsidRDefault="00E6060C" w:rsidP="008C1906">
            <w:pPr>
              <w:jc w:val="left"/>
              <w:rPr>
                <w:rFonts w:ascii="Calibri" w:hAnsi="Calibri" w:cs="Times New Roman"/>
                <w:b/>
              </w:rPr>
            </w:pPr>
            <w:r w:rsidRPr="00E6060C">
              <w:rPr>
                <w:rFonts w:ascii="Calibri" w:hAnsi="Calibri" w:cs="Times New Roman"/>
                <w:b/>
              </w:rPr>
              <w:t>C</w:t>
            </w:r>
          </w:p>
        </w:tc>
      </w:tr>
      <w:tr w:rsidR="00E6060C" w:rsidRPr="00E6060C" w14:paraId="0D604769" w14:textId="77777777" w:rsidTr="00E6060C">
        <w:trPr>
          <w:trHeight w:val="259"/>
        </w:trPr>
        <w:tc>
          <w:tcPr>
            <w:tcW w:w="2830" w:type="dxa"/>
          </w:tcPr>
          <w:p w14:paraId="7287DCF7" w14:textId="77777777" w:rsidR="00E6060C" w:rsidRPr="00E6060C" w:rsidRDefault="00E6060C" w:rsidP="008C1906">
            <w:pPr>
              <w:jc w:val="left"/>
              <w:rPr>
                <w:rFonts w:ascii="Calibri" w:hAnsi="Calibri" w:cs="Times New Roman"/>
                <w:bCs/>
              </w:rPr>
            </w:pPr>
            <w:r w:rsidRPr="00E6060C">
              <w:rPr>
                <w:rFonts w:ascii="Calibri" w:hAnsi="Calibri" w:cs="Times New Roman"/>
                <w:bCs/>
              </w:rPr>
              <w:t>Patient group(s) on the ward</w:t>
            </w:r>
          </w:p>
        </w:tc>
        <w:tc>
          <w:tcPr>
            <w:tcW w:w="2877" w:type="dxa"/>
          </w:tcPr>
          <w:p w14:paraId="6134D628" w14:textId="77777777" w:rsidR="00E6060C" w:rsidRPr="00E6060C" w:rsidRDefault="00E6060C" w:rsidP="008C1906">
            <w:pPr>
              <w:jc w:val="left"/>
              <w:rPr>
                <w:rFonts w:ascii="Calibri" w:hAnsi="Calibri" w:cs="Arial"/>
              </w:rPr>
            </w:pPr>
            <w:r w:rsidRPr="00E6060C">
              <w:rPr>
                <w:rFonts w:ascii="Calibri" w:hAnsi="Calibri" w:cs="Arial"/>
              </w:rPr>
              <w:t>Mixed</w:t>
            </w:r>
          </w:p>
        </w:tc>
        <w:tc>
          <w:tcPr>
            <w:tcW w:w="2694" w:type="dxa"/>
          </w:tcPr>
          <w:p w14:paraId="4308A20F" w14:textId="77777777" w:rsidR="00E6060C" w:rsidRPr="00E6060C" w:rsidRDefault="00E6060C" w:rsidP="008C1906">
            <w:pPr>
              <w:jc w:val="left"/>
              <w:rPr>
                <w:rFonts w:ascii="Calibri" w:hAnsi="Calibri" w:cs="Times New Roman"/>
              </w:rPr>
            </w:pPr>
            <w:r w:rsidRPr="00E6060C">
              <w:rPr>
                <w:rFonts w:ascii="Calibri" w:hAnsi="Calibri" w:cs="Times New Roman"/>
              </w:rPr>
              <w:t>Acute frail admissions unit</w:t>
            </w:r>
          </w:p>
        </w:tc>
        <w:tc>
          <w:tcPr>
            <w:tcW w:w="2835" w:type="dxa"/>
          </w:tcPr>
          <w:p w14:paraId="3D3DF802" w14:textId="51AA3413" w:rsidR="00E6060C" w:rsidRPr="00E6060C" w:rsidRDefault="00E6060C" w:rsidP="008C1906">
            <w:pPr>
              <w:jc w:val="left"/>
              <w:rPr>
                <w:rFonts w:ascii="Calibri" w:hAnsi="Calibri" w:cs="Times New Roman"/>
              </w:rPr>
            </w:pPr>
            <w:r w:rsidRPr="00E6060C">
              <w:rPr>
                <w:rFonts w:ascii="Calibri" w:hAnsi="Calibri" w:cs="Times New Roman"/>
              </w:rPr>
              <w:t xml:space="preserve">Older People </w:t>
            </w:r>
            <w:r w:rsidR="00DA5DF8">
              <w:rPr>
                <w:rFonts w:ascii="Calibri" w:hAnsi="Calibri" w:cs="Times New Roman"/>
              </w:rPr>
              <w:t>–</w:t>
            </w:r>
            <w:r w:rsidRPr="00E6060C">
              <w:rPr>
                <w:rFonts w:ascii="Calibri" w:hAnsi="Calibri" w:cs="Times New Roman"/>
              </w:rPr>
              <w:t xml:space="preserve"> Female</w:t>
            </w:r>
          </w:p>
        </w:tc>
      </w:tr>
      <w:tr w:rsidR="00E6060C" w:rsidRPr="00E6060C" w14:paraId="6FD071D0" w14:textId="77777777" w:rsidTr="00E6060C">
        <w:trPr>
          <w:trHeight w:val="274"/>
        </w:trPr>
        <w:tc>
          <w:tcPr>
            <w:tcW w:w="2830" w:type="dxa"/>
          </w:tcPr>
          <w:p w14:paraId="75F486A1" w14:textId="77777777" w:rsidR="00E6060C" w:rsidRPr="00E6060C" w:rsidRDefault="00E6060C" w:rsidP="008C1906">
            <w:pPr>
              <w:jc w:val="left"/>
              <w:rPr>
                <w:rFonts w:ascii="Calibri" w:hAnsi="Calibri" w:cs="Times New Roman"/>
                <w:bCs/>
              </w:rPr>
            </w:pPr>
            <w:r w:rsidRPr="00E6060C">
              <w:rPr>
                <w:rFonts w:ascii="Calibri" w:hAnsi="Calibri" w:cs="Times New Roman"/>
                <w:bCs/>
              </w:rPr>
              <w:t>Total no. beds</w:t>
            </w:r>
          </w:p>
        </w:tc>
        <w:tc>
          <w:tcPr>
            <w:tcW w:w="2877" w:type="dxa"/>
          </w:tcPr>
          <w:p w14:paraId="40DDC33A" w14:textId="77777777" w:rsidR="00E6060C" w:rsidRPr="00E6060C" w:rsidRDefault="00E6060C" w:rsidP="008C1906">
            <w:pPr>
              <w:jc w:val="left"/>
              <w:rPr>
                <w:rFonts w:ascii="Calibri" w:hAnsi="Calibri" w:cs="Arial"/>
              </w:rPr>
            </w:pPr>
            <w:r w:rsidRPr="00E6060C">
              <w:rPr>
                <w:rFonts w:ascii="Calibri" w:hAnsi="Calibri" w:cs="Times New Roman"/>
              </w:rPr>
              <w:t>18</w:t>
            </w:r>
          </w:p>
        </w:tc>
        <w:tc>
          <w:tcPr>
            <w:tcW w:w="2694" w:type="dxa"/>
          </w:tcPr>
          <w:p w14:paraId="169761EA" w14:textId="77777777" w:rsidR="00E6060C" w:rsidRPr="00E6060C" w:rsidRDefault="00E6060C" w:rsidP="008C1906">
            <w:pPr>
              <w:jc w:val="left"/>
              <w:rPr>
                <w:rFonts w:ascii="Calibri" w:hAnsi="Calibri" w:cs="Times New Roman"/>
              </w:rPr>
            </w:pPr>
            <w:r w:rsidRPr="00E6060C">
              <w:rPr>
                <w:rFonts w:ascii="Calibri" w:hAnsi="Calibri" w:cs="Times New Roman"/>
              </w:rPr>
              <w:t>27</w:t>
            </w:r>
          </w:p>
        </w:tc>
        <w:tc>
          <w:tcPr>
            <w:tcW w:w="2835" w:type="dxa"/>
          </w:tcPr>
          <w:p w14:paraId="4893F951" w14:textId="77777777" w:rsidR="00E6060C" w:rsidRPr="00E6060C" w:rsidRDefault="00E6060C" w:rsidP="008C1906">
            <w:pPr>
              <w:jc w:val="left"/>
              <w:rPr>
                <w:rFonts w:ascii="Calibri" w:hAnsi="Calibri" w:cs="Times New Roman"/>
              </w:rPr>
            </w:pPr>
            <w:r w:rsidRPr="00E6060C">
              <w:rPr>
                <w:rFonts w:ascii="Calibri" w:hAnsi="Calibri" w:cs="Times New Roman"/>
              </w:rPr>
              <w:t>30</w:t>
            </w:r>
          </w:p>
        </w:tc>
      </w:tr>
      <w:tr w:rsidR="00E6060C" w:rsidRPr="00E6060C" w14:paraId="04029E68" w14:textId="77777777" w:rsidTr="00E6060C">
        <w:trPr>
          <w:trHeight w:val="274"/>
        </w:trPr>
        <w:tc>
          <w:tcPr>
            <w:tcW w:w="2830" w:type="dxa"/>
          </w:tcPr>
          <w:p w14:paraId="2AAB2D27" w14:textId="77777777" w:rsidR="00E6060C" w:rsidRPr="00E6060C" w:rsidRDefault="00E6060C" w:rsidP="008C1906">
            <w:pPr>
              <w:jc w:val="left"/>
              <w:rPr>
                <w:rFonts w:ascii="Calibri" w:hAnsi="Calibri" w:cs="Times New Roman"/>
                <w:bCs/>
              </w:rPr>
            </w:pPr>
            <w:r w:rsidRPr="00E6060C">
              <w:rPr>
                <w:rFonts w:ascii="Calibri" w:hAnsi="Calibri" w:cs="Times New Roman"/>
                <w:bCs/>
              </w:rPr>
              <w:t>No. full time staff</w:t>
            </w:r>
          </w:p>
        </w:tc>
        <w:tc>
          <w:tcPr>
            <w:tcW w:w="2877" w:type="dxa"/>
          </w:tcPr>
          <w:p w14:paraId="03EFFCED" w14:textId="77777777" w:rsidR="00E6060C" w:rsidRPr="00E6060C" w:rsidRDefault="00E6060C" w:rsidP="008C1906">
            <w:pPr>
              <w:jc w:val="left"/>
              <w:rPr>
                <w:rFonts w:ascii="Calibri" w:hAnsi="Calibri" w:cs="Arial"/>
              </w:rPr>
            </w:pPr>
            <w:r w:rsidRPr="00E6060C">
              <w:rPr>
                <w:rFonts w:ascii="Calibri" w:hAnsi="Calibri" w:cs="Times New Roman"/>
              </w:rPr>
              <w:t>17</w:t>
            </w:r>
          </w:p>
        </w:tc>
        <w:tc>
          <w:tcPr>
            <w:tcW w:w="2694" w:type="dxa"/>
          </w:tcPr>
          <w:p w14:paraId="28C6B5B7" w14:textId="77777777" w:rsidR="00E6060C" w:rsidRPr="00E6060C" w:rsidRDefault="00E6060C" w:rsidP="008C1906">
            <w:pPr>
              <w:jc w:val="left"/>
              <w:rPr>
                <w:rFonts w:ascii="Calibri" w:hAnsi="Calibri" w:cs="Times New Roman"/>
              </w:rPr>
            </w:pPr>
            <w:r w:rsidRPr="00E6060C">
              <w:rPr>
                <w:rFonts w:ascii="Calibri" w:hAnsi="Calibri" w:cs="Times New Roman"/>
              </w:rPr>
              <w:t>35</w:t>
            </w:r>
          </w:p>
        </w:tc>
        <w:tc>
          <w:tcPr>
            <w:tcW w:w="2835" w:type="dxa"/>
          </w:tcPr>
          <w:p w14:paraId="6A35E7FF" w14:textId="2845CB0B" w:rsidR="00E6060C" w:rsidRPr="00E6060C" w:rsidRDefault="007578AF" w:rsidP="008C1906">
            <w:pPr>
              <w:jc w:val="left"/>
              <w:rPr>
                <w:rFonts w:ascii="Calibri" w:hAnsi="Calibri" w:cs="Arial"/>
              </w:rPr>
            </w:pPr>
            <w:r>
              <w:rPr>
                <w:rFonts w:ascii="Calibri" w:hAnsi="Calibri" w:cs="Times New Roman"/>
              </w:rPr>
              <w:t>16 FT trained</w:t>
            </w:r>
          </w:p>
          <w:p w14:paraId="31121C85" w14:textId="77777777" w:rsidR="00E6060C" w:rsidRPr="00E6060C" w:rsidRDefault="00E6060C" w:rsidP="008C1906">
            <w:pPr>
              <w:jc w:val="left"/>
              <w:rPr>
                <w:rFonts w:ascii="Calibri" w:hAnsi="Calibri" w:cs="Times New Roman"/>
              </w:rPr>
            </w:pPr>
            <w:r w:rsidRPr="00E6060C">
              <w:rPr>
                <w:rFonts w:ascii="Calibri" w:hAnsi="Calibri" w:cs="Times New Roman"/>
              </w:rPr>
              <w:t>13 FT HCA’s</w:t>
            </w:r>
          </w:p>
          <w:p w14:paraId="1EDCEFF6" w14:textId="77777777" w:rsidR="00E6060C" w:rsidRPr="00E6060C" w:rsidRDefault="00E6060C" w:rsidP="008C1906">
            <w:pPr>
              <w:jc w:val="left"/>
              <w:rPr>
                <w:rFonts w:ascii="Calibri" w:hAnsi="Calibri" w:cs="Times New Roman"/>
              </w:rPr>
            </w:pPr>
            <w:r w:rsidRPr="00E6060C">
              <w:rPr>
                <w:rFonts w:ascii="Calibri" w:hAnsi="Calibri" w:cs="Times New Roman"/>
              </w:rPr>
              <w:t>1 Ward Clerk</w:t>
            </w:r>
          </w:p>
          <w:p w14:paraId="1CEE7B73" w14:textId="77777777" w:rsidR="00E6060C" w:rsidRPr="00E6060C" w:rsidRDefault="00E6060C" w:rsidP="008C1906">
            <w:pPr>
              <w:jc w:val="left"/>
              <w:rPr>
                <w:rFonts w:ascii="Calibri" w:hAnsi="Calibri" w:cs="Times New Roman"/>
              </w:rPr>
            </w:pPr>
          </w:p>
        </w:tc>
      </w:tr>
      <w:tr w:rsidR="00E6060C" w:rsidRPr="00E6060C" w14:paraId="7FCA53BC" w14:textId="77777777" w:rsidTr="00E6060C">
        <w:trPr>
          <w:trHeight w:val="259"/>
        </w:trPr>
        <w:tc>
          <w:tcPr>
            <w:tcW w:w="2830" w:type="dxa"/>
          </w:tcPr>
          <w:p w14:paraId="7383B506" w14:textId="77777777" w:rsidR="00E6060C" w:rsidRPr="00E6060C" w:rsidRDefault="00E6060C" w:rsidP="008C1906">
            <w:pPr>
              <w:jc w:val="left"/>
              <w:rPr>
                <w:rFonts w:ascii="Calibri" w:hAnsi="Calibri" w:cs="Times New Roman"/>
                <w:bCs/>
              </w:rPr>
            </w:pPr>
            <w:r w:rsidRPr="00E6060C">
              <w:rPr>
                <w:rFonts w:ascii="Calibri" w:hAnsi="Calibri" w:cs="Times New Roman"/>
                <w:bCs/>
              </w:rPr>
              <w:t>No. part time staff</w:t>
            </w:r>
          </w:p>
        </w:tc>
        <w:tc>
          <w:tcPr>
            <w:tcW w:w="2877" w:type="dxa"/>
          </w:tcPr>
          <w:p w14:paraId="1EC49EB1" w14:textId="77777777" w:rsidR="00E6060C" w:rsidRPr="00E6060C" w:rsidRDefault="00E6060C" w:rsidP="008C1906">
            <w:pPr>
              <w:jc w:val="left"/>
              <w:rPr>
                <w:rFonts w:ascii="Calibri" w:hAnsi="Calibri" w:cs="Arial"/>
              </w:rPr>
            </w:pPr>
            <w:r w:rsidRPr="00E6060C">
              <w:rPr>
                <w:rFonts w:ascii="Calibri" w:hAnsi="Calibri" w:cs="Times New Roman"/>
              </w:rPr>
              <w:t>9</w:t>
            </w:r>
          </w:p>
        </w:tc>
        <w:tc>
          <w:tcPr>
            <w:tcW w:w="2694" w:type="dxa"/>
          </w:tcPr>
          <w:p w14:paraId="7808BB59" w14:textId="77777777" w:rsidR="00E6060C" w:rsidRPr="00E6060C" w:rsidRDefault="00E6060C" w:rsidP="008C1906">
            <w:pPr>
              <w:jc w:val="left"/>
              <w:rPr>
                <w:rFonts w:ascii="Calibri" w:hAnsi="Calibri" w:cs="Times New Roman"/>
              </w:rPr>
            </w:pPr>
            <w:r w:rsidRPr="00E6060C">
              <w:rPr>
                <w:rFonts w:ascii="Calibri" w:hAnsi="Calibri" w:cs="Times New Roman"/>
              </w:rPr>
              <w:t>5</w:t>
            </w:r>
          </w:p>
        </w:tc>
        <w:tc>
          <w:tcPr>
            <w:tcW w:w="2835" w:type="dxa"/>
          </w:tcPr>
          <w:p w14:paraId="02083761" w14:textId="4204A946" w:rsidR="00E6060C" w:rsidRPr="00E6060C" w:rsidRDefault="007578AF" w:rsidP="008C1906">
            <w:pPr>
              <w:jc w:val="left"/>
              <w:rPr>
                <w:rFonts w:ascii="Calibri" w:hAnsi="Calibri" w:cs="Arial"/>
              </w:rPr>
            </w:pPr>
            <w:r>
              <w:rPr>
                <w:rFonts w:ascii="Calibri" w:hAnsi="Calibri" w:cs="Times New Roman"/>
              </w:rPr>
              <w:t>4 PT trained</w:t>
            </w:r>
          </w:p>
          <w:p w14:paraId="10412309" w14:textId="77777777" w:rsidR="00E6060C" w:rsidRPr="00E6060C" w:rsidRDefault="00E6060C" w:rsidP="008C1906">
            <w:pPr>
              <w:jc w:val="left"/>
              <w:rPr>
                <w:rFonts w:ascii="Calibri" w:hAnsi="Calibri" w:cs="Times New Roman"/>
              </w:rPr>
            </w:pPr>
            <w:r w:rsidRPr="00E6060C">
              <w:rPr>
                <w:rFonts w:ascii="Calibri" w:hAnsi="Calibri" w:cs="Times New Roman"/>
              </w:rPr>
              <w:t>4 PT HCA’s</w:t>
            </w:r>
          </w:p>
          <w:p w14:paraId="2DE9DCDA" w14:textId="77777777" w:rsidR="00E6060C" w:rsidRPr="00E6060C" w:rsidRDefault="00E6060C" w:rsidP="008C1906">
            <w:pPr>
              <w:jc w:val="left"/>
              <w:rPr>
                <w:rFonts w:ascii="Calibri" w:hAnsi="Calibri" w:cs="Times New Roman"/>
              </w:rPr>
            </w:pPr>
            <w:r w:rsidRPr="00E6060C">
              <w:rPr>
                <w:rFonts w:ascii="Calibri" w:hAnsi="Calibri" w:cs="Times New Roman"/>
              </w:rPr>
              <w:t>2 PT House Keepers</w:t>
            </w:r>
          </w:p>
        </w:tc>
      </w:tr>
      <w:tr w:rsidR="00E6060C" w:rsidRPr="00E6060C" w14:paraId="6303561F" w14:textId="77777777" w:rsidTr="00E6060C">
        <w:trPr>
          <w:trHeight w:val="274"/>
        </w:trPr>
        <w:tc>
          <w:tcPr>
            <w:tcW w:w="2830" w:type="dxa"/>
          </w:tcPr>
          <w:p w14:paraId="0FFB4A83" w14:textId="77777777" w:rsidR="00E6060C" w:rsidRPr="00E6060C" w:rsidRDefault="00E6060C" w:rsidP="008C1906">
            <w:pPr>
              <w:jc w:val="left"/>
              <w:rPr>
                <w:rFonts w:ascii="Calibri" w:hAnsi="Calibri" w:cs="Times New Roman"/>
                <w:bCs/>
              </w:rPr>
            </w:pPr>
            <w:r w:rsidRPr="00E6060C">
              <w:rPr>
                <w:rFonts w:ascii="Calibri" w:hAnsi="Calibri" w:cs="Times New Roman"/>
                <w:bCs/>
              </w:rPr>
              <w:t>Total no. staff</w:t>
            </w:r>
          </w:p>
        </w:tc>
        <w:tc>
          <w:tcPr>
            <w:tcW w:w="2877" w:type="dxa"/>
          </w:tcPr>
          <w:p w14:paraId="366636C4" w14:textId="77777777" w:rsidR="00E6060C" w:rsidRPr="00E6060C" w:rsidRDefault="00E6060C" w:rsidP="008C1906">
            <w:pPr>
              <w:jc w:val="left"/>
              <w:rPr>
                <w:rFonts w:ascii="Calibri" w:hAnsi="Calibri" w:cs="Arial"/>
              </w:rPr>
            </w:pPr>
            <w:r w:rsidRPr="00E6060C">
              <w:rPr>
                <w:rFonts w:ascii="Calibri" w:hAnsi="Calibri" w:cs="Times New Roman"/>
              </w:rPr>
              <w:t>26</w:t>
            </w:r>
          </w:p>
        </w:tc>
        <w:tc>
          <w:tcPr>
            <w:tcW w:w="2694" w:type="dxa"/>
          </w:tcPr>
          <w:p w14:paraId="0A4FD95E" w14:textId="77777777" w:rsidR="00E6060C" w:rsidRPr="00E6060C" w:rsidRDefault="00E6060C" w:rsidP="008C1906">
            <w:pPr>
              <w:jc w:val="left"/>
              <w:rPr>
                <w:rFonts w:ascii="Calibri" w:hAnsi="Calibri" w:cs="Times New Roman"/>
              </w:rPr>
            </w:pPr>
            <w:r w:rsidRPr="00E6060C">
              <w:rPr>
                <w:rFonts w:ascii="Calibri" w:hAnsi="Calibri" w:cs="Times New Roman"/>
              </w:rPr>
              <w:t>40</w:t>
            </w:r>
          </w:p>
        </w:tc>
        <w:tc>
          <w:tcPr>
            <w:tcW w:w="2835" w:type="dxa"/>
          </w:tcPr>
          <w:p w14:paraId="3452AEA9" w14:textId="77777777" w:rsidR="00E6060C" w:rsidRPr="00E6060C" w:rsidRDefault="00E6060C" w:rsidP="008C1906">
            <w:pPr>
              <w:jc w:val="left"/>
              <w:rPr>
                <w:rFonts w:ascii="Calibri" w:hAnsi="Calibri" w:cs="Times New Roman"/>
              </w:rPr>
            </w:pPr>
            <w:r w:rsidRPr="00E6060C">
              <w:rPr>
                <w:rFonts w:ascii="Calibri" w:hAnsi="Calibri" w:cs="Times New Roman"/>
              </w:rPr>
              <w:t>40</w:t>
            </w:r>
          </w:p>
        </w:tc>
      </w:tr>
      <w:tr w:rsidR="00E6060C" w:rsidRPr="00E6060C" w14:paraId="437D344A" w14:textId="77777777" w:rsidTr="00E6060C">
        <w:trPr>
          <w:trHeight w:val="274"/>
        </w:trPr>
        <w:tc>
          <w:tcPr>
            <w:tcW w:w="2830" w:type="dxa"/>
          </w:tcPr>
          <w:p w14:paraId="120BBD1B" w14:textId="77777777" w:rsidR="00E6060C" w:rsidRPr="00E6060C" w:rsidRDefault="00E6060C" w:rsidP="008C1906">
            <w:pPr>
              <w:jc w:val="left"/>
              <w:rPr>
                <w:rFonts w:ascii="Calibri" w:hAnsi="Calibri" w:cs="Times New Roman"/>
                <w:bCs/>
              </w:rPr>
            </w:pPr>
            <w:r w:rsidRPr="00E6060C">
              <w:rPr>
                <w:rFonts w:ascii="Calibri" w:hAnsi="Calibri" w:cs="Times New Roman"/>
                <w:bCs/>
              </w:rPr>
              <w:t xml:space="preserve">Ward leadership / management – who manages shifts / the wards generally (job title)? Hierarchical diagram of staff positions available? </w:t>
            </w:r>
          </w:p>
        </w:tc>
        <w:tc>
          <w:tcPr>
            <w:tcW w:w="2877" w:type="dxa"/>
          </w:tcPr>
          <w:p w14:paraId="6762601D"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Ward Sister </w:t>
            </w:r>
          </w:p>
          <w:p w14:paraId="440E384A" w14:textId="77777777" w:rsidR="00E6060C" w:rsidRPr="00E6060C" w:rsidRDefault="00E6060C" w:rsidP="008C1906">
            <w:pPr>
              <w:jc w:val="left"/>
              <w:rPr>
                <w:rFonts w:ascii="Calibri" w:hAnsi="Calibri" w:cs="Arial"/>
              </w:rPr>
            </w:pPr>
            <w:r w:rsidRPr="00E6060C">
              <w:rPr>
                <w:rFonts w:ascii="Calibri" w:hAnsi="Calibri" w:cs="Times New Roman"/>
              </w:rPr>
              <w:t xml:space="preserve">Deputy Sister </w:t>
            </w:r>
          </w:p>
          <w:p w14:paraId="70923D1B" w14:textId="77777777" w:rsidR="00E6060C" w:rsidRPr="00E6060C" w:rsidRDefault="00E6060C" w:rsidP="008C1906">
            <w:pPr>
              <w:jc w:val="left"/>
              <w:rPr>
                <w:rFonts w:ascii="Calibri" w:hAnsi="Calibri" w:cs="Calibri"/>
              </w:rPr>
            </w:pPr>
            <w:r w:rsidRPr="00E6060C">
              <w:rPr>
                <w:rFonts w:ascii="Calibri" w:hAnsi="Calibri" w:cs="Times New Roman"/>
              </w:rPr>
              <w:t>Senior nurses</w:t>
            </w:r>
          </w:p>
          <w:p w14:paraId="353F26ED" w14:textId="77777777" w:rsidR="00E6060C" w:rsidRPr="00E6060C" w:rsidRDefault="00E6060C" w:rsidP="008C1906">
            <w:pPr>
              <w:jc w:val="left"/>
              <w:rPr>
                <w:rFonts w:ascii="Calibri" w:hAnsi="Calibri" w:cs="Arial"/>
              </w:rPr>
            </w:pPr>
            <w:r w:rsidRPr="00E6060C">
              <w:rPr>
                <w:rFonts w:ascii="Calibri" w:hAnsi="Calibri" w:cs="Times New Roman"/>
              </w:rPr>
              <w:t>Staff nurses</w:t>
            </w:r>
          </w:p>
        </w:tc>
        <w:tc>
          <w:tcPr>
            <w:tcW w:w="2694" w:type="dxa"/>
          </w:tcPr>
          <w:p w14:paraId="52C51E26" w14:textId="77777777" w:rsidR="00E6060C" w:rsidRPr="00E6060C" w:rsidRDefault="00E6060C" w:rsidP="008C1906">
            <w:pPr>
              <w:jc w:val="left"/>
              <w:rPr>
                <w:rFonts w:ascii="Calibri" w:hAnsi="Calibri" w:cs="Times New Roman"/>
              </w:rPr>
            </w:pPr>
            <w:r w:rsidRPr="00E6060C">
              <w:rPr>
                <w:rFonts w:ascii="Calibri" w:hAnsi="Calibri" w:cs="Times New Roman"/>
              </w:rPr>
              <w:t>Ward Sister</w:t>
            </w:r>
          </w:p>
          <w:p w14:paraId="6F227FA7"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 5.5 Deputy Sisters </w:t>
            </w:r>
          </w:p>
        </w:tc>
        <w:tc>
          <w:tcPr>
            <w:tcW w:w="2835" w:type="dxa"/>
          </w:tcPr>
          <w:p w14:paraId="1988206F" w14:textId="77777777" w:rsidR="00E6060C" w:rsidRPr="00E6060C" w:rsidRDefault="00E6060C" w:rsidP="008C1906">
            <w:pPr>
              <w:jc w:val="left"/>
              <w:rPr>
                <w:rFonts w:ascii="Calibri" w:hAnsi="Calibri" w:cs="Arial"/>
              </w:rPr>
            </w:pPr>
            <w:r w:rsidRPr="00E6060C">
              <w:rPr>
                <w:rFonts w:ascii="Calibri" w:hAnsi="Calibri" w:cs="Times New Roman"/>
              </w:rPr>
              <w:t>Ward Sister x1</w:t>
            </w:r>
          </w:p>
          <w:p w14:paraId="1650F20E" w14:textId="77777777" w:rsidR="00E6060C" w:rsidRPr="00E6060C" w:rsidRDefault="00E6060C" w:rsidP="008C1906">
            <w:pPr>
              <w:jc w:val="left"/>
              <w:rPr>
                <w:rFonts w:ascii="Calibri" w:hAnsi="Calibri" w:cs="Times New Roman"/>
              </w:rPr>
            </w:pPr>
            <w:r w:rsidRPr="00E6060C">
              <w:rPr>
                <w:rFonts w:ascii="Calibri" w:hAnsi="Calibri" w:cs="Times New Roman"/>
              </w:rPr>
              <w:t>Deputy Sister x2</w:t>
            </w:r>
          </w:p>
          <w:p w14:paraId="3A62D19D" w14:textId="77777777" w:rsidR="00E6060C" w:rsidRPr="00E6060C" w:rsidRDefault="00E6060C" w:rsidP="008C1906">
            <w:pPr>
              <w:jc w:val="left"/>
              <w:rPr>
                <w:rFonts w:ascii="Calibri" w:hAnsi="Calibri" w:cs="Times New Roman"/>
              </w:rPr>
            </w:pPr>
            <w:r w:rsidRPr="00E6060C">
              <w:rPr>
                <w:rFonts w:ascii="Calibri" w:hAnsi="Calibri" w:cs="Times New Roman"/>
              </w:rPr>
              <w:t>Staff Nurse</w:t>
            </w:r>
          </w:p>
          <w:p w14:paraId="7C10354B" w14:textId="77777777" w:rsidR="00E6060C" w:rsidRPr="00E6060C" w:rsidRDefault="00E6060C" w:rsidP="008C1906">
            <w:pPr>
              <w:jc w:val="left"/>
              <w:rPr>
                <w:rFonts w:ascii="Calibri" w:hAnsi="Calibri" w:cs="Times New Roman"/>
              </w:rPr>
            </w:pPr>
            <w:r w:rsidRPr="00E6060C">
              <w:rPr>
                <w:rFonts w:ascii="Calibri" w:hAnsi="Calibri" w:cs="Times New Roman"/>
              </w:rPr>
              <w:t>Nurse in Charge</w:t>
            </w:r>
          </w:p>
          <w:p w14:paraId="14D98678" w14:textId="77777777" w:rsidR="00E6060C" w:rsidRPr="00E6060C" w:rsidRDefault="00E6060C" w:rsidP="008C1906">
            <w:pPr>
              <w:jc w:val="left"/>
              <w:rPr>
                <w:rFonts w:ascii="Calibri" w:hAnsi="Calibri" w:cs="Times New Roman"/>
              </w:rPr>
            </w:pPr>
            <w:r w:rsidRPr="00E6060C">
              <w:rPr>
                <w:rFonts w:ascii="Calibri" w:hAnsi="Calibri" w:cs="Times New Roman"/>
              </w:rPr>
              <w:t>Discharge Coordinator</w:t>
            </w:r>
          </w:p>
          <w:p w14:paraId="780865C2" w14:textId="77777777" w:rsidR="00E6060C" w:rsidRPr="00E6060C" w:rsidRDefault="00E6060C" w:rsidP="008C1906">
            <w:pPr>
              <w:jc w:val="left"/>
              <w:rPr>
                <w:rFonts w:ascii="Calibri" w:hAnsi="Calibri" w:cs="Times New Roman"/>
              </w:rPr>
            </w:pPr>
            <w:r w:rsidRPr="00E6060C">
              <w:rPr>
                <w:rFonts w:ascii="Calibri" w:hAnsi="Calibri" w:cs="Times New Roman"/>
              </w:rPr>
              <w:t>HCA</w:t>
            </w:r>
          </w:p>
          <w:p w14:paraId="7534BE35" w14:textId="77777777" w:rsidR="00E6060C" w:rsidRPr="00E6060C" w:rsidRDefault="00E6060C" w:rsidP="008C1906">
            <w:pPr>
              <w:jc w:val="left"/>
              <w:rPr>
                <w:rFonts w:ascii="Calibri" w:hAnsi="Calibri" w:cs="Times New Roman"/>
              </w:rPr>
            </w:pPr>
            <w:r w:rsidRPr="00E6060C">
              <w:rPr>
                <w:rFonts w:ascii="Calibri" w:hAnsi="Calibri" w:cs="Times New Roman"/>
              </w:rPr>
              <w:t>House Keeper</w:t>
            </w:r>
          </w:p>
          <w:p w14:paraId="0371E57A" w14:textId="77777777" w:rsidR="00E6060C" w:rsidRPr="00E6060C" w:rsidRDefault="00E6060C" w:rsidP="008C1906">
            <w:pPr>
              <w:jc w:val="left"/>
              <w:rPr>
                <w:rFonts w:ascii="Calibri" w:hAnsi="Calibri" w:cs="Times New Roman"/>
              </w:rPr>
            </w:pPr>
            <w:r w:rsidRPr="00E6060C">
              <w:rPr>
                <w:rFonts w:ascii="Calibri" w:hAnsi="Calibri" w:cs="Times New Roman"/>
              </w:rPr>
              <w:t>Ward Clerk</w:t>
            </w:r>
          </w:p>
        </w:tc>
      </w:tr>
      <w:tr w:rsidR="00E6060C" w:rsidRPr="00E6060C" w14:paraId="4BBE6082" w14:textId="77777777" w:rsidTr="00E6060C">
        <w:trPr>
          <w:trHeight w:val="274"/>
        </w:trPr>
        <w:tc>
          <w:tcPr>
            <w:tcW w:w="2830" w:type="dxa"/>
          </w:tcPr>
          <w:p w14:paraId="354BD2D9" w14:textId="77777777" w:rsidR="00E6060C" w:rsidRPr="00E6060C" w:rsidRDefault="00E6060C" w:rsidP="008C1906">
            <w:pPr>
              <w:jc w:val="left"/>
              <w:rPr>
                <w:rFonts w:ascii="Calibri" w:hAnsi="Calibri" w:cs="Times New Roman"/>
                <w:bCs/>
              </w:rPr>
            </w:pPr>
            <w:r w:rsidRPr="00E6060C">
              <w:rPr>
                <w:rFonts w:ascii="Calibri" w:hAnsi="Calibri" w:cs="Times New Roman"/>
                <w:bCs/>
              </w:rPr>
              <w:t>Average staff turnover level</w:t>
            </w:r>
          </w:p>
        </w:tc>
        <w:tc>
          <w:tcPr>
            <w:tcW w:w="2877" w:type="dxa"/>
          </w:tcPr>
          <w:p w14:paraId="38E4B21D" w14:textId="77777777" w:rsidR="00E6060C" w:rsidRPr="00E6060C" w:rsidRDefault="00E6060C" w:rsidP="008C1906">
            <w:pPr>
              <w:jc w:val="left"/>
              <w:rPr>
                <w:rFonts w:ascii="Calibri" w:hAnsi="Calibri" w:cs="Arial"/>
              </w:rPr>
            </w:pPr>
            <w:r w:rsidRPr="00E6060C">
              <w:rPr>
                <w:rFonts w:ascii="Calibri" w:hAnsi="Calibri" w:cs="Arial"/>
              </w:rPr>
              <w:t>Not known</w:t>
            </w:r>
          </w:p>
        </w:tc>
        <w:tc>
          <w:tcPr>
            <w:tcW w:w="2694" w:type="dxa"/>
          </w:tcPr>
          <w:p w14:paraId="3891CFDD" w14:textId="77777777" w:rsidR="00E6060C" w:rsidRPr="00E6060C" w:rsidRDefault="00E6060C" w:rsidP="008C1906">
            <w:pPr>
              <w:jc w:val="left"/>
              <w:rPr>
                <w:rFonts w:ascii="Calibri" w:hAnsi="Calibri" w:cs="Times New Roman"/>
              </w:rPr>
            </w:pPr>
            <w:r w:rsidRPr="00E6060C">
              <w:rPr>
                <w:rFonts w:ascii="Calibri" w:hAnsi="Calibri" w:cs="Times New Roman"/>
              </w:rPr>
              <w:t>Low</w:t>
            </w:r>
          </w:p>
        </w:tc>
        <w:tc>
          <w:tcPr>
            <w:tcW w:w="2835" w:type="dxa"/>
          </w:tcPr>
          <w:p w14:paraId="4CE01625" w14:textId="77777777" w:rsidR="00E6060C" w:rsidRPr="00E6060C" w:rsidRDefault="00E6060C" w:rsidP="008C1906">
            <w:pPr>
              <w:jc w:val="left"/>
              <w:rPr>
                <w:rFonts w:ascii="Calibri" w:hAnsi="Calibri" w:cs="Times New Roman"/>
              </w:rPr>
            </w:pPr>
            <w:r w:rsidRPr="00E6060C">
              <w:rPr>
                <w:rFonts w:ascii="Calibri" w:hAnsi="Calibri" w:cs="Times New Roman"/>
              </w:rPr>
              <w:t>Low</w:t>
            </w:r>
          </w:p>
        </w:tc>
      </w:tr>
      <w:tr w:rsidR="00E6060C" w:rsidRPr="00E6060C" w14:paraId="6B26BE42" w14:textId="77777777" w:rsidTr="00E6060C">
        <w:trPr>
          <w:trHeight w:val="274"/>
        </w:trPr>
        <w:tc>
          <w:tcPr>
            <w:tcW w:w="2830" w:type="dxa"/>
          </w:tcPr>
          <w:p w14:paraId="6189379D" w14:textId="77777777" w:rsidR="00E6060C" w:rsidRPr="00E6060C" w:rsidRDefault="00E6060C" w:rsidP="008C1906">
            <w:pPr>
              <w:jc w:val="left"/>
              <w:rPr>
                <w:rFonts w:ascii="Calibri" w:hAnsi="Calibri" w:cs="Times New Roman"/>
                <w:bCs/>
              </w:rPr>
            </w:pPr>
            <w:r w:rsidRPr="00E6060C">
              <w:rPr>
                <w:rFonts w:ascii="Calibri" w:hAnsi="Calibri" w:cs="Times New Roman"/>
                <w:bCs/>
              </w:rPr>
              <w:t xml:space="preserve">Total no. staff on ward per patient  </w:t>
            </w:r>
          </w:p>
        </w:tc>
        <w:tc>
          <w:tcPr>
            <w:tcW w:w="2877" w:type="dxa"/>
          </w:tcPr>
          <w:p w14:paraId="68275A73" w14:textId="77777777" w:rsidR="00E6060C" w:rsidRPr="00E6060C" w:rsidRDefault="00E6060C" w:rsidP="008C1906">
            <w:pPr>
              <w:jc w:val="left"/>
              <w:rPr>
                <w:rFonts w:ascii="Calibri" w:hAnsi="Calibri" w:cs="Arial"/>
              </w:rPr>
            </w:pPr>
            <w:r w:rsidRPr="00E6060C">
              <w:rPr>
                <w:rFonts w:ascii="Calibri" w:hAnsi="Calibri" w:cs="Times New Roman"/>
              </w:rPr>
              <w:t>Staff nurse and x1 HCA per 8 patients.</w:t>
            </w:r>
          </w:p>
          <w:p w14:paraId="48C5D481" w14:textId="77777777" w:rsidR="00E6060C" w:rsidRPr="00E6060C" w:rsidRDefault="00E6060C" w:rsidP="008C1906">
            <w:pPr>
              <w:jc w:val="left"/>
              <w:rPr>
                <w:rFonts w:ascii="Calibri" w:hAnsi="Calibri" w:cs="Arial"/>
              </w:rPr>
            </w:pPr>
            <w:r w:rsidRPr="00E6060C">
              <w:rPr>
                <w:rFonts w:ascii="Calibri" w:hAnsi="Calibri" w:cs="Times New Roman"/>
              </w:rPr>
              <w:t>+ co-ordinator</w:t>
            </w:r>
          </w:p>
        </w:tc>
        <w:tc>
          <w:tcPr>
            <w:tcW w:w="2694" w:type="dxa"/>
          </w:tcPr>
          <w:p w14:paraId="687633D3"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5 qualified </w:t>
            </w:r>
          </w:p>
          <w:p w14:paraId="19AF1320"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4 nursing assistants, including a co-ordinator </w:t>
            </w:r>
          </w:p>
        </w:tc>
        <w:tc>
          <w:tcPr>
            <w:tcW w:w="2835" w:type="dxa"/>
          </w:tcPr>
          <w:p w14:paraId="6C7D748F" w14:textId="77777777" w:rsidR="00E6060C" w:rsidRPr="00E6060C" w:rsidRDefault="00E6060C" w:rsidP="008C1906">
            <w:pPr>
              <w:jc w:val="left"/>
              <w:rPr>
                <w:rFonts w:ascii="Calibri" w:hAnsi="Calibri" w:cs="Arial"/>
              </w:rPr>
            </w:pPr>
            <w:r w:rsidRPr="00E6060C">
              <w:rPr>
                <w:rFonts w:ascii="Calibri" w:hAnsi="Calibri" w:cs="Times New Roman"/>
              </w:rPr>
              <w:t>Nurse to bed ratio: 0.91</w:t>
            </w:r>
          </w:p>
          <w:p w14:paraId="23ED8C29" w14:textId="77777777" w:rsidR="00E6060C" w:rsidRPr="00E6060C" w:rsidRDefault="00E6060C" w:rsidP="008C1906">
            <w:pPr>
              <w:jc w:val="left"/>
              <w:rPr>
                <w:rFonts w:ascii="Calibri" w:hAnsi="Calibri" w:cs="Times New Roman"/>
              </w:rPr>
            </w:pPr>
          </w:p>
        </w:tc>
      </w:tr>
      <w:tr w:rsidR="00E6060C" w:rsidRPr="00E6060C" w14:paraId="43878609" w14:textId="77777777" w:rsidTr="00E6060C">
        <w:trPr>
          <w:trHeight w:val="274"/>
        </w:trPr>
        <w:tc>
          <w:tcPr>
            <w:tcW w:w="2830" w:type="dxa"/>
          </w:tcPr>
          <w:p w14:paraId="485DE11D" w14:textId="77777777" w:rsidR="00E6060C" w:rsidRPr="00E6060C" w:rsidRDefault="00E6060C" w:rsidP="008C1906">
            <w:pPr>
              <w:jc w:val="left"/>
              <w:rPr>
                <w:rFonts w:ascii="Calibri" w:hAnsi="Calibri" w:cs="Times New Roman"/>
                <w:bCs/>
              </w:rPr>
            </w:pPr>
            <w:r w:rsidRPr="00E6060C">
              <w:rPr>
                <w:rFonts w:ascii="Calibri" w:hAnsi="Calibri" w:cs="Times New Roman"/>
                <w:bCs/>
              </w:rPr>
              <w:t>Ideal no. of staff on each ward per patient, and their position (eg no. nurses, no. healthcare assistants etc)</w:t>
            </w:r>
          </w:p>
        </w:tc>
        <w:tc>
          <w:tcPr>
            <w:tcW w:w="2877" w:type="dxa"/>
          </w:tcPr>
          <w:p w14:paraId="5491E82E" w14:textId="77777777" w:rsidR="00E6060C" w:rsidRPr="00E6060C" w:rsidRDefault="00E6060C" w:rsidP="008C1906">
            <w:pPr>
              <w:jc w:val="left"/>
              <w:rPr>
                <w:rFonts w:ascii="Calibri" w:hAnsi="Calibri" w:cs="Arial"/>
              </w:rPr>
            </w:pPr>
            <w:r w:rsidRPr="00E6060C">
              <w:rPr>
                <w:rFonts w:ascii="Calibri" w:hAnsi="Calibri" w:cs="Times New Roman"/>
              </w:rPr>
              <w:t>x3 nurses</w:t>
            </w:r>
          </w:p>
          <w:p w14:paraId="7C8513F5" w14:textId="77777777" w:rsidR="00E6060C" w:rsidRPr="00E6060C" w:rsidRDefault="00E6060C" w:rsidP="008C1906">
            <w:pPr>
              <w:jc w:val="left"/>
              <w:rPr>
                <w:rFonts w:ascii="Calibri" w:hAnsi="Calibri" w:cs="Calibri"/>
              </w:rPr>
            </w:pPr>
            <w:r w:rsidRPr="00E6060C">
              <w:rPr>
                <w:rFonts w:ascii="Calibri" w:hAnsi="Calibri" w:cs="Times New Roman"/>
              </w:rPr>
              <w:t>x2 HCA per shift</w:t>
            </w:r>
          </w:p>
          <w:p w14:paraId="185BA9BF" w14:textId="77777777" w:rsidR="00E6060C" w:rsidRPr="00E6060C" w:rsidRDefault="00E6060C" w:rsidP="008C1906">
            <w:pPr>
              <w:jc w:val="left"/>
              <w:rPr>
                <w:rFonts w:ascii="Calibri" w:hAnsi="Calibri" w:cs="Times New Roman"/>
              </w:rPr>
            </w:pPr>
          </w:p>
          <w:p w14:paraId="0F8BD516" w14:textId="77777777" w:rsidR="00E6060C" w:rsidRPr="00E6060C" w:rsidRDefault="00E6060C" w:rsidP="008C1906">
            <w:pPr>
              <w:jc w:val="left"/>
              <w:rPr>
                <w:rFonts w:ascii="Calibri" w:hAnsi="Calibri" w:cs="Arial"/>
              </w:rPr>
            </w:pPr>
            <w:r w:rsidRPr="00E6060C">
              <w:rPr>
                <w:rFonts w:ascii="Calibri" w:hAnsi="Calibri" w:cs="Times New Roman"/>
              </w:rPr>
              <w:t xml:space="preserve">16 beds x4 chairs </w:t>
            </w:r>
          </w:p>
        </w:tc>
        <w:tc>
          <w:tcPr>
            <w:tcW w:w="2694" w:type="dxa"/>
          </w:tcPr>
          <w:p w14:paraId="027A7886"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6/5 </w:t>
            </w:r>
          </w:p>
        </w:tc>
        <w:tc>
          <w:tcPr>
            <w:tcW w:w="2835" w:type="dxa"/>
          </w:tcPr>
          <w:p w14:paraId="2F6E63C1" w14:textId="77777777" w:rsidR="00E6060C" w:rsidRPr="00E6060C" w:rsidRDefault="00E6060C" w:rsidP="008C1906">
            <w:pPr>
              <w:jc w:val="left"/>
              <w:rPr>
                <w:rFonts w:ascii="Calibri" w:hAnsi="Calibri" w:cs="Arial"/>
              </w:rPr>
            </w:pPr>
            <w:r w:rsidRPr="00E6060C">
              <w:rPr>
                <w:rFonts w:ascii="Calibri" w:hAnsi="Calibri" w:cs="Times New Roman"/>
              </w:rPr>
              <w:t>Nurse to bed ratio: 1.4</w:t>
            </w:r>
          </w:p>
          <w:p w14:paraId="38F5AA00" w14:textId="77777777" w:rsidR="00E6060C" w:rsidRPr="00E6060C" w:rsidRDefault="00E6060C" w:rsidP="008C1906">
            <w:pPr>
              <w:jc w:val="left"/>
              <w:rPr>
                <w:rFonts w:ascii="Calibri" w:hAnsi="Calibri" w:cs="Times New Roman"/>
              </w:rPr>
            </w:pPr>
          </w:p>
        </w:tc>
      </w:tr>
      <w:tr w:rsidR="00E6060C" w:rsidRPr="00E6060C" w14:paraId="2F3D1146" w14:textId="77777777" w:rsidTr="00E6060C">
        <w:trPr>
          <w:trHeight w:val="274"/>
        </w:trPr>
        <w:tc>
          <w:tcPr>
            <w:tcW w:w="2830" w:type="dxa"/>
          </w:tcPr>
          <w:p w14:paraId="412DDE69" w14:textId="77777777" w:rsidR="00E6060C" w:rsidRPr="00E6060C" w:rsidRDefault="00E6060C" w:rsidP="008C1906">
            <w:pPr>
              <w:jc w:val="left"/>
              <w:rPr>
                <w:rFonts w:ascii="Calibri" w:hAnsi="Calibri" w:cs="Times New Roman"/>
                <w:bCs/>
              </w:rPr>
            </w:pPr>
            <w:r w:rsidRPr="00E6060C">
              <w:rPr>
                <w:rFonts w:ascii="Calibri" w:hAnsi="Calibri" w:cs="Times New Roman"/>
                <w:bCs/>
              </w:rPr>
              <w:t>Average patient stay on the ward</w:t>
            </w:r>
          </w:p>
        </w:tc>
        <w:tc>
          <w:tcPr>
            <w:tcW w:w="2877" w:type="dxa"/>
          </w:tcPr>
          <w:p w14:paraId="17BA4581" w14:textId="77777777" w:rsidR="00E6060C" w:rsidRPr="00E6060C" w:rsidRDefault="00E6060C" w:rsidP="008C1906">
            <w:pPr>
              <w:jc w:val="left"/>
              <w:rPr>
                <w:rFonts w:ascii="Calibri" w:hAnsi="Calibri" w:cs="Arial"/>
              </w:rPr>
            </w:pPr>
            <w:r w:rsidRPr="00E6060C">
              <w:rPr>
                <w:rFonts w:ascii="Calibri" w:hAnsi="Calibri" w:cs="Times New Roman"/>
              </w:rPr>
              <w:t xml:space="preserve">&lt; 24-48 hours </w:t>
            </w:r>
          </w:p>
        </w:tc>
        <w:tc>
          <w:tcPr>
            <w:tcW w:w="2694" w:type="dxa"/>
          </w:tcPr>
          <w:p w14:paraId="600913CB" w14:textId="77777777" w:rsidR="00E6060C" w:rsidRPr="00E6060C" w:rsidRDefault="00E6060C" w:rsidP="008C1906">
            <w:pPr>
              <w:jc w:val="left"/>
              <w:rPr>
                <w:rFonts w:ascii="Calibri" w:hAnsi="Calibri" w:cs="Times New Roman"/>
              </w:rPr>
            </w:pPr>
            <w:r w:rsidRPr="00E6060C">
              <w:rPr>
                <w:rFonts w:ascii="Calibri" w:hAnsi="Calibri" w:cs="Times New Roman"/>
              </w:rPr>
              <w:t>24-48 hrs</w:t>
            </w:r>
          </w:p>
        </w:tc>
        <w:tc>
          <w:tcPr>
            <w:tcW w:w="2835" w:type="dxa"/>
          </w:tcPr>
          <w:p w14:paraId="574939D9" w14:textId="77777777" w:rsidR="00E6060C" w:rsidRPr="00E6060C" w:rsidRDefault="00E6060C" w:rsidP="008C1906">
            <w:pPr>
              <w:jc w:val="left"/>
              <w:rPr>
                <w:rFonts w:ascii="Calibri" w:hAnsi="Calibri" w:cs="Times New Roman"/>
              </w:rPr>
            </w:pPr>
            <w:r w:rsidRPr="00E6060C">
              <w:rPr>
                <w:rFonts w:ascii="Calibri" w:hAnsi="Calibri" w:cs="Times New Roman"/>
              </w:rPr>
              <w:t>10.8 days for month of August 2014</w:t>
            </w:r>
          </w:p>
        </w:tc>
      </w:tr>
      <w:tr w:rsidR="00E6060C" w:rsidRPr="00E6060C" w14:paraId="71791E3B" w14:textId="77777777" w:rsidTr="00E6060C">
        <w:trPr>
          <w:trHeight w:val="274"/>
        </w:trPr>
        <w:tc>
          <w:tcPr>
            <w:tcW w:w="2830" w:type="dxa"/>
          </w:tcPr>
          <w:p w14:paraId="54CC834B" w14:textId="77777777" w:rsidR="00E6060C" w:rsidRPr="00E6060C" w:rsidRDefault="00E6060C" w:rsidP="008C1906">
            <w:pPr>
              <w:jc w:val="left"/>
              <w:rPr>
                <w:rFonts w:ascii="Calibri" w:hAnsi="Calibri" w:cs="Times New Roman"/>
                <w:bCs/>
              </w:rPr>
            </w:pPr>
            <w:r w:rsidRPr="00E6060C">
              <w:rPr>
                <w:rFonts w:ascii="Calibri" w:hAnsi="Calibri" w:cs="Times New Roman"/>
                <w:bCs/>
              </w:rPr>
              <w:lastRenderedPageBreak/>
              <w:t>Average number of beds filled at any one time</w:t>
            </w:r>
          </w:p>
        </w:tc>
        <w:tc>
          <w:tcPr>
            <w:tcW w:w="2877" w:type="dxa"/>
          </w:tcPr>
          <w:p w14:paraId="44D5BE6B" w14:textId="77777777" w:rsidR="00E6060C" w:rsidRPr="00E6060C" w:rsidRDefault="00E6060C" w:rsidP="008C1906">
            <w:pPr>
              <w:jc w:val="left"/>
              <w:rPr>
                <w:rFonts w:ascii="Calibri" w:hAnsi="Calibri" w:cs="Arial"/>
              </w:rPr>
            </w:pPr>
            <w:r w:rsidRPr="00E6060C">
              <w:rPr>
                <w:rFonts w:ascii="Calibri" w:hAnsi="Calibri" w:cs="Times New Roman"/>
              </w:rPr>
              <w:t>14</w:t>
            </w:r>
          </w:p>
        </w:tc>
        <w:tc>
          <w:tcPr>
            <w:tcW w:w="2694" w:type="dxa"/>
          </w:tcPr>
          <w:p w14:paraId="56F6F778" w14:textId="77777777" w:rsidR="00E6060C" w:rsidRPr="00E6060C" w:rsidRDefault="00E6060C" w:rsidP="008C1906">
            <w:pPr>
              <w:jc w:val="left"/>
              <w:rPr>
                <w:rFonts w:ascii="Calibri" w:hAnsi="Calibri" w:cs="Times New Roman"/>
              </w:rPr>
            </w:pPr>
            <w:r w:rsidRPr="00E6060C">
              <w:rPr>
                <w:rFonts w:ascii="Calibri" w:hAnsi="Calibri" w:cs="Times New Roman"/>
              </w:rPr>
              <w:t>27</w:t>
            </w:r>
          </w:p>
        </w:tc>
        <w:tc>
          <w:tcPr>
            <w:tcW w:w="2835" w:type="dxa"/>
          </w:tcPr>
          <w:p w14:paraId="5B80A64F" w14:textId="77777777" w:rsidR="00E6060C" w:rsidRPr="00E6060C" w:rsidRDefault="00E6060C" w:rsidP="008C1906">
            <w:pPr>
              <w:jc w:val="left"/>
              <w:rPr>
                <w:rFonts w:ascii="Calibri" w:hAnsi="Calibri" w:cs="Times New Roman"/>
              </w:rPr>
            </w:pPr>
            <w:r w:rsidRPr="00E6060C">
              <w:rPr>
                <w:rFonts w:ascii="Calibri" w:hAnsi="Calibri" w:cs="Times New Roman"/>
              </w:rPr>
              <w:t>30</w:t>
            </w:r>
          </w:p>
        </w:tc>
      </w:tr>
      <w:tr w:rsidR="00E6060C" w:rsidRPr="00E6060C" w14:paraId="755DD063" w14:textId="77777777" w:rsidTr="00E6060C">
        <w:trPr>
          <w:trHeight w:val="274"/>
        </w:trPr>
        <w:tc>
          <w:tcPr>
            <w:tcW w:w="2830" w:type="dxa"/>
          </w:tcPr>
          <w:p w14:paraId="4E89AF19" w14:textId="77777777" w:rsidR="00E6060C" w:rsidRPr="00E6060C" w:rsidRDefault="00E6060C" w:rsidP="008C1906">
            <w:pPr>
              <w:jc w:val="left"/>
              <w:rPr>
                <w:rFonts w:ascii="Calibri" w:hAnsi="Calibri" w:cs="Times New Roman"/>
                <w:bCs/>
              </w:rPr>
            </w:pPr>
            <w:r w:rsidRPr="00E6060C">
              <w:rPr>
                <w:rFonts w:ascii="Calibri" w:hAnsi="Calibri" w:cs="Times New Roman"/>
                <w:bCs/>
              </w:rPr>
              <w:t>Approx. no. people in the community the ward services</w:t>
            </w:r>
          </w:p>
        </w:tc>
        <w:tc>
          <w:tcPr>
            <w:tcW w:w="2877" w:type="dxa"/>
          </w:tcPr>
          <w:p w14:paraId="130F410E" w14:textId="77777777" w:rsidR="00E6060C" w:rsidRPr="00E6060C" w:rsidRDefault="00E6060C" w:rsidP="008C1906">
            <w:pPr>
              <w:jc w:val="left"/>
              <w:rPr>
                <w:rFonts w:ascii="Calibri" w:hAnsi="Calibri" w:cs="Arial"/>
              </w:rPr>
            </w:pPr>
            <w:r w:rsidRPr="00E6060C">
              <w:rPr>
                <w:rFonts w:ascii="Calibri" w:hAnsi="Calibri" w:cs="Arial"/>
              </w:rPr>
              <w:t>Not known</w:t>
            </w:r>
          </w:p>
        </w:tc>
        <w:tc>
          <w:tcPr>
            <w:tcW w:w="2694" w:type="dxa"/>
          </w:tcPr>
          <w:p w14:paraId="4B3F69F0" w14:textId="77777777" w:rsidR="00E6060C" w:rsidRPr="00E6060C" w:rsidRDefault="00E6060C" w:rsidP="008C1906">
            <w:pPr>
              <w:jc w:val="left"/>
              <w:rPr>
                <w:rFonts w:ascii="Calibri" w:hAnsi="Calibri" w:cs="Times New Roman"/>
              </w:rPr>
            </w:pPr>
            <w:r w:rsidRPr="00E6060C">
              <w:rPr>
                <w:rFonts w:ascii="Calibri" w:hAnsi="Calibri" w:cs="Times New Roman"/>
              </w:rPr>
              <w:t>Varies day to day</w:t>
            </w:r>
          </w:p>
        </w:tc>
        <w:tc>
          <w:tcPr>
            <w:tcW w:w="2835" w:type="dxa"/>
          </w:tcPr>
          <w:p w14:paraId="5ACFEA56" w14:textId="77777777" w:rsidR="00E6060C" w:rsidRPr="00E6060C" w:rsidRDefault="00E6060C" w:rsidP="008C1906">
            <w:pPr>
              <w:jc w:val="left"/>
              <w:rPr>
                <w:rFonts w:ascii="Calibri" w:hAnsi="Calibri" w:cs="Times New Roman"/>
              </w:rPr>
            </w:pPr>
            <w:r w:rsidRPr="00E6060C">
              <w:rPr>
                <w:rFonts w:ascii="Calibri" w:hAnsi="Calibri" w:cs="Times New Roman"/>
              </w:rPr>
              <w:t>Not known</w:t>
            </w:r>
          </w:p>
        </w:tc>
      </w:tr>
      <w:tr w:rsidR="00E6060C" w:rsidRPr="00E6060C" w14:paraId="6A51F709" w14:textId="77777777" w:rsidTr="00E6060C">
        <w:trPr>
          <w:trHeight w:val="274"/>
        </w:trPr>
        <w:tc>
          <w:tcPr>
            <w:tcW w:w="2830" w:type="dxa"/>
          </w:tcPr>
          <w:p w14:paraId="2B105C6E" w14:textId="77777777" w:rsidR="00E6060C" w:rsidRPr="00E6060C" w:rsidRDefault="00E6060C" w:rsidP="008C1906">
            <w:pPr>
              <w:jc w:val="left"/>
              <w:rPr>
                <w:rFonts w:ascii="Calibri" w:hAnsi="Calibri" w:cs="Times New Roman"/>
                <w:bCs/>
              </w:rPr>
            </w:pPr>
            <w:r w:rsidRPr="00E6060C">
              <w:rPr>
                <w:rFonts w:ascii="Calibri" w:hAnsi="Calibri" w:cs="Times New Roman"/>
                <w:bCs/>
              </w:rPr>
              <w:t>Approx. waiting time (for a bed)</w:t>
            </w:r>
          </w:p>
        </w:tc>
        <w:tc>
          <w:tcPr>
            <w:tcW w:w="2877" w:type="dxa"/>
          </w:tcPr>
          <w:p w14:paraId="2DB6A22F" w14:textId="77777777" w:rsidR="00E6060C" w:rsidRPr="00E6060C" w:rsidRDefault="00E6060C" w:rsidP="008C1906">
            <w:pPr>
              <w:jc w:val="left"/>
              <w:rPr>
                <w:rFonts w:ascii="Calibri" w:hAnsi="Calibri" w:cs="Arial"/>
              </w:rPr>
            </w:pPr>
            <w:r w:rsidRPr="00E6060C">
              <w:rPr>
                <w:rFonts w:ascii="Calibri" w:hAnsi="Calibri" w:cs="Times New Roman"/>
              </w:rPr>
              <w:t>n/a</w:t>
            </w:r>
          </w:p>
        </w:tc>
        <w:tc>
          <w:tcPr>
            <w:tcW w:w="2694" w:type="dxa"/>
          </w:tcPr>
          <w:p w14:paraId="52789DB8"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4hrs-days </w:t>
            </w:r>
          </w:p>
        </w:tc>
        <w:tc>
          <w:tcPr>
            <w:tcW w:w="2835" w:type="dxa"/>
          </w:tcPr>
          <w:p w14:paraId="784781F8" w14:textId="77777777" w:rsidR="00E6060C" w:rsidRPr="00E6060C" w:rsidRDefault="00E6060C" w:rsidP="008C1906">
            <w:pPr>
              <w:jc w:val="left"/>
              <w:rPr>
                <w:rFonts w:ascii="Calibri" w:hAnsi="Calibri" w:cs="Times New Roman"/>
              </w:rPr>
            </w:pPr>
            <w:r w:rsidRPr="00E6060C">
              <w:rPr>
                <w:rFonts w:ascii="Calibri" w:hAnsi="Calibri" w:cs="Times New Roman"/>
              </w:rPr>
              <w:t>Not known</w:t>
            </w:r>
          </w:p>
        </w:tc>
      </w:tr>
      <w:tr w:rsidR="00E6060C" w:rsidRPr="00E6060C" w14:paraId="121F3409" w14:textId="77777777" w:rsidTr="00E6060C">
        <w:trPr>
          <w:trHeight w:val="274"/>
        </w:trPr>
        <w:tc>
          <w:tcPr>
            <w:tcW w:w="2830" w:type="dxa"/>
          </w:tcPr>
          <w:p w14:paraId="657EFC7E" w14:textId="77777777" w:rsidR="00E6060C" w:rsidRPr="00E6060C" w:rsidRDefault="00E6060C" w:rsidP="008C1906">
            <w:pPr>
              <w:jc w:val="left"/>
              <w:rPr>
                <w:rFonts w:ascii="Calibri" w:hAnsi="Calibri" w:cs="Times New Roman"/>
                <w:bCs/>
              </w:rPr>
            </w:pPr>
            <w:r w:rsidRPr="00E6060C">
              <w:rPr>
                <w:rFonts w:ascii="Calibri" w:hAnsi="Calibri" w:cs="Times New Roman"/>
                <w:bCs/>
              </w:rPr>
              <w:t>Places where patients move on to (eg home, another ward / service etc)</w:t>
            </w:r>
          </w:p>
        </w:tc>
        <w:tc>
          <w:tcPr>
            <w:tcW w:w="2877" w:type="dxa"/>
          </w:tcPr>
          <w:p w14:paraId="53A96103" w14:textId="77777777" w:rsidR="00E6060C" w:rsidRPr="00E6060C" w:rsidRDefault="00E6060C" w:rsidP="008C1906">
            <w:pPr>
              <w:jc w:val="left"/>
              <w:rPr>
                <w:rFonts w:ascii="Calibri" w:hAnsi="Calibri" w:cs="Arial"/>
              </w:rPr>
            </w:pPr>
            <w:r w:rsidRPr="00E6060C">
              <w:rPr>
                <w:rFonts w:ascii="Calibri" w:hAnsi="Calibri" w:cs="Times New Roman"/>
              </w:rPr>
              <w:t xml:space="preserve">Home or community hospital. Rarely hospital admission. </w:t>
            </w:r>
          </w:p>
        </w:tc>
        <w:tc>
          <w:tcPr>
            <w:tcW w:w="2694" w:type="dxa"/>
          </w:tcPr>
          <w:p w14:paraId="23FB97DE"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Home community psychiatry </w:t>
            </w:r>
          </w:p>
        </w:tc>
        <w:tc>
          <w:tcPr>
            <w:tcW w:w="2835" w:type="dxa"/>
          </w:tcPr>
          <w:p w14:paraId="05FDE915" w14:textId="77777777" w:rsidR="00E6060C" w:rsidRPr="00E6060C" w:rsidRDefault="00E6060C" w:rsidP="008C1906">
            <w:pPr>
              <w:jc w:val="left"/>
              <w:rPr>
                <w:rFonts w:ascii="Calibri" w:hAnsi="Calibri" w:cs="Arial"/>
              </w:rPr>
            </w:pPr>
            <w:r w:rsidRPr="00E6060C">
              <w:rPr>
                <w:rFonts w:ascii="Calibri" w:hAnsi="Calibri" w:cs="Times New Roman"/>
              </w:rPr>
              <w:t xml:space="preserve">Combination of: Return to Nursing/Residential Care. </w:t>
            </w:r>
          </w:p>
          <w:p w14:paraId="78E37E67"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Assessment Bed. </w:t>
            </w:r>
          </w:p>
          <w:p w14:paraId="4A7522F6" w14:textId="77777777" w:rsidR="00E6060C" w:rsidRPr="00E6060C" w:rsidRDefault="00E6060C" w:rsidP="008C1906">
            <w:pPr>
              <w:jc w:val="left"/>
              <w:rPr>
                <w:rFonts w:ascii="Calibri" w:hAnsi="Calibri" w:cs="Times New Roman"/>
              </w:rPr>
            </w:pPr>
            <w:r w:rsidRPr="00E6060C">
              <w:rPr>
                <w:rFonts w:ascii="Calibri" w:hAnsi="Calibri" w:cs="Times New Roman"/>
              </w:rPr>
              <w:t>New Care Home Placement.</w:t>
            </w:r>
          </w:p>
          <w:p w14:paraId="0ACB26CA" w14:textId="6F5C1336" w:rsidR="00E6060C" w:rsidRPr="00E6060C" w:rsidRDefault="00E6060C" w:rsidP="008C1906">
            <w:pPr>
              <w:jc w:val="left"/>
              <w:rPr>
                <w:rFonts w:ascii="Calibri" w:hAnsi="Calibri" w:cs="Times New Roman"/>
              </w:rPr>
            </w:pPr>
            <w:r w:rsidRPr="00E6060C">
              <w:rPr>
                <w:rFonts w:ascii="Calibri" w:hAnsi="Calibri" w:cs="Times New Roman"/>
              </w:rPr>
              <w:t xml:space="preserve">Home with </w:t>
            </w:r>
            <w:r w:rsidR="00E95B0D">
              <w:rPr>
                <w:rFonts w:ascii="Calibri" w:hAnsi="Calibri" w:cs="Times New Roman"/>
              </w:rPr>
              <w:t>care support</w:t>
            </w:r>
            <w:r w:rsidRPr="00E6060C">
              <w:rPr>
                <w:rFonts w:ascii="Calibri" w:hAnsi="Calibri" w:cs="Times New Roman"/>
              </w:rPr>
              <w:t>.</w:t>
            </w:r>
          </w:p>
          <w:p w14:paraId="2E9BCAAE" w14:textId="77777777" w:rsidR="00E6060C" w:rsidRPr="00E6060C" w:rsidRDefault="00E6060C" w:rsidP="008C1906">
            <w:pPr>
              <w:jc w:val="left"/>
              <w:rPr>
                <w:rFonts w:ascii="Calibri" w:hAnsi="Calibri" w:cs="Times New Roman"/>
              </w:rPr>
            </w:pPr>
            <w:r w:rsidRPr="00E6060C">
              <w:rPr>
                <w:rFonts w:ascii="Calibri" w:hAnsi="Calibri" w:cs="Times New Roman"/>
              </w:rPr>
              <w:t>Rehabilitation.</w:t>
            </w:r>
          </w:p>
          <w:p w14:paraId="29BB5100" w14:textId="77777777" w:rsidR="00E6060C" w:rsidRPr="00E6060C" w:rsidRDefault="00E6060C" w:rsidP="008C1906">
            <w:pPr>
              <w:jc w:val="left"/>
              <w:rPr>
                <w:rFonts w:ascii="Calibri" w:hAnsi="Calibri" w:cs="Times New Roman"/>
              </w:rPr>
            </w:pPr>
            <w:r w:rsidRPr="00E6060C">
              <w:rPr>
                <w:rFonts w:ascii="Calibri" w:hAnsi="Calibri" w:cs="Times New Roman"/>
              </w:rPr>
              <w:t>Home with no support.</w:t>
            </w:r>
          </w:p>
        </w:tc>
      </w:tr>
      <w:tr w:rsidR="00E6060C" w:rsidRPr="00E6060C" w14:paraId="3F81AA37" w14:textId="77777777" w:rsidTr="00E6060C">
        <w:trPr>
          <w:trHeight w:val="274"/>
        </w:trPr>
        <w:tc>
          <w:tcPr>
            <w:tcW w:w="2830" w:type="dxa"/>
          </w:tcPr>
          <w:p w14:paraId="521BF83D" w14:textId="77777777" w:rsidR="00E6060C" w:rsidRPr="00E6060C" w:rsidRDefault="00E6060C" w:rsidP="008C1906">
            <w:pPr>
              <w:jc w:val="left"/>
              <w:rPr>
                <w:rFonts w:ascii="Calibri" w:hAnsi="Calibri" w:cs="Times New Roman"/>
                <w:bCs/>
              </w:rPr>
            </w:pPr>
            <w:r w:rsidRPr="00E6060C">
              <w:rPr>
                <w:rFonts w:ascii="Calibri" w:hAnsi="Calibri" w:cs="Times New Roman"/>
                <w:bCs/>
              </w:rPr>
              <w:t>Staff sickness absenteeism data eg average levels, short term vs long term</w:t>
            </w:r>
          </w:p>
        </w:tc>
        <w:tc>
          <w:tcPr>
            <w:tcW w:w="2877" w:type="dxa"/>
          </w:tcPr>
          <w:p w14:paraId="160F1421" w14:textId="77777777" w:rsidR="00E6060C" w:rsidRPr="00E6060C" w:rsidRDefault="00E6060C" w:rsidP="008C1906">
            <w:pPr>
              <w:jc w:val="left"/>
              <w:rPr>
                <w:rFonts w:ascii="Calibri" w:hAnsi="Calibri" w:cs="Arial"/>
              </w:rPr>
            </w:pPr>
            <w:r w:rsidRPr="00E6060C">
              <w:rPr>
                <w:rFonts w:ascii="Calibri" w:hAnsi="Calibri" w:cs="Arial"/>
              </w:rPr>
              <w:t>Aug ‘14 – 2.6%</w:t>
            </w:r>
          </w:p>
          <w:p w14:paraId="5B83F2E7" w14:textId="77777777" w:rsidR="00E6060C" w:rsidRPr="00E6060C" w:rsidRDefault="00E6060C" w:rsidP="008C1906">
            <w:pPr>
              <w:jc w:val="left"/>
              <w:rPr>
                <w:rFonts w:ascii="Calibri" w:hAnsi="Calibri" w:cs="Arial"/>
              </w:rPr>
            </w:pPr>
            <w:r w:rsidRPr="00E6060C">
              <w:rPr>
                <w:rFonts w:ascii="Calibri" w:hAnsi="Calibri" w:cs="Arial"/>
              </w:rPr>
              <w:t>July ‘14 – 4.9%</w:t>
            </w:r>
          </w:p>
        </w:tc>
        <w:tc>
          <w:tcPr>
            <w:tcW w:w="2694" w:type="dxa"/>
          </w:tcPr>
          <w:p w14:paraId="700A7B9B" w14:textId="77777777" w:rsidR="00E6060C" w:rsidRPr="00E6060C" w:rsidRDefault="00E6060C" w:rsidP="008C1906">
            <w:pPr>
              <w:jc w:val="left"/>
              <w:rPr>
                <w:rFonts w:ascii="Calibri" w:hAnsi="Calibri" w:cs="Times New Roman"/>
              </w:rPr>
            </w:pPr>
          </w:p>
        </w:tc>
        <w:tc>
          <w:tcPr>
            <w:tcW w:w="2835" w:type="dxa"/>
          </w:tcPr>
          <w:p w14:paraId="5D34D488" w14:textId="77777777" w:rsidR="00E6060C" w:rsidRPr="00E6060C" w:rsidRDefault="00E6060C" w:rsidP="008C1906">
            <w:pPr>
              <w:jc w:val="left"/>
              <w:rPr>
                <w:rFonts w:ascii="Calibri" w:hAnsi="Calibri" w:cs="Arial"/>
              </w:rPr>
            </w:pPr>
            <w:r w:rsidRPr="00E6060C">
              <w:rPr>
                <w:rFonts w:ascii="Calibri" w:hAnsi="Calibri" w:cs="Times New Roman"/>
              </w:rPr>
              <w:t>2 Staff on long term sick.</w:t>
            </w:r>
          </w:p>
          <w:p w14:paraId="4ECA3C8C" w14:textId="77777777" w:rsidR="00E6060C" w:rsidRPr="00E6060C" w:rsidRDefault="00E6060C" w:rsidP="008C1906">
            <w:pPr>
              <w:jc w:val="left"/>
              <w:rPr>
                <w:rFonts w:ascii="Calibri" w:hAnsi="Calibri" w:cs="Times New Roman"/>
              </w:rPr>
            </w:pPr>
            <w:r w:rsidRPr="00E6060C">
              <w:rPr>
                <w:rFonts w:ascii="Calibri" w:hAnsi="Calibri" w:cs="Times New Roman"/>
              </w:rPr>
              <w:t>Sickness/Absence below 4%</w:t>
            </w:r>
          </w:p>
        </w:tc>
      </w:tr>
      <w:tr w:rsidR="00E6060C" w:rsidRPr="00E6060C" w14:paraId="71C93FB5" w14:textId="77777777" w:rsidTr="00E6060C">
        <w:trPr>
          <w:trHeight w:val="274"/>
        </w:trPr>
        <w:tc>
          <w:tcPr>
            <w:tcW w:w="2830" w:type="dxa"/>
          </w:tcPr>
          <w:p w14:paraId="6C6BD446" w14:textId="77777777" w:rsidR="00E6060C" w:rsidRPr="00E6060C" w:rsidRDefault="00E6060C" w:rsidP="008C1906">
            <w:pPr>
              <w:jc w:val="left"/>
              <w:rPr>
                <w:rFonts w:ascii="Calibri" w:hAnsi="Calibri" w:cs="Times New Roman"/>
                <w:bCs/>
              </w:rPr>
            </w:pPr>
            <w:r w:rsidRPr="00E6060C">
              <w:rPr>
                <w:rFonts w:ascii="Calibri" w:hAnsi="Calibri" w:cs="Times New Roman"/>
                <w:bCs/>
              </w:rPr>
              <w:t>Average no. patient / carer / staff complaints per wk / month</w:t>
            </w:r>
          </w:p>
        </w:tc>
        <w:tc>
          <w:tcPr>
            <w:tcW w:w="2877" w:type="dxa"/>
          </w:tcPr>
          <w:p w14:paraId="7FBB6887" w14:textId="77777777" w:rsidR="00E6060C" w:rsidRPr="00E6060C" w:rsidRDefault="00E6060C" w:rsidP="008C1906">
            <w:pPr>
              <w:jc w:val="left"/>
              <w:rPr>
                <w:rFonts w:ascii="Calibri" w:hAnsi="Calibri" w:cs="Arial"/>
              </w:rPr>
            </w:pPr>
            <w:r w:rsidRPr="00E6060C">
              <w:rPr>
                <w:rFonts w:ascii="Calibri" w:hAnsi="Calibri" w:cs="Times New Roman"/>
              </w:rPr>
              <w:t xml:space="preserve">Not known </w:t>
            </w:r>
          </w:p>
        </w:tc>
        <w:tc>
          <w:tcPr>
            <w:tcW w:w="2694" w:type="dxa"/>
          </w:tcPr>
          <w:p w14:paraId="53A600D9" w14:textId="77777777" w:rsidR="00E6060C" w:rsidRPr="00E6060C" w:rsidRDefault="00E6060C" w:rsidP="008C1906">
            <w:pPr>
              <w:jc w:val="left"/>
              <w:rPr>
                <w:rFonts w:ascii="Calibri" w:hAnsi="Calibri" w:cs="Times New Roman"/>
              </w:rPr>
            </w:pPr>
            <w:r w:rsidRPr="00E6060C">
              <w:rPr>
                <w:rFonts w:ascii="Calibri" w:hAnsi="Calibri" w:cs="Times New Roman"/>
              </w:rPr>
              <w:t>2</w:t>
            </w:r>
          </w:p>
        </w:tc>
        <w:tc>
          <w:tcPr>
            <w:tcW w:w="2835" w:type="dxa"/>
          </w:tcPr>
          <w:p w14:paraId="227B5DC6" w14:textId="77777777" w:rsidR="00E6060C" w:rsidRPr="00E6060C" w:rsidRDefault="00E6060C" w:rsidP="008C1906">
            <w:pPr>
              <w:jc w:val="left"/>
              <w:rPr>
                <w:rFonts w:ascii="Calibri" w:hAnsi="Calibri" w:cs="Times New Roman"/>
              </w:rPr>
            </w:pPr>
            <w:r w:rsidRPr="00E6060C">
              <w:rPr>
                <w:rFonts w:ascii="Calibri" w:hAnsi="Calibri" w:cs="Times New Roman"/>
              </w:rPr>
              <w:t>1 per month</w:t>
            </w:r>
          </w:p>
        </w:tc>
      </w:tr>
      <w:tr w:rsidR="00E6060C" w:rsidRPr="00E6060C" w14:paraId="447A5564" w14:textId="77777777" w:rsidTr="00E6060C">
        <w:trPr>
          <w:trHeight w:val="274"/>
        </w:trPr>
        <w:tc>
          <w:tcPr>
            <w:tcW w:w="2830" w:type="dxa"/>
            <w:tcBorders>
              <w:bottom w:val="single" w:sz="4" w:space="0" w:color="auto"/>
            </w:tcBorders>
          </w:tcPr>
          <w:p w14:paraId="509DE73B" w14:textId="77777777" w:rsidR="00E6060C" w:rsidRPr="00E6060C" w:rsidRDefault="00E6060C" w:rsidP="008C1906">
            <w:pPr>
              <w:jc w:val="left"/>
              <w:rPr>
                <w:rFonts w:ascii="Calibri" w:hAnsi="Calibri" w:cs="Times New Roman"/>
                <w:bCs/>
              </w:rPr>
            </w:pPr>
            <w:r w:rsidRPr="00E6060C">
              <w:rPr>
                <w:rFonts w:ascii="Calibri" w:hAnsi="Calibri" w:cs="Times New Roman"/>
                <w:bCs/>
              </w:rPr>
              <w:t>Average no. safety incidents per wk / month</w:t>
            </w:r>
          </w:p>
        </w:tc>
        <w:tc>
          <w:tcPr>
            <w:tcW w:w="2877" w:type="dxa"/>
            <w:tcBorders>
              <w:bottom w:val="single" w:sz="4" w:space="0" w:color="auto"/>
            </w:tcBorders>
          </w:tcPr>
          <w:p w14:paraId="54BCB29A" w14:textId="77777777" w:rsidR="00E6060C" w:rsidRPr="00E6060C" w:rsidRDefault="00E6060C" w:rsidP="008C1906">
            <w:pPr>
              <w:jc w:val="left"/>
              <w:rPr>
                <w:rFonts w:ascii="Calibri" w:hAnsi="Calibri" w:cs="Arial"/>
              </w:rPr>
            </w:pPr>
            <w:r w:rsidRPr="00E6060C">
              <w:rPr>
                <w:rFonts w:ascii="Calibri" w:hAnsi="Calibri" w:cs="Times New Roman"/>
              </w:rPr>
              <w:t>5 incidents per week</w:t>
            </w:r>
          </w:p>
        </w:tc>
        <w:tc>
          <w:tcPr>
            <w:tcW w:w="2694" w:type="dxa"/>
            <w:tcBorders>
              <w:bottom w:val="single" w:sz="4" w:space="0" w:color="auto"/>
            </w:tcBorders>
          </w:tcPr>
          <w:p w14:paraId="661C948F" w14:textId="77777777" w:rsidR="00E6060C" w:rsidRPr="00E6060C" w:rsidRDefault="00E6060C" w:rsidP="008C1906">
            <w:pPr>
              <w:jc w:val="left"/>
              <w:rPr>
                <w:rFonts w:ascii="Calibri" w:hAnsi="Calibri" w:cs="Times New Roman"/>
              </w:rPr>
            </w:pPr>
            <w:r w:rsidRPr="00E6060C">
              <w:rPr>
                <w:rFonts w:ascii="Calibri" w:hAnsi="Calibri" w:cs="Times New Roman"/>
              </w:rPr>
              <w:t>0</w:t>
            </w:r>
          </w:p>
        </w:tc>
        <w:tc>
          <w:tcPr>
            <w:tcW w:w="2835" w:type="dxa"/>
            <w:tcBorders>
              <w:bottom w:val="single" w:sz="4" w:space="0" w:color="auto"/>
            </w:tcBorders>
          </w:tcPr>
          <w:p w14:paraId="717C3140" w14:textId="77777777" w:rsidR="00E6060C" w:rsidRPr="00E6060C" w:rsidRDefault="00E6060C" w:rsidP="008C1906">
            <w:pPr>
              <w:jc w:val="left"/>
              <w:rPr>
                <w:rFonts w:ascii="Calibri" w:hAnsi="Calibri" w:cs="Times New Roman"/>
              </w:rPr>
            </w:pPr>
            <w:r w:rsidRPr="00E6060C">
              <w:rPr>
                <w:rFonts w:ascii="Calibri" w:hAnsi="Calibri" w:cs="Times New Roman"/>
              </w:rPr>
              <w:t xml:space="preserve">15 per month </w:t>
            </w:r>
          </w:p>
        </w:tc>
      </w:tr>
    </w:tbl>
    <w:p w14:paraId="242AC1F5" w14:textId="289A5B29" w:rsidR="00E6060C" w:rsidRPr="00E6060C" w:rsidRDefault="00E6060C" w:rsidP="00E6060C">
      <w:pPr>
        <w:spacing w:after="200" w:line="360" w:lineRule="auto"/>
        <w:contextualSpacing/>
        <w:rPr>
          <w:rFonts w:ascii="Calibri" w:eastAsia="Calibri" w:hAnsi="Calibri" w:cs="Times New Roman"/>
          <w:i/>
        </w:rPr>
      </w:pPr>
      <w:r w:rsidRPr="00E6060C">
        <w:rPr>
          <w:rFonts w:ascii="Calibri" w:eastAsia="Calibri" w:hAnsi="Calibri" w:cs="Times New Roman"/>
          <w:i/>
        </w:rPr>
        <w:t xml:space="preserve">Notes: </w:t>
      </w:r>
      <w:r w:rsidRPr="00E6060C">
        <w:rPr>
          <w:rFonts w:ascii="Calibri" w:eastAsia="Calibri" w:hAnsi="Calibri" w:cs="Times New Roman"/>
        </w:rPr>
        <w:t>wk=week; FT=Full-time; PT=Part-time; HCA=Healthcare assistant;</w:t>
      </w:r>
    </w:p>
    <w:p w14:paraId="175FABAC" w14:textId="77777777" w:rsidR="00E6060C" w:rsidRPr="00E6060C" w:rsidRDefault="00E6060C" w:rsidP="00E6060C">
      <w:pPr>
        <w:spacing w:after="200" w:line="360" w:lineRule="auto"/>
        <w:contextualSpacing/>
        <w:rPr>
          <w:rFonts w:ascii="Calibri" w:eastAsia="Calibri" w:hAnsi="Calibri" w:cs="Times New Roman"/>
          <w:i/>
        </w:rPr>
        <w:sectPr w:rsidR="00E6060C" w:rsidRPr="00E6060C">
          <w:pgSz w:w="16838" w:h="11906" w:orient="landscape"/>
          <w:pgMar w:top="1440" w:right="1440" w:bottom="1440" w:left="1440" w:header="709" w:footer="709" w:gutter="0"/>
          <w:cols w:space="708"/>
          <w:titlePg/>
          <w:docGrid w:linePitch="360"/>
        </w:sectPr>
      </w:pPr>
    </w:p>
    <w:p w14:paraId="4C49ACE4" w14:textId="77777777" w:rsidR="00E6060C" w:rsidRPr="00E6060C" w:rsidRDefault="00E6060C" w:rsidP="00E6060C">
      <w:pPr>
        <w:spacing w:after="200" w:line="360" w:lineRule="auto"/>
        <w:contextualSpacing/>
        <w:rPr>
          <w:rFonts w:ascii="Calibri" w:eastAsia="Calibri" w:hAnsi="Calibri" w:cs="Times New Roman"/>
          <w:i/>
        </w:rPr>
      </w:pPr>
      <w:r w:rsidRPr="00E6060C">
        <w:rPr>
          <w:rFonts w:ascii="Calibri" w:eastAsia="Calibri" w:hAnsi="Calibri" w:cs="Times New Roman"/>
          <w:i/>
        </w:rPr>
        <w:lastRenderedPageBreak/>
        <w:t>Characteristics of individual participants at baseline (Time 1)</w:t>
      </w:r>
    </w:p>
    <w:p w14:paraId="417A84A3" w14:textId="253B641E" w:rsidR="00E6060C" w:rsidRPr="00E6060C" w:rsidRDefault="00FE4D61" w:rsidP="00AC4DD2">
      <w:pPr>
        <w:pStyle w:val="Figurestyle"/>
        <w:rPr>
          <w:rFonts w:ascii="Calibri" w:eastAsia="Calibri" w:hAnsi="Calibri" w:cs="Times New Roman"/>
        </w:rPr>
      </w:pPr>
      <w:r>
        <w:t>Detailed b</w:t>
      </w:r>
      <w:r w:rsidR="00E6060C" w:rsidRPr="00E6060C">
        <w:t xml:space="preserve">aseline characteristics of all those who responded at Time 1 (N=179) </w:t>
      </w:r>
      <w:r>
        <w:t>are presented i</w:t>
      </w:r>
      <w:r w:rsidR="00FE451A">
        <w:t xml:space="preserve">n </w:t>
      </w:r>
      <w:r w:rsidR="00FE451A">
        <w:fldChar w:fldCharType="begin"/>
      </w:r>
      <w:r w:rsidR="00FE451A">
        <w:instrText xml:space="preserve"> REF _Ref453580555 \h </w:instrText>
      </w:r>
      <w:r w:rsidR="00FE451A">
        <w:fldChar w:fldCharType="separate"/>
      </w:r>
      <w:r w:rsidR="00152F6D">
        <w:t xml:space="preserve">Table </w:t>
      </w:r>
      <w:r w:rsidR="00152F6D">
        <w:rPr>
          <w:noProof/>
        </w:rPr>
        <w:t>8</w:t>
      </w:r>
      <w:r w:rsidR="00152F6D">
        <w:t>.</w:t>
      </w:r>
      <w:r w:rsidR="00152F6D">
        <w:rPr>
          <w:noProof/>
        </w:rPr>
        <w:t>1</w:t>
      </w:r>
      <w:r w:rsidR="00FE451A">
        <w:fldChar w:fldCharType="end"/>
      </w:r>
      <w:r w:rsidR="00AC4DD2">
        <w:t xml:space="preserve">, </w:t>
      </w:r>
      <w:r w:rsidR="00AC4DD2">
        <w:fldChar w:fldCharType="begin"/>
      </w:r>
      <w:r w:rsidR="00AC4DD2">
        <w:instrText xml:space="preserve"> REF _Ref458090198 \h </w:instrText>
      </w:r>
      <w:r w:rsidR="00AC4DD2">
        <w:fldChar w:fldCharType="separate"/>
      </w:r>
      <w:r w:rsidR="00152F6D">
        <w:t xml:space="preserve">Table </w:t>
      </w:r>
      <w:r w:rsidR="00152F6D">
        <w:rPr>
          <w:noProof/>
        </w:rPr>
        <w:t>8</w:t>
      </w:r>
      <w:r w:rsidR="00152F6D">
        <w:t>.</w:t>
      </w:r>
      <w:r w:rsidR="00152F6D">
        <w:rPr>
          <w:noProof/>
        </w:rPr>
        <w:t>2</w:t>
      </w:r>
      <w:r w:rsidR="00AC4DD2">
        <w:fldChar w:fldCharType="end"/>
      </w:r>
      <w:r w:rsidR="00BC2D9F">
        <w:t>,</w:t>
      </w:r>
      <w:r w:rsidR="00AC4DD2">
        <w:t xml:space="preserve"> </w:t>
      </w:r>
      <w:r w:rsidR="00FE451A">
        <w:rPr>
          <w:rFonts w:ascii="Calibri" w:eastAsia="Calibri" w:hAnsi="Calibri" w:cs="Times New Roman"/>
        </w:rPr>
        <w:t xml:space="preserve">and </w:t>
      </w:r>
      <w:r w:rsidR="00FE451A">
        <w:rPr>
          <w:rFonts w:ascii="Calibri" w:eastAsia="Calibri" w:hAnsi="Calibri" w:cs="Times New Roman"/>
        </w:rPr>
        <w:fldChar w:fldCharType="begin"/>
      </w:r>
      <w:r w:rsidR="00FE451A">
        <w:rPr>
          <w:rFonts w:ascii="Calibri" w:eastAsia="Calibri" w:hAnsi="Calibri" w:cs="Times New Roman"/>
        </w:rPr>
        <w:instrText xml:space="preserve"> REF _Ref453580772 \h </w:instrText>
      </w:r>
      <w:r w:rsidR="00FE451A">
        <w:rPr>
          <w:rFonts w:ascii="Calibri" w:eastAsia="Calibri" w:hAnsi="Calibri" w:cs="Times New Roman"/>
        </w:rPr>
      </w:r>
      <w:r w:rsidR="00FE451A">
        <w:rPr>
          <w:rFonts w:ascii="Calibri" w:eastAsia="Calibri" w:hAnsi="Calibri" w:cs="Times New Roman"/>
        </w:rPr>
        <w:fldChar w:fldCharType="separate"/>
      </w:r>
      <w:r w:rsidR="00152F6D">
        <w:t xml:space="preserve">Table </w:t>
      </w:r>
      <w:r w:rsidR="00152F6D">
        <w:rPr>
          <w:noProof/>
        </w:rPr>
        <w:t>8</w:t>
      </w:r>
      <w:r w:rsidR="00152F6D">
        <w:t>.</w:t>
      </w:r>
      <w:r w:rsidR="00152F6D">
        <w:rPr>
          <w:noProof/>
        </w:rPr>
        <w:t>3</w:t>
      </w:r>
      <w:r w:rsidR="00FE451A">
        <w:rPr>
          <w:rFonts w:ascii="Calibri" w:eastAsia="Calibri" w:hAnsi="Calibri" w:cs="Times New Roman"/>
        </w:rPr>
        <w:fldChar w:fldCharType="end"/>
      </w:r>
      <w:r w:rsidR="00FE451A">
        <w:rPr>
          <w:rFonts w:ascii="Calibri" w:eastAsia="Calibri" w:hAnsi="Calibri" w:cs="Times New Roman"/>
        </w:rPr>
        <w:t xml:space="preserve"> </w:t>
      </w:r>
      <w:r>
        <w:rPr>
          <w:rFonts w:ascii="Calibri" w:eastAsia="Calibri" w:hAnsi="Calibri" w:cs="Times New Roman"/>
        </w:rPr>
        <w:t xml:space="preserve">in the </w:t>
      </w:r>
      <w:r w:rsidR="00FE451A">
        <w:rPr>
          <w:rFonts w:ascii="Calibri" w:eastAsia="Calibri" w:hAnsi="Calibri" w:cs="Times New Roman"/>
        </w:rPr>
        <w:t xml:space="preserve">results Chapter </w:t>
      </w:r>
      <w:r w:rsidR="00E6060C" w:rsidRPr="00E6060C">
        <w:rPr>
          <w:rFonts w:ascii="Calibri" w:eastAsia="Calibri" w:hAnsi="Calibri" w:cs="Times New Roman"/>
        </w:rPr>
        <w:t>(</w:t>
      </w:r>
      <w:r w:rsidR="00FE451A">
        <w:rPr>
          <w:rFonts w:ascii="Calibri" w:eastAsia="Calibri" w:hAnsi="Calibri" w:cs="Times New Roman"/>
        </w:rPr>
        <w:t xml:space="preserve">Chapter 8, </w:t>
      </w:r>
      <w:r w:rsidR="00E6060C" w:rsidRPr="00E6060C">
        <w:rPr>
          <w:rFonts w:ascii="Calibri" w:eastAsia="Calibri" w:hAnsi="Calibri" w:cs="Times New Roman"/>
        </w:rPr>
        <w:t xml:space="preserve">section </w:t>
      </w:r>
      <w:r w:rsidR="009D2E42">
        <w:rPr>
          <w:rFonts w:ascii="Calibri" w:eastAsia="Calibri" w:hAnsi="Calibri" w:cs="Times New Roman"/>
        </w:rPr>
        <w:fldChar w:fldCharType="begin"/>
      </w:r>
      <w:r w:rsidR="009D2E42">
        <w:rPr>
          <w:rFonts w:ascii="Calibri" w:eastAsia="Calibri" w:hAnsi="Calibri" w:cs="Times New Roman"/>
        </w:rPr>
        <w:instrText xml:space="preserve"> REF _Ref453581612 \r \h </w:instrText>
      </w:r>
      <w:r w:rsidR="009D2E42">
        <w:rPr>
          <w:rFonts w:ascii="Calibri" w:eastAsia="Calibri" w:hAnsi="Calibri" w:cs="Times New Roman"/>
        </w:rPr>
      </w:r>
      <w:r w:rsidR="009D2E42">
        <w:rPr>
          <w:rFonts w:ascii="Calibri" w:eastAsia="Calibri" w:hAnsi="Calibri" w:cs="Times New Roman"/>
        </w:rPr>
        <w:fldChar w:fldCharType="separate"/>
      </w:r>
      <w:r w:rsidR="00152F6D">
        <w:rPr>
          <w:rFonts w:ascii="Calibri" w:eastAsia="Calibri" w:hAnsi="Calibri" w:cs="Times New Roman"/>
        </w:rPr>
        <w:t>8.2.1</w:t>
      </w:r>
      <w:r w:rsidR="009D2E42">
        <w:rPr>
          <w:rFonts w:ascii="Calibri" w:eastAsia="Calibri" w:hAnsi="Calibri" w:cs="Times New Roman"/>
        </w:rPr>
        <w:fldChar w:fldCharType="end"/>
      </w:r>
      <w:r w:rsidR="00E6060C" w:rsidRPr="00E6060C">
        <w:rPr>
          <w:rFonts w:ascii="Calibri" w:eastAsia="Calibri" w:hAnsi="Calibri" w:cs="Times New Roman"/>
        </w:rPr>
        <w:t xml:space="preserve">). Baseline characteristics of the matched sample, that is, those who responded at both Time 1 and 2 from those wards which did not drop out (N=45), can be found in </w:t>
      </w:r>
      <w:r w:rsidR="00FE451A">
        <w:rPr>
          <w:rFonts w:ascii="Calibri" w:eastAsia="Calibri" w:hAnsi="Calibri" w:cs="Times New Roman"/>
        </w:rPr>
        <w:fldChar w:fldCharType="begin"/>
      </w:r>
      <w:r w:rsidR="00FE451A">
        <w:rPr>
          <w:rFonts w:ascii="Calibri" w:eastAsia="Calibri" w:hAnsi="Calibri" w:cs="Times New Roman"/>
        </w:rPr>
        <w:instrText xml:space="preserve"> REF _Ref453580968 \h </w:instrText>
      </w:r>
      <w:r w:rsidR="00FE451A">
        <w:rPr>
          <w:rFonts w:ascii="Calibri" w:eastAsia="Calibri" w:hAnsi="Calibri" w:cs="Times New Roman"/>
        </w:rPr>
      </w:r>
      <w:r w:rsidR="00FE451A">
        <w:rPr>
          <w:rFonts w:ascii="Calibri" w:eastAsia="Calibri" w:hAnsi="Calibri" w:cs="Times New Roman"/>
        </w:rPr>
        <w:fldChar w:fldCharType="separate"/>
      </w:r>
      <w:r w:rsidR="00152F6D">
        <w:t xml:space="preserve">Table </w:t>
      </w:r>
      <w:r w:rsidR="00152F6D">
        <w:rPr>
          <w:noProof/>
        </w:rPr>
        <w:t>8</w:t>
      </w:r>
      <w:r w:rsidR="00152F6D">
        <w:t>.</w:t>
      </w:r>
      <w:r w:rsidR="00152F6D">
        <w:rPr>
          <w:noProof/>
        </w:rPr>
        <w:t>8</w:t>
      </w:r>
      <w:r w:rsidR="00FE451A">
        <w:rPr>
          <w:rFonts w:ascii="Calibri" w:eastAsia="Calibri" w:hAnsi="Calibri" w:cs="Times New Roman"/>
        </w:rPr>
        <w:fldChar w:fldCharType="end"/>
      </w:r>
      <w:r w:rsidR="00FE451A">
        <w:rPr>
          <w:rFonts w:ascii="Calibri" w:eastAsia="Calibri" w:hAnsi="Calibri" w:cs="Times New Roman"/>
        </w:rPr>
        <w:t xml:space="preserve">, </w:t>
      </w:r>
      <w:r w:rsidR="00FE451A">
        <w:rPr>
          <w:rFonts w:ascii="Calibri" w:eastAsia="Calibri" w:hAnsi="Calibri" w:cs="Times New Roman"/>
        </w:rPr>
        <w:fldChar w:fldCharType="begin"/>
      </w:r>
      <w:r w:rsidR="00FE451A">
        <w:rPr>
          <w:rFonts w:ascii="Calibri" w:eastAsia="Calibri" w:hAnsi="Calibri" w:cs="Times New Roman"/>
        </w:rPr>
        <w:instrText xml:space="preserve"> REF _Ref453580997 \h </w:instrText>
      </w:r>
      <w:r w:rsidR="00FE451A">
        <w:rPr>
          <w:rFonts w:ascii="Calibri" w:eastAsia="Calibri" w:hAnsi="Calibri" w:cs="Times New Roman"/>
        </w:rPr>
      </w:r>
      <w:r w:rsidR="00FE451A">
        <w:rPr>
          <w:rFonts w:ascii="Calibri" w:eastAsia="Calibri" w:hAnsi="Calibri" w:cs="Times New Roman"/>
        </w:rPr>
        <w:fldChar w:fldCharType="separate"/>
      </w:r>
      <w:r w:rsidR="00152F6D">
        <w:t xml:space="preserve">Table </w:t>
      </w:r>
      <w:r w:rsidR="00152F6D">
        <w:rPr>
          <w:noProof/>
        </w:rPr>
        <w:t>8</w:t>
      </w:r>
      <w:r w:rsidR="00152F6D">
        <w:t>.</w:t>
      </w:r>
      <w:r w:rsidR="00152F6D">
        <w:rPr>
          <w:noProof/>
        </w:rPr>
        <w:t>9</w:t>
      </w:r>
      <w:r w:rsidR="00FE451A">
        <w:rPr>
          <w:rFonts w:ascii="Calibri" w:eastAsia="Calibri" w:hAnsi="Calibri" w:cs="Times New Roman"/>
        </w:rPr>
        <w:fldChar w:fldCharType="end"/>
      </w:r>
      <w:r w:rsidR="009D2E42">
        <w:rPr>
          <w:rFonts w:ascii="Calibri" w:eastAsia="Calibri" w:hAnsi="Calibri" w:cs="Times New Roman"/>
        </w:rPr>
        <w:t xml:space="preserve">, and </w:t>
      </w:r>
      <w:r w:rsidR="009D2E42">
        <w:rPr>
          <w:rFonts w:ascii="Calibri" w:eastAsia="Calibri" w:hAnsi="Calibri" w:cs="Times New Roman"/>
        </w:rPr>
        <w:fldChar w:fldCharType="begin"/>
      </w:r>
      <w:r w:rsidR="009D2E42">
        <w:rPr>
          <w:rFonts w:ascii="Calibri" w:eastAsia="Calibri" w:hAnsi="Calibri" w:cs="Times New Roman"/>
        </w:rPr>
        <w:instrText xml:space="preserve"> REF _Ref453581067 \h </w:instrText>
      </w:r>
      <w:r w:rsidR="009D2E42">
        <w:rPr>
          <w:rFonts w:ascii="Calibri" w:eastAsia="Calibri" w:hAnsi="Calibri" w:cs="Times New Roman"/>
        </w:rPr>
      </w:r>
      <w:r w:rsidR="009D2E42">
        <w:rPr>
          <w:rFonts w:ascii="Calibri" w:eastAsia="Calibri" w:hAnsi="Calibri" w:cs="Times New Roman"/>
        </w:rPr>
        <w:fldChar w:fldCharType="separate"/>
      </w:r>
      <w:r w:rsidR="00152F6D">
        <w:t xml:space="preserve">Table </w:t>
      </w:r>
      <w:r w:rsidR="00152F6D">
        <w:rPr>
          <w:noProof/>
        </w:rPr>
        <w:t>8</w:t>
      </w:r>
      <w:r w:rsidR="00152F6D">
        <w:t>.</w:t>
      </w:r>
      <w:r w:rsidR="00152F6D">
        <w:rPr>
          <w:noProof/>
        </w:rPr>
        <w:t>10</w:t>
      </w:r>
      <w:r w:rsidR="009D2E42">
        <w:rPr>
          <w:rFonts w:ascii="Calibri" w:eastAsia="Calibri" w:hAnsi="Calibri" w:cs="Times New Roman"/>
        </w:rPr>
        <w:fldChar w:fldCharType="end"/>
      </w:r>
      <w:r w:rsidR="009D2E42" w:rsidRPr="00E6060C">
        <w:rPr>
          <w:rFonts w:ascii="Calibri" w:eastAsia="Calibri" w:hAnsi="Calibri" w:cs="Times New Roman"/>
        </w:rPr>
        <w:t xml:space="preserve"> </w:t>
      </w:r>
      <w:r w:rsidR="009D2E42">
        <w:rPr>
          <w:rFonts w:ascii="Calibri" w:eastAsia="Calibri" w:hAnsi="Calibri" w:cs="Times New Roman"/>
        </w:rPr>
        <w:t xml:space="preserve">in Chapter 8 </w:t>
      </w:r>
      <w:r w:rsidR="00E6060C" w:rsidRPr="00E6060C">
        <w:rPr>
          <w:rFonts w:ascii="Calibri" w:eastAsia="Calibri" w:hAnsi="Calibri" w:cs="Times New Roman"/>
        </w:rPr>
        <w:t xml:space="preserve">(section </w:t>
      </w:r>
      <w:r w:rsidR="009D2E42">
        <w:rPr>
          <w:rFonts w:ascii="Calibri" w:eastAsia="Calibri" w:hAnsi="Calibri" w:cs="Times New Roman"/>
        </w:rPr>
        <w:fldChar w:fldCharType="begin"/>
      </w:r>
      <w:r w:rsidR="009D2E42">
        <w:rPr>
          <w:rFonts w:ascii="Calibri" w:eastAsia="Calibri" w:hAnsi="Calibri" w:cs="Times New Roman"/>
        </w:rPr>
        <w:instrText xml:space="preserve"> REF _Ref453581628 \r \h </w:instrText>
      </w:r>
      <w:r w:rsidR="009D2E42">
        <w:rPr>
          <w:rFonts w:ascii="Calibri" w:eastAsia="Calibri" w:hAnsi="Calibri" w:cs="Times New Roman"/>
        </w:rPr>
      </w:r>
      <w:r w:rsidR="009D2E42">
        <w:rPr>
          <w:rFonts w:ascii="Calibri" w:eastAsia="Calibri" w:hAnsi="Calibri" w:cs="Times New Roman"/>
        </w:rPr>
        <w:fldChar w:fldCharType="separate"/>
      </w:r>
      <w:r w:rsidR="00152F6D">
        <w:rPr>
          <w:rFonts w:ascii="Calibri" w:eastAsia="Calibri" w:hAnsi="Calibri" w:cs="Times New Roman"/>
        </w:rPr>
        <w:t>8.3.1</w:t>
      </w:r>
      <w:r w:rsidR="009D2E42">
        <w:rPr>
          <w:rFonts w:ascii="Calibri" w:eastAsia="Calibri" w:hAnsi="Calibri" w:cs="Times New Roman"/>
        </w:rPr>
        <w:fldChar w:fldCharType="end"/>
      </w:r>
      <w:r w:rsidR="00E6060C" w:rsidRPr="00E6060C">
        <w:rPr>
          <w:rFonts w:ascii="Calibri" w:eastAsia="Calibri" w:hAnsi="Calibri" w:cs="Times New Roman"/>
        </w:rPr>
        <w:t>). In summary, the full sample comprising 179 people consisted of 88.3% (n=158) females. The mean age of the whole sample, including both males and females, was 37.8 years (</w:t>
      </w:r>
      <w:r w:rsidR="00E6060C" w:rsidRPr="00E6060C">
        <w:rPr>
          <w:rFonts w:ascii="Calibri" w:eastAsia="Calibri" w:hAnsi="Calibri" w:cs="Times New Roman"/>
          <w:i/>
        </w:rPr>
        <w:t>SD=</w:t>
      </w:r>
      <w:r w:rsidR="00E6060C" w:rsidRPr="00E6060C">
        <w:rPr>
          <w:rFonts w:ascii="Calibri" w:eastAsia="Calibri" w:hAnsi="Calibri" w:cs="Times New Roman"/>
        </w:rPr>
        <w:t>11.28), though ages spanned between 21 and 65 years. The respondents worked full time on average (</w:t>
      </w:r>
      <w:r w:rsidR="00E6060C" w:rsidRPr="00E6060C">
        <w:rPr>
          <w:rFonts w:ascii="Calibri" w:eastAsia="Calibri" w:hAnsi="Calibri" w:cs="Times New Roman"/>
          <w:i/>
        </w:rPr>
        <w:t>M</w:t>
      </w:r>
      <w:r w:rsidR="00E6060C" w:rsidRPr="00E6060C">
        <w:rPr>
          <w:rFonts w:ascii="Calibri" w:eastAsia="Calibri" w:hAnsi="Calibri" w:cs="Times New Roman"/>
        </w:rPr>
        <w:t xml:space="preserve">=.74, </w:t>
      </w:r>
      <w:r w:rsidR="00E6060C" w:rsidRPr="00E6060C">
        <w:rPr>
          <w:rFonts w:ascii="Calibri" w:eastAsia="Calibri" w:hAnsi="Calibri" w:cs="Times New Roman"/>
          <w:i/>
        </w:rPr>
        <w:t>SD</w:t>
      </w:r>
      <w:r w:rsidR="00E6060C" w:rsidRPr="00E6060C">
        <w:rPr>
          <w:rFonts w:ascii="Calibri" w:eastAsia="Calibri" w:hAnsi="Calibri" w:cs="Times New Roman"/>
        </w:rPr>
        <w:t>=.44), had been working on their respective wards for 3.1 years (</w:t>
      </w:r>
      <w:r w:rsidR="00E6060C" w:rsidRPr="00E6060C">
        <w:rPr>
          <w:rFonts w:ascii="Calibri" w:eastAsia="Calibri" w:hAnsi="Calibri" w:cs="Times New Roman"/>
          <w:i/>
        </w:rPr>
        <w:t>SD</w:t>
      </w:r>
      <w:r w:rsidR="00E6060C" w:rsidRPr="00E6060C">
        <w:rPr>
          <w:rFonts w:ascii="Calibri" w:eastAsia="Calibri" w:hAnsi="Calibri" w:cs="Times New Roman"/>
        </w:rPr>
        <w:t>=3.06), within the hospital for over 5 years (</w:t>
      </w:r>
      <w:r w:rsidR="00E6060C" w:rsidRPr="00E6060C">
        <w:rPr>
          <w:rFonts w:ascii="Calibri" w:eastAsia="Calibri" w:hAnsi="Calibri" w:cs="Times New Roman"/>
          <w:i/>
        </w:rPr>
        <w:t>M</w:t>
      </w:r>
      <w:r w:rsidR="00E6060C" w:rsidRPr="00E6060C">
        <w:rPr>
          <w:rFonts w:ascii="Calibri" w:eastAsia="Calibri" w:hAnsi="Calibri" w:cs="Times New Roman"/>
        </w:rPr>
        <w:t xml:space="preserve">=5.5, </w:t>
      </w:r>
      <w:r w:rsidR="00E6060C" w:rsidRPr="00E6060C">
        <w:rPr>
          <w:rFonts w:ascii="Calibri" w:eastAsia="Calibri" w:hAnsi="Calibri" w:cs="Times New Roman"/>
          <w:i/>
        </w:rPr>
        <w:t>SD</w:t>
      </w:r>
      <w:r w:rsidR="00E6060C" w:rsidRPr="00E6060C">
        <w:rPr>
          <w:rFonts w:ascii="Calibri" w:eastAsia="Calibri" w:hAnsi="Calibri" w:cs="Times New Roman"/>
        </w:rPr>
        <w:t>=6.21), were either qualified nurses or healthcare assistants (</w:t>
      </w:r>
      <w:r w:rsidR="00E6060C" w:rsidRPr="00E6060C">
        <w:rPr>
          <w:rFonts w:ascii="Calibri" w:eastAsia="Calibri" w:hAnsi="Calibri" w:cs="Times New Roman"/>
          <w:i/>
        </w:rPr>
        <w:t>M</w:t>
      </w:r>
      <w:r w:rsidR="00E6060C" w:rsidRPr="00E6060C">
        <w:rPr>
          <w:rFonts w:ascii="Calibri" w:eastAsia="Calibri" w:hAnsi="Calibri" w:cs="Times New Roman"/>
        </w:rPr>
        <w:t xml:space="preserve">=2.4, </w:t>
      </w:r>
      <w:r w:rsidR="00E6060C" w:rsidRPr="00E6060C">
        <w:rPr>
          <w:rFonts w:ascii="Calibri" w:eastAsia="Calibri" w:hAnsi="Calibri" w:cs="Times New Roman"/>
          <w:i/>
        </w:rPr>
        <w:t>SD=</w:t>
      </w:r>
      <w:r w:rsidR="00E6060C" w:rsidRPr="00E6060C">
        <w:rPr>
          <w:rFonts w:ascii="Calibri" w:eastAsia="Calibri" w:hAnsi="Calibri" w:cs="Times New Roman"/>
        </w:rPr>
        <w:t>.77), and were, on average, educated to diploma level (</w:t>
      </w:r>
      <w:r w:rsidR="00E6060C" w:rsidRPr="00E6060C">
        <w:rPr>
          <w:rFonts w:ascii="Calibri" w:eastAsia="Calibri" w:hAnsi="Calibri" w:cs="Times New Roman"/>
          <w:i/>
        </w:rPr>
        <w:t>M</w:t>
      </w:r>
      <w:r w:rsidR="00E6060C" w:rsidRPr="00E6060C">
        <w:rPr>
          <w:rFonts w:ascii="Calibri" w:eastAsia="Calibri" w:hAnsi="Calibri" w:cs="Times New Roman"/>
        </w:rPr>
        <w:t>=4.1,</w:t>
      </w:r>
      <w:r w:rsidR="00E6060C" w:rsidRPr="00E6060C">
        <w:rPr>
          <w:rFonts w:ascii="Calibri" w:eastAsia="Calibri" w:hAnsi="Calibri" w:cs="Times New Roman"/>
          <w:i/>
        </w:rPr>
        <w:t xml:space="preserve"> SD</w:t>
      </w:r>
      <w:r w:rsidR="00E6060C" w:rsidRPr="00E6060C">
        <w:rPr>
          <w:rFonts w:ascii="Calibri" w:eastAsia="Calibri" w:hAnsi="Calibri" w:cs="Times New Roman"/>
        </w:rPr>
        <w:t>=1.29). 35.8% (n=64) of the sample worked on the control wards</w:t>
      </w:r>
      <w:r w:rsidR="007578AF">
        <w:rPr>
          <w:rFonts w:ascii="Calibri" w:eastAsia="Calibri" w:hAnsi="Calibri" w:cs="Times New Roman"/>
        </w:rPr>
        <w:t>,</w:t>
      </w:r>
      <w:r w:rsidR="00E6060C" w:rsidRPr="00E6060C">
        <w:rPr>
          <w:rFonts w:ascii="Calibri" w:eastAsia="Calibri" w:hAnsi="Calibri" w:cs="Times New Roman"/>
        </w:rPr>
        <w:t xml:space="preserve"> and 64.2% (n=115) worked on the intervention wards. The characteristics of these subsamples broadly reflected the compo</w:t>
      </w:r>
      <w:r w:rsidR="009D2E42">
        <w:rPr>
          <w:rFonts w:ascii="Calibri" w:eastAsia="Calibri" w:hAnsi="Calibri" w:cs="Times New Roman"/>
        </w:rPr>
        <w:t>sition of the sample as a whole</w:t>
      </w:r>
      <w:r w:rsidR="00E6060C" w:rsidRPr="00E6060C">
        <w:rPr>
          <w:rFonts w:ascii="Calibri" w:eastAsia="Calibri" w:hAnsi="Calibri" w:cs="Times New Roman"/>
        </w:rPr>
        <w:t xml:space="preserve">. </w:t>
      </w:r>
      <w:r w:rsidR="009D2E42">
        <w:rPr>
          <w:rFonts w:ascii="Calibri" w:eastAsia="Calibri" w:hAnsi="Calibri" w:cs="Times New Roman"/>
        </w:rPr>
        <w:t>D</w:t>
      </w:r>
      <w:r w:rsidR="00E6060C" w:rsidRPr="00E6060C">
        <w:rPr>
          <w:rFonts w:ascii="Calibri" w:eastAsia="Calibri" w:hAnsi="Calibri" w:cs="Times New Roman"/>
        </w:rPr>
        <w:t xml:space="preserve">etails </w:t>
      </w:r>
      <w:r w:rsidR="009D2E42">
        <w:rPr>
          <w:rFonts w:ascii="Calibri" w:eastAsia="Calibri" w:hAnsi="Calibri" w:cs="Times New Roman"/>
        </w:rPr>
        <w:t>regarding</w:t>
      </w:r>
      <w:r w:rsidR="00E6060C" w:rsidRPr="00E6060C">
        <w:rPr>
          <w:rFonts w:ascii="Calibri" w:eastAsia="Calibri" w:hAnsi="Calibri" w:cs="Times New Roman"/>
        </w:rPr>
        <w:t xml:space="preserve"> respondents’ scores on the research variables at Time 1 and 2, the distributions of all of the variables, and differences between control and intervention groups at baseline, for the whole sample and </w:t>
      </w:r>
      <w:r w:rsidR="009D2E42">
        <w:rPr>
          <w:rFonts w:ascii="Calibri" w:eastAsia="Calibri" w:hAnsi="Calibri" w:cs="Times New Roman"/>
        </w:rPr>
        <w:t xml:space="preserve">the matched sample, can be found in sections </w:t>
      </w:r>
      <w:r w:rsidR="009D2E42">
        <w:rPr>
          <w:rFonts w:ascii="Calibri" w:eastAsia="Calibri" w:hAnsi="Calibri" w:cs="Times New Roman"/>
        </w:rPr>
        <w:fldChar w:fldCharType="begin"/>
      </w:r>
      <w:r w:rsidR="009D2E42">
        <w:rPr>
          <w:rFonts w:ascii="Calibri" w:eastAsia="Calibri" w:hAnsi="Calibri" w:cs="Times New Roman"/>
        </w:rPr>
        <w:instrText xml:space="preserve"> REF _Ref453581564 \r \h </w:instrText>
      </w:r>
      <w:r w:rsidR="009D2E42">
        <w:rPr>
          <w:rFonts w:ascii="Calibri" w:eastAsia="Calibri" w:hAnsi="Calibri" w:cs="Times New Roman"/>
        </w:rPr>
      </w:r>
      <w:r w:rsidR="009D2E42">
        <w:rPr>
          <w:rFonts w:ascii="Calibri" w:eastAsia="Calibri" w:hAnsi="Calibri" w:cs="Times New Roman"/>
        </w:rPr>
        <w:fldChar w:fldCharType="separate"/>
      </w:r>
      <w:r w:rsidR="00152F6D">
        <w:rPr>
          <w:rFonts w:ascii="Calibri" w:eastAsia="Calibri" w:hAnsi="Calibri" w:cs="Times New Roman"/>
        </w:rPr>
        <w:t>8.2.2</w:t>
      </w:r>
      <w:r w:rsidR="009D2E42">
        <w:rPr>
          <w:rFonts w:ascii="Calibri" w:eastAsia="Calibri" w:hAnsi="Calibri" w:cs="Times New Roman"/>
        </w:rPr>
        <w:fldChar w:fldCharType="end"/>
      </w:r>
      <w:r w:rsidR="009D2E42">
        <w:rPr>
          <w:rFonts w:ascii="Calibri" w:eastAsia="Calibri" w:hAnsi="Calibri" w:cs="Times New Roman"/>
        </w:rPr>
        <w:t xml:space="preserve"> and </w:t>
      </w:r>
      <w:r w:rsidR="009D2E42">
        <w:rPr>
          <w:rFonts w:ascii="Calibri" w:eastAsia="Calibri" w:hAnsi="Calibri" w:cs="Times New Roman"/>
        </w:rPr>
        <w:fldChar w:fldCharType="begin"/>
      </w:r>
      <w:r w:rsidR="009D2E42">
        <w:rPr>
          <w:rFonts w:ascii="Calibri" w:eastAsia="Calibri" w:hAnsi="Calibri" w:cs="Times New Roman"/>
        </w:rPr>
        <w:instrText xml:space="preserve"> REF _Ref453581589 \r \h </w:instrText>
      </w:r>
      <w:r w:rsidR="009D2E42">
        <w:rPr>
          <w:rFonts w:ascii="Calibri" w:eastAsia="Calibri" w:hAnsi="Calibri" w:cs="Times New Roman"/>
        </w:rPr>
      </w:r>
      <w:r w:rsidR="009D2E42">
        <w:rPr>
          <w:rFonts w:ascii="Calibri" w:eastAsia="Calibri" w:hAnsi="Calibri" w:cs="Times New Roman"/>
        </w:rPr>
        <w:fldChar w:fldCharType="separate"/>
      </w:r>
      <w:r w:rsidR="00152F6D">
        <w:rPr>
          <w:rFonts w:ascii="Calibri" w:eastAsia="Calibri" w:hAnsi="Calibri" w:cs="Times New Roman"/>
        </w:rPr>
        <w:t>8.3.2</w:t>
      </w:r>
      <w:r w:rsidR="009D2E42">
        <w:rPr>
          <w:rFonts w:ascii="Calibri" w:eastAsia="Calibri" w:hAnsi="Calibri" w:cs="Times New Roman"/>
        </w:rPr>
        <w:fldChar w:fldCharType="end"/>
      </w:r>
      <w:r w:rsidR="009D2E42">
        <w:rPr>
          <w:rFonts w:ascii="Calibri" w:eastAsia="Calibri" w:hAnsi="Calibri" w:cs="Times New Roman"/>
        </w:rPr>
        <w:t xml:space="preserve">. </w:t>
      </w:r>
    </w:p>
    <w:p w14:paraId="143F4AF1" w14:textId="77777777" w:rsidR="00E6060C" w:rsidRPr="00E6060C" w:rsidRDefault="00E6060C" w:rsidP="00E6060C">
      <w:pPr>
        <w:spacing w:after="200" w:line="360" w:lineRule="auto"/>
        <w:contextualSpacing/>
        <w:rPr>
          <w:rFonts w:ascii="Calibri" w:eastAsia="Calibri" w:hAnsi="Calibri" w:cs="Times New Roman"/>
        </w:rPr>
      </w:pPr>
    </w:p>
    <w:p w14:paraId="5B2ABE57" w14:textId="56AE7AD9" w:rsidR="00E6060C" w:rsidRPr="00E6060C" w:rsidRDefault="00E6060C" w:rsidP="00B7614E">
      <w:pPr>
        <w:pStyle w:val="Thesisheading2"/>
        <w:rPr>
          <w:bCs/>
        </w:rPr>
      </w:pPr>
      <w:bookmarkStart w:id="337" w:name="_Toc397071009"/>
      <w:bookmarkStart w:id="338" w:name="_Toc445389258"/>
      <w:bookmarkStart w:id="339" w:name="_Toc468285995"/>
      <w:r w:rsidRPr="00E6060C">
        <w:t>Intervention procedure</w:t>
      </w:r>
      <w:bookmarkEnd w:id="337"/>
      <w:bookmarkEnd w:id="338"/>
      <w:bookmarkEnd w:id="339"/>
    </w:p>
    <w:p w14:paraId="11D4F1B1" w14:textId="77777777" w:rsidR="00E6060C" w:rsidRPr="00E6060C" w:rsidRDefault="00E6060C" w:rsidP="00E6060C">
      <w:pPr>
        <w:spacing w:after="200" w:line="360" w:lineRule="auto"/>
        <w:contextualSpacing/>
        <w:rPr>
          <w:rFonts w:ascii="Calibri" w:eastAsia="Calibri" w:hAnsi="Calibri" w:cs="Times New Roman"/>
          <w:b/>
          <w:bCs/>
          <w:i/>
        </w:rPr>
      </w:pPr>
    </w:p>
    <w:p w14:paraId="3148BDDC" w14:textId="338005E5"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 launch event on 27</w:t>
      </w:r>
      <w:r w:rsidRPr="00E6060C">
        <w:rPr>
          <w:rFonts w:ascii="Calibri" w:eastAsia="Calibri" w:hAnsi="Calibri" w:cs="Times New Roman"/>
          <w:vertAlign w:val="superscript"/>
        </w:rPr>
        <w:t>th</w:t>
      </w:r>
      <w:r w:rsidRPr="00E6060C">
        <w:rPr>
          <w:rFonts w:ascii="Calibri" w:eastAsia="Calibri" w:hAnsi="Calibri" w:cs="Times New Roman"/>
        </w:rPr>
        <w:t xml:space="preserve"> June 2014 in the main participating hospital marked the start of the study. This involved a half-day workshop in which representatives (nurses, sisters and healthcare workers) from each of the intervention wards were introduced to the research team</w:t>
      </w:r>
      <w:r w:rsidR="007578AF">
        <w:rPr>
          <w:rFonts w:ascii="Calibri" w:eastAsia="Calibri" w:hAnsi="Calibri" w:cs="Times New Roman"/>
        </w:rPr>
        <w:t>,</w:t>
      </w:r>
      <w:r w:rsidRPr="00E6060C">
        <w:rPr>
          <w:rFonts w:ascii="Calibri" w:eastAsia="Calibri" w:hAnsi="Calibri" w:cs="Times New Roman"/>
        </w:rPr>
        <w:t xml:space="preserve"> and the theory and rationale behind the study. Following the launch event, all staff on intervention and comparison wards were invited to complete a pen and paper questionnaire at baseline (T1; 21</w:t>
      </w:r>
      <w:r w:rsidRPr="00E6060C">
        <w:rPr>
          <w:rFonts w:ascii="Calibri" w:eastAsia="Calibri" w:hAnsi="Calibri" w:cs="Times New Roman"/>
          <w:vertAlign w:val="superscript"/>
        </w:rPr>
        <w:t>st</w:t>
      </w:r>
      <w:r w:rsidRPr="00E6060C">
        <w:rPr>
          <w:rFonts w:ascii="Calibri" w:eastAsia="Calibri" w:hAnsi="Calibri" w:cs="Times New Roman"/>
        </w:rPr>
        <w:t xml:space="preserve"> July – September, 2014). The questionnaire included an information sheet to gain informed consent from participants, confirm their anonymity and right to withdraw at any time, and assessed ward climate, engagement, psychological empowerment and psychological well-being. These included variables the wider research team were interested in measuring; only the subset involved in this research will be discussed in this thesis (see </w:t>
      </w:r>
      <w:r w:rsidR="004A230E">
        <w:rPr>
          <w:rFonts w:ascii="Calibri" w:eastAsia="Calibri" w:hAnsi="Calibri" w:cs="Times New Roman"/>
          <w:highlight w:val="yellow"/>
        </w:rPr>
        <w:fldChar w:fldCharType="begin"/>
      </w:r>
      <w:r w:rsidR="004A230E">
        <w:rPr>
          <w:rFonts w:ascii="Calibri" w:eastAsia="Calibri" w:hAnsi="Calibri" w:cs="Times New Roman"/>
        </w:rPr>
        <w:instrText xml:space="preserve"> REF _Ref453581769 \r \h </w:instrText>
      </w:r>
      <w:r w:rsidR="004A230E">
        <w:rPr>
          <w:rFonts w:ascii="Calibri" w:eastAsia="Calibri" w:hAnsi="Calibri" w:cs="Times New Roman"/>
          <w:highlight w:val="yellow"/>
        </w:rPr>
      </w:r>
      <w:r w:rsidR="004A230E">
        <w:rPr>
          <w:rFonts w:ascii="Calibri" w:eastAsia="Calibri" w:hAnsi="Calibri" w:cs="Times New Roman"/>
          <w:highlight w:val="yellow"/>
        </w:rPr>
        <w:fldChar w:fldCharType="separate"/>
      </w:r>
      <w:r w:rsidR="00152F6D">
        <w:rPr>
          <w:rFonts w:ascii="Calibri" w:eastAsia="Calibri" w:hAnsi="Calibri" w:cs="Times New Roman"/>
        </w:rPr>
        <w:t>7.7</w:t>
      </w:r>
      <w:r w:rsidR="004A230E">
        <w:rPr>
          <w:rFonts w:ascii="Calibri" w:eastAsia="Calibri" w:hAnsi="Calibri" w:cs="Times New Roman"/>
          <w:highlight w:val="yellow"/>
        </w:rPr>
        <w:fldChar w:fldCharType="end"/>
      </w:r>
      <w:r w:rsidRPr="00E6060C">
        <w:rPr>
          <w:rFonts w:ascii="Calibri" w:eastAsia="Calibri" w:hAnsi="Calibri" w:cs="Times New Roman"/>
        </w:rPr>
        <w:t xml:space="preserve"> for details</w:t>
      </w:r>
      <w:r w:rsidR="004A230E">
        <w:rPr>
          <w:rFonts w:ascii="Calibri" w:eastAsia="Calibri" w:hAnsi="Calibri" w:cs="Times New Roman"/>
        </w:rPr>
        <w:t xml:space="preserve"> of these).</w:t>
      </w:r>
    </w:p>
    <w:p w14:paraId="4EA8815B" w14:textId="77777777" w:rsidR="00E6060C" w:rsidRPr="00E6060C" w:rsidRDefault="00E6060C" w:rsidP="00E6060C">
      <w:pPr>
        <w:spacing w:after="200" w:line="360" w:lineRule="auto"/>
        <w:contextualSpacing/>
        <w:rPr>
          <w:rFonts w:ascii="Calibri" w:eastAsia="Calibri" w:hAnsi="Calibri" w:cs="Times New Roman"/>
        </w:rPr>
      </w:pPr>
    </w:p>
    <w:p w14:paraId="31775122" w14:textId="646F9BA2"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intervention itself ran from September 2014 to June 2015 and consisted of five core workshops; one three day workshop (Sept, 2014) and four two day workshops (see Timeline, </w:t>
      </w:r>
      <w:r w:rsidR="004A230E">
        <w:rPr>
          <w:rFonts w:ascii="Calibri" w:eastAsia="Calibri" w:hAnsi="Calibri" w:cs="Times New Roman"/>
        </w:rPr>
        <w:fldChar w:fldCharType="begin"/>
      </w:r>
      <w:r w:rsidR="004A230E">
        <w:rPr>
          <w:rFonts w:ascii="Calibri" w:eastAsia="Calibri" w:hAnsi="Calibri" w:cs="Times New Roman"/>
        </w:rPr>
        <w:instrText xml:space="preserve"> REF _Ref453581928 \h </w:instrText>
      </w:r>
      <w:r w:rsidR="004A230E">
        <w:rPr>
          <w:rFonts w:ascii="Calibri" w:eastAsia="Calibri" w:hAnsi="Calibri" w:cs="Times New Roman"/>
        </w:rPr>
      </w:r>
      <w:r w:rsidR="004A230E">
        <w:rPr>
          <w:rFonts w:ascii="Calibri" w:eastAsia="Calibri" w:hAnsi="Calibri" w:cs="Times New Roman"/>
        </w:rPr>
        <w:fldChar w:fldCharType="separate"/>
      </w:r>
      <w:r w:rsidR="00152F6D">
        <w:t xml:space="preserve">Figure </w:t>
      </w:r>
      <w:r w:rsidR="00152F6D">
        <w:rPr>
          <w:noProof/>
        </w:rPr>
        <w:t>7</w:t>
      </w:r>
      <w:r w:rsidR="00152F6D">
        <w:t>.</w:t>
      </w:r>
      <w:r w:rsidR="00152F6D">
        <w:rPr>
          <w:noProof/>
        </w:rPr>
        <w:t>1</w:t>
      </w:r>
      <w:r w:rsidR="004A230E">
        <w:rPr>
          <w:rFonts w:ascii="Calibri" w:eastAsia="Calibri" w:hAnsi="Calibri" w:cs="Times New Roman"/>
        </w:rPr>
        <w:fldChar w:fldCharType="end"/>
      </w:r>
      <w:r w:rsidRPr="00E6060C">
        <w:rPr>
          <w:rFonts w:ascii="Calibri" w:eastAsia="Calibri" w:hAnsi="Calibri" w:cs="Times New Roman"/>
        </w:rPr>
        <w:t xml:space="preserve">). Details of each workshop can be found in section </w:t>
      </w:r>
      <w:r w:rsidR="004A230E">
        <w:rPr>
          <w:rFonts w:ascii="Calibri" w:eastAsia="Calibri" w:hAnsi="Calibri" w:cs="Times New Roman"/>
        </w:rPr>
        <w:fldChar w:fldCharType="begin"/>
      </w:r>
      <w:r w:rsidR="004A230E">
        <w:rPr>
          <w:rFonts w:ascii="Calibri" w:eastAsia="Calibri" w:hAnsi="Calibri" w:cs="Times New Roman"/>
        </w:rPr>
        <w:instrText xml:space="preserve"> REF _Ref453581992 \r \h </w:instrText>
      </w:r>
      <w:r w:rsidR="004A230E">
        <w:rPr>
          <w:rFonts w:ascii="Calibri" w:eastAsia="Calibri" w:hAnsi="Calibri" w:cs="Times New Roman"/>
        </w:rPr>
      </w:r>
      <w:r w:rsidR="004A230E">
        <w:rPr>
          <w:rFonts w:ascii="Calibri" w:eastAsia="Calibri" w:hAnsi="Calibri" w:cs="Times New Roman"/>
        </w:rPr>
        <w:fldChar w:fldCharType="separate"/>
      </w:r>
      <w:r w:rsidR="00152F6D">
        <w:rPr>
          <w:rFonts w:ascii="Calibri" w:eastAsia="Calibri" w:hAnsi="Calibri" w:cs="Times New Roman"/>
        </w:rPr>
        <w:t>7.4</w:t>
      </w:r>
      <w:r w:rsidR="004A230E">
        <w:rPr>
          <w:rFonts w:ascii="Calibri" w:eastAsia="Calibri" w:hAnsi="Calibri" w:cs="Times New Roman"/>
        </w:rPr>
        <w:fldChar w:fldCharType="end"/>
      </w:r>
      <w:r w:rsidRPr="00E6060C">
        <w:rPr>
          <w:rFonts w:ascii="Calibri" w:eastAsia="Calibri" w:hAnsi="Calibri" w:cs="Times New Roman"/>
        </w:rPr>
        <w:t xml:space="preserve">. As far as possible, it was intended that the same staff members attend all of the intervention workshops. To encourage this, a nurse manager, senior nurse </w:t>
      </w:r>
      <w:r w:rsidRPr="00E6060C">
        <w:rPr>
          <w:rFonts w:ascii="Calibri" w:eastAsia="Calibri" w:hAnsi="Calibri" w:cs="Times New Roman"/>
        </w:rPr>
        <w:lastRenderedPageBreak/>
        <w:t>and regular member of staff from each of the intervention wards were identified by managers and nursing staff as available and motivated to attend each of the workshops. These participants were also invited to attend a ‘Communities of Practice’ group meeting in-between each workshop. One workshop was offered to Ward Sisters, one to Nurses, and one to Healthcare Workers</w:t>
      </w:r>
      <w:r w:rsidR="005707E0">
        <w:rPr>
          <w:rFonts w:ascii="Calibri" w:eastAsia="Calibri" w:hAnsi="Calibri" w:cs="Times New Roman"/>
        </w:rPr>
        <w:t xml:space="preserve"> (HCW)</w:t>
      </w:r>
      <w:r w:rsidRPr="00E6060C">
        <w:rPr>
          <w:rFonts w:ascii="Calibri" w:eastAsia="Calibri" w:hAnsi="Calibri" w:cs="Times New Roman"/>
        </w:rPr>
        <w:t>. This allowed participants from each of the wards to collaborate in peer groups, facilitating discussion, reflection, and the generation of ideas. In particular, these workshops aimed to discuss the progress of the intervention, including the success of changes made and any problems and issues that may have emerged. Nursing staff on comparison wards were not invited to take part in the intervention workshops and the patients on these wards received care as usual.</w:t>
      </w:r>
    </w:p>
    <w:p w14:paraId="49704D5B" w14:textId="77777777" w:rsidR="00E6060C" w:rsidRPr="00E6060C" w:rsidRDefault="00E6060C" w:rsidP="00E6060C">
      <w:pPr>
        <w:spacing w:after="200" w:line="360" w:lineRule="auto"/>
        <w:contextualSpacing/>
        <w:rPr>
          <w:rFonts w:ascii="Calibri" w:eastAsia="Calibri" w:hAnsi="Calibri" w:cs="Times New Roman"/>
        </w:rPr>
      </w:pPr>
    </w:p>
    <w:p w14:paraId="74548B40" w14:textId="282C7AC5"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Participants were invited to complete a post-intervention pen and paper questionnaire following the end of the intervention (June / July 2015, Appendix 5). An information sheet was again included with this questionnaire</w:t>
      </w:r>
      <w:r w:rsidR="007578AF">
        <w:rPr>
          <w:rFonts w:ascii="Calibri" w:eastAsia="Calibri" w:hAnsi="Calibri" w:cs="Times New Roman"/>
        </w:rPr>
        <w:t>,</w:t>
      </w:r>
      <w:r w:rsidRPr="00E6060C">
        <w:rPr>
          <w:rFonts w:ascii="Calibri" w:eastAsia="Calibri" w:hAnsi="Calibri" w:cs="Times New Roman"/>
        </w:rPr>
        <w:t xml:space="preserve"> and as an incentive, a £25 Amazon voucher was offered as a prize for one person on each ward to win. A further, follow-up, questionnaire was planned, however, it was not possible to administer this due to delays to the intervention programme which meant that research team resources were no longer available for this purpose. A celebration event took place in November 2015 to mark the official end of the project (Completion event, see </w:t>
      </w:r>
      <w:r w:rsidR="004A230E">
        <w:rPr>
          <w:rFonts w:ascii="Calibri" w:eastAsia="Calibri" w:hAnsi="Calibri" w:cs="Times New Roman"/>
        </w:rPr>
        <w:fldChar w:fldCharType="begin"/>
      </w:r>
      <w:r w:rsidR="004A230E">
        <w:rPr>
          <w:rFonts w:ascii="Calibri" w:eastAsia="Calibri" w:hAnsi="Calibri" w:cs="Times New Roman"/>
        </w:rPr>
        <w:instrText xml:space="preserve"> REF _Ref453581928 \h </w:instrText>
      </w:r>
      <w:r w:rsidR="004A230E">
        <w:rPr>
          <w:rFonts w:ascii="Calibri" w:eastAsia="Calibri" w:hAnsi="Calibri" w:cs="Times New Roman"/>
        </w:rPr>
      </w:r>
      <w:r w:rsidR="004A230E">
        <w:rPr>
          <w:rFonts w:ascii="Calibri" w:eastAsia="Calibri" w:hAnsi="Calibri" w:cs="Times New Roman"/>
        </w:rPr>
        <w:fldChar w:fldCharType="separate"/>
      </w:r>
      <w:r w:rsidR="00152F6D">
        <w:t xml:space="preserve">Figure </w:t>
      </w:r>
      <w:r w:rsidR="00152F6D">
        <w:rPr>
          <w:noProof/>
        </w:rPr>
        <w:t>7</w:t>
      </w:r>
      <w:r w:rsidR="00152F6D">
        <w:t>.</w:t>
      </w:r>
      <w:r w:rsidR="00152F6D">
        <w:rPr>
          <w:noProof/>
        </w:rPr>
        <w:t>1</w:t>
      </w:r>
      <w:r w:rsidR="004A230E">
        <w:rPr>
          <w:rFonts w:ascii="Calibri" w:eastAsia="Calibri" w:hAnsi="Calibri" w:cs="Times New Roman"/>
        </w:rPr>
        <w:fldChar w:fldCharType="end"/>
      </w:r>
      <w:r w:rsidRPr="00E6060C">
        <w:rPr>
          <w:rFonts w:ascii="Calibri" w:eastAsia="Calibri" w:hAnsi="Calibri" w:cs="Times New Roman"/>
        </w:rPr>
        <w:t xml:space="preserve">). </w:t>
      </w:r>
    </w:p>
    <w:p w14:paraId="6A6F055E" w14:textId="77777777" w:rsidR="00E6060C" w:rsidRPr="00E6060C" w:rsidRDefault="00E6060C" w:rsidP="00E6060C">
      <w:pPr>
        <w:spacing w:after="200" w:line="360" w:lineRule="auto"/>
        <w:contextualSpacing/>
        <w:rPr>
          <w:rFonts w:ascii="Calibri" w:eastAsia="Calibri" w:hAnsi="Calibri" w:cs="Times New Roman"/>
        </w:rPr>
      </w:pPr>
    </w:p>
    <w:p w14:paraId="402DCF60" w14:textId="77777777" w:rsidR="00E6060C" w:rsidRPr="00E6060C" w:rsidRDefault="00E6060C" w:rsidP="00E6060C">
      <w:pPr>
        <w:spacing w:after="200" w:line="360" w:lineRule="auto"/>
        <w:contextualSpacing/>
        <w:rPr>
          <w:rFonts w:ascii="Calibri" w:eastAsia="Calibri" w:hAnsi="Calibri" w:cs="Times New Roman"/>
        </w:rPr>
        <w:sectPr w:rsidR="00E6060C" w:rsidRPr="00E6060C" w:rsidSect="008A4560">
          <w:footerReference w:type="first" r:id="rId29"/>
          <w:pgSz w:w="11906" w:h="16838"/>
          <w:pgMar w:top="1440" w:right="1440" w:bottom="1440" w:left="1440" w:header="709" w:footer="709" w:gutter="0"/>
          <w:pgNumType w:start="133"/>
          <w:cols w:space="708"/>
          <w:titlePg/>
          <w:docGrid w:linePitch="360"/>
        </w:sectPr>
      </w:pPr>
      <w:r w:rsidRPr="00E6060C">
        <w:rPr>
          <w:rFonts w:ascii="Calibri" w:eastAsia="Calibri" w:hAnsi="Calibri" w:cs="Times New Roman"/>
        </w:rPr>
        <w:br w:type="page"/>
      </w:r>
    </w:p>
    <w:p w14:paraId="387962C1" w14:textId="77777777" w:rsidR="00E6060C" w:rsidRPr="00E6060C" w:rsidRDefault="00E6060C" w:rsidP="00E6060C">
      <w:pPr>
        <w:spacing w:after="200" w:line="360" w:lineRule="auto"/>
        <w:contextualSpacing/>
        <w:rPr>
          <w:rFonts w:ascii="Calibri" w:eastAsia="Calibri" w:hAnsi="Calibri" w:cs="Times New Roman"/>
        </w:rPr>
      </w:pPr>
    </w:p>
    <w:p w14:paraId="23CE4787" w14:textId="77777777" w:rsidR="00E6060C" w:rsidRPr="00E6060C" w:rsidRDefault="00E6060C" w:rsidP="00E6060C">
      <w:pPr>
        <w:spacing w:after="200" w:line="360" w:lineRule="auto"/>
        <w:contextualSpacing/>
        <w:rPr>
          <w:rFonts w:ascii="Calibri" w:eastAsia="Calibri" w:hAnsi="Calibri" w:cs="Times New Roman"/>
        </w:rPr>
      </w:pPr>
    </w:p>
    <w:p w14:paraId="62CA9720" w14:textId="77777777" w:rsidR="00214339" w:rsidRDefault="00E6060C" w:rsidP="00214339">
      <w:pPr>
        <w:keepNext/>
        <w:spacing w:after="200" w:line="360" w:lineRule="auto"/>
        <w:contextualSpacing/>
      </w:pPr>
      <w:r w:rsidRPr="00E6060C">
        <w:rPr>
          <w:rFonts w:ascii="Calibri" w:eastAsia="Calibri" w:hAnsi="Calibri" w:cs="Times New Roman"/>
          <w:noProof/>
          <w:lang w:eastAsia="en-GB"/>
        </w:rPr>
        <w:drawing>
          <wp:inline distT="0" distB="0" distL="0" distR="0" wp14:anchorId="7B0AE6DC" wp14:editId="6C477D94">
            <wp:extent cx="8825022" cy="4136065"/>
            <wp:effectExtent l="19050" t="19050" r="14605" b="171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530" t="27220" r="9065" b="23734"/>
                    <a:stretch/>
                  </pic:blipFill>
                  <pic:spPr bwMode="auto">
                    <a:xfrm>
                      <a:off x="0" y="0"/>
                      <a:ext cx="8878059" cy="416092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643EB6E" w14:textId="07BCE320" w:rsidR="00C23D06" w:rsidRPr="00C23D06" w:rsidRDefault="00214339" w:rsidP="005852AD">
      <w:pPr>
        <w:pStyle w:val="Figurestyle"/>
        <w:rPr>
          <w:vanish/>
          <w:specVanish/>
        </w:rPr>
      </w:pPr>
      <w:bookmarkStart w:id="340" w:name="_Ref453581928"/>
      <w:bookmarkStart w:id="341" w:name="_Toc453238918"/>
      <w:bookmarkStart w:id="342" w:name="_Toc468286108"/>
      <w:r>
        <w:t xml:space="preserve">Figure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1</w:t>
      </w:r>
      <w:r w:rsidR="00245D68">
        <w:rPr>
          <w:noProof/>
        </w:rPr>
        <w:fldChar w:fldCharType="end"/>
      </w:r>
      <w:bookmarkEnd w:id="340"/>
      <w:r>
        <w:t xml:space="preserve"> </w:t>
      </w:r>
      <w:r w:rsidRPr="00E6060C">
        <w:t>Timeline of the intervention, from the initial project launch to the final completion event</w:t>
      </w:r>
      <w:bookmarkEnd w:id="341"/>
      <w:bookmarkEnd w:id="342"/>
    </w:p>
    <w:p w14:paraId="3D162F19" w14:textId="45EFA96F" w:rsidR="00E6060C" w:rsidRPr="00E6060C" w:rsidRDefault="00214339" w:rsidP="005852AD">
      <w:pPr>
        <w:pStyle w:val="Figurestyle"/>
        <w:rPr>
          <w:rFonts w:ascii="Calibri" w:eastAsia="Calibri" w:hAnsi="Calibri" w:cs="Times New Roman"/>
        </w:rPr>
      </w:pPr>
      <w:r w:rsidRPr="00E6060C">
        <w:t xml:space="preserve"> (WS=Workshop; CP=Communities of Practice workshop)</w:t>
      </w:r>
      <w:r w:rsidR="00C23D06">
        <w:rPr>
          <w:rFonts w:ascii="Calibri" w:eastAsia="Calibri" w:hAnsi="Calibri" w:cs="Times New Roman"/>
        </w:rPr>
        <w:t xml:space="preserve"> </w:t>
      </w:r>
    </w:p>
    <w:p w14:paraId="4C198E9C" w14:textId="0166DEBF" w:rsidR="00E6060C" w:rsidRPr="00E6060C" w:rsidRDefault="00E6060C" w:rsidP="00E6060C">
      <w:pPr>
        <w:spacing w:after="200" w:line="360" w:lineRule="auto"/>
        <w:contextualSpacing/>
        <w:rPr>
          <w:rFonts w:ascii="Calibri" w:eastAsia="Calibri" w:hAnsi="Calibri" w:cs="Times New Roman"/>
          <w:highlight w:val="lightGray"/>
        </w:rPr>
      </w:pPr>
    </w:p>
    <w:p w14:paraId="0B80C666" w14:textId="77777777" w:rsidR="00E6060C" w:rsidRPr="00E6060C" w:rsidRDefault="00E6060C" w:rsidP="00E6060C">
      <w:pPr>
        <w:spacing w:after="200" w:line="360" w:lineRule="auto"/>
        <w:contextualSpacing/>
        <w:rPr>
          <w:rFonts w:ascii="Calibri" w:eastAsia="Calibri" w:hAnsi="Calibri" w:cs="Times New Roman"/>
          <w:highlight w:val="lightGray"/>
        </w:rPr>
        <w:sectPr w:rsidR="00E6060C" w:rsidRPr="00E6060C">
          <w:pgSz w:w="16838" w:h="11906" w:orient="landscape"/>
          <w:pgMar w:top="1440" w:right="1440" w:bottom="1440" w:left="1440" w:header="709" w:footer="709" w:gutter="0"/>
          <w:cols w:space="708"/>
          <w:titlePg/>
          <w:docGrid w:linePitch="360"/>
        </w:sectPr>
      </w:pPr>
    </w:p>
    <w:p w14:paraId="6647F4B8" w14:textId="785BD371" w:rsidR="00E6060C" w:rsidRPr="00E6060C" w:rsidRDefault="00E6060C" w:rsidP="00B7614E">
      <w:pPr>
        <w:pStyle w:val="Thesisheading2"/>
      </w:pPr>
      <w:bookmarkStart w:id="343" w:name="_Toc445389259"/>
      <w:bookmarkStart w:id="344" w:name="_Ref453581992"/>
      <w:bookmarkStart w:id="345" w:name="_Ref456778275"/>
      <w:bookmarkStart w:id="346" w:name="_Toc468285996"/>
      <w:r w:rsidRPr="00E6060C">
        <w:lastRenderedPageBreak/>
        <w:t>Intervention workshops</w:t>
      </w:r>
      <w:bookmarkEnd w:id="343"/>
      <w:bookmarkEnd w:id="344"/>
      <w:bookmarkEnd w:id="345"/>
      <w:bookmarkEnd w:id="346"/>
    </w:p>
    <w:p w14:paraId="7184237D" w14:textId="77777777" w:rsidR="00E6060C" w:rsidRPr="00E6060C" w:rsidRDefault="00E6060C" w:rsidP="00E6060C">
      <w:pPr>
        <w:spacing w:after="200" w:line="360" w:lineRule="auto"/>
        <w:contextualSpacing/>
        <w:rPr>
          <w:rFonts w:ascii="Calibri" w:eastAsia="Calibri" w:hAnsi="Calibri" w:cs="Times New Roman"/>
          <w:b/>
          <w:bCs/>
          <w:i/>
        </w:rPr>
      </w:pPr>
    </w:p>
    <w:p w14:paraId="75525AC8" w14:textId="32A0885C"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Each of the five core intervention workshops were carefully themed and planned in advance of each session by the nurse-practitioners. Due consideration was given to current progress and challenges experienced on the wards, hence the content of the workshops were developed as time progressed. In line with the PAR approach, each workshop was adapted to reflect the needs of the participants a</w:t>
      </w:r>
      <w:r w:rsidR="0070559B">
        <w:rPr>
          <w:rFonts w:ascii="Calibri" w:eastAsia="Calibri" w:hAnsi="Calibri" w:cs="Times New Roman"/>
          <w:bCs/>
        </w:rPr>
        <w:t xml:space="preserve">s the intervention progressed. </w:t>
      </w:r>
      <w:r w:rsidRPr="00E6060C">
        <w:rPr>
          <w:rFonts w:ascii="Calibri" w:eastAsia="Calibri" w:hAnsi="Calibri" w:cs="Times New Roman"/>
          <w:bCs/>
        </w:rPr>
        <w:t xml:space="preserve">The structure and content of the workshops were further adapted according to the specific needs of the group on the day. </w:t>
      </w:r>
    </w:p>
    <w:p w14:paraId="7371ABE8" w14:textId="77777777" w:rsidR="00E6060C" w:rsidRPr="00E6060C" w:rsidRDefault="00E6060C" w:rsidP="00E6060C">
      <w:pPr>
        <w:spacing w:after="200" w:line="360" w:lineRule="auto"/>
        <w:contextualSpacing/>
        <w:rPr>
          <w:rFonts w:ascii="Calibri" w:eastAsia="Calibri" w:hAnsi="Calibri" w:cs="Times New Roman"/>
          <w:bCs/>
        </w:rPr>
      </w:pPr>
    </w:p>
    <w:p w14:paraId="6ADCC9DB" w14:textId="539C0AE3"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In response to participant feedback, Communities of Practice workshops for nurses and senior nurses were abandoned early on. The main reasons cited were lack of time and resources preventing attendance. Instead, one of the nurse practitioners offered to provide voluntary, one-to-one coaching to nurses and senior nurses either in person or over the telephone. Communities of Practice workshops continued to be offered to healthcare workers</w:t>
      </w:r>
      <w:r w:rsidR="005707E0">
        <w:rPr>
          <w:rFonts w:ascii="Calibri" w:eastAsia="Calibri" w:hAnsi="Calibri" w:cs="Times New Roman"/>
          <w:bCs/>
        </w:rPr>
        <w:t>,</w:t>
      </w:r>
      <w:r w:rsidRPr="00E6060C">
        <w:rPr>
          <w:rFonts w:ascii="Calibri" w:eastAsia="Calibri" w:hAnsi="Calibri" w:cs="Times New Roman"/>
          <w:bCs/>
        </w:rPr>
        <w:t xml:space="preserve"> however, in practice, these were either not attended or attended by one HCW only. When this one HCW was present, a booklet was created to track patient progress.   </w:t>
      </w:r>
    </w:p>
    <w:p w14:paraId="3338CA06" w14:textId="77777777" w:rsidR="00E6060C" w:rsidRPr="00E6060C" w:rsidRDefault="00E6060C" w:rsidP="00E6060C">
      <w:pPr>
        <w:spacing w:after="200" w:line="360" w:lineRule="auto"/>
        <w:contextualSpacing/>
        <w:rPr>
          <w:rFonts w:ascii="Calibri" w:eastAsia="Calibri" w:hAnsi="Calibri" w:cs="Times New Roman"/>
          <w:bCs/>
          <w:i/>
        </w:rPr>
      </w:pPr>
    </w:p>
    <w:p w14:paraId="24AB1E93" w14:textId="77777777"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 xml:space="preserve">A summary of the content of each of the core workshops follows. </w:t>
      </w:r>
    </w:p>
    <w:p w14:paraId="53C0B170" w14:textId="77777777" w:rsidR="00E6060C" w:rsidRPr="00E6060C" w:rsidRDefault="00E6060C" w:rsidP="00E6060C">
      <w:pPr>
        <w:spacing w:after="200" w:line="360" w:lineRule="auto"/>
        <w:contextualSpacing/>
        <w:rPr>
          <w:rFonts w:ascii="Calibri" w:eastAsia="Calibri" w:hAnsi="Calibri" w:cs="Times New Roman"/>
          <w:bCs/>
          <w:i/>
        </w:rPr>
      </w:pPr>
    </w:p>
    <w:p w14:paraId="2263ECD5" w14:textId="77777777"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i/>
        </w:rPr>
        <w:t>Workshop 1 – Introduction (Sept 2</w:t>
      </w:r>
      <w:r w:rsidRPr="00E6060C">
        <w:rPr>
          <w:rFonts w:ascii="Calibri" w:eastAsia="Calibri" w:hAnsi="Calibri" w:cs="Times New Roman"/>
          <w:bCs/>
          <w:i/>
          <w:vertAlign w:val="superscript"/>
        </w:rPr>
        <w:t>nd</w:t>
      </w:r>
      <w:r w:rsidRPr="00E6060C">
        <w:rPr>
          <w:rFonts w:ascii="Calibri" w:eastAsia="Calibri" w:hAnsi="Calibri" w:cs="Times New Roman"/>
          <w:bCs/>
          <w:i/>
        </w:rPr>
        <w:t>-4</w:t>
      </w:r>
      <w:r w:rsidRPr="00E6060C">
        <w:rPr>
          <w:rFonts w:ascii="Calibri" w:eastAsia="Calibri" w:hAnsi="Calibri" w:cs="Times New Roman"/>
          <w:bCs/>
          <w:i/>
          <w:vertAlign w:val="superscript"/>
        </w:rPr>
        <w:t>th</w:t>
      </w:r>
      <w:r w:rsidRPr="00E6060C">
        <w:rPr>
          <w:rFonts w:ascii="Calibri" w:eastAsia="Calibri" w:hAnsi="Calibri" w:cs="Times New Roman"/>
          <w:bCs/>
          <w:i/>
        </w:rPr>
        <w:t xml:space="preserve"> 2014)</w:t>
      </w:r>
    </w:p>
    <w:p w14:paraId="6E81645E" w14:textId="6B5D2FE0"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The first part of day 1 consisted o</w:t>
      </w:r>
      <w:r w:rsidR="001D6140">
        <w:rPr>
          <w:rFonts w:ascii="Calibri" w:eastAsia="Calibri" w:hAnsi="Calibri" w:cs="Times New Roman"/>
          <w:bCs/>
        </w:rPr>
        <w:t>f an introduction to the intervention a</w:t>
      </w:r>
      <w:r w:rsidRPr="00E6060C">
        <w:rPr>
          <w:rFonts w:ascii="Calibri" w:eastAsia="Calibri" w:hAnsi="Calibri" w:cs="Times New Roman"/>
          <w:bCs/>
        </w:rPr>
        <w:t>nd fun games allowing participants to get to know each other, share hopes, concerns and expectations, and agree a w</w:t>
      </w:r>
      <w:r w:rsidR="001D6140">
        <w:rPr>
          <w:rFonts w:ascii="Calibri" w:eastAsia="Calibri" w:hAnsi="Calibri" w:cs="Times New Roman"/>
          <w:bCs/>
        </w:rPr>
        <w:t xml:space="preserve">ay of working with each other. </w:t>
      </w:r>
      <w:r w:rsidRPr="00E6060C">
        <w:rPr>
          <w:rFonts w:ascii="Calibri" w:eastAsia="Calibri" w:hAnsi="Calibri" w:cs="Times New Roman"/>
          <w:bCs/>
        </w:rPr>
        <w:t xml:space="preserve">The day then moved on to provide some background to the Senses Framework </w:t>
      </w:r>
      <w:r w:rsidR="00160731">
        <w:rPr>
          <w:rFonts w:ascii="Calibri" w:eastAsia="Calibri" w:hAnsi="Calibri" w:cs="Times New Roman"/>
          <w:bCs/>
        </w:rPr>
        <w:t>(</w:t>
      </w:r>
      <w:r w:rsidR="00761B9B">
        <w:rPr>
          <w:rFonts w:ascii="Calibri" w:eastAsia="Calibri" w:hAnsi="Calibri" w:cs="Times New Roman"/>
          <w:bCs/>
        </w:rPr>
        <w:t>Nolan et al., 2006)</w:t>
      </w:r>
      <w:r w:rsidR="001D6140">
        <w:rPr>
          <w:rFonts w:ascii="Calibri" w:eastAsia="Calibri" w:hAnsi="Calibri" w:cs="Times New Roman"/>
          <w:bCs/>
        </w:rPr>
        <w:t xml:space="preserve"> </w:t>
      </w:r>
      <w:r w:rsidRPr="00E6060C">
        <w:rPr>
          <w:rFonts w:ascii="Calibri" w:eastAsia="Calibri" w:hAnsi="Calibri" w:cs="Times New Roman"/>
          <w:bCs/>
        </w:rPr>
        <w:t>and Appreciative Inquiry</w:t>
      </w:r>
      <w:r w:rsidR="00160731">
        <w:rPr>
          <w:rFonts w:ascii="Calibri" w:eastAsia="Calibri" w:hAnsi="Calibri" w:cs="Times New Roman"/>
          <w:bCs/>
        </w:rPr>
        <w:t xml:space="preserve"> (Cooperrider &amp; Srivastva, 1987)</w:t>
      </w:r>
      <w:r w:rsidRPr="00E6060C">
        <w:rPr>
          <w:rFonts w:ascii="Calibri" w:eastAsia="Calibri" w:hAnsi="Calibri" w:cs="Times New Roman"/>
          <w:bCs/>
        </w:rPr>
        <w:t xml:space="preserve">. </w:t>
      </w:r>
      <w:r w:rsidR="00160731">
        <w:t xml:space="preserve">The Senses Framework was developed by Nolan et al. (2006) and outlines six ‘senses’ which research suggests need to be </w:t>
      </w:r>
      <w:r w:rsidR="008C1906">
        <w:t>created</w:t>
      </w:r>
      <w:r w:rsidR="00160731">
        <w:t xml:space="preserve"> </w:t>
      </w:r>
      <w:r w:rsidR="008C1906">
        <w:t xml:space="preserve">for the elderly </w:t>
      </w:r>
      <w:r w:rsidR="00160731">
        <w:t>by nursing staff caring for the</w:t>
      </w:r>
      <w:r w:rsidR="008C1906">
        <w:t xml:space="preserve">m, </w:t>
      </w:r>
      <w:r w:rsidR="002F1042">
        <w:t>through providing</w:t>
      </w:r>
      <w:r w:rsidR="008C1906">
        <w:t xml:space="preserve"> </w:t>
      </w:r>
      <w:r w:rsidR="00160731">
        <w:t>high quality of care</w:t>
      </w:r>
      <w:r w:rsidR="002F1042">
        <w:t xml:space="preserve"> and a care experience which allows the elderly to experience them</w:t>
      </w:r>
      <w:r w:rsidR="00160731">
        <w:t xml:space="preserve">. </w:t>
      </w:r>
      <w:r w:rsidR="008C1906">
        <w:t xml:space="preserve">In order to do this, nursing staff also need to experience the senses. </w:t>
      </w:r>
      <w:r w:rsidR="00160731">
        <w:t>The</w:t>
      </w:r>
      <w:r w:rsidR="008C1906">
        <w:t>y</w:t>
      </w:r>
      <w:r w:rsidR="00160731">
        <w:t xml:space="preserve"> are: a sense of security, continuity, belonging, purpose, fulfilment, and significance. While relevant to the wider research project, they are not the focus of this research study, hence they will not be discussed in depth in this thesis. </w:t>
      </w:r>
      <w:r w:rsidRPr="00E6060C">
        <w:rPr>
          <w:rFonts w:ascii="Calibri" w:eastAsia="Calibri" w:hAnsi="Calibri" w:cs="Times New Roman"/>
          <w:bCs/>
        </w:rPr>
        <w:t xml:space="preserve">Appreciative inquiry is ‘a data-based theory-building methodology for evolving and putting into practice the collective will of a group or organization’ (Cooperrider &amp; Srivastva, 1987, p.165). It represents a complement to action research which moves away from the traditional view of action research as problem-solving, towards viewing it from a wholly positive perspective, as a means of creating change through collaboration and the creativity and innovation of participants. It is predicated on </w:t>
      </w:r>
      <w:r w:rsidRPr="00E6060C">
        <w:rPr>
          <w:rFonts w:ascii="Calibri" w:eastAsia="Calibri" w:hAnsi="Calibri" w:cs="Times New Roman"/>
          <w:bCs/>
        </w:rPr>
        <w:lastRenderedPageBreak/>
        <w:t xml:space="preserve">the belief that research into organisational life should begin with the appreciation and understanding of the current status quo within an organisation, for example, its social system, systems and procedures, and should lead to theoretical knowledge which is ‘of consequence’, that is, applicable and useful. It is thus intended to </w:t>
      </w:r>
      <w:r w:rsidR="002F1042">
        <w:rPr>
          <w:rFonts w:ascii="Calibri" w:eastAsia="Calibri" w:hAnsi="Calibri" w:cs="Times New Roman"/>
          <w:bCs/>
        </w:rPr>
        <w:t xml:space="preserve">allow appreciation of what is already being done well, as well as </w:t>
      </w:r>
      <w:r w:rsidRPr="00E6060C">
        <w:rPr>
          <w:rFonts w:ascii="Calibri" w:eastAsia="Calibri" w:hAnsi="Calibri" w:cs="Times New Roman"/>
          <w:bCs/>
        </w:rPr>
        <w:t>be</w:t>
      </w:r>
      <w:r w:rsidR="002F1042">
        <w:rPr>
          <w:rFonts w:ascii="Calibri" w:eastAsia="Calibri" w:hAnsi="Calibri" w:cs="Times New Roman"/>
          <w:bCs/>
        </w:rPr>
        <w:t>ing</w:t>
      </w:r>
      <w:r w:rsidRPr="00E6060C">
        <w:rPr>
          <w:rFonts w:ascii="Calibri" w:eastAsia="Calibri" w:hAnsi="Calibri" w:cs="Times New Roman"/>
          <w:bCs/>
        </w:rPr>
        <w:t xml:space="preserve"> pragmatic</w:t>
      </w:r>
      <w:r w:rsidR="002F1042">
        <w:rPr>
          <w:rFonts w:ascii="Calibri" w:eastAsia="Calibri" w:hAnsi="Calibri" w:cs="Times New Roman"/>
          <w:bCs/>
        </w:rPr>
        <w:t>,</w:t>
      </w:r>
      <w:r w:rsidRPr="00E6060C">
        <w:rPr>
          <w:rFonts w:ascii="Calibri" w:eastAsia="Calibri" w:hAnsi="Calibri" w:cs="Times New Roman"/>
          <w:bCs/>
        </w:rPr>
        <w:t xml:space="preserve"> visionary</w:t>
      </w:r>
      <w:r w:rsidR="002F1042">
        <w:rPr>
          <w:rFonts w:ascii="Calibri" w:eastAsia="Calibri" w:hAnsi="Calibri" w:cs="Times New Roman"/>
          <w:bCs/>
        </w:rPr>
        <w:t>,</w:t>
      </w:r>
      <w:r w:rsidRPr="00E6060C">
        <w:rPr>
          <w:rFonts w:ascii="Calibri" w:eastAsia="Calibri" w:hAnsi="Calibri" w:cs="Times New Roman"/>
          <w:bCs/>
        </w:rPr>
        <w:t xml:space="preserve"> and participative, in that it should encourage participants to creatively explore potential changes together and allow them to influence the eventual changes adopted, based on what they feel would be useful. It is believed that this is likely to lead to appropriation of changes by individuals, congruence between individuals’ and organisational goals and values, and thus enduring positive change (Cooperrider &amp; Srivastva, 1987). With a greater understanding of the research approach adopted, it was hoped that participants would gain a greater understanding of the purpose of the research, its aims and goals, increasing their motivation to actively participate. </w:t>
      </w:r>
    </w:p>
    <w:p w14:paraId="74F464CE" w14:textId="77777777" w:rsidR="00E6060C" w:rsidRPr="00E6060C" w:rsidRDefault="00E6060C" w:rsidP="00E6060C">
      <w:pPr>
        <w:spacing w:after="200" w:line="360" w:lineRule="auto"/>
        <w:contextualSpacing/>
        <w:rPr>
          <w:rFonts w:ascii="Calibri" w:eastAsia="Calibri" w:hAnsi="Calibri" w:cs="Times New Roman"/>
          <w:bCs/>
        </w:rPr>
      </w:pPr>
    </w:p>
    <w:p w14:paraId="5ECC1A03" w14:textId="77777777"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 xml:space="preserve">Day 2 of the workshop focused further on the Senses and explored what kind of changes might be made in relation to these. Participants were encouraged to share positive caring experiences with the aim of acknowledging the importance of hearing and valuing each other’s experiences and identifying common themes around appreciating success within practice. Time was built in to the day for reflection and feedback. Day 3 focused on values and beliefs, with discussion revolving around what values are and how they influence caring behaviour. Individuals were encouraged to identify their own values and beliefs. Focus then shifted towards linking individual values and beliefs with those of the NHS. The final part of the day involved participants coming together in their Community of Practice groups to think about the skills which will be needed for the project, how the project will help practice, and how each group will work together. Reflection and feedback time was built into the beginning and end of each day as well as being integrated at other appropriate points throughout. </w:t>
      </w:r>
    </w:p>
    <w:p w14:paraId="570EC393" w14:textId="77777777" w:rsidR="00E6060C" w:rsidRPr="00E6060C" w:rsidRDefault="00E6060C" w:rsidP="00E6060C">
      <w:pPr>
        <w:spacing w:after="200" w:line="360" w:lineRule="auto"/>
        <w:contextualSpacing/>
        <w:rPr>
          <w:rFonts w:ascii="Calibri" w:eastAsia="Calibri" w:hAnsi="Calibri" w:cs="Times New Roman"/>
          <w:bCs/>
        </w:rPr>
      </w:pPr>
    </w:p>
    <w:p w14:paraId="6C71BA1D" w14:textId="77777777" w:rsidR="00E6060C" w:rsidRPr="00E6060C" w:rsidRDefault="00E6060C" w:rsidP="00E6060C">
      <w:pPr>
        <w:spacing w:after="200" w:line="360" w:lineRule="auto"/>
        <w:contextualSpacing/>
        <w:rPr>
          <w:rFonts w:ascii="Calibri" w:eastAsia="Calibri" w:hAnsi="Calibri" w:cs="Times New Roman"/>
          <w:bCs/>
          <w:i/>
        </w:rPr>
      </w:pPr>
      <w:r w:rsidRPr="00E6060C">
        <w:rPr>
          <w:rFonts w:ascii="Calibri" w:eastAsia="Calibri" w:hAnsi="Calibri" w:cs="Times New Roman"/>
          <w:bCs/>
          <w:i/>
        </w:rPr>
        <w:t>Workshop 2 – Feedback from the baseline results and developing leadership (Oct 15</w:t>
      </w:r>
      <w:r w:rsidRPr="00E6060C">
        <w:rPr>
          <w:rFonts w:ascii="Calibri" w:eastAsia="Calibri" w:hAnsi="Calibri" w:cs="Times New Roman"/>
          <w:bCs/>
          <w:i/>
          <w:vertAlign w:val="superscript"/>
        </w:rPr>
        <w:t>th</w:t>
      </w:r>
      <w:r w:rsidRPr="00E6060C">
        <w:rPr>
          <w:rFonts w:ascii="Calibri" w:eastAsia="Calibri" w:hAnsi="Calibri" w:cs="Times New Roman"/>
          <w:bCs/>
          <w:i/>
        </w:rPr>
        <w:t>/16</w:t>
      </w:r>
      <w:r w:rsidRPr="00E6060C">
        <w:rPr>
          <w:rFonts w:ascii="Calibri" w:eastAsia="Calibri" w:hAnsi="Calibri" w:cs="Times New Roman"/>
          <w:bCs/>
          <w:i/>
          <w:vertAlign w:val="superscript"/>
        </w:rPr>
        <w:t>th</w:t>
      </w:r>
      <w:r w:rsidRPr="00E6060C">
        <w:rPr>
          <w:rFonts w:ascii="Calibri" w:eastAsia="Calibri" w:hAnsi="Calibri" w:cs="Times New Roman"/>
          <w:bCs/>
          <w:i/>
        </w:rPr>
        <w:t>, 2014)</w:t>
      </w:r>
    </w:p>
    <w:p w14:paraId="61FDD0F6" w14:textId="77777777"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 xml:space="preserve">The first day of this workshop consisted of participant feedback regarding activities since the last workshop, and presentation of the results from the baseline questionnaire. An overview of the response rates, areas in which each ward were doing well, and areas in which each ward could improve were highlighted before time was provided for ward teams to discuss their individual results in detail. Ward teams spent the rest of the day reflecting on the results and discussing how they could work with them to make changes on their wards. The workshop leaders facilitated this process. Attention was also focused on other ways besides questionnaire data that could be used to </w:t>
      </w:r>
      <w:r w:rsidRPr="00E6060C">
        <w:rPr>
          <w:rFonts w:ascii="Calibri" w:eastAsia="Calibri" w:hAnsi="Calibri" w:cs="Times New Roman"/>
          <w:bCs/>
        </w:rPr>
        <w:lastRenderedPageBreak/>
        <w:t xml:space="preserve">gain feedback on what was and was not going well on wards. The day ended with time for self-reflection and questions. The second day explored the themes of the first day further, with each ward team thinking in detail about what changes they could make on wards and how they might go about effecting them. Each team drew up a plan of their intentions. Reflection and feedback time was again built into the day.     </w:t>
      </w:r>
    </w:p>
    <w:p w14:paraId="7C1ADDC6" w14:textId="19BAE002" w:rsidR="004A515E" w:rsidRDefault="004A515E">
      <w:pPr>
        <w:spacing w:after="160"/>
        <w:rPr>
          <w:rFonts w:ascii="Calibri" w:eastAsia="Calibri" w:hAnsi="Calibri" w:cs="Times New Roman"/>
          <w:bCs/>
          <w:i/>
        </w:rPr>
      </w:pPr>
    </w:p>
    <w:p w14:paraId="61E6F9C0" w14:textId="68FAE472" w:rsidR="00E6060C" w:rsidRPr="00E6060C" w:rsidRDefault="00E6060C" w:rsidP="00E6060C">
      <w:pPr>
        <w:spacing w:after="200" w:line="360" w:lineRule="auto"/>
        <w:contextualSpacing/>
        <w:rPr>
          <w:rFonts w:ascii="Calibri" w:eastAsia="Calibri" w:hAnsi="Calibri" w:cs="Times New Roman"/>
          <w:bCs/>
          <w:i/>
        </w:rPr>
      </w:pPr>
      <w:r w:rsidRPr="00E6060C">
        <w:rPr>
          <w:rFonts w:ascii="Calibri" w:eastAsia="Calibri" w:hAnsi="Calibri" w:cs="Times New Roman"/>
          <w:bCs/>
          <w:i/>
        </w:rPr>
        <w:t>Workshop 3 – Enhancing leadership and team working (Nov 24</w:t>
      </w:r>
      <w:r w:rsidRPr="00E6060C">
        <w:rPr>
          <w:rFonts w:ascii="Calibri" w:eastAsia="Calibri" w:hAnsi="Calibri" w:cs="Times New Roman"/>
          <w:bCs/>
          <w:i/>
          <w:vertAlign w:val="superscript"/>
        </w:rPr>
        <w:t>th</w:t>
      </w:r>
      <w:r w:rsidRPr="00E6060C">
        <w:rPr>
          <w:rFonts w:ascii="Calibri" w:eastAsia="Calibri" w:hAnsi="Calibri" w:cs="Times New Roman"/>
          <w:bCs/>
          <w:i/>
        </w:rPr>
        <w:t>/25</w:t>
      </w:r>
      <w:r w:rsidRPr="00E6060C">
        <w:rPr>
          <w:rFonts w:ascii="Calibri" w:eastAsia="Calibri" w:hAnsi="Calibri" w:cs="Times New Roman"/>
          <w:bCs/>
          <w:i/>
          <w:vertAlign w:val="superscript"/>
        </w:rPr>
        <w:t>th</w:t>
      </w:r>
      <w:r w:rsidRPr="00E6060C">
        <w:rPr>
          <w:rFonts w:ascii="Calibri" w:eastAsia="Calibri" w:hAnsi="Calibri" w:cs="Times New Roman"/>
          <w:bCs/>
          <w:i/>
        </w:rPr>
        <w:t>, 2014)</w:t>
      </w:r>
    </w:p>
    <w:p w14:paraId="75081D6D" w14:textId="77777777"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 xml:space="preserve">The first day of this workshop focused on the participants updating each other on progress made since the last workshop and sharing reflective thoughts and feelings. Focus was placed on how individuals can work effectively in a dynamic environment and develop the resilience to do so. The second day focused on the tools which individuals had and could draw on in order to carry out their work, and identified those resources which may still be needed. The concept of meaningful conversations at work was introduced before moving on to discuss how the Senses can be created in the workplace and the experiences of staff, patients and carers enhanced. A participant led plan for the next steps was formulated before the day ended. </w:t>
      </w:r>
    </w:p>
    <w:p w14:paraId="535DE744" w14:textId="77777777" w:rsidR="00E6060C" w:rsidRPr="00E6060C" w:rsidRDefault="00E6060C" w:rsidP="00E6060C">
      <w:pPr>
        <w:spacing w:after="200" w:line="360" w:lineRule="auto"/>
        <w:contextualSpacing/>
        <w:rPr>
          <w:rFonts w:ascii="Calibri" w:eastAsia="Calibri" w:hAnsi="Calibri" w:cs="Times New Roman"/>
          <w:bCs/>
          <w:i/>
        </w:rPr>
      </w:pPr>
    </w:p>
    <w:p w14:paraId="547E0188" w14:textId="5090640E" w:rsidR="00E6060C" w:rsidRPr="00E6060C" w:rsidRDefault="00E6060C" w:rsidP="00E6060C">
      <w:pPr>
        <w:spacing w:after="200" w:line="360" w:lineRule="auto"/>
        <w:contextualSpacing/>
        <w:rPr>
          <w:rFonts w:ascii="Calibri" w:eastAsia="Calibri" w:hAnsi="Calibri" w:cs="Times New Roman"/>
          <w:bCs/>
          <w:i/>
        </w:rPr>
      </w:pPr>
      <w:r w:rsidRPr="00E6060C">
        <w:rPr>
          <w:rFonts w:ascii="Calibri" w:eastAsia="Calibri" w:hAnsi="Calibri" w:cs="Times New Roman"/>
          <w:bCs/>
          <w:i/>
        </w:rPr>
        <w:t>Workshop 4 –Creating the Senses for self and teams (Feb 23</w:t>
      </w:r>
      <w:r w:rsidRPr="00E6060C">
        <w:rPr>
          <w:rFonts w:ascii="Calibri" w:eastAsia="Calibri" w:hAnsi="Calibri" w:cs="Times New Roman"/>
          <w:bCs/>
          <w:i/>
          <w:vertAlign w:val="superscript"/>
        </w:rPr>
        <w:t>rd</w:t>
      </w:r>
      <w:r w:rsidRPr="00E6060C">
        <w:rPr>
          <w:rFonts w:ascii="Calibri" w:eastAsia="Calibri" w:hAnsi="Calibri" w:cs="Times New Roman"/>
          <w:bCs/>
          <w:i/>
        </w:rPr>
        <w:t>/24</w:t>
      </w:r>
      <w:r w:rsidRPr="00E6060C">
        <w:rPr>
          <w:rFonts w:ascii="Calibri" w:eastAsia="Calibri" w:hAnsi="Calibri" w:cs="Times New Roman"/>
          <w:bCs/>
          <w:i/>
          <w:vertAlign w:val="superscript"/>
        </w:rPr>
        <w:t>th</w:t>
      </w:r>
      <w:r w:rsidR="005707E0">
        <w:rPr>
          <w:rFonts w:ascii="Calibri" w:eastAsia="Calibri" w:hAnsi="Calibri" w:cs="Times New Roman"/>
          <w:bCs/>
          <w:i/>
        </w:rPr>
        <w:t>, 2015</w:t>
      </w:r>
      <w:r w:rsidRPr="00E6060C">
        <w:rPr>
          <w:rFonts w:ascii="Calibri" w:eastAsia="Calibri" w:hAnsi="Calibri" w:cs="Times New Roman"/>
          <w:bCs/>
          <w:i/>
        </w:rPr>
        <w:t>)</w:t>
      </w:r>
    </w:p>
    <w:p w14:paraId="010D927B" w14:textId="0DD96F28"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The agenda, aims and activities involved in Workshop 4 were discussed with the participants. Initially, the aims of the project were recapped before discussing progress so far from the perspectives of the participants and the project facilitators. The Senses Framework was revisited, with emphasis again placed on enhancing individual’s unders</w:t>
      </w:r>
      <w:r w:rsidR="00160731">
        <w:rPr>
          <w:rFonts w:ascii="Calibri" w:eastAsia="Calibri" w:hAnsi="Calibri" w:cs="Times New Roman"/>
          <w:bCs/>
        </w:rPr>
        <w:t>tanding of it and how it applied</w:t>
      </w:r>
      <w:r w:rsidRPr="00E6060C">
        <w:rPr>
          <w:rFonts w:ascii="Calibri" w:eastAsia="Calibri" w:hAnsi="Calibri" w:cs="Times New Roman"/>
          <w:bCs/>
        </w:rPr>
        <w:t xml:space="preserve"> to the </w:t>
      </w:r>
      <w:r w:rsidR="00160731">
        <w:rPr>
          <w:rFonts w:ascii="Calibri" w:eastAsia="Calibri" w:hAnsi="Calibri" w:cs="Times New Roman"/>
          <w:bCs/>
        </w:rPr>
        <w:t>project (i.e. how the Senses could</w:t>
      </w:r>
      <w:r w:rsidRPr="00E6060C">
        <w:rPr>
          <w:rFonts w:ascii="Calibri" w:eastAsia="Calibri" w:hAnsi="Calibri" w:cs="Times New Roman"/>
          <w:bCs/>
        </w:rPr>
        <w:t xml:space="preserve"> be created</w:t>
      </w:r>
      <w:r w:rsidR="00160731">
        <w:rPr>
          <w:rFonts w:ascii="Calibri" w:eastAsia="Calibri" w:hAnsi="Calibri" w:cs="Times New Roman"/>
          <w:bCs/>
        </w:rPr>
        <w:t xml:space="preserve"> for staff, patients, and carers</w:t>
      </w:r>
      <w:r w:rsidRPr="00E6060C">
        <w:rPr>
          <w:rFonts w:ascii="Calibri" w:eastAsia="Calibri" w:hAnsi="Calibri" w:cs="Times New Roman"/>
          <w:bCs/>
        </w:rPr>
        <w:t>). Other topics that were revisited included playing to the strengths of individuals, teams and the organisation, gaining feedback from different sources</w:t>
      </w:r>
      <w:r w:rsidR="00160731">
        <w:rPr>
          <w:rFonts w:ascii="Calibri" w:eastAsia="Calibri" w:hAnsi="Calibri" w:cs="Times New Roman"/>
          <w:bCs/>
        </w:rPr>
        <w:t>,</w:t>
      </w:r>
      <w:r w:rsidRPr="00E6060C">
        <w:rPr>
          <w:rFonts w:ascii="Calibri" w:eastAsia="Calibri" w:hAnsi="Calibri" w:cs="Times New Roman"/>
          <w:bCs/>
        </w:rPr>
        <w:t xml:space="preserve"> and using this data to make a difference to staff and patients’ experience of care, and cycles of change. This latter topic involved a discussion around how small changes can be implemented through a cycle of planning, enacting</w:t>
      </w:r>
      <w:r w:rsidR="00160731">
        <w:rPr>
          <w:rFonts w:ascii="Calibri" w:eastAsia="Calibri" w:hAnsi="Calibri" w:cs="Times New Roman"/>
          <w:bCs/>
        </w:rPr>
        <w:t>,</w:t>
      </w:r>
      <w:r w:rsidRPr="00E6060C">
        <w:rPr>
          <w:rFonts w:ascii="Calibri" w:eastAsia="Calibri" w:hAnsi="Calibri" w:cs="Times New Roman"/>
          <w:bCs/>
        </w:rPr>
        <w:t xml:space="preserve"> and evaluating change. Time for reflection was built in to the day at various points, and both days involved a large amount of group work.     </w:t>
      </w:r>
    </w:p>
    <w:p w14:paraId="00B92485" w14:textId="77777777" w:rsidR="00E6060C" w:rsidRPr="00E6060C" w:rsidRDefault="00E6060C" w:rsidP="00E6060C">
      <w:pPr>
        <w:spacing w:after="200" w:line="360" w:lineRule="auto"/>
        <w:contextualSpacing/>
        <w:rPr>
          <w:rFonts w:ascii="Calibri" w:eastAsia="Calibri" w:hAnsi="Calibri" w:cs="Times New Roman"/>
          <w:bCs/>
          <w:i/>
        </w:rPr>
      </w:pPr>
    </w:p>
    <w:p w14:paraId="59BABFC2" w14:textId="77777777" w:rsidR="00E6060C" w:rsidRPr="00E6060C" w:rsidRDefault="00E6060C" w:rsidP="00E6060C">
      <w:pPr>
        <w:spacing w:after="200" w:line="360" w:lineRule="auto"/>
        <w:contextualSpacing/>
        <w:rPr>
          <w:rFonts w:ascii="Calibri" w:eastAsia="Calibri" w:hAnsi="Calibri" w:cs="Times New Roman"/>
          <w:bCs/>
          <w:i/>
        </w:rPr>
      </w:pPr>
      <w:r w:rsidRPr="00E6060C">
        <w:rPr>
          <w:rFonts w:ascii="Calibri" w:eastAsia="Calibri" w:hAnsi="Calibri" w:cs="Times New Roman"/>
          <w:bCs/>
          <w:i/>
        </w:rPr>
        <w:t>Workshop 5 – Appreciating and reflecting upon our learning and progress (May 20</w:t>
      </w:r>
      <w:r w:rsidRPr="00E6060C">
        <w:rPr>
          <w:rFonts w:ascii="Calibri" w:eastAsia="Calibri" w:hAnsi="Calibri" w:cs="Times New Roman"/>
          <w:bCs/>
          <w:i/>
          <w:vertAlign w:val="superscript"/>
        </w:rPr>
        <w:t>th</w:t>
      </w:r>
      <w:r w:rsidRPr="00E6060C">
        <w:rPr>
          <w:rFonts w:ascii="Calibri" w:eastAsia="Calibri" w:hAnsi="Calibri" w:cs="Times New Roman"/>
          <w:bCs/>
          <w:i/>
        </w:rPr>
        <w:t xml:space="preserve"> 2015)</w:t>
      </w:r>
    </w:p>
    <w:p w14:paraId="6840107A" w14:textId="77777777" w:rsidR="00160731"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 xml:space="preserve">This final workshop encouraged participants to reflect on the project as a whole, with focus placed on applying what was covered during the project to the Senses Framework and actual practice. In line with the principles of Appreciative Inquiry, particular focus was also placed on what participants feel they do well on their wards and what could be done even better. The topics of engaging the </w:t>
      </w:r>
      <w:r w:rsidRPr="00E6060C">
        <w:rPr>
          <w:rFonts w:ascii="Calibri" w:eastAsia="Calibri" w:hAnsi="Calibri" w:cs="Times New Roman"/>
          <w:bCs/>
        </w:rPr>
        <w:lastRenderedPageBreak/>
        <w:t xml:space="preserve">team, leadership qualities, and values were also revisited and linked back to their relevance for delivering good quality care. Participants were encouraged to think about time management, how they could be even more proactive within their roles, and how they could communicate with each other, patients and carers to obtain feedback even at busy times. Some emphasis was placed on how changes could be sustained and carried forward. The final part of the day focused on planning the November end of project celebration event.  </w:t>
      </w:r>
    </w:p>
    <w:p w14:paraId="6C5B58B7" w14:textId="1ADE967E"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t xml:space="preserve"> </w:t>
      </w:r>
    </w:p>
    <w:p w14:paraId="21978177" w14:textId="01EDC823" w:rsidR="00E6060C" w:rsidRPr="002A6E71" w:rsidRDefault="00E6060C" w:rsidP="00B7614E">
      <w:pPr>
        <w:pStyle w:val="Thesisheading2"/>
      </w:pPr>
      <w:bookmarkStart w:id="347" w:name="_Toc445389260"/>
      <w:bookmarkStart w:id="348" w:name="_Toc468285997"/>
      <w:bookmarkStart w:id="349" w:name="_Toc397071010"/>
      <w:r w:rsidRPr="002A6E71">
        <w:t>The research team</w:t>
      </w:r>
      <w:bookmarkEnd w:id="347"/>
      <w:bookmarkEnd w:id="348"/>
    </w:p>
    <w:p w14:paraId="4C4E7A03" w14:textId="77777777" w:rsidR="00E6060C" w:rsidRPr="00E6060C" w:rsidRDefault="00E6060C" w:rsidP="00E6060C">
      <w:pPr>
        <w:spacing w:after="200" w:line="276" w:lineRule="auto"/>
        <w:rPr>
          <w:rFonts w:ascii="Calibri" w:eastAsia="Calibri" w:hAnsi="Calibri" w:cs="Times New Roman"/>
        </w:rPr>
      </w:pPr>
    </w:p>
    <w:p w14:paraId="79AB9F60" w14:textId="79658D8B"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research team consisted of </w:t>
      </w:r>
      <w:r w:rsidR="004A515E">
        <w:rPr>
          <w:rFonts w:ascii="Calibri" w:eastAsia="Calibri" w:hAnsi="Calibri" w:cs="Times New Roman"/>
        </w:rPr>
        <w:t>seven</w:t>
      </w:r>
      <w:r w:rsidRPr="00E6060C">
        <w:rPr>
          <w:rFonts w:ascii="Calibri" w:eastAsia="Calibri" w:hAnsi="Calibri" w:cs="Times New Roman"/>
        </w:rPr>
        <w:t xml:space="preserve"> members. Two were experienced nurse-practitioners and experts in gerontological nursing, as well as professors. These team members had extensive experience of participatory action research (PAR) involving older people, family carers</w:t>
      </w:r>
      <w:r w:rsidR="004C4E34">
        <w:rPr>
          <w:rFonts w:ascii="Calibri" w:eastAsia="Calibri" w:hAnsi="Calibri" w:cs="Times New Roman"/>
        </w:rPr>
        <w:t>,</w:t>
      </w:r>
      <w:r w:rsidRPr="00E6060C">
        <w:rPr>
          <w:rFonts w:ascii="Calibri" w:eastAsia="Calibri" w:hAnsi="Calibri" w:cs="Times New Roman"/>
        </w:rPr>
        <w:t xml:space="preserve"> and staff, and</w:t>
      </w:r>
      <w:r w:rsidR="004C4E34">
        <w:rPr>
          <w:rFonts w:ascii="Calibri" w:eastAsia="Calibri" w:hAnsi="Calibri" w:cs="Times New Roman"/>
        </w:rPr>
        <w:t xml:space="preserve"> led the development of The </w:t>
      </w:r>
      <w:r w:rsidRPr="00E6060C">
        <w:rPr>
          <w:rFonts w:ascii="Calibri" w:eastAsia="Calibri" w:hAnsi="Calibri" w:cs="Times New Roman"/>
        </w:rPr>
        <w:t xml:space="preserve">Senses Framework (Nolan </w:t>
      </w:r>
      <w:r w:rsidR="00395453">
        <w:rPr>
          <w:rFonts w:ascii="Calibri" w:eastAsia="Calibri" w:hAnsi="Calibri" w:cs="Times New Roman"/>
        </w:rPr>
        <w:t>et al.</w:t>
      </w:r>
      <w:r w:rsidRPr="00E6060C">
        <w:rPr>
          <w:rFonts w:ascii="Calibri" w:eastAsia="Calibri" w:hAnsi="Calibri" w:cs="Times New Roman"/>
        </w:rPr>
        <w:t xml:space="preserve">, 2006). One of these members, based in the School of Nursing and Midwifery at De Montford University, led the intervention core workshops, whilst the other, based in The School of Nursing and Midwifery at the University of Sheffield, mostly adopted a consultative role. A third experienced nurse-practitioner, based in NHS Lothian and with particular expertise in PAR techniques, also led the core workshops. </w:t>
      </w:r>
      <w:r w:rsidR="004C4E34">
        <w:rPr>
          <w:rFonts w:ascii="Calibri" w:eastAsia="Calibri" w:hAnsi="Calibri" w:cs="Times New Roman"/>
        </w:rPr>
        <w:t>Throughout the intervention, a research a</w:t>
      </w:r>
      <w:r w:rsidRPr="00E6060C">
        <w:rPr>
          <w:rFonts w:ascii="Calibri" w:eastAsia="Calibri" w:hAnsi="Calibri" w:cs="Times New Roman"/>
        </w:rPr>
        <w:t>ssistant with vast experience of nursing in the NHS worked with the participants to gain feedback on the success of the workshops and support them in making changes on wards. This was a crucial part of maintaining the impetus of the intervention in between workshops</w:t>
      </w:r>
      <w:r w:rsidR="004C4E34">
        <w:rPr>
          <w:rFonts w:ascii="Calibri" w:eastAsia="Calibri" w:hAnsi="Calibri" w:cs="Times New Roman"/>
        </w:rPr>
        <w:t>,</w:t>
      </w:r>
      <w:r w:rsidRPr="00E6060C">
        <w:rPr>
          <w:rFonts w:ascii="Calibri" w:eastAsia="Calibri" w:hAnsi="Calibri" w:cs="Times New Roman"/>
        </w:rPr>
        <w:t xml:space="preserve"> and enabling the workshops to be tailored to the needs of the participants as the intervention p</w:t>
      </w:r>
      <w:r w:rsidR="004C4E34">
        <w:rPr>
          <w:rFonts w:ascii="Calibri" w:eastAsia="Calibri" w:hAnsi="Calibri" w:cs="Times New Roman"/>
        </w:rPr>
        <w:t>rogressed. This research a</w:t>
      </w:r>
      <w:r w:rsidRPr="00E6060C">
        <w:rPr>
          <w:rFonts w:ascii="Calibri" w:eastAsia="Calibri" w:hAnsi="Calibri" w:cs="Times New Roman"/>
        </w:rPr>
        <w:t>ssistant also led the Communities of Practice workshops in addition to one or more of the experienced nurse-practitioners. The construction and development of the questionnaires, and the analysis of the data collected, was led by three members of the team from the Institute of Work Psychology (IWP) at Sheffield Management School, one of which was myself. The other two were established academics with a wealth of knowledge between them around older people’s care, the NHS, and research methods.</w:t>
      </w:r>
    </w:p>
    <w:p w14:paraId="480E215B" w14:textId="77777777" w:rsidR="00E6060C" w:rsidRPr="00E6060C" w:rsidRDefault="00E6060C" w:rsidP="00E6060C">
      <w:pPr>
        <w:spacing w:after="200" w:line="360" w:lineRule="auto"/>
        <w:contextualSpacing/>
        <w:rPr>
          <w:rFonts w:ascii="Calibri" w:eastAsia="Calibri" w:hAnsi="Calibri" w:cs="Times New Roman"/>
        </w:rPr>
      </w:pPr>
    </w:p>
    <w:p w14:paraId="61228715" w14:textId="277458D2" w:rsidR="00E6060C" w:rsidRPr="002A6E71" w:rsidRDefault="00E6060C" w:rsidP="00B7614E">
      <w:pPr>
        <w:pStyle w:val="Thesisheading2"/>
      </w:pPr>
      <w:bookmarkStart w:id="350" w:name="_Toc445389261"/>
      <w:bookmarkStart w:id="351" w:name="_Toc468285998"/>
      <w:r w:rsidRPr="002A6E71">
        <w:t>My role</w:t>
      </w:r>
      <w:bookmarkEnd w:id="350"/>
      <w:bookmarkEnd w:id="351"/>
      <w:r w:rsidRPr="002A6E71">
        <w:t xml:space="preserve"> </w:t>
      </w:r>
    </w:p>
    <w:p w14:paraId="04A52778" w14:textId="77777777" w:rsidR="00E6060C" w:rsidRPr="00E6060C" w:rsidRDefault="00E6060C" w:rsidP="00E6060C">
      <w:pPr>
        <w:spacing w:after="200" w:line="360" w:lineRule="auto"/>
        <w:contextualSpacing/>
        <w:rPr>
          <w:rFonts w:ascii="Calibri" w:eastAsia="Calibri" w:hAnsi="Calibri" w:cs="Times New Roman"/>
        </w:rPr>
      </w:pPr>
    </w:p>
    <w:p w14:paraId="4EE7DD37" w14:textId="2E6C16AD"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As stated in the previous section, my main contribution to the intervention was to help construct and develop the questionnaires</w:t>
      </w:r>
      <w:r w:rsidR="004C4E34">
        <w:rPr>
          <w:rFonts w:ascii="Calibri" w:eastAsia="Calibri" w:hAnsi="Calibri" w:cs="Times New Roman"/>
        </w:rPr>
        <w:t>,</w:t>
      </w:r>
      <w:r w:rsidRPr="00E6060C">
        <w:rPr>
          <w:rFonts w:ascii="Calibri" w:eastAsia="Calibri" w:hAnsi="Calibri" w:cs="Times New Roman"/>
        </w:rPr>
        <w:t xml:space="preserve"> and analyse the data collected. I also provided feedback of the baseline and final results to nursing staff, in the form of presentations, and to the Burdett Trust, by </w:t>
      </w:r>
      <w:r w:rsidRPr="00E6060C">
        <w:rPr>
          <w:rFonts w:ascii="Calibri" w:eastAsia="Calibri" w:hAnsi="Calibri" w:cs="Times New Roman"/>
        </w:rPr>
        <w:lastRenderedPageBreak/>
        <w:t>contributing to a report. I was also involved in other ways, however. During the first wave of data collection I visited all of the wards with the Research Assistant, to gain contextual knowledge of the intervention setting, help distribute the questionnaires, and encourage members of staff to complete them. During the second wave of data collection I played an admi</w:t>
      </w:r>
      <w:r w:rsidR="004C4E34">
        <w:rPr>
          <w:rFonts w:ascii="Calibri" w:eastAsia="Calibri" w:hAnsi="Calibri" w:cs="Times New Roman"/>
        </w:rPr>
        <w:t>nistrative role by helping the research a</w:t>
      </w:r>
      <w:r w:rsidRPr="00E6060C">
        <w:rPr>
          <w:rFonts w:ascii="Calibri" w:eastAsia="Calibri" w:hAnsi="Calibri" w:cs="Times New Roman"/>
        </w:rPr>
        <w:t>ssistant to fold questionnaires into env</w:t>
      </w:r>
      <w:r w:rsidR="004C4E34">
        <w:rPr>
          <w:rFonts w:ascii="Calibri" w:eastAsia="Calibri" w:hAnsi="Calibri" w:cs="Times New Roman"/>
        </w:rPr>
        <w:t>elopes,</w:t>
      </w:r>
      <w:r w:rsidRPr="00E6060C">
        <w:rPr>
          <w:rFonts w:ascii="Calibri" w:eastAsia="Calibri" w:hAnsi="Calibri" w:cs="Times New Roman"/>
        </w:rPr>
        <w:t xml:space="preserve"> address</w:t>
      </w:r>
      <w:r w:rsidR="004C4E34">
        <w:rPr>
          <w:rFonts w:ascii="Calibri" w:eastAsia="Calibri" w:hAnsi="Calibri" w:cs="Times New Roman"/>
        </w:rPr>
        <w:t xml:space="preserve"> them,</w:t>
      </w:r>
      <w:r w:rsidRPr="00E6060C">
        <w:rPr>
          <w:rFonts w:ascii="Calibri" w:eastAsia="Calibri" w:hAnsi="Calibri" w:cs="Times New Roman"/>
        </w:rPr>
        <w:t xml:space="preserve"> and deliver them to the wards. In addition, I attended the first core workshop as an observer, in order to further my own knowledge of the intervention process and how it works, and to develop my relationships with the other team members as well as the participants. I also attended both the launch and celebration events, presenting the final results of the intervention at the latter.  </w:t>
      </w:r>
    </w:p>
    <w:p w14:paraId="301E70C8" w14:textId="77777777" w:rsidR="00E6060C" w:rsidRPr="00E6060C" w:rsidRDefault="00E6060C" w:rsidP="00E6060C">
      <w:pPr>
        <w:spacing w:after="200" w:line="360" w:lineRule="auto"/>
        <w:contextualSpacing/>
        <w:rPr>
          <w:rFonts w:ascii="Calibri" w:eastAsia="Calibri" w:hAnsi="Calibri" w:cs="Times New Roman"/>
        </w:rPr>
      </w:pPr>
    </w:p>
    <w:p w14:paraId="1AD96E6B" w14:textId="085DFF09" w:rsidR="00E6060C" w:rsidRPr="00E6060C" w:rsidRDefault="00E6060C" w:rsidP="00B7614E">
      <w:pPr>
        <w:pStyle w:val="Thesisheading2"/>
      </w:pPr>
      <w:bookmarkStart w:id="352" w:name="_Toc445389262"/>
      <w:bookmarkStart w:id="353" w:name="_Ref453581769"/>
      <w:bookmarkStart w:id="354" w:name="_Ref453583691"/>
      <w:bookmarkStart w:id="355" w:name="_Ref453583765"/>
      <w:bookmarkStart w:id="356" w:name="_Ref453584141"/>
      <w:bookmarkStart w:id="357" w:name="_Ref453584454"/>
      <w:bookmarkStart w:id="358" w:name="_Toc468285999"/>
      <w:r w:rsidRPr="00E6060C">
        <w:t>Measures</w:t>
      </w:r>
      <w:bookmarkEnd w:id="349"/>
      <w:bookmarkEnd w:id="352"/>
      <w:bookmarkEnd w:id="353"/>
      <w:bookmarkEnd w:id="354"/>
      <w:bookmarkEnd w:id="355"/>
      <w:bookmarkEnd w:id="356"/>
      <w:bookmarkEnd w:id="357"/>
      <w:bookmarkEnd w:id="358"/>
    </w:p>
    <w:p w14:paraId="226DB678" w14:textId="77777777" w:rsidR="00E6060C" w:rsidRPr="00E6060C" w:rsidRDefault="00E6060C" w:rsidP="00E6060C">
      <w:pPr>
        <w:spacing w:after="200" w:line="360" w:lineRule="auto"/>
        <w:contextualSpacing/>
        <w:rPr>
          <w:rFonts w:ascii="Calibri" w:eastAsia="Calibri" w:hAnsi="Calibri" w:cs="Times New Roman"/>
          <w:b/>
          <w:bCs/>
        </w:rPr>
      </w:pPr>
    </w:p>
    <w:p w14:paraId="65FDEAE4" w14:textId="7D2CEA34" w:rsidR="00E6060C" w:rsidRPr="00E6060C" w:rsidRDefault="002A6E71" w:rsidP="0009618B">
      <w:pPr>
        <w:pStyle w:val="Heading3"/>
      </w:pPr>
      <w:bookmarkStart w:id="359" w:name="_Toc468286000"/>
      <w:r>
        <w:t>Time 1 measures</w:t>
      </w:r>
      <w:bookmarkEnd w:id="359"/>
    </w:p>
    <w:p w14:paraId="592909BD" w14:textId="77777777" w:rsidR="00E6060C" w:rsidRPr="00E6060C" w:rsidRDefault="00E6060C" w:rsidP="00E6060C">
      <w:pPr>
        <w:spacing w:after="200" w:line="360" w:lineRule="auto"/>
        <w:contextualSpacing/>
        <w:rPr>
          <w:rFonts w:ascii="Calibri" w:eastAsia="Calibri" w:hAnsi="Calibri" w:cs="Times New Roman"/>
          <w:b/>
          <w:bCs/>
          <w:i/>
        </w:rPr>
      </w:pPr>
    </w:p>
    <w:p w14:paraId="16677A7E"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i/>
          <w:iCs/>
        </w:rPr>
        <w:t>Demographics:</w:t>
      </w:r>
      <w:r w:rsidRPr="00E6060C">
        <w:rPr>
          <w:rFonts w:ascii="Calibri" w:eastAsia="Calibri" w:hAnsi="Calibri" w:cs="Times New Roman"/>
        </w:rPr>
        <w:t xml:space="preserve"> Demographic data was collected to enable moderator analyses to be conducted. This included: age, gender, ward tenure, hospital tenure, job role (e.g. healthcare assistant, nurse, sister), hierarchical level (i.e. which NHS ‘band’ level respondents were classed at; higher band levels indicate higher ranking job positions and higher salaries) highest level of education, number of years that nurses had been qualified for, whether or not other staff were managed, and whether the pattern of work was full-time or part-time.  </w:t>
      </w:r>
    </w:p>
    <w:p w14:paraId="1AD2FDA8" w14:textId="77777777" w:rsidR="00E6060C" w:rsidRPr="00E6060C" w:rsidRDefault="00E6060C" w:rsidP="00E6060C">
      <w:pPr>
        <w:spacing w:after="200" w:line="360" w:lineRule="auto"/>
        <w:contextualSpacing/>
        <w:rPr>
          <w:rFonts w:ascii="Calibri" w:eastAsia="Calibri" w:hAnsi="Calibri" w:cs="Times New Roman"/>
          <w:i/>
          <w:iCs/>
        </w:rPr>
      </w:pPr>
      <w:r w:rsidRPr="00E6060C">
        <w:rPr>
          <w:rFonts w:ascii="Calibri" w:eastAsia="Calibri" w:hAnsi="Calibri" w:cs="Times New Roman"/>
          <w:i/>
          <w:iCs/>
        </w:rPr>
        <w:t xml:space="preserve"> </w:t>
      </w:r>
    </w:p>
    <w:p w14:paraId="2B59CD41" w14:textId="44A7F708" w:rsidR="00E6060C" w:rsidRPr="00E6060C" w:rsidRDefault="00E6060C" w:rsidP="00E6060C">
      <w:pPr>
        <w:spacing w:after="200" w:line="360" w:lineRule="auto"/>
        <w:contextualSpacing/>
        <w:rPr>
          <w:rFonts w:ascii="Calibri" w:eastAsia="Calibri" w:hAnsi="Calibri" w:cs="Times New Roman"/>
          <w:i/>
          <w:iCs/>
        </w:rPr>
      </w:pPr>
      <w:r w:rsidRPr="00E6060C">
        <w:rPr>
          <w:rFonts w:ascii="Calibri" w:eastAsia="Calibri" w:hAnsi="Calibri" w:cs="Times New Roman"/>
          <w:i/>
          <w:iCs/>
        </w:rPr>
        <w:t>Social support</w:t>
      </w:r>
      <w:r w:rsidRPr="00E6060C">
        <w:rPr>
          <w:rFonts w:ascii="Calibri" w:eastAsia="Calibri" w:hAnsi="Calibri" w:cs="Times New Roman"/>
        </w:rPr>
        <w:t xml:space="preserve"> was measured using a four-item scale developed specifically for use in health service settings and validated on a sample of over 9,000 NHS staff (Haynes, Wall, Bolden, Stride and Rick, 1999). A sample item is: ‘To what extent can you count on your colleagues at work to listen to you when you need to talk about problems at work?’. All items were scored on a 5-point scale (1 = Not at all, 5 = Completely).</w:t>
      </w:r>
      <w:r w:rsidRPr="00E6060C">
        <w:rPr>
          <w:rFonts w:ascii="Calibri" w:eastAsia="Calibri" w:hAnsi="Calibri" w:cs="Times New Roman"/>
          <w:i/>
          <w:iCs/>
        </w:rPr>
        <w:t xml:space="preserve"> </w:t>
      </w:r>
    </w:p>
    <w:p w14:paraId="2F240B6F" w14:textId="77777777" w:rsidR="00E6060C" w:rsidRPr="00E6060C" w:rsidRDefault="00E6060C" w:rsidP="00E6060C">
      <w:pPr>
        <w:spacing w:after="200" w:line="360" w:lineRule="auto"/>
        <w:contextualSpacing/>
        <w:rPr>
          <w:rFonts w:ascii="Calibri" w:eastAsia="Calibri" w:hAnsi="Calibri" w:cs="Times New Roman"/>
        </w:rPr>
      </w:pPr>
    </w:p>
    <w:p w14:paraId="14D76C7B"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i/>
          <w:iCs/>
        </w:rPr>
        <w:t xml:space="preserve">Influence in decision-making </w:t>
      </w:r>
      <w:r w:rsidRPr="00E6060C">
        <w:rPr>
          <w:rFonts w:ascii="Calibri" w:eastAsia="Calibri" w:hAnsi="Calibri" w:cs="Times New Roman"/>
        </w:rPr>
        <w:t xml:space="preserve">was operationalised using a four-item measure developed for use in health service settings (Haynes et al., 1999). A sample item is: ‘To what extent are you allowed to participate in decisions which affect you?’. Each item was scored on a 5-point scale (1 = Not at all’, 5 = ‘A great deal’). </w:t>
      </w:r>
    </w:p>
    <w:p w14:paraId="27696548" w14:textId="77777777" w:rsidR="00E6060C" w:rsidRPr="00E6060C" w:rsidRDefault="00E6060C" w:rsidP="00E6060C">
      <w:pPr>
        <w:spacing w:after="200" w:line="360" w:lineRule="auto"/>
        <w:contextualSpacing/>
        <w:rPr>
          <w:rFonts w:ascii="Calibri" w:eastAsia="Calibri" w:hAnsi="Calibri" w:cs="Times New Roman"/>
          <w:i/>
          <w:iCs/>
        </w:rPr>
      </w:pPr>
    </w:p>
    <w:p w14:paraId="115F3049" w14:textId="0A6899C9"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i/>
          <w:iCs/>
        </w:rPr>
        <w:t xml:space="preserve">Resources and demands </w:t>
      </w:r>
      <w:r w:rsidRPr="00E6060C">
        <w:rPr>
          <w:rFonts w:ascii="Calibri" w:eastAsia="Calibri" w:hAnsi="Calibri" w:cs="Times New Roman"/>
          <w:iCs/>
        </w:rPr>
        <w:t xml:space="preserve">was measured using three-item and four-item measures which have recently been developed for use in health service settings (Patterson </w:t>
      </w:r>
      <w:r w:rsidR="00395453">
        <w:rPr>
          <w:rFonts w:ascii="Calibri" w:eastAsia="Calibri" w:hAnsi="Calibri" w:cs="Times New Roman"/>
          <w:iCs/>
        </w:rPr>
        <w:t>et al.</w:t>
      </w:r>
      <w:r w:rsidRPr="00E6060C">
        <w:rPr>
          <w:rFonts w:ascii="Calibri" w:eastAsia="Calibri" w:hAnsi="Calibri" w:cs="Times New Roman"/>
          <w:iCs/>
        </w:rPr>
        <w:t xml:space="preserve">, 2011), and which were </w:t>
      </w:r>
      <w:r w:rsidRPr="00E6060C">
        <w:rPr>
          <w:rFonts w:ascii="Calibri" w:eastAsia="Calibri" w:hAnsi="Calibri" w:cs="Times New Roman"/>
          <w:iCs/>
        </w:rPr>
        <w:lastRenderedPageBreak/>
        <w:t xml:space="preserve">validated specifically on health service employees working on elderly wards in the NHS, a similar sample to the one which will be recruited for this study. Sample items include: ‘We have sufficient basic equipment and supplies to deliver a good level of care’ (resources), and ‘There is too much to do in too little time’ (demands). </w:t>
      </w:r>
      <w:r w:rsidRPr="00E6060C">
        <w:rPr>
          <w:rFonts w:ascii="Calibri" w:eastAsia="Calibri" w:hAnsi="Calibri" w:cs="Times New Roman"/>
        </w:rPr>
        <w:t xml:space="preserve">Each item was scored on a 5-point scale (1 = Strongly disagree’, 5 = ‘Strongly agree’). </w:t>
      </w:r>
    </w:p>
    <w:p w14:paraId="2DE8DDAA" w14:textId="77777777" w:rsidR="00E6060C" w:rsidRPr="00E6060C" w:rsidRDefault="00E6060C" w:rsidP="00E6060C">
      <w:pPr>
        <w:spacing w:after="200" w:line="360" w:lineRule="auto"/>
        <w:contextualSpacing/>
        <w:rPr>
          <w:rFonts w:ascii="Calibri" w:eastAsia="Calibri" w:hAnsi="Calibri" w:cs="Times New Roman"/>
          <w:i/>
          <w:iCs/>
        </w:rPr>
      </w:pPr>
    </w:p>
    <w:p w14:paraId="598C9939" w14:textId="3821B8E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i/>
          <w:iCs/>
        </w:rPr>
        <w:t xml:space="preserve">Work-related basic needs </w:t>
      </w:r>
      <w:r w:rsidRPr="00E6060C">
        <w:rPr>
          <w:rFonts w:ascii="Calibri" w:eastAsia="Calibri" w:hAnsi="Calibri" w:cs="Times New Roman"/>
        </w:rPr>
        <w:t>(autonomy, competence and relatedness) were measured using an abbreviated nine-item version of the 18-item Work-Related Basic Needs Scale (WRBNS; Van den Broeck et al., 2010). Sample items are: ‘I feel free to do my job the way I think it could best be done’ (autonomy); ‘I feel competent at my job’ (competence); ‘At work, I feel part of a team’ (relatedness). All items were scored on a 5-point Likert scale (1 = Totally disagree’ to 5 = Totally agree’). This scale is the first to be developed for use on an occupational population and has demonstrated good psychometric properties (Van den Broeck et al., 2010). The original 18 item scale was abbreviated to a 9-item scale for the purposes of Study 1, due to demands to reduce the length of the questionnaire by the host organisation. The scale was abbreviated based on email correspo</w:t>
      </w:r>
      <w:r w:rsidR="00B64DD5">
        <w:rPr>
          <w:rFonts w:ascii="Calibri" w:eastAsia="Calibri" w:hAnsi="Calibri" w:cs="Times New Roman"/>
        </w:rPr>
        <w:t>ndence between myself and Anja V</w:t>
      </w:r>
      <w:r w:rsidRPr="00E6060C">
        <w:rPr>
          <w:rFonts w:ascii="Calibri" w:eastAsia="Calibri" w:hAnsi="Calibri" w:cs="Times New Roman"/>
        </w:rPr>
        <w:t xml:space="preserve">an den Broeck during May and June 2014, who advised using only the positively worded questions, based on the original factor analysis results published in her 2010 paper. A score was created for each sub component separately, as opposed to creating an overall sum score. This is in accordance with recommendations by Van den Broeck et al. (2010; 2016) who argue that each of the sub-components are distinct concepts. In evidence, they cite evidence that correlations between the three needs are not greater than </w:t>
      </w:r>
      <w:r w:rsidRPr="00E6060C">
        <w:rPr>
          <w:rFonts w:ascii="Calibri" w:eastAsia="Calibri" w:hAnsi="Calibri" w:cs="Times New Roman"/>
          <w:i/>
        </w:rPr>
        <w:t>r=</w:t>
      </w:r>
      <w:r w:rsidRPr="00E6060C">
        <w:rPr>
          <w:rFonts w:ascii="Calibri" w:eastAsia="Calibri" w:hAnsi="Calibri" w:cs="Times New Roman"/>
        </w:rPr>
        <w:t xml:space="preserve">.7, suggesting that none are redundant. More specifically, in their meta-analysis which investigated the relationships between the three needs, resources, demands, and well-being outcomes, Van den Broeck </w:t>
      </w:r>
      <w:r w:rsidR="00395453">
        <w:rPr>
          <w:rFonts w:ascii="Calibri" w:eastAsia="Calibri" w:hAnsi="Calibri" w:cs="Times New Roman"/>
        </w:rPr>
        <w:t>et al.</w:t>
      </w:r>
      <w:r w:rsidRPr="00E6060C">
        <w:rPr>
          <w:rFonts w:ascii="Calibri" w:eastAsia="Calibri" w:hAnsi="Calibri" w:cs="Times New Roman"/>
        </w:rPr>
        <w:t xml:space="preserve"> (2016) found that each need differentially related to antecedents and outcomes, which was evidenced by a minimal amount of overlap between meta</w:t>
      </w:r>
      <w:r w:rsidR="000100D3">
        <w:rPr>
          <w:rFonts w:ascii="Calibri" w:eastAsia="Calibri" w:hAnsi="Calibri" w:cs="Times New Roman"/>
        </w:rPr>
        <w:t>-analytic confidence intervals. Each need also</w:t>
      </w:r>
      <w:r w:rsidRPr="00E6060C">
        <w:rPr>
          <w:rFonts w:ascii="Calibri" w:eastAsia="Calibri" w:hAnsi="Calibri" w:cs="Times New Roman"/>
        </w:rPr>
        <w:t xml:space="preserve"> uniquely predicted psychological growth and well-being outcomes.     </w:t>
      </w:r>
    </w:p>
    <w:p w14:paraId="01DF1114" w14:textId="77777777" w:rsidR="00E6060C" w:rsidRPr="00E6060C" w:rsidRDefault="00E6060C" w:rsidP="00E6060C">
      <w:pPr>
        <w:spacing w:after="200" w:line="360" w:lineRule="auto"/>
        <w:contextualSpacing/>
        <w:rPr>
          <w:rFonts w:ascii="Calibri" w:eastAsia="Calibri" w:hAnsi="Calibri" w:cs="Times New Roman"/>
        </w:rPr>
      </w:pPr>
    </w:p>
    <w:p w14:paraId="659ED8EC" w14:textId="1C019EC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i/>
          <w:iCs/>
        </w:rPr>
        <w:t>Work engagement</w:t>
      </w:r>
      <w:r w:rsidRPr="00E6060C">
        <w:rPr>
          <w:rFonts w:ascii="Calibri" w:eastAsia="Calibri" w:hAnsi="Calibri" w:cs="Times New Roman"/>
        </w:rPr>
        <w:t xml:space="preserve"> (vigour, dedication and absorption) was assessed using the 9-item abbreviated version of the Utrecht Work Engagement Scale (Schaufeli</w:t>
      </w:r>
      <w:r w:rsidR="007837A1">
        <w:rPr>
          <w:rFonts w:ascii="Calibri" w:eastAsia="Calibri" w:hAnsi="Calibri" w:cs="Times New Roman"/>
        </w:rPr>
        <w:t xml:space="preserve"> et al.</w:t>
      </w:r>
      <w:r w:rsidRPr="00E6060C">
        <w:rPr>
          <w:rFonts w:ascii="Calibri" w:eastAsia="Calibri" w:hAnsi="Calibri" w:cs="Times New Roman"/>
        </w:rPr>
        <w:t xml:space="preserve">, 2006). This scale has been used extensively across occupations and countries and has consistently demonstrated acceptable reliability (Schaufeli </w:t>
      </w:r>
      <w:r w:rsidR="00B64DD5">
        <w:rPr>
          <w:rFonts w:ascii="Calibri" w:eastAsia="Calibri" w:hAnsi="Calibri" w:cs="Times New Roman"/>
        </w:rPr>
        <w:t>et al.,</w:t>
      </w:r>
      <w:r w:rsidRPr="00E6060C">
        <w:rPr>
          <w:rFonts w:ascii="Calibri" w:eastAsia="Calibri" w:hAnsi="Calibri" w:cs="Times New Roman"/>
        </w:rPr>
        <w:t xml:space="preserve"> 2006). Example items are: ‘I am enthusiastic about my work’ (vigour); ‘When I get up in the morning, I feel like going to work’ (dedication); ‘I am immersed in my work’ (absorption). All items were scored on a 7-point scale (‘1 = Never’, 7 = ‘Always’). In accordance with Schaufeli </w:t>
      </w:r>
      <w:r w:rsidR="000100D3">
        <w:rPr>
          <w:rFonts w:ascii="Calibri" w:eastAsia="Calibri" w:hAnsi="Calibri" w:cs="Times New Roman"/>
        </w:rPr>
        <w:t>and colleagues’</w:t>
      </w:r>
      <w:r w:rsidRPr="00E6060C">
        <w:rPr>
          <w:rFonts w:ascii="Calibri" w:eastAsia="Calibri" w:hAnsi="Calibri" w:cs="Times New Roman"/>
        </w:rPr>
        <w:t xml:space="preserve"> recommendations, a sum score was created, as opposed to creating scores </w:t>
      </w:r>
      <w:r w:rsidRPr="00E6060C">
        <w:rPr>
          <w:rFonts w:ascii="Calibri" w:eastAsia="Calibri" w:hAnsi="Calibri" w:cs="Times New Roman"/>
        </w:rPr>
        <w:lastRenderedPageBreak/>
        <w:t xml:space="preserve">for each subcomponent separately (Schaufeli et al., 2006). The UWES was adopted as </w:t>
      </w:r>
      <w:r w:rsidRPr="00E6060C">
        <w:rPr>
          <w:rFonts w:ascii="Calibri" w:eastAsia="Calibri" w:hAnsi="Calibri" w:cs="Calibri"/>
        </w:rPr>
        <w:t>Schaufeli and colleagues’ conceptualisation of engagement has received the most empirical support to date (Hakanan &amp; Roodt, 2010)</w:t>
      </w:r>
      <w:r w:rsidR="000100D3">
        <w:rPr>
          <w:rFonts w:ascii="Calibri" w:eastAsia="Calibri" w:hAnsi="Calibri" w:cs="Calibri"/>
        </w:rPr>
        <w:t>,</w:t>
      </w:r>
      <w:r w:rsidRPr="00E6060C">
        <w:rPr>
          <w:rFonts w:ascii="Calibri" w:eastAsia="Calibri" w:hAnsi="Calibri" w:cs="Calibri"/>
        </w:rPr>
        <w:t xml:space="preserve"> and </w:t>
      </w:r>
      <w:r w:rsidRPr="00E6060C">
        <w:rPr>
          <w:rFonts w:ascii="Calibri" w:eastAsia="Calibri" w:hAnsi="Calibri" w:cs="Times New Roman"/>
        </w:rPr>
        <w:t xml:space="preserve">their associated measurement scale is </w:t>
      </w:r>
      <w:r w:rsidR="000100D3">
        <w:rPr>
          <w:rFonts w:ascii="Calibri" w:eastAsia="Calibri" w:hAnsi="Calibri" w:cs="Times New Roman"/>
        </w:rPr>
        <w:t xml:space="preserve">arguably </w:t>
      </w:r>
      <w:r w:rsidRPr="00E6060C">
        <w:rPr>
          <w:rFonts w:ascii="Calibri" w:eastAsia="Calibri" w:hAnsi="Calibri" w:cs="Times New Roman"/>
        </w:rPr>
        <w:t xml:space="preserve">the </w:t>
      </w:r>
      <w:r w:rsidRPr="00E6060C">
        <w:rPr>
          <w:rFonts w:ascii="Calibri" w:eastAsia="Calibri" w:hAnsi="Calibri" w:cs="Calibri"/>
        </w:rPr>
        <w:t>most reliable and valid scale which currently exists to measure this concept (see Schaufeli et. al, 2002, for a thorough empirical analysis of the reliability and validity of this measure). Although other scales exist (e.g. the Maslach Burnout Inventory (MBI), Maslach &amp; Jackson, 1981; a psychological engagement scale, May</w:t>
      </w:r>
      <w:r w:rsidR="00E067D9">
        <w:rPr>
          <w:rFonts w:ascii="Calibri" w:eastAsia="Calibri" w:hAnsi="Calibri" w:cs="Calibri"/>
        </w:rPr>
        <w:t xml:space="preserve"> et al.</w:t>
      </w:r>
      <w:r w:rsidRPr="00E6060C">
        <w:rPr>
          <w:rFonts w:ascii="Calibri" w:eastAsia="Calibri" w:hAnsi="Calibri" w:cs="Calibri"/>
        </w:rPr>
        <w:t xml:space="preserve">, 2004; and a job and organisation engagement scale, Saks, 2006), none are so well established in terms of reliability and validity for assessing engagement, or used extensively in the work engagement literature. Indeed, the systematic review in Study 1 (Chapter 5) demonstrated that all but one of the interventions which investigated work engagement used the UWES, hence adopting this measure will allow the results of this study (Study 2) to be easily compared with those from other intervention studies. </w:t>
      </w:r>
    </w:p>
    <w:p w14:paraId="19F4B978" w14:textId="77777777" w:rsidR="00E6060C" w:rsidRPr="00E6060C" w:rsidRDefault="00E6060C" w:rsidP="00E6060C">
      <w:pPr>
        <w:spacing w:after="200" w:line="360" w:lineRule="auto"/>
        <w:contextualSpacing/>
        <w:rPr>
          <w:rFonts w:ascii="Calibri" w:eastAsia="Calibri" w:hAnsi="Calibri" w:cs="Times New Roman"/>
          <w:i/>
          <w:iCs/>
        </w:rPr>
      </w:pPr>
    </w:p>
    <w:p w14:paraId="5C7BF201" w14:textId="245A7BA9" w:rsidR="00E6060C" w:rsidRPr="00E6060C" w:rsidRDefault="001D6140" w:rsidP="00E6060C">
      <w:pPr>
        <w:spacing w:after="200" w:line="360" w:lineRule="auto"/>
        <w:contextualSpacing/>
        <w:rPr>
          <w:rFonts w:ascii="Calibri" w:eastAsia="Calibri" w:hAnsi="Calibri" w:cs="Times New Roman"/>
        </w:rPr>
      </w:pPr>
      <w:r>
        <w:rPr>
          <w:rFonts w:ascii="Calibri" w:eastAsia="Calibri" w:hAnsi="Calibri" w:cs="Times New Roman"/>
          <w:i/>
          <w:iCs/>
        </w:rPr>
        <w:t>Well-being</w:t>
      </w:r>
      <w:r w:rsidR="00E6060C" w:rsidRPr="00E6060C">
        <w:rPr>
          <w:rFonts w:ascii="Calibri" w:eastAsia="Calibri" w:hAnsi="Calibri" w:cs="Times New Roman"/>
          <w:i/>
          <w:iCs/>
        </w:rPr>
        <w:t xml:space="preserve"> </w:t>
      </w:r>
      <w:r w:rsidR="00E6060C" w:rsidRPr="00E6060C">
        <w:rPr>
          <w:rFonts w:ascii="Calibri" w:eastAsia="Calibri" w:hAnsi="Calibri" w:cs="Times New Roman"/>
        </w:rPr>
        <w:t>was tapped using the 16-item job-related affect indicator (Warr, Bindl, Parker &amp; In</w:t>
      </w:r>
      <w:r w:rsidR="000100D3">
        <w:rPr>
          <w:rFonts w:ascii="Calibri" w:eastAsia="Calibri" w:hAnsi="Calibri" w:cs="Times New Roman"/>
        </w:rPr>
        <w:t>ceoglu, 2014), which comprises four</w:t>
      </w:r>
      <w:r w:rsidR="00E6060C" w:rsidRPr="00E6060C">
        <w:rPr>
          <w:rFonts w:ascii="Calibri" w:eastAsia="Calibri" w:hAnsi="Calibri" w:cs="Times New Roman"/>
        </w:rPr>
        <w:t xml:space="preserve"> emotions to describe high-activation pleasant affect (HAPA), which can be summarised as ‘enth</w:t>
      </w:r>
      <w:r w:rsidR="000100D3">
        <w:rPr>
          <w:rFonts w:ascii="Calibri" w:eastAsia="Calibri" w:hAnsi="Calibri" w:cs="Times New Roman"/>
        </w:rPr>
        <w:t>usiasm’ (e.g. ‘enthusiastic’); four</w:t>
      </w:r>
      <w:r w:rsidR="00E6060C" w:rsidRPr="00E6060C">
        <w:rPr>
          <w:rFonts w:ascii="Calibri" w:eastAsia="Calibri" w:hAnsi="Calibri" w:cs="Times New Roman"/>
        </w:rPr>
        <w:t xml:space="preserve"> emotions to describe low-activation pleasant affect (LAPA), which can be summarised</w:t>
      </w:r>
      <w:r w:rsidR="000100D3">
        <w:rPr>
          <w:rFonts w:ascii="Calibri" w:eastAsia="Calibri" w:hAnsi="Calibri" w:cs="Times New Roman"/>
        </w:rPr>
        <w:t xml:space="preserve"> as ‘comfort’ (e.g. ‘relaxed’; four</w:t>
      </w:r>
      <w:r w:rsidR="00E6060C" w:rsidRPr="00E6060C">
        <w:rPr>
          <w:rFonts w:ascii="Calibri" w:eastAsia="Calibri" w:hAnsi="Calibri" w:cs="Times New Roman"/>
        </w:rPr>
        <w:t xml:space="preserve"> emotions to describe high-activation unpleasant affect (HAUA), which can be summarised </w:t>
      </w:r>
      <w:r w:rsidR="000100D3">
        <w:rPr>
          <w:rFonts w:ascii="Calibri" w:eastAsia="Calibri" w:hAnsi="Calibri" w:cs="Times New Roman"/>
        </w:rPr>
        <w:t>as ‘anxiety’ (‘anxiety’); and four</w:t>
      </w:r>
      <w:r w:rsidR="00E6060C" w:rsidRPr="00E6060C">
        <w:rPr>
          <w:rFonts w:ascii="Calibri" w:eastAsia="Calibri" w:hAnsi="Calibri" w:cs="Times New Roman"/>
        </w:rPr>
        <w:t xml:space="preserve"> emotions to describe low-activation unpleasant affect (LAUA), which can be described as ‘depression’ (e.g. ‘depression’). High-activated pleasant affect, and in particular, enthusiasm, is consistent with the vigour component of work engagement, hence it is expected that pleasant affect will correlate highly with work engagement. Participants will be asked to indicate how much of their time over the past week their job has made them feel each of the emotions. Responses were scored on a 7-point scale (1 = ‘Never’ to 7 = ‘Always’) and the responses for the two unpleasant affect scales were reverse scored so that higher values were associated with more pleasant affect for all four scales.     </w:t>
      </w:r>
    </w:p>
    <w:p w14:paraId="1A000029" w14:textId="654FC373" w:rsidR="00E6060C" w:rsidRPr="00E6060C" w:rsidRDefault="00E6060C" w:rsidP="00E6060C">
      <w:pPr>
        <w:spacing w:after="200" w:line="360" w:lineRule="auto"/>
        <w:contextualSpacing/>
        <w:rPr>
          <w:rFonts w:ascii="Calibri" w:eastAsia="Calibri" w:hAnsi="Calibri" w:cs="Times New Roman"/>
        </w:rPr>
      </w:pPr>
    </w:p>
    <w:p w14:paraId="0D12D8AC"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As this study was part of a wider study investigating quality of care on NHS elderly wards, these scales were only some of the scales comprising the full questionnaire sent to respondents. A copy of the full post-intervention questionnaire can be found in Appendix 5.</w:t>
      </w:r>
    </w:p>
    <w:p w14:paraId="270F05AB" w14:textId="49CFC620" w:rsidR="00E6060C" w:rsidRDefault="00E6060C" w:rsidP="00E6060C">
      <w:pPr>
        <w:spacing w:after="200" w:line="360" w:lineRule="auto"/>
        <w:contextualSpacing/>
        <w:rPr>
          <w:rFonts w:ascii="Calibri" w:eastAsia="Calibri" w:hAnsi="Calibri" w:cs="Times New Roman"/>
        </w:rPr>
      </w:pPr>
    </w:p>
    <w:p w14:paraId="42F09650" w14:textId="77973CAA" w:rsidR="00DA5DF8" w:rsidRDefault="00DA5DF8" w:rsidP="00E6060C">
      <w:pPr>
        <w:spacing w:after="200" w:line="360" w:lineRule="auto"/>
        <w:contextualSpacing/>
        <w:rPr>
          <w:rFonts w:ascii="Calibri" w:eastAsia="Calibri" w:hAnsi="Calibri" w:cs="Times New Roman"/>
        </w:rPr>
      </w:pPr>
    </w:p>
    <w:p w14:paraId="7FFF3B8B" w14:textId="77777777" w:rsidR="00DA5DF8" w:rsidRPr="00E6060C" w:rsidRDefault="00DA5DF8" w:rsidP="00E6060C">
      <w:pPr>
        <w:spacing w:after="200" w:line="360" w:lineRule="auto"/>
        <w:contextualSpacing/>
        <w:rPr>
          <w:rFonts w:ascii="Calibri" w:eastAsia="Calibri" w:hAnsi="Calibri" w:cs="Times New Roman"/>
        </w:rPr>
      </w:pPr>
    </w:p>
    <w:p w14:paraId="06593A08" w14:textId="2A700238" w:rsidR="00E6060C" w:rsidRPr="002A6E71" w:rsidRDefault="00E6060C" w:rsidP="00DA5DF8">
      <w:pPr>
        <w:pStyle w:val="Heading3"/>
        <w:spacing w:line="360" w:lineRule="auto"/>
        <w:contextualSpacing/>
      </w:pPr>
      <w:bookmarkStart w:id="360" w:name="_Ref453589240"/>
      <w:bookmarkStart w:id="361" w:name="_Ref453591581"/>
      <w:bookmarkStart w:id="362" w:name="_Ref453591615"/>
      <w:bookmarkStart w:id="363" w:name="_Ref453596151"/>
      <w:bookmarkStart w:id="364" w:name="_Toc468286001"/>
      <w:r w:rsidRPr="002A6E71">
        <w:lastRenderedPageBreak/>
        <w:t>Time 2 measures</w:t>
      </w:r>
      <w:bookmarkEnd w:id="360"/>
      <w:bookmarkEnd w:id="361"/>
      <w:bookmarkEnd w:id="362"/>
      <w:bookmarkEnd w:id="363"/>
      <w:bookmarkEnd w:id="364"/>
    </w:p>
    <w:p w14:paraId="2813EE45" w14:textId="77777777" w:rsidR="00E6060C" w:rsidRPr="00E6060C" w:rsidRDefault="00E6060C" w:rsidP="00DA5DF8">
      <w:pPr>
        <w:spacing w:line="360" w:lineRule="auto"/>
        <w:contextualSpacing/>
      </w:pPr>
    </w:p>
    <w:p w14:paraId="1FA88ABC" w14:textId="1440C25F" w:rsidR="00E6060C" w:rsidRPr="00E6060C" w:rsidRDefault="00E6060C" w:rsidP="00DA5DF8">
      <w:pPr>
        <w:spacing w:after="200" w:line="360" w:lineRule="auto"/>
        <w:contextualSpacing/>
        <w:rPr>
          <w:rFonts w:ascii="Calibri" w:eastAsia="Calibri" w:hAnsi="Calibri" w:cs="Times New Roman"/>
        </w:rPr>
      </w:pPr>
      <w:r w:rsidRPr="00E6060C">
        <w:rPr>
          <w:rFonts w:ascii="Calibri" w:eastAsia="Calibri" w:hAnsi="Calibri" w:cs="Times New Roman"/>
        </w:rPr>
        <w:t xml:space="preserve">All of the measures included at Time 1 were repeated at Time 2, including the demographics. Modifications to the measures were made according to the results of reliability and validity analyses, presented in section 7.1.7.3. In addition, the questionnaire presented to staff on the intervention wards included a number of evaluation questions which were constructed by the project team and were intended to gain some insight into the impact of the intervention on these wards. Given the value of in-depth evaluations of the implementation of interventions for identifying how and why interventions work, and reasons for why they may not have been successful (for a discussion of the benefits of such evaluations, see </w:t>
      </w:r>
      <w:r w:rsidR="000100D3" w:rsidRPr="00E6060C">
        <w:rPr>
          <w:rFonts w:ascii="Calibri" w:eastAsia="Calibri" w:hAnsi="Calibri" w:cs="Times New Roman"/>
        </w:rPr>
        <w:t>Nielsen, Randall et al.</w:t>
      </w:r>
      <w:r w:rsidR="000100D3">
        <w:rPr>
          <w:rFonts w:ascii="Calibri" w:eastAsia="Calibri" w:hAnsi="Calibri" w:cs="Times New Roman"/>
        </w:rPr>
        <w:t xml:space="preserve">, </w:t>
      </w:r>
      <w:r w:rsidR="000100D3" w:rsidRPr="00E6060C">
        <w:rPr>
          <w:rFonts w:ascii="Calibri" w:eastAsia="Calibri" w:hAnsi="Calibri" w:cs="Times New Roman"/>
        </w:rPr>
        <w:t>2010</w:t>
      </w:r>
      <w:r w:rsidR="000100D3">
        <w:rPr>
          <w:rFonts w:ascii="Calibri" w:eastAsia="Calibri" w:hAnsi="Calibri" w:cs="Times New Roman"/>
        </w:rPr>
        <w:t>;</w:t>
      </w:r>
      <w:r w:rsidR="000100D3" w:rsidRPr="00E6060C">
        <w:rPr>
          <w:rFonts w:ascii="Calibri" w:eastAsia="Calibri" w:hAnsi="Calibri" w:cs="Times New Roman"/>
        </w:rPr>
        <w:t xml:space="preserve"> </w:t>
      </w:r>
      <w:r w:rsidRPr="00E6060C">
        <w:rPr>
          <w:rFonts w:ascii="Calibri" w:eastAsia="Calibri" w:hAnsi="Calibri" w:cs="Times New Roman"/>
        </w:rPr>
        <w:t>Nielsen, Tari</w:t>
      </w:r>
      <w:r w:rsidR="000100D3">
        <w:rPr>
          <w:rFonts w:ascii="Calibri" w:eastAsia="Calibri" w:hAnsi="Calibri" w:cs="Times New Roman"/>
        </w:rPr>
        <w:t>s et al., 2010;</w:t>
      </w:r>
      <w:r w:rsidRPr="00E6060C">
        <w:rPr>
          <w:rFonts w:ascii="Calibri" w:eastAsia="Calibri" w:hAnsi="Calibri" w:cs="Times New Roman"/>
        </w:rPr>
        <w:t xml:space="preserve"> and Ch</w:t>
      </w:r>
      <w:r w:rsidR="0070559B">
        <w:rPr>
          <w:rFonts w:ascii="Calibri" w:eastAsia="Calibri" w:hAnsi="Calibri" w:cs="Times New Roman"/>
        </w:rPr>
        <w:t>apter</w:t>
      </w:r>
      <w:r w:rsidRPr="00E6060C">
        <w:rPr>
          <w:rFonts w:ascii="Calibri" w:eastAsia="Calibri" w:hAnsi="Calibri" w:cs="Times New Roman"/>
        </w:rPr>
        <w:t xml:space="preserve"> 4 of this thesis), a more extensive and in-depth questionnaire would have been preferred. However, this was not possible due to the additional amount of time that such questionnaires would have taken staff to complete following an already long questionnaire, and the additional amount of resources required to administer such an evaluation. In an attempt to achieve as high a response rate as possible to the few questions which were asked, the evaluation questions were added to the end of the main questionnaire (see Appendix 5) rather than presented as a separate questionnaire which might not have been completed by staff at all.  </w:t>
      </w:r>
    </w:p>
    <w:p w14:paraId="1FDF1495" w14:textId="77777777" w:rsidR="00E6060C" w:rsidRPr="00E6060C" w:rsidRDefault="00E6060C" w:rsidP="00E6060C">
      <w:pPr>
        <w:spacing w:after="200" w:line="360" w:lineRule="auto"/>
        <w:contextualSpacing/>
        <w:rPr>
          <w:rFonts w:ascii="Calibri" w:eastAsia="Calibri" w:hAnsi="Calibri" w:cs="Times New Roman"/>
        </w:rPr>
      </w:pPr>
    </w:p>
    <w:p w14:paraId="4C255A24" w14:textId="3408044A"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evaluation questions included a number of questions which required a ‘yes’ or ‘no’ response. These asked whether respondents had been aware of the project during its implementation, whether they had taken an active part in the project</w:t>
      </w:r>
      <w:r w:rsidR="000100D3">
        <w:rPr>
          <w:rFonts w:ascii="Calibri" w:eastAsia="Calibri" w:hAnsi="Calibri" w:cs="Times New Roman"/>
        </w:rPr>
        <w:t>,</w:t>
      </w:r>
      <w:r w:rsidRPr="00E6060C">
        <w:rPr>
          <w:rFonts w:ascii="Calibri" w:eastAsia="Calibri" w:hAnsi="Calibri" w:cs="Times New Roman"/>
        </w:rPr>
        <w:t xml:space="preserve"> and how and whether they thought the project had resulted in positive changes on their wards. A final question asked participants to indicate on a 5-point agreement scale (1= Strongly disagree, to 5=Strongly agree) the extent to which they agreed or disagreed that changes had occurred in terms of: patient experience, staff morale, team ability to identify areas for improvement, opportunity to hear about new ways of working, and feeling that their ideas were heard. </w:t>
      </w:r>
    </w:p>
    <w:p w14:paraId="4FFFF1E4" w14:textId="77777777" w:rsidR="00E6060C" w:rsidRPr="00E6060C" w:rsidRDefault="00E6060C" w:rsidP="00E6060C">
      <w:pPr>
        <w:spacing w:after="200" w:line="360" w:lineRule="auto"/>
        <w:contextualSpacing/>
        <w:rPr>
          <w:rFonts w:ascii="Calibri" w:eastAsia="Calibri" w:hAnsi="Calibri" w:cs="Times New Roman"/>
        </w:rPr>
      </w:pPr>
    </w:p>
    <w:p w14:paraId="28EF975D" w14:textId="0130535A" w:rsidR="00E6060C" w:rsidRPr="00E6060C" w:rsidRDefault="00E6060C" w:rsidP="0009618B">
      <w:pPr>
        <w:pStyle w:val="Heading3"/>
      </w:pPr>
      <w:bookmarkStart w:id="365" w:name="_Ref453589822"/>
      <w:bookmarkStart w:id="366" w:name="_Toc468286002"/>
      <w:r w:rsidRPr="00E6060C">
        <w:t>Assessing the reliability and validity of the measures at Time 1 and Time 2</w:t>
      </w:r>
      <w:bookmarkEnd w:id="365"/>
      <w:bookmarkEnd w:id="366"/>
    </w:p>
    <w:p w14:paraId="0A8E94F8" w14:textId="77777777" w:rsidR="00E6060C" w:rsidRPr="00E6060C" w:rsidRDefault="00E6060C" w:rsidP="00E6060C">
      <w:pPr>
        <w:spacing w:after="200" w:line="360" w:lineRule="auto"/>
        <w:contextualSpacing/>
        <w:rPr>
          <w:rFonts w:ascii="Calibri" w:eastAsia="Calibri" w:hAnsi="Calibri" w:cs="Times New Roman"/>
          <w:b/>
        </w:rPr>
      </w:pPr>
    </w:p>
    <w:p w14:paraId="5E336AF0" w14:textId="3E3A13C2" w:rsidR="006F6F29" w:rsidRDefault="00E6060C" w:rsidP="000100D3">
      <w:pPr>
        <w:spacing w:after="200" w:line="360" w:lineRule="auto"/>
        <w:contextualSpacing/>
        <w:rPr>
          <w:rFonts w:ascii="Calibri" w:eastAsia="Calibri" w:hAnsi="Calibri" w:cs="Times New Roman"/>
        </w:rPr>
      </w:pPr>
      <w:r w:rsidRPr="00E6060C">
        <w:rPr>
          <w:rFonts w:ascii="Calibri" w:eastAsia="Calibri" w:hAnsi="Calibri" w:cs="Times New Roman"/>
        </w:rPr>
        <w:t xml:space="preserve">The reliability and validity of all of the measures </w:t>
      </w:r>
      <w:r w:rsidR="000100D3">
        <w:rPr>
          <w:rFonts w:ascii="Calibri" w:eastAsia="Calibri" w:hAnsi="Calibri" w:cs="Times New Roman"/>
        </w:rPr>
        <w:t>used in the questionnaire at Time 1 and T</w:t>
      </w:r>
      <w:r w:rsidRPr="00E6060C">
        <w:rPr>
          <w:rFonts w:ascii="Calibri" w:eastAsia="Calibri" w:hAnsi="Calibri" w:cs="Times New Roman"/>
        </w:rPr>
        <w:t>ime 2 were examined using Cronbach’s alpha (</w:t>
      </w:r>
      <w:r w:rsidRPr="00E6060C">
        <w:rPr>
          <w:rFonts w:ascii="Calibri" w:eastAsia="Calibri" w:hAnsi="Calibri" w:cs="Times New Roman"/>
          <w:i/>
        </w:rPr>
        <w:t>α</w:t>
      </w:r>
      <w:r w:rsidRPr="00E6060C">
        <w:rPr>
          <w:rFonts w:ascii="Calibri" w:eastAsia="Calibri" w:hAnsi="Calibri" w:cs="Times New Roman"/>
        </w:rPr>
        <w:t xml:space="preserve">) and confirmatory factor analysis (CFA). Assessing reliability and validity is important to establish the degree of confidence we can place in the results of analyses based on the data collected via these measures. In addition, Time 1 respondents highlighted several issues with the questionnaires which they strongly felt needed changing. These </w:t>
      </w:r>
      <w:r w:rsidRPr="00E6060C">
        <w:rPr>
          <w:rFonts w:ascii="Calibri" w:eastAsia="Calibri" w:hAnsi="Calibri" w:cs="Times New Roman"/>
        </w:rPr>
        <w:lastRenderedPageBreak/>
        <w:t xml:space="preserve">included the long length of the questionnaire generally, and the face validity of some of the items, as several items within and between scales were viewed as very similar. As a result, and to encourage a good completion rate at Time 2, each of the issues was investigated separately to see whether the offending item(s) could be removed from their respective scales without compromising the reliability and validity of the scales. Before detailing the results from these analyses, the terms reliability and validity are defined and an outline of the statistical procedures used to assess them is presented. </w:t>
      </w:r>
    </w:p>
    <w:p w14:paraId="5514C753" w14:textId="77777777" w:rsidR="000100D3" w:rsidRDefault="000100D3" w:rsidP="000100D3">
      <w:pPr>
        <w:spacing w:after="200" w:line="360" w:lineRule="auto"/>
        <w:contextualSpacing/>
        <w:rPr>
          <w:rFonts w:ascii="Calibri" w:eastAsia="Calibri" w:hAnsi="Calibri" w:cs="Times New Roman"/>
          <w:i/>
        </w:rPr>
      </w:pPr>
    </w:p>
    <w:p w14:paraId="7A25F858" w14:textId="1D298DD8" w:rsidR="00E6060C" w:rsidRPr="00E6060C" w:rsidRDefault="00E6060C" w:rsidP="00E6060C">
      <w:pPr>
        <w:spacing w:after="200" w:line="360" w:lineRule="auto"/>
        <w:contextualSpacing/>
        <w:rPr>
          <w:rFonts w:ascii="Calibri" w:eastAsia="Calibri" w:hAnsi="Calibri" w:cs="Times New Roman"/>
          <w:i/>
        </w:rPr>
      </w:pPr>
      <w:r w:rsidRPr="00E6060C">
        <w:rPr>
          <w:rFonts w:ascii="Calibri" w:eastAsia="Calibri" w:hAnsi="Calibri" w:cs="Times New Roman"/>
          <w:i/>
        </w:rPr>
        <w:t xml:space="preserve">Scale reliability </w:t>
      </w:r>
    </w:p>
    <w:p w14:paraId="1DB54135" w14:textId="77777777" w:rsidR="00E6060C" w:rsidRPr="00E6060C" w:rsidRDefault="00E6060C" w:rsidP="00E6060C">
      <w:pPr>
        <w:spacing w:after="200" w:line="360" w:lineRule="auto"/>
        <w:contextualSpacing/>
        <w:rPr>
          <w:rFonts w:ascii="Calibri" w:eastAsia="Calibri" w:hAnsi="Calibri" w:cs="Times New Roman"/>
        </w:rPr>
      </w:pPr>
    </w:p>
    <w:p w14:paraId="4D933DD5"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Scale reliability refers to whether a scale is consistently able to produce similar results, repeatedly, without systematic measurement error (Oliver &amp; Benet-Martinez, 2000). Cronbach’s alpha (</w:t>
      </w:r>
      <w:r w:rsidRPr="00E6060C">
        <w:rPr>
          <w:rFonts w:ascii="Calibri" w:eastAsia="Calibri" w:hAnsi="Calibri" w:cs="Times New Roman"/>
          <w:i/>
        </w:rPr>
        <w:t>α</w:t>
      </w:r>
      <w:r w:rsidRPr="00E6060C">
        <w:rPr>
          <w:rFonts w:ascii="Calibri" w:eastAsia="Calibri" w:hAnsi="Calibri" w:cs="Times New Roman"/>
        </w:rPr>
        <w:t>)</w:t>
      </w:r>
      <w:r w:rsidRPr="00E6060C">
        <w:rPr>
          <w:rFonts w:ascii="Calibri" w:eastAsia="Calibri" w:hAnsi="Calibri" w:cs="Times New Roman"/>
          <w:i/>
        </w:rPr>
        <w:t xml:space="preserve"> </w:t>
      </w:r>
      <w:r w:rsidRPr="00E6060C">
        <w:rPr>
          <w:rFonts w:ascii="Calibri" w:eastAsia="Calibri" w:hAnsi="Calibri" w:cs="Times New Roman"/>
        </w:rPr>
        <w:t xml:space="preserve">is a statistic which evaluates internal reliability, that is, how strongly a scale’s items are related to each other and thus whether a scale is able to produce these similar results, repeatedly. It is not evidence of unidimensionality, however, despite sometimes being interpreted as such (Grayson, 2004; Field, 2005). Cronbach’s </w:t>
      </w:r>
      <w:r w:rsidRPr="00E6060C">
        <w:rPr>
          <w:rFonts w:ascii="Calibri" w:eastAsia="Calibri" w:hAnsi="Calibri" w:cs="Times New Roman"/>
          <w:i/>
        </w:rPr>
        <w:t>α</w:t>
      </w:r>
      <w:r w:rsidRPr="00E6060C">
        <w:rPr>
          <w:rFonts w:ascii="Calibri" w:eastAsia="Calibri" w:hAnsi="Calibri" w:cs="Times New Roman"/>
        </w:rPr>
        <w:t xml:space="preserve"> is calculated by computing the average of all split-half correlations, where a split-half correlation is the reliability obtained from generating a composite score by splitting a test into two halves and measuring the correlation between them. Values range from 0 to 1, with higher values indicating higher reliability, or internal consistency. Cut-off levels indicating adequate internal reliability are controversial, with some scholars suggesting</w:t>
      </w:r>
      <w:r w:rsidRPr="00E6060C">
        <w:rPr>
          <w:rFonts w:ascii="Calibri" w:eastAsia="Calibri" w:hAnsi="Calibri" w:cs="Times New Roman"/>
          <w:i/>
        </w:rPr>
        <w:t xml:space="preserve"> α=</w:t>
      </w:r>
      <w:r w:rsidRPr="00E6060C">
        <w:rPr>
          <w:rFonts w:ascii="Calibri" w:eastAsia="Calibri" w:hAnsi="Calibri" w:cs="Times New Roman"/>
        </w:rPr>
        <w:t xml:space="preserve">.70 as a weak, arbitrary, cut-off point (e.g. Hair, Black, Babin &amp; Anderson, 2010; Lance, Butts &amp; Michets, 2006), and some scholars suggesting </w:t>
      </w:r>
      <w:r w:rsidRPr="00E6060C">
        <w:rPr>
          <w:rFonts w:ascii="Calibri" w:eastAsia="Calibri" w:hAnsi="Calibri" w:cs="Times New Roman"/>
          <w:i/>
        </w:rPr>
        <w:t>α=</w:t>
      </w:r>
      <w:r w:rsidRPr="00E6060C">
        <w:rPr>
          <w:rFonts w:ascii="Calibri" w:eastAsia="Calibri" w:hAnsi="Calibri" w:cs="Times New Roman"/>
        </w:rPr>
        <w:t>.80 as a basic cut-off point and</w:t>
      </w:r>
      <w:r w:rsidRPr="00E6060C">
        <w:rPr>
          <w:rFonts w:ascii="Calibri" w:eastAsia="Calibri" w:hAnsi="Calibri" w:cs="Times New Roman"/>
          <w:i/>
        </w:rPr>
        <w:t xml:space="preserve"> α</w:t>
      </w:r>
      <w:r w:rsidRPr="00E6060C">
        <w:rPr>
          <w:rFonts w:ascii="Calibri" w:eastAsia="Calibri" w:hAnsi="Calibri" w:cs="Times New Roman"/>
        </w:rPr>
        <w:t xml:space="preserve">=.90 in applied contexts (e.g. Nunnally, 1978). Given that several of the scales investigated here are in the nascent stage of development, it seems appropriate to consider </w:t>
      </w:r>
      <w:r w:rsidRPr="00E6060C">
        <w:rPr>
          <w:rFonts w:ascii="Calibri" w:eastAsia="Calibri" w:hAnsi="Calibri" w:cs="Times New Roman"/>
          <w:i/>
        </w:rPr>
        <w:t>α=</w:t>
      </w:r>
      <w:r w:rsidRPr="00E6060C">
        <w:rPr>
          <w:rFonts w:ascii="Calibri" w:eastAsia="Calibri" w:hAnsi="Calibri" w:cs="Times New Roman"/>
        </w:rPr>
        <w:t xml:space="preserve">.70 as adequate for this study.  </w:t>
      </w:r>
    </w:p>
    <w:p w14:paraId="24B7FB55" w14:textId="77777777" w:rsidR="00E6060C" w:rsidRPr="00E6060C" w:rsidRDefault="00E6060C" w:rsidP="00E6060C">
      <w:pPr>
        <w:spacing w:after="200" w:line="360" w:lineRule="auto"/>
        <w:contextualSpacing/>
        <w:rPr>
          <w:rFonts w:ascii="Calibri" w:eastAsia="Calibri" w:hAnsi="Calibri" w:cs="Times New Roman"/>
        </w:rPr>
      </w:pPr>
    </w:p>
    <w:p w14:paraId="4131B562" w14:textId="77777777" w:rsidR="00E6060C" w:rsidRPr="00E6060C" w:rsidRDefault="00E6060C" w:rsidP="00E6060C">
      <w:pPr>
        <w:spacing w:after="200" w:line="360" w:lineRule="auto"/>
        <w:contextualSpacing/>
        <w:rPr>
          <w:rFonts w:ascii="Calibri" w:eastAsia="Calibri" w:hAnsi="Calibri" w:cs="Times New Roman"/>
          <w:i/>
        </w:rPr>
      </w:pPr>
      <w:r w:rsidRPr="00E6060C">
        <w:rPr>
          <w:rFonts w:ascii="Calibri" w:eastAsia="Calibri" w:hAnsi="Calibri" w:cs="Times New Roman"/>
          <w:i/>
        </w:rPr>
        <w:t>Scale validity</w:t>
      </w:r>
    </w:p>
    <w:p w14:paraId="2B0851B6" w14:textId="77777777" w:rsidR="00E6060C" w:rsidRPr="00E6060C" w:rsidRDefault="00E6060C" w:rsidP="00E6060C">
      <w:pPr>
        <w:spacing w:after="200" w:line="360" w:lineRule="auto"/>
        <w:contextualSpacing/>
        <w:rPr>
          <w:rFonts w:ascii="Calibri" w:eastAsia="Calibri" w:hAnsi="Calibri" w:cs="Times New Roman"/>
          <w:i/>
        </w:rPr>
      </w:pPr>
    </w:p>
    <w:p w14:paraId="7933762D"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Scale validity refers to whether the items forming a scale actually measure the latent construct(s) they are hypothesised to (Oliver &amp; Benet-Martinez, 2000). Confirmatory factor analysis (CFA) is a statistical procedure which is able to test the underlying latent (i.e. factor) structure of a scale by examining the covariation amongst a set of observed variables (i.e. scale items) using regression techniques. More specifically, the researcher is able to specify the structure of a scale </w:t>
      </w:r>
      <w:r w:rsidRPr="00E6060C">
        <w:rPr>
          <w:rFonts w:ascii="Calibri" w:eastAsia="Calibri" w:hAnsi="Calibri" w:cs="Times New Roman"/>
          <w:i/>
        </w:rPr>
        <w:t xml:space="preserve">a priori </w:t>
      </w:r>
      <w:r w:rsidRPr="00E6060C">
        <w:rPr>
          <w:rFonts w:ascii="Calibri" w:eastAsia="Calibri" w:hAnsi="Calibri" w:cs="Times New Roman"/>
        </w:rPr>
        <w:t xml:space="preserve">(termed the measurement model) based on theory and / or previous empirical findings, and evaluate how closely the variance-covariance matrix underlying the structure of this measurement </w:t>
      </w:r>
      <w:r w:rsidRPr="00E6060C">
        <w:rPr>
          <w:rFonts w:ascii="Calibri" w:eastAsia="Calibri" w:hAnsi="Calibri" w:cs="Times New Roman"/>
        </w:rPr>
        <w:lastRenderedPageBreak/>
        <w:t xml:space="preserve">model matches the variance-covariance matrix underlying the structure of the observed data, using ‘fit statistics’ (Byrne, 2010). Commonly, the maximum likelihood (ML) method of estimation is applied, which estimates population parameters that maximise the probability of sampling the observed data from a population (Tabachnik &amp; Fidell, 2007). </w:t>
      </w:r>
    </w:p>
    <w:p w14:paraId="46498BFE" w14:textId="77777777" w:rsidR="00E6060C" w:rsidRPr="00E6060C" w:rsidRDefault="00E6060C" w:rsidP="00E6060C">
      <w:pPr>
        <w:spacing w:after="200" w:line="360" w:lineRule="auto"/>
        <w:contextualSpacing/>
        <w:rPr>
          <w:rFonts w:ascii="Calibri" w:eastAsia="Calibri" w:hAnsi="Calibri" w:cs="Times New Roman"/>
        </w:rPr>
      </w:pPr>
    </w:p>
    <w:p w14:paraId="0E8C5BA1"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Two types of fit statistics are commonly reported: absolute fit indices, and comparative fit indices. Absolute fit indices test how closely the variance-covariance matrix underlying the predicted measurement model matches the variance-covariance matrix underlying the sample data, by examining how well the model fits independently of any other possibility (Byrne, 2010). Comparative, or incremental, fit statistics compare the hypothesised, measurement model with the independence or null model</w:t>
      </w:r>
      <w:r w:rsidRPr="00E6060C">
        <w:rPr>
          <w:rFonts w:ascii="Calibri" w:eastAsia="Calibri" w:hAnsi="Calibri" w:cs="Times New Roman"/>
          <w:vertAlign w:val="superscript"/>
        </w:rPr>
        <w:footnoteReference w:id="4"/>
      </w:r>
      <w:r w:rsidRPr="00E6060C">
        <w:rPr>
          <w:rFonts w:ascii="Calibri" w:eastAsia="Calibri" w:hAnsi="Calibri" w:cs="Times New Roman"/>
        </w:rPr>
        <w:t>, and thus examine how well the measurement model fits against a restricted model (Byrne, 2010; Hair et al., 2010). Given the advantages and disadvantages of each fit statistic, several have been presented in this thesis, providing a comprehensive overview of the model fit. Absolute fit indices presented are the Chi-squared (Chi</w:t>
      </w:r>
      <w:r w:rsidRPr="00E6060C">
        <w:rPr>
          <w:rFonts w:ascii="Arial" w:eastAsia="Calibri" w:hAnsi="Arial" w:cs="Arial"/>
          <w:sz w:val="14"/>
          <w:szCs w:val="14"/>
        </w:rPr>
        <w:t xml:space="preserve"> </w:t>
      </w:r>
      <w:r w:rsidRPr="00E6060C">
        <w:rPr>
          <w:rFonts w:ascii="Calibri" w:eastAsia="Calibri" w:hAnsi="Calibri" w:cs="Times New Roman"/>
          <w:vertAlign w:val="superscript"/>
        </w:rPr>
        <w:t>2</w:t>
      </w:r>
      <w:r w:rsidRPr="00E6060C">
        <w:rPr>
          <w:rFonts w:ascii="Calibri" w:eastAsia="Calibri" w:hAnsi="Calibri" w:cs="Times New Roman"/>
        </w:rPr>
        <w:t>) test, the relative Chi</w:t>
      </w:r>
      <w:r w:rsidRPr="00E6060C">
        <w:rPr>
          <w:rFonts w:ascii="Arial" w:eastAsia="Calibri" w:hAnsi="Arial" w:cs="Arial"/>
          <w:sz w:val="14"/>
          <w:szCs w:val="14"/>
        </w:rPr>
        <w:t xml:space="preserve"> </w:t>
      </w:r>
      <w:r w:rsidRPr="00E6060C">
        <w:rPr>
          <w:rFonts w:ascii="Calibri" w:eastAsia="Calibri" w:hAnsi="Calibri" w:cs="Times New Roman"/>
          <w:vertAlign w:val="superscript"/>
        </w:rPr>
        <w:t xml:space="preserve">2 </w:t>
      </w:r>
      <w:r w:rsidRPr="00E6060C">
        <w:rPr>
          <w:rFonts w:ascii="Calibri" w:eastAsia="Calibri" w:hAnsi="Calibri" w:cs="Times New Roman"/>
        </w:rPr>
        <w:t>(CMIN),</w:t>
      </w:r>
      <w:r w:rsidRPr="00E6060C">
        <w:rPr>
          <w:rFonts w:ascii="Calibri" w:eastAsia="Calibri" w:hAnsi="Calibri" w:cs="Times New Roman"/>
          <w:vertAlign w:val="superscript"/>
        </w:rPr>
        <w:t xml:space="preserve"> </w:t>
      </w:r>
      <w:r w:rsidRPr="00E6060C">
        <w:rPr>
          <w:rFonts w:ascii="Calibri" w:eastAsia="Calibri" w:hAnsi="Calibri" w:cs="Times New Roman"/>
        </w:rPr>
        <w:t xml:space="preserve">the root mean square error of approximation (RMSEA), and the standardised average residual (SRMR). A comparative fit statistic presented is the Comparative Fit Index (CFI). These will now be discussed in more depth. </w:t>
      </w:r>
    </w:p>
    <w:p w14:paraId="39A3E67D" w14:textId="77777777" w:rsidR="00E6060C" w:rsidRPr="00E6060C" w:rsidRDefault="00E6060C" w:rsidP="00E6060C">
      <w:pPr>
        <w:spacing w:after="200" w:line="360" w:lineRule="auto"/>
        <w:contextualSpacing/>
        <w:rPr>
          <w:rFonts w:ascii="Calibri" w:eastAsia="Calibri" w:hAnsi="Calibri" w:cs="Times New Roman"/>
        </w:rPr>
      </w:pPr>
    </w:p>
    <w:p w14:paraId="5FCE0953" w14:textId="757B147C"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global goodness of fit test, the Chi-squared (Chi</w:t>
      </w:r>
      <w:r w:rsidRPr="00E6060C">
        <w:rPr>
          <w:rFonts w:ascii="Calibri" w:eastAsia="Calibri" w:hAnsi="Calibri" w:cs="Times New Roman"/>
          <w:vertAlign w:val="superscript"/>
        </w:rPr>
        <w:t>2</w:t>
      </w:r>
      <w:r w:rsidRPr="00E6060C">
        <w:rPr>
          <w:rFonts w:ascii="Calibri" w:eastAsia="Calibri" w:hAnsi="Calibri" w:cs="Times New Roman"/>
        </w:rPr>
        <w:t xml:space="preserve">) test, assesses the difference between the observed and expected covariance matrices, with values closer to zero indicating a better fit (Byrne, 2010). An associated </w:t>
      </w:r>
      <w:r w:rsidRPr="00E6060C">
        <w:rPr>
          <w:rFonts w:ascii="Calibri" w:eastAsia="Calibri" w:hAnsi="Calibri" w:cs="Times New Roman"/>
          <w:i/>
        </w:rPr>
        <w:t>p</w:t>
      </w:r>
      <w:r w:rsidRPr="00E6060C">
        <w:rPr>
          <w:rFonts w:ascii="Calibri" w:eastAsia="Calibri" w:hAnsi="Calibri" w:cs="Times New Roman"/>
        </w:rPr>
        <w:t xml:space="preserve">-value which is significant (&lt;.05) indicates a poor fit. However, the test is sensitive to sample size (Hair et al., 2010). This could lead to type I errors (failure to reject an inappropriate model) in small samples (N≤250, Hair </w:t>
      </w:r>
      <w:r w:rsidR="00395453">
        <w:rPr>
          <w:rFonts w:ascii="Calibri" w:eastAsia="Calibri" w:hAnsi="Calibri" w:cs="Times New Roman"/>
        </w:rPr>
        <w:t>et al.</w:t>
      </w:r>
      <w:r w:rsidRPr="00E6060C">
        <w:rPr>
          <w:rFonts w:ascii="Calibri" w:eastAsia="Calibri" w:hAnsi="Calibri" w:cs="Times New Roman"/>
        </w:rPr>
        <w:t xml:space="preserve">, 2010) and type II errors (erroneously rejecting an appropriate model) in large samples (N≥250, Hair </w:t>
      </w:r>
      <w:r w:rsidR="00395453">
        <w:rPr>
          <w:rFonts w:ascii="Calibri" w:eastAsia="Calibri" w:hAnsi="Calibri" w:cs="Times New Roman"/>
        </w:rPr>
        <w:t>et al.</w:t>
      </w:r>
      <w:r w:rsidRPr="00E6060C">
        <w:rPr>
          <w:rFonts w:ascii="Calibri" w:eastAsia="Calibri" w:hAnsi="Calibri" w:cs="Times New Roman"/>
        </w:rPr>
        <w:t xml:space="preserve">, 2010). The picture is complicated by model complexity. For example, a model with 12 or fewer observed variables which is tested on a small sample, such as in the confirmatory factor analyses conducted here, is likely to return a non-significant </w:t>
      </w:r>
      <w:r w:rsidRPr="00E6060C">
        <w:rPr>
          <w:rFonts w:ascii="Calibri" w:eastAsia="Calibri" w:hAnsi="Calibri" w:cs="Times New Roman"/>
          <w:i/>
        </w:rPr>
        <w:t>p</w:t>
      </w:r>
      <w:r w:rsidRPr="00E6060C">
        <w:rPr>
          <w:rFonts w:ascii="Calibri" w:eastAsia="Calibri" w:hAnsi="Calibri" w:cs="Times New Roman"/>
        </w:rPr>
        <w:t xml:space="preserve">-value, whereas a model with 30 or more observed variables which is tested on a large sample is likely to return a significant </w:t>
      </w:r>
      <w:r w:rsidRPr="00E6060C">
        <w:rPr>
          <w:rFonts w:ascii="Calibri" w:eastAsia="Calibri" w:hAnsi="Calibri" w:cs="Times New Roman"/>
          <w:i/>
        </w:rPr>
        <w:t>p-</w:t>
      </w:r>
      <w:r w:rsidRPr="00E6060C">
        <w:rPr>
          <w:rFonts w:ascii="Calibri" w:eastAsia="Calibri" w:hAnsi="Calibri" w:cs="Times New Roman"/>
        </w:rPr>
        <w:t xml:space="preserve">value (Hair </w:t>
      </w:r>
      <w:r w:rsidR="00395453">
        <w:rPr>
          <w:rFonts w:ascii="Calibri" w:eastAsia="Calibri" w:hAnsi="Calibri" w:cs="Times New Roman"/>
        </w:rPr>
        <w:t>et al.</w:t>
      </w:r>
      <w:r w:rsidRPr="00E6060C">
        <w:rPr>
          <w:rFonts w:ascii="Calibri" w:eastAsia="Calibri" w:hAnsi="Calibri" w:cs="Times New Roman"/>
        </w:rPr>
        <w:t>, 2010). This demonstrates how important it is to consider several fit indices together. The relative Chi</w:t>
      </w:r>
      <w:r w:rsidRPr="00E6060C">
        <w:rPr>
          <w:rFonts w:ascii="Calibri" w:eastAsia="Calibri" w:hAnsi="Calibri" w:cs="Times New Roman"/>
          <w:vertAlign w:val="superscript"/>
        </w:rPr>
        <w:t>2</w:t>
      </w:r>
      <w:r w:rsidRPr="00E6060C">
        <w:rPr>
          <w:rFonts w:ascii="Calibri" w:eastAsia="Calibri" w:hAnsi="Calibri" w:cs="Times New Roman"/>
        </w:rPr>
        <w:t xml:space="preserve"> is the Chi</w:t>
      </w:r>
      <w:r w:rsidRPr="00E6060C">
        <w:rPr>
          <w:rFonts w:ascii="Calibri" w:eastAsia="Calibri" w:hAnsi="Calibri" w:cs="Times New Roman"/>
          <w:vertAlign w:val="superscript"/>
        </w:rPr>
        <w:t>2</w:t>
      </w:r>
      <w:r w:rsidRPr="00E6060C">
        <w:rPr>
          <w:rFonts w:ascii="Calibri" w:eastAsia="Calibri" w:hAnsi="Calibri" w:cs="Times New Roman"/>
        </w:rPr>
        <w:t xml:space="preserve"> value (sometimes referred to as CMIN) divided by the number of degrees of freedom and is designed to be less dependent on sample size. The value produced is a ratio between the Chi</w:t>
      </w:r>
      <w:r w:rsidRPr="00E6060C">
        <w:rPr>
          <w:rFonts w:ascii="Calibri" w:eastAsia="Calibri" w:hAnsi="Calibri" w:cs="Times New Roman"/>
          <w:vertAlign w:val="superscript"/>
        </w:rPr>
        <w:t>2</w:t>
      </w:r>
      <w:r w:rsidRPr="00E6060C">
        <w:rPr>
          <w:rFonts w:ascii="Calibri" w:eastAsia="Calibri" w:hAnsi="Calibri" w:cs="Times New Roman"/>
        </w:rPr>
        <w:t xml:space="preserve"> statistic and the number of degrees of freedom, and values greater than two indicate an inadequate fit (Byrne, 2010). </w:t>
      </w:r>
      <w:r w:rsidRPr="00E6060C">
        <w:rPr>
          <w:rFonts w:ascii="Calibri" w:eastAsia="Calibri" w:hAnsi="Calibri" w:cs="Times New Roman"/>
        </w:rPr>
        <w:lastRenderedPageBreak/>
        <w:t>The RMSEA attempts to overcome both the issue of sample size and model complexity whilst also evaluating the discrepancy between the observed and expected covariance matrices. It ranges between 0 and 1 with values ≤.06 suggested to indicate good fit, and values ≥.08 suggested to indicate worse fit (Hu and Bentler, 1999). The SRMR is the square root of the discrepancy between the observed and expected covariance matrices, and assesses the size of the standardised residuals. Values range between 0 and 1, with lower values (≤.05) indicating a better fit (Byrne, 2010). The comparative fit index (CFI) also adjusts for the problems with sample size that the Chi</w:t>
      </w:r>
      <w:r w:rsidRPr="00E6060C">
        <w:rPr>
          <w:rFonts w:ascii="Calibri" w:eastAsia="Calibri" w:hAnsi="Calibri" w:cs="Times New Roman"/>
          <w:vertAlign w:val="superscript"/>
        </w:rPr>
        <w:t>2</w:t>
      </w:r>
      <w:r w:rsidRPr="00E6060C">
        <w:rPr>
          <w:rFonts w:ascii="Calibri" w:eastAsia="Calibri" w:hAnsi="Calibri" w:cs="Times New Roman"/>
        </w:rPr>
        <w:t xml:space="preserve"> test is sensitive to (Byrne, 2010). Values again range between 0 and 1, with higher values, ideally ≥.95, indicating a better fit.  </w:t>
      </w:r>
    </w:p>
    <w:p w14:paraId="7E488CAA" w14:textId="77777777" w:rsidR="00E6060C" w:rsidRPr="00E6060C" w:rsidRDefault="00E6060C" w:rsidP="00E6060C">
      <w:pPr>
        <w:spacing w:after="200" w:line="360" w:lineRule="auto"/>
        <w:contextualSpacing/>
        <w:rPr>
          <w:rFonts w:ascii="Calibri" w:eastAsia="Calibri" w:hAnsi="Calibri" w:cs="Times New Roman"/>
        </w:rPr>
      </w:pPr>
    </w:p>
    <w:p w14:paraId="40495BF4" w14:textId="77777777" w:rsidR="00E6060C" w:rsidRPr="00E6060C" w:rsidRDefault="00E6060C" w:rsidP="00E6060C">
      <w:pPr>
        <w:spacing w:after="200" w:line="276" w:lineRule="auto"/>
        <w:rPr>
          <w:rFonts w:ascii="Calibri" w:eastAsia="Calibri" w:hAnsi="Calibri" w:cs="Times New Roman"/>
          <w:i/>
        </w:rPr>
      </w:pPr>
      <w:r w:rsidRPr="00E6060C">
        <w:rPr>
          <w:rFonts w:ascii="Calibri" w:eastAsia="Calibri" w:hAnsi="Calibri" w:cs="Times New Roman"/>
          <w:i/>
        </w:rPr>
        <w:t>Assessing the reliability and validity of the measures at Time 1</w:t>
      </w:r>
    </w:p>
    <w:p w14:paraId="595985C4" w14:textId="77777777" w:rsidR="00E6060C" w:rsidRPr="00E6060C" w:rsidRDefault="00E6060C" w:rsidP="00E6060C">
      <w:pPr>
        <w:spacing w:after="200" w:line="360" w:lineRule="auto"/>
        <w:contextualSpacing/>
        <w:rPr>
          <w:rFonts w:ascii="Calibri" w:eastAsia="Calibri" w:hAnsi="Calibri" w:cs="Times New Roman"/>
        </w:rPr>
      </w:pPr>
    </w:p>
    <w:p w14:paraId="5A6DA025" w14:textId="00BF7683"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reliability of the scales at Time 1 was assessed by computing Cronbach’s </w:t>
      </w:r>
      <w:r w:rsidRPr="00E6060C">
        <w:rPr>
          <w:rFonts w:ascii="Calibri" w:eastAsia="Calibri" w:hAnsi="Calibri" w:cs="Times New Roman"/>
          <w:i/>
        </w:rPr>
        <w:t>α</w:t>
      </w:r>
      <w:r w:rsidRPr="00E6060C">
        <w:rPr>
          <w:rFonts w:ascii="Calibri" w:eastAsia="Calibri" w:hAnsi="Calibri" w:cs="Times New Roman"/>
        </w:rPr>
        <w:t xml:space="preserve"> </w:t>
      </w:r>
      <w:r w:rsidR="004F3F59">
        <w:rPr>
          <w:rFonts w:ascii="Calibri" w:eastAsia="Calibri" w:hAnsi="Calibri" w:cs="Times New Roman"/>
        </w:rPr>
        <w:t>in</w:t>
      </w:r>
      <w:r w:rsidRPr="00E6060C">
        <w:rPr>
          <w:rFonts w:ascii="Calibri" w:eastAsia="Calibri" w:hAnsi="Calibri" w:cs="Times New Roman"/>
        </w:rPr>
        <w:t xml:space="preserve"> SPSS (version 22), and assessing whether removing an item would reduce the reliability of the scale by computing the predicted Cronbach’s alpha if an item is deleted. In addition, the face validity of each scale was assessed with and without the items highlighted for removal, and it was considered whether removing an item would overly reduce the breadth of the scale. Following these considerations, CFA using the statistical package, AMOS (version 22), was conducted for the scales involved, both before and after the certain ‘problem’ items were removed. </w:t>
      </w:r>
      <w:r w:rsidRPr="00E6060C">
        <w:rPr>
          <w:rFonts w:ascii="Calibri" w:eastAsia="Calibri" w:hAnsi="Calibri" w:cs="Times New Roman"/>
          <w:color w:val="000000"/>
        </w:rPr>
        <w:t>T</w:t>
      </w:r>
      <w:r w:rsidRPr="00E6060C">
        <w:rPr>
          <w:rFonts w:ascii="Calibri" w:eastAsia="Calibri" w:hAnsi="Calibri" w:cs="Times New Roman"/>
        </w:rPr>
        <w:t xml:space="preserve">o enable the standardised root mean square residual (SRMR) to be produced, which AMOS will not produce if missing data is present, casewise deletion of missing data was necessary for each analysis. However, given the potential bias caused by deleting missing data casewise, and the potential decrease in statistical power resulting from a reduced sample size, a sensitivity analysis was conducted. This involved conducting each CFA with and without the missing data present to see whether the results for the other fit statistics differed between the analyses. The results revealed little difference, hence the fit statistics from the complete dataset at Time 1 (N=179) are reported in the text which follows, along with the SRMR results from the analyses conducted following casewise deletion of missing data. </w:t>
      </w:r>
    </w:p>
    <w:p w14:paraId="3AA59384" w14:textId="77777777" w:rsidR="00E6060C" w:rsidRPr="00E6060C" w:rsidRDefault="00E6060C" w:rsidP="00E6060C">
      <w:pPr>
        <w:spacing w:after="200" w:line="360" w:lineRule="auto"/>
        <w:contextualSpacing/>
        <w:rPr>
          <w:rFonts w:ascii="Calibri" w:eastAsia="Calibri" w:hAnsi="Calibri" w:cs="Times New Roman"/>
        </w:rPr>
      </w:pPr>
    </w:p>
    <w:p w14:paraId="7D191441" w14:textId="4D1306FB"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Following the above procedure, one item from the scale measuring social support was removed (item 4.4) and one item from the scale measuring influence in decision-making was removed (item 6.4). Respondents considered item 4.4 to be very similar to items 4.2 and 4.3, and item 6.3 to be very similar to item 6.4. Cronbach’s alpha revealed that each o</w:t>
      </w:r>
      <w:r w:rsidR="000100D3">
        <w:rPr>
          <w:rFonts w:ascii="Calibri" w:eastAsia="Calibri" w:hAnsi="Calibri" w:cs="Times New Roman"/>
        </w:rPr>
        <w:t>f the original 4 item scales were</w:t>
      </w:r>
      <w:r w:rsidRPr="00E6060C">
        <w:rPr>
          <w:rFonts w:ascii="Calibri" w:eastAsia="Calibri" w:hAnsi="Calibri" w:cs="Times New Roman"/>
        </w:rPr>
        <w:t xml:space="preserve"> highly reliable (N=179, α=.92, social support scale; N=179, α=.89, influence in decision-making scale)</w:t>
      </w:r>
      <w:r w:rsidR="000100D3">
        <w:rPr>
          <w:rFonts w:ascii="Calibri" w:eastAsia="Calibri" w:hAnsi="Calibri" w:cs="Times New Roman"/>
        </w:rPr>
        <w:t>,</w:t>
      </w:r>
      <w:r w:rsidRPr="00E6060C">
        <w:rPr>
          <w:rFonts w:ascii="Calibri" w:eastAsia="Calibri" w:hAnsi="Calibri" w:cs="Times New Roman"/>
        </w:rPr>
        <w:t xml:space="preserve"> and </w:t>
      </w:r>
      <w:r w:rsidRPr="00E6060C">
        <w:rPr>
          <w:rFonts w:ascii="Calibri" w:eastAsia="Calibri" w:hAnsi="Calibri" w:cs="Times New Roman"/>
        </w:rPr>
        <w:lastRenderedPageBreak/>
        <w:t>CFA by entering these two scales together</w:t>
      </w:r>
      <w:r w:rsidRPr="00E6060C">
        <w:rPr>
          <w:rFonts w:ascii="Calibri" w:eastAsia="Calibri" w:hAnsi="Calibri" w:cs="Times New Roman"/>
          <w:vertAlign w:val="superscript"/>
        </w:rPr>
        <w:footnoteReference w:id="5"/>
      </w:r>
      <w:r w:rsidRPr="00E6060C">
        <w:rPr>
          <w:rFonts w:ascii="Calibri" w:eastAsia="Calibri" w:hAnsi="Calibri" w:cs="Times New Roman"/>
        </w:rPr>
        <w:t xml:space="preserve"> in AMOS, revealed a very good fit (N=179), </w:t>
      </w:r>
      <w:r w:rsidRPr="00E6060C">
        <w:rPr>
          <w:rFonts w:ascii="Calibri" w:eastAsia="Calibri" w:hAnsi="Calibri" w:cs="Times New Roman"/>
          <w:i/>
        </w:rPr>
        <w:t>Chi</w:t>
      </w:r>
      <w:r w:rsidRPr="00E6060C">
        <w:rPr>
          <w:rFonts w:ascii="Calibri" w:eastAsia="Calibri" w:hAnsi="Calibri" w:cs="Times New Roman"/>
          <w:i/>
          <w:vertAlign w:val="superscript"/>
        </w:rPr>
        <w:t>2</w:t>
      </w:r>
      <w:r w:rsidRPr="00E6060C">
        <w:rPr>
          <w:rFonts w:ascii="Calibri" w:eastAsia="Calibri" w:hAnsi="Calibri" w:cs="Times New Roman"/>
        </w:rPr>
        <w:t xml:space="preserve">(19)=45.61, </w:t>
      </w:r>
      <w:r w:rsidRPr="00E6060C">
        <w:rPr>
          <w:rFonts w:ascii="Calibri" w:eastAsia="Calibri" w:hAnsi="Calibri" w:cs="Times New Roman"/>
          <w:i/>
        </w:rPr>
        <w:t>p</w:t>
      </w:r>
      <w:r w:rsidRPr="00E6060C">
        <w:rPr>
          <w:rFonts w:ascii="Calibri" w:eastAsia="Calibri" w:hAnsi="Calibri" w:cs="Times New Roman"/>
        </w:rPr>
        <w:t>=.001, CMIN/</w:t>
      </w:r>
      <w:r w:rsidRPr="00E6060C">
        <w:rPr>
          <w:rFonts w:ascii="Calibri" w:eastAsia="Calibri" w:hAnsi="Calibri" w:cs="Times New Roman"/>
          <w:i/>
        </w:rPr>
        <w:t>df</w:t>
      </w:r>
      <w:r w:rsidRPr="00E6060C">
        <w:rPr>
          <w:rFonts w:ascii="Calibri" w:eastAsia="Calibri" w:hAnsi="Calibri" w:cs="Times New Roman"/>
        </w:rPr>
        <w:t xml:space="preserve">=2.40, CFI=.97, RMSEA=.09, SRMR (N=174)=.039. The ‘Cronbach’s alpha if item deleted’ statistic did not suggest much decrease in the reliability of the scales by removing any of the items from either of them, hence the decision to remove items 4.4 and 6.4 was based on face validity. CFA was then conducted step by step, first with item 4.4 removed, and then with item 6.4 removed, in order to track the reliability and validity of the model following each change. The final fit of the model was excellent, </w:t>
      </w:r>
      <w:r w:rsidRPr="00E6060C">
        <w:rPr>
          <w:rFonts w:ascii="Calibri" w:eastAsia="Calibri" w:hAnsi="Calibri" w:cs="Times New Roman"/>
          <w:i/>
        </w:rPr>
        <w:t>Chi</w:t>
      </w:r>
      <w:r w:rsidRPr="00E6060C">
        <w:rPr>
          <w:rFonts w:ascii="Calibri" w:eastAsia="Calibri" w:hAnsi="Calibri" w:cs="Times New Roman"/>
          <w:i/>
          <w:vertAlign w:val="superscript"/>
        </w:rPr>
        <w:t>2</w:t>
      </w:r>
      <w:r w:rsidRPr="00E6060C">
        <w:rPr>
          <w:rFonts w:ascii="Calibri" w:eastAsia="Calibri" w:hAnsi="Calibri" w:cs="Times New Roman"/>
        </w:rPr>
        <w:t xml:space="preserve">(8)=9.047, </w:t>
      </w:r>
      <w:r w:rsidRPr="00E6060C">
        <w:rPr>
          <w:rFonts w:ascii="Calibri" w:eastAsia="Calibri" w:hAnsi="Calibri" w:cs="Times New Roman"/>
          <w:i/>
        </w:rPr>
        <w:t>p</w:t>
      </w:r>
      <w:r w:rsidRPr="00E6060C">
        <w:rPr>
          <w:rFonts w:ascii="Calibri" w:eastAsia="Calibri" w:hAnsi="Calibri" w:cs="Times New Roman"/>
        </w:rPr>
        <w:t>=.338, CMIN/</w:t>
      </w:r>
      <w:r w:rsidRPr="00E6060C">
        <w:rPr>
          <w:rFonts w:ascii="Calibri" w:eastAsia="Calibri" w:hAnsi="Calibri" w:cs="Times New Roman"/>
          <w:i/>
        </w:rPr>
        <w:t>df</w:t>
      </w:r>
      <w:r w:rsidRPr="00E6060C">
        <w:rPr>
          <w:rFonts w:ascii="Calibri" w:eastAsia="Calibri" w:hAnsi="Calibri" w:cs="Times New Roman"/>
        </w:rPr>
        <w:t xml:space="preserve">=1.13, CFI=1.00, RMSEA=.03, SRMR (N=174)=.035.   </w:t>
      </w:r>
    </w:p>
    <w:p w14:paraId="462AF1A2" w14:textId="77777777" w:rsidR="00E6060C" w:rsidRPr="00E6060C" w:rsidRDefault="00E6060C" w:rsidP="00E6060C">
      <w:pPr>
        <w:spacing w:after="200" w:line="360" w:lineRule="auto"/>
        <w:contextualSpacing/>
        <w:rPr>
          <w:rFonts w:ascii="Calibri" w:eastAsia="Calibri" w:hAnsi="Calibri" w:cs="Times New Roman"/>
        </w:rPr>
      </w:pPr>
    </w:p>
    <w:p w14:paraId="78849C9B"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work-related basic needs scale was not altered as it has already been abbreviated from an 18-item to a 9-item scale based on unpublished data and personal email recommendations from the author who published the full 18-item scale (Van den Broeck et. al, 2010). Since this 9-item scale has not yet been widely tested for reliability and validity, abbreviating it further would have risked compromising the robustness of the scale and made it more difficult to compare the results to other studies using the full 18-item scale. The work engagement scale was also not altered due to its establishment in the literature as a 9-item abbreviated scale with high reliability and validity (Schaufeli &amp; Bakker, 2006), and, again, to enable comparison with results from other studies.  </w:t>
      </w:r>
    </w:p>
    <w:p w14:paraId="1278CE76" w14:textId="77777777" w:rsidR="00E6060C" w:rsidRPr="00E6060C" w:rsidRDefault="00E6060C" w:rsidP="00E6060C">
      <w:pPr>
        <w:spacing w:after="200" w:line="276" w:lineRule="auto"/>
        <w:rPr>
          <w:rFonts w:ascii="Calibri" w:eastAsia="Calibri" w:hAnsi="Calibri" w:cs="Times New Roman"/>
          <w:i/>
        </w:rPr>
      </w:pPr>
    </w:p>
    <w:p w14:paraId="3F954AED" w14:textId="77777777" w:rsidR="00E6060C" w:rsidRPr="00E6060C" w:rsidRDefault="00E6060C" w:rsidP="00E6060C">
      <w:pPr>
        <w:spacing w:after="200" w:line="276" w:lineRule="auto"/>
        <w:rPr>
          <w:rFonts w:ascii="Calibri" w:eastAsia="Calibri" w:hAnsi="Calibri" w:cs="Times New Roman"/>
          <w:i/>
        </w:rPr>
      </w:pPr>
      <w:r w:rsidRPr="00E6060C">
        <w:rPr>
          <w:rFonts w:ascii="Calibri" w:eastAsia="Calibri" w:hAnsi="Calibri" w:cs="Times New Roman"/>
          <w:i/>
        </w:rPr>
        <w:t>Assessing the reliability and validity of the measures at Time 2</w:t>
      </w:r>
    </w:p>
    <w:p w14:paraId="5D683991" w14:textId="77777777" w:rsidR="00E6060C" w:rsidRPr="00E6060C" w:rsidRDefault="00E6060C" w:rsidP="00E6060C">
      <w:pPr>
        <w:spacing w:after="200" w:line="276" w:lineRule="auto"/>
        <w:rPr>
          <w:rFonts w:ascii="Calibri" w:eastAsia="Calibri" w:hAnsi="Calibri" w:cs="Times New Roman"/>
          <w:i/>
        </w:rPr>
      </w:pPr>
    </w:p>
    <w:p w14:paraId="027556DB" w14:textId="329F5AEA"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Following Time 2, the reliability and validity of all of the scales were again assessed via Cronbach’s alpha in SPSS (version 22) and CFA in AMOS (version 22). The evaluation questions were not </w:t>
      </w:r>
      <w:r w:rsidRPr="00E6060C">
        <w:rPr>
          <w:rFonts w:ascii="Calibri" w:eastAsia="Calibri" w:hAnsi="Calibri" w:cs="Times New Roman"/>
        </w:rPr>
        <w:t xml:space="preserve">subject to this assessment as they were not designed to measure a construct in the way that the scales measuring the research variables are, rather, each question was a ‘stand-alone’ question. </w:t>
      </w:r>
      <w:r w:rsidRPr="00E6060C">
        <w:rPr>
          <w:rFonts w:ascii="Calibri" w:eastAsia="Calibri" w:hAnsi="Calibri" w:cs="Times New Roman"/>
          <w:color w:val="000000"/>
        </w:rPr>
        <w:t>Discriminant analyses were also conducted to assess whether the three subcomponents of the work-related basic needs and work engagement scales, and two subcomponents of the resources and demands scale, were sufficiently unrelated to be considered separate scales, or whether they were sufficiently related to be considered composite scales. This was considered necessary, in part, due to the strength of bivariate correlations between the subcomponents of each scale, which suggested multicollinearity (</w:t>
      </w:r>
      <w:r w:rsidR="0070559B">
        <w:rPr>
          <w:rFonts w:ascii="Calibri" w:eastAsia="Calibri" w:hAnsi="Calibri" w:cs="Times New Roman"/>
          <w:color w:val="000000"/>
        </w:rPr>
        <w:fldChar w:fldCharType="begin"/>
      </w:r>
      <w:r w:rsidR="0070559B">
        <w:rPr>
          <w:rFonts w:ascii="Calibri" w:eastAsia="Calibri" w:hAnsi="Calibri" w:cs="Times New Roman"/>
          <w:color w:val="000000"/>
        </w:rPr>
        <w:instrText xml:space="preserve"> REF _Ref453582823 \h </w:instrText>
      </w:r>
      <w:r w:rsidR="0070559B">
        <w:rPr>
          <w:rFonts w:ascii="Calibri" w:eastAsia="Calibri" w:hAnsi="Calibri" w:cs="Times New Roman"/>
          <w:color w:val="000000"/>
        </w:rPr>
      </w:r>
      <w:r w:rsidR="0070559B">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3</w:t>
      </w:r>
      <w:r w:rsidR="0070559B">
        <w:rPr>
          <w:rFonts w:ascii="Calibri" w:eastAsia="Calibri" w:hAnsi="Calibri" w:cs="Times New Roman"/>
          <w:color w:val="000000"/>
        </w:rPr>
        <w:fldChar w:fldCharType="end"/>
      </w:r>
      <w:r w:rsidRPr="00E6060C">
        <w:rPr>
          <w:rFonts w:ascii="Calibri" w:eastAsia="Calibri" w:hAnsi="Calibri" w:cs="Times New Roman"/>
          <w:color w:val="000000"/>
        </w:rPr>
        <w:t xml:space="preserve">). The largest correlation relating to the three needs was between autonomy and relatedness, </w:t>
      </w:r>
      <w:r w:rsidRPr="00E6060C">
        <w:rPr>
          <w:rFonts w:ascii="Calibri" w:eastAsia="Calibri" w:hAnsi="Calibri" w:cs="Times New Roman"/>
          <w:i/>
          <w:color w:val="000000"/>
        </w:rPr>
        <w:t>r</w:t>
      </w:r>
      <w:r w:rsidRPr="00E6060C">
        <w:rPr>
          <w:rFonts w:ascii="Calibri" w:eastAsia="Calibri" w:hAnsi="Calibri" w:cs="Times New Roman"/>
          <w:color w:val="000000"/>
        </w:rPr>
        <w:t xml:space="preserve">=.58, and the smallest was between competence and relatedness, </w:t>
      </w:r>
      <w:r w:rsidRPr="00E6060C">
        <w:rPr>
          <w:rFonts w:ascii="Calibri" w:eastAsia="Calibri" w:hAnsi="Calibri" w:cs="Times New Roman"/>
          <w:i/>
          <w:color w:val="000000"/>
        </w:rPr>
        <w:lastRenderedPageBreak/>
        <w:t>r</w:t>
      </w:r>
      <w:r w:rsidRPr="00E6060C">
        <w:rPr>
          <w:rFonts w:ascii="Calibri" w:eastAsia="Calibri" w:hAnsi="Calibri" w:cs="Times New Roman"/>
          <w:color w:val="000000"/>
        </w:rPr>
        <w:t xml:space="preserve">=.38. These are very similar to those observed by Van den Broeck </w:t>
      </w:r>
      <w:r w:rsidR="00395453">
        <w:rPr>
          <w:rFonts w:ascii="Calibri" w:eastAsia="Calibri" w:hAnsi="Calibri" w:cs="Times New Roman"/>
          <w:color w:val="000000"/>
        </w:rPr>
        <w:t>et al.</w:t>
      </w:r>
      <w:r w:rsidRPr="00E6060C">
        <w:rPr>
          <w:rFonts w:ascii="Calibri" w:eastAsia="Calibri" w:hAnsi="Calibri" w:cs="Times New Roman"/>
          <w:color w:val="000000"/>
        </w:rPr>
        <w:t xml:space="preserve"> (2010). Bivariate correlations between the three subcomponents of work engagement revealed that the largest correlation was between vigour and dedication, </w:t>
      </w:r>
      <w:r w:rsidRPr="00E6060C">
        <w:rPr>
          <w:rFonts w:ascii="Calibri" w:eastAsia="Calibri" w:hAnsi="Calibri" w:cs="Times New Roman"/>
          <w:i/>
          <w:color w:val="000000"/>
        </w:rPr>
        <w:t>r</w:t>
      </w:r>
      <w:r w:rsidRPr="00E6060C">
        <w:rPr>
          <w:rFonts w:ascii="Calibri" w:eastAsia="Calibri" w:hAnsi="Calibri" w:cs="Times New Roman"/>
          <w:color w:val="000000"/>
        </w:rPr>
        <w:t xml:space="preserve">=.76, and the smallest correlation was between vigour and absorption, </w:t>
      </w:r>
      <w:r w:rsidRPr="00E6060C">
        <w:rPr>
          <w:rFonts w:ascii="Calibri" w:eastAsia="Calibri" w:hAnsi="Calibri" w:cs="Times New Roman"/>
          <w:i/>
          <w:color w:val="000000"/>
        </w:rPr>
        <w:t>r</w:t>
      </w:r>
      <w:r w:rsidRPr="00E6060C">
        <w:rPr>
          <w:rFonts w:ascii="Calibri" w:eastAsia="Calibri" w:hAnsi="Calibri" w:cs="Times New Roman"/>
          <w:color w:val="000000"/>
        </w:rPr>
        <w:t xml:space="preserve">=.70. The bivariate correlation between resources and demands was, </w:t>
      </w:r>
      <w:r w:rsidRPr="00E6060C">
        <w:rPr>
          <w:rFonts w:ascii="Calibri" w:eastAsia="Calibri" w:hAnsi="Calibri" w:cs="Times New Roman"/>
          <w:i/>
          <w:color w:val="000000"/>
        </w:rPr>
        <w:t>r</w:t>
      </w:r>
      <w:r w:rsidRPr="00E6060C">
        <w:rPr>
          <w:rFonts w:ascii="Calibri" w:eastAsia="Calibri" w:hAnsi="Calibri" w:cs="Times New Roman"/>
          <w:color w:val="000000"/>
        </w:rPr>
        <w:t xml:space="preserve">=.48. The strength of these correlations, particularly in relation to the three subcomponents of work engagement, suggested that the variables pertaining to each scale are substantially related to each other and that it may not be possible to conceptually discriminate between them. Therefore, discriminant analyses were warranted, however, both theory and empirical evidence were considered in this evaluation, in order to optimise reliability and validity. </w:t>
      </w:r>
    </w:p>
    <w:p w14:paraId="6A91C79A" w14:textId="77777777" w:rsidR="00E6060C" w:rsidRPr="00E6060C" w:rsidRDefault="00E6060C" w:rsidP="00E6060C">
      <w:pPr>
        <w:spacing w:after="200" w:line="360" w:lineRule="auto"/>
        <w:contextualSpacing/>
        <w:rPr>
          <w:rFonts w:ascii="Calibri" w:eastAsia="Calibri" w:hAnsi="Calibri" w:cs="Times New Roman"/>
          <w:color w:val="000000"/>
        </w:rPr>
      </w:pPr>
    </w:p>
    <w:p w14:paraId="75A35A0D" w14:textId="1FD1C18E"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In terms of the work-related basic needs scale, Van den Broeck </w:t>
      </w:r>
      <w:r w:rsidR="00395453">
        <w:rPr>
          <w:rFonts w:ascii="Calibri" w:eastAsia="Calibri" w:hAnsi="Calibri" w:cs="Times New Roman"/>
          <w:color w:val="000000"/>
        </w:rPr>
        <w:t>et al.</w:t>
      </w:r>
      <w:r w:rsidRPr="00E6060C">
        <w:rPr>
          <w:rFonts w:ascii="Calibri" w:eastAsia="Calibri" w:hAnsi="Calibri" w:cs="Times New Roman"/>
          <w:color w:val="000000"/>
        </w:rPr>
        <w:t xml:space="preserve"> (2010) provide both theoretical and empirical evidence for the three factor structure of the 18-item scale and the discriminant validity between the subcomponents. This suggests that autonomy, competence and relatedness should be considered as separate scales (Van den Broeck</w:t>
      </w:r>
      <w:r w:rsidR="00AF46EE">
        <w:rPr>
          <w:rFonts w:ascii="Calibri" w:eastAsia="Calibri" w:hAnsi="Calibri" w:cs="Times New Roman"/>
          <w:color w:val="000000"/>
        </w:rPr>
        <w:t xml:space="preserve"> et al.</w:t>
      </w:r>
      <w:r w:rsidRPr="00E6060C">
        <w:rPr>
          <w:rFonts w:ascii="Calibri" w:eastAsia="Calibri" w:hAnsi="Calibri" w:cs="Times New Roman"/>
          <w:color w:val="000000"/>
        </w:rPr>
        <w:t>, 2010). Discriminant analyses were utilised to determine whether this could be considered appropriate for the current sample, using the 9-item abbreviated scale, which has not previously been validated in published literature. Evidence for the treatment of the short version of the work engagement scale as a composite measure is less conclusive; Schaufeli et al. (2006) found that although the fit of a three-factor model was significantly better than the fit of a one-factor model across 10 cross-national samples, correlations between the three factors were very high (&gt;.90). These authors concluded that researchers might want to consider computing a composite scale for practical reasons, such as to avoid multicollinearity when conducting regression analyses. Given this recommendation, and the strength of the correlations between vigour, dedication and absorption noted above, discriminant analysis was considered pertinent. The resources and demands scale has previously been validated as two separate scales (Patterson et. al, 2011), however, poor CFA results for the separate scales based on the current sample (discussed in the later in this section) suggested that they should be considered as composite scales, therefore their discriminant validity was investigated to help confirm the most appropriate structure. It was not necessary to conduct discriminant analyses on the colleague support and influence in decision-making scales as they do not consist of sub</w:t>
      </w:r>
      <w:r w:rsidR="005707E0">
        <w:rPr>
          <w:rFonts w:ascii="Calibri" w:eastAsia="Calibri" w:hAnsi="Calibri" w:cs="Times New Roman"/>
          <w:color w:val="000000"/>
        </w:rPr>
        <w:t>-</w:t>
      </w:r>
      <w:r w:rsidRPr="00E6060C">
        <w:rPr>
          <w:rFonts w:ascii="Calibri" w:eastAsia="Calibri" w:hAnsi="Calibri" w:cs="Times New Roman"/>
          <w:color w:val="000000"/>
        </w:rPr>
        <w:t xml:space="preserve">components. It was also not necessary to apply discriminant analyses to the four factor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 scale given the excellent CFA results of this four-factor model which were in accordance with previous validation results (Warr et al., 2014)</w:t>
      </w:r>
      <w:r w:rsidR="00CA510C">
        <w:rPr>
          <w:rFonts w:ascii="Calibri" w:eastAsia="Calibri" w:hAnsi="Calibri" w:cs="Times New Roman"/>
          <w:color w:val="000000"/>
        </w:rPr>
        <w:t>,</w:t>
      </w:r>
      <w:r w:rsidRPr="00E6060C">
        <w:rPr>
          <w:rFonts w:ascii="Calibri" w:eastAsia="Calibri" w:hAnsi="Calibri" w:cs="Times New Roman"/>
          <w:color w:val="000000"/>
        </w:rPr>
        <w:t xml:space="preserve"> and were much better than those obtained for a one-factor model (see Table 7.4 and associated text).</w:t>
      </w:r>
    </w:p>
    <w:p w14:paraId="16C2A647" w14:textId="77777777" w:rsidR="00E6060C" w:rsidRPr="00E6060C" w:rsidRDefault="00E6060C" w:rsidP="00E6060C">
      <w:pPr>
        <w:spacing w:after="200" w:line="360" w:lineRule="auto"/>
        <w:contextualSpacing/>
        <w:rPr>
          <w:rFonts w:ascii="Calibri" w:eastAsia="Calibri" w:hAnsi="Calibri" w:cs="Times New Roman"/>
          <w:color w:val="000000"/>
        </w:rPr>
      </w:pPr>
    </w:p>
    <w:p w14:paraId="4C53C408" w14:textId="18784912"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rPr>
        <w:lastRenderedPageBreak/>
        <w:t>All of the analyses presented here were conducted on the unmatched sample comprising the complete Time 1 sample (N=179) in combination with those who responded at Time 2 but did not at Time 1 (N=38). This was considered appropriate as the number of respondents who completed the questionnaire at both time points was very low (N=45), and low sample sizes compromise the robustness of reliability and validity analyses. Combining the samples, however, as opposed to using either the complete Time 1 sample or the complete Time 2 sample, enabled the sample size to be maximised, theoretically increasing the statistical power of the analyses and the robustness of the results.</w:t>
      </w:r>
      <w:r w:rsidRPr="00E6060C">
        <w:rPr>
          <w:rFonts w:ascii="Calibri" w:eastAsia="Calibri" w:hAnsi="Calibri" w:cs="Times New Roman"/>
          <w:color w:val="000000"/>
        </w:rPr>
        <w:t xml:space="preserve"> First, reliability, validity and discriminant analyses for the work-related basic needs, work engagement, and resources and demands scales will be discussed, before discussing the results of reliability and validity analyses for the remaining scales, and ending the section with a summary of the results.</w:t>
      </w:r>
    </w:p>
    <w:p w14:paraId="44943C1A" w14:textId="77777777" w:rsidR="00E6060C" w:rsidRPr="00E6060C" w:rsidRDefault="00E6060C" w:rsidP="00E6060C">
      <w:pPr>
        <w:spacing w:after="200" w:line="360" w:lineRule="auto"/>
        <w:contextualSpacing/>
        <w:rPr>
          <w:rFonts w:ascii="Calibri" w:eastAsia="Calibri" w:hAnsi="Calibri" w:cs="Times New Roman"/>
          <w:color w:val="000000"/>
        </w:rPr>
      </w:pPr>
    </w:p>
    <w:p w14:paraId="05D27915" w14:textId="77777777" w:rsidR="00E6060C" w:rsidRPr="00E6060C" w:rsidRDefault="00E6060C" w:rsidP="00E6060C">
      <w:pPr>
        <w:spacing w:after="200" w:line="276" w:lineRule="auto"/>
        <w:rPr>
          <w:rFonts w:ascii="Calibri" w:eastAsia="Calibri" w:hAnsi="Calibri" w:cs="Times New Roman"/>
          <w:color w:val="000000"/>
        </w:rPr>
        <w:sectPr w:rsidR="00E6060C" w:rsidRPr="00E6060C" w:rsidSect="00C37307">
          <w:footerReference w:type="first" r:id="rId31"/>
          <w:pgSz w:w="11906" w:h="16838"/>
          <w:pgMar w:top="1440" w:right="1440" w:bottom="1440" w:left="1440" w:header="709" w:footer="709" w:gutter="0"/>
          <w:cols w:space="708"/>
          <w:titlePg/>
          <w:docGrid w:linePitch="360"/>
        </w:sectPr>
      </w:pPr>
    </w:p>
    <w:p w14:paraId="31000042" w14:textId="1458E185" w:rsidR="0035035C" w:rsidRDefault="0035035C" w:rsidP="005852AD">
      <w:pPr>
        <w:pStyle w:val="Figurestyle"/>
      </w:pPr>
      <w:bookmarkStart w:id="367" w:name="_Ref453582823"/>
      <w:bookmarkStart w:id="368" w:name="_Toc468286072"/>
      <w:r>
        <w:lastRenderedPageBreak/>
        <w:t xml:space="preserve">Table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3</w:t>
      </w:r>
      <w:r w:rsidR="00245D68">
        <w:rPr>
          <w:noProof/>
        </w:rPr>
        <w:fldChar w:fldCharType="end"/>
      </w:r>
      <w:bookmarkEnd w:id="367"/>
      <w:r>
        <w:t xml:space="preserve"> </w:t>
      </w:r>
      <w:r w:rsidRPr="000D199C">
        <w:t>Bivariate correlations between all of the research variables and their subcomponents which were investigated via reliability, CFA and discriminant analyses, based on the unmatched Time 1 - Time 2 sample (N=217)</w:t>
      </w:r>
      <w:bookmarkEnd w:id="368"/>
    </w:p>
    <w:tbl>
      <w:tblPr>
        <w:tblW w:w="15594" w:type="dxa"/>
        <w:tblInd w:w="-851" w:type="dxa"/>
        <w:tblBorders>
          <w:top w:val="single" w:sz="4" w:space="0" w:color="auto"/>
          <w:bottom w:val="single" w:sz="4" w:space="0" w:color="auto"/>
        </w:tblBorders>
        <w:tblLayout w:type="fixed"/>
        <w:tblLook w:val="04A0" w:firstRow="1" w:lastRow="0" w:firstColumn="1" w:lastColumn="0" w:noHBand="0" w:noVBand="1"/>
      </w:tblPr>
      <w:tblGrid>
        <w:gridCol w:w="420"/>
        <w:gridCol w:w="1796"/>
        <w:gridCol w:w="762"/>
        <w:gridCol w:w="709"/>
        <w:gridCol w:w="708"/>
        <w:gridCol w:w="709"/>
        <w:gridCol w:w="774"/>
        <w:gridCol w:w="774"/>
        <w:gridCol w:w="720"/>
        <w:gridCol w:w="709"/>
        <w:gridCol w:w="709"/>
        <w:gridCol w:w="708"/>
        <w:gridCol w:w="774"/>
        <w:gridCol w:w="774"/>
        <w:gridCol w:w="774"/>
        <w:gridCol w:w="774"/>
        <w:gridCol w:w="774"/>
        <w:gridCol w:w="774"/>
        <w:gridCol w:w="743"/>
        <w:gridCol w:w="709"/>
      </w:tblGrid>
      <w:tr w:rsidR="00E6060C" w:rsidRPr="00E6060C" w14:paraId="1548449C" w14:textId="77777777" w:rsidTr="007803A3">
        <w:trPr>
          <w:trHeight w:val="338"/>
        </w:trPr>
        <w:tc>
          <w:tcPr>
            <w:tcW w:w="420" w:type="dxa"/>
            <w:tcBorders>
              <w:top w:val="single" w:sz="4" w:space="0" w:color="auto"/>
              <w:bottom w:val="single" w:sz="4" w:space="0" w:color="auto"/>
            </w:tcBorders>
            <w:shd w:val="clear" w:color="auto" w:fill="auto"/>
            <w:noWrap/>
            <w:vAlign w:val="center"/>
          </w:tcPr>
          <w:p w14:paraId="04994AC3"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p>
        </w:tc>
        <w:tc>
          <w:tcPr>
            <w:tcW w:w="1796" w:type="dxa"/>
            <w:tcBorders>
              <w:top w:val="single" w:sz="4" w:space="0" w:color="auto"/>
              <w:bottom w:val="single" w:sz="4" w:space="0" w:color="auto"/>
            </w:tcBorders>
            <w:shd w:val="clear" w:color="auto" w:fill="auto"/>
            <w:vAlign w:val="center"/>
          </w:tcPr>
          <w:p w14:paraId="07D5DAE8"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p>
        </w:tc>
        <w:tc>
          <w:tcPr>
            <w:tcW w:w="762" w:type="dxa"/>
            <w:tcBorders>
              <w:top w:val="single" w:sz="4" w:space="0" w:color="auto"/>
              <w:bottom w:val="single" w:sz="4" w:space="0" w:color="auto"/>
            </w:tcBorders>
            <w:shd w:val="clear" w:color="auto" w:fill="auto"/>
            <w:noWrap/>
            <w:vAlign w:val="center"/>
          </w:tcPr>
          <w:p w14:paraId="323BB55F" w14:textId="7777777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Times New Roman" w:hAnsi="Calibri" w:cs="Times New Roman"/>
                <w:b/>
                <w:bCs/>
                <w:color w:val="000000"/>
                <w:sz w:val="20"/>
                <w:szCs w:val="20"/>
                <w:lang w:eastAsia="en-GB"/>
              </w:rPr>
              <w:t>1</w:t>
            </w:r>
          </w:p>
        </w:tc>
        <w:tc>
          <w:tcPr>
            <w:tcW w:w="709" w:type="dxa"/>
            <w:tcBorders>
              <w:top w:val="single" w:sz="4" w:space="0" w:color="auto"/>
              <w:bottom w:val="single" w:sz="4" w:space="0" w:color="auto"/>
            </w:tcBorders>
            <w:shd w:val="clear" w:color="auto" w:fill="auto"/>
            <w:noWrap/>
            <w:vAlign w:val="center"/>
          </w:tcPr>
          <w:p w14:paraId="37A9D51B"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Times New Roman" w:hAnsi="Calibri" w:cs="Times New Roman"/>
                <w:b/>
                <w:bCs/>
                <w:color w:val="000000"/>
                <w:sz w:val="20"/>
                <w:szCs w:val="20"/>
                <w:lang w:eastAsia="en-GB"/>
              </w:rPr>
              <w:t>2</w:t>
            </w:r>
          </w:p>
        </w:tc>
        <w:tc>
          <w:tcPr>
            <w:tcW w:w="708" w:type="dxa"/>
            <w:tcBorders>
              <w:top w:val="single" w:sz="4" w:space="0" w:color="auto"/>
              <w:bottom w:val="single" w:sz="4" w:space="0" w:color="auto"/>
            </w:tcBorders>
            <w:shd w:val="clear" w:color="auto" w:fill="auto"/>
            <w:noWrap/>
            <w:vAlign w:val="center"/>
          </w:tcPr>
          <w:p w14:paraId="09612D4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3</w:t>
            </w:r>
          </w:p>
        </w:tc>
        <w:tc>
          <w:tcPr>
            <w:tcW w:w="709" w:type="dxa"/>
            <w:tcBorders>
              <w:top w:val="single" w:sz="4" w:space="0" w:color="auto"/>
              <w:bottom w:val="single" w:sz="4" w:space="0" w:color="auto"/>
            </w:tcBorders>
            <w:shd w:val="clear" w:color="auto" w:fill="auto"/>
            <w:noWrap/>
            <w:vAlign w:val="center"/>
          </w:tcPr>
          <w:p w14:paraId="7011ABD1"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4</w:t>
            </w:r>
          </w:p>
        </w:tc>
        <w:tc>
          <w:tcPr>
            <w:tcW w:w="774" w:type="dxa"/>
            <w:tcBorders>
              <w:top w:val="single" w:sz="4" w:space="0" w:color="auto"/>
              <w:bottom w:val="single" w:sz="4" w:space="0" w:color="auto"/>
            </w:tcBorders>
            <w:shd w:val="clear" w:color="auto" w:fill="auto"/>
            <w:noWrap/>
            <w:vAlign w:val="center"/>
          </w:tcPr>
          <w:p w14:paraId="70F95A4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5</w:t>
            </w:r>
          </w:p>
        </w:tc>
        <w:tc>
          <w:tcPr>
            <w:tcW w:w="774" w:type="dxa"/>
            <w:tcBorders>
              <w:top w:val="single" w:sz="4" w:space="0" w:color="auto"/>
              <w:bottom w:val="single" w:sz="4" w:space="0" w:color="auto"/>
            </w:tcBorders>
            <w:shd w:val="clear" w:color="auto" w:fill="auto"/>
            <w:noWrap/>
            <w:vAlign w:val="center"/>
          </w:tcPr>
          <w:p w14:paraId="2909184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6</w:t>
            </w:r>
          </w:p>
        </w:tc>
        <w:tc>
          <w:tcPr>
            <w:tcW w:w="720" w:type="dxa"/>
            <w:tcBorders>
              <w:top w:val="single" w:sz="4" w:space="0" w:color="auto"/>
              <w:bottom w:val="single" w:sz="4" w:space="0" w:color="auto"/>
            </w:tcBorders>
            <w:shd w:val="clear" w:color="auto" w:fill="auto"/>
            <w:noWrap/>
            <w:vAlign w:val="center"/>
          </w:tcPr>
          <w:p w14:paraId="5CF453F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7</w:t>
            </w:r>
          </w:p>
        </w:tc>
        <w:tc>
          <w:tcPr>
            <w:tcW w:w="709" w:type="dxa"/>
            <w:tcBorders>
              <w:top w:val="single" w:sz="4" w:space="0" w:color="auto"/>
              <w:bottom w:val="single" w:sz="4" w:space="0" w:color="auto"/>
            </w:tcBorders>
            <w:shd w:val="clear" w:color="auto" w:fill="auto"/>
            <w:noWrap/>
            <w:vAlign w:val="center"/>
          </w:tcPr>
          <w:p w14:paraId="24455F0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8</w:t>
            </w:r>
          </w:p>
        </w:tc>
        <w:tc>
          <w:tcPr>
            <w:tcW w:w="709" w:type="dxa"/>
            <w:tcBorders>
              <w:top w:val="single" w:sz="4" w:space="0" w:color="auto"/>
              <w:bottom w:val="single" w:sz="4" w:space="0" w:color="auto"/>
            </w:tcBorders>
            <w:shd w:val="clear" w:color="auto" w:fill="auto"/>
            <w:noWrap/>
            <w:vAlign w:val="center"/>
          </w:tcPr>
          <w:p w14:paraId="145C646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9</w:t>
            </w:r>
          </w:p>
        </w:tc>
        <w:tc>
          <w:tcPr>
            <w:tcW w:w="708" w:type="dxa"/>
            <w:tcBorders>
              <w:top w:val="single" w:sz="4" w:space="0" w:color="auto"/>
              <w:bottom w:val="single" w:sz="4" w:space="0" w:color="auto"/>
            </w:tcBorders>
            <w:vAlign w:val="center"/>
          </w:tcPr>
          <w:p w14:paraId="3784350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10</w:t>
            </w:r>
          </w:p>
        </w:tc>
        <w:tc>
          <w:tcPr>
            <w:tcW w:w="774" w:type="dxa"/>
            <w:tcBorders>
              <w:top w:val="single" w:sz="4" w:space="0" w:color="auto"/>
              <w:bottom w:val="single" w:sz="4" w:space="0" w:color="auto"/>
            </w:tcBorders>
            <w:shd w:val="clear" w:color="auto" w:fill="auto"/>
            <w:noWrap/>
            <w:vAlign w:val="center"/>
          </w:tcPr>
          <w:p w14:paraId="65F3528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11</w:t>
            </w:r>
          </w:p>
        </w:tc>
        <w:tc>
          <w:tcPr>
            <w:tcW w:w="774" w:type="dxa"/>
            <w:tcBorders>
              <w:top w:val="single" w:sz="4" w:space="0" w:color="auto"/>
              <w:bottom w:val="single" w:sz="4" w:space="0" w:color="auto"/>
            </w:tcBorders>
            <w:shd w:val="clear" w:color="auto" w:fill="auto"/>
            <w:noWrap/>
            <w:vAlign w:val="center"/>
          </w:tcPr>
          <w:p w14:paraId="42B261C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12</w:t>
            </w:r>
          </w:p>
        </w:tc>
        <w:tc>
          <w:tcPr>
            <w:tcW w:w="774" w:type="dxa"/>
            <w:tcBorders>
              <w:top w:val="single" w:sz="4" w:space="0" w:color="auto"/>
              <w:bottom w:val="single" w:sz="4" w:space="0" w:color="auto"/>
            </w:tcBorders>
            <w:shd w:val="clear" w:color="auto" w:fill="auto"/>
            <w:noWrap/>
            <w:vAlign w:val="center"/>
          </w:tcPr>
          <w:p w14:paraId="505E13D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13</w:t>
            </w:r>
          </w:p>
        </w:tc>
        <w:tc>
          <w:tcPr>
            <w:tcW w:w="774" w:type="dxa"/>
            <w:tcBorders>
              <w:top w:val="single" w:sz="4" w:space="0" w:color="auto"/>
              <w:bottom w:val="single" w:sz="4" w:space="0" w:color="auto"/>
            </w:tcBorders>
            <w:shd w:val="clear" w:color="auto" w:fill="auto"/>
            <w:noWrap/>
            <w:vAlign w:val="center"/>
          </w:tcPr>
          <w:p w14:paraId="442C054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14</w:t>
            </w:r>
          </w:p>
        </w:tc>
        <w:tc>
          <w:tcPr>
            <w:tcW w:w="774" w:type="dxa"/>
            <w:tcBorders>
              <w:top w:val="single" w:sz="4" w:space="0" w:color="auto"/>
              <w:bottom w:val="single" w:sz="4" w:space="0" w:color="auto"/>
            </w:tcBorders>
            <w:vAlign w:val="center"/>
          </w:tcPr>
          <w:p w14:paraId="67D4783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15</w:t>
            </w:r>
          </w:p>
        </w:tc>
        <w:tc>
          <w:tcPr>
            <w:tcW w:w="774" w:type="dxa"/>
            <w:tcBorders>
              <w:top w:val="single" w:sz="4" w:space="0" w:color="auto"/>
              <w:bottom w:val="single" w:sz="4" w:space="0" w:color="auto"/>
            </w:tcBorders>
            <w:vAlign w:val="center"/>
          </w:tcPr>
          <w:p w14:paraId="5D15ECD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16</w:t>
            </w:r>
          </w:p>
        </w:tc>
        <w:tc>
          <w:tcPr>
            <w:tcW w:w="743" w:type="dxa"/>
            <w:tcBorders>
              <w:top w:val="single" w:sz="4" w:space="0" w:color="auto"/>
              <w:bottom w:val="single" w:sz="4" w:space="0" w:color="auto"/>
            </w:tcBorders>
            <w:vAlign w:val="center"/>
          </w:tcPr>
          <w:p w14:paraId="2D2BD9C9" w14:textId="77777777" w:rsidR="00E6060C" w:rsidRPr="00E6060C" w:rsidRDefault="00E6060C" w:rsidP="00E6060C">
            <w:pPr>
              <w:spacing w:line="240" w:lineRule="auto"/>
              <w:jc w:val="center"/>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17</w:t>
            </w:r>
          </w:p>
        </w:tc>
        <w:tc>
          <w:tcPr>
            <w:tcW w:w="709" w:type="dxa"/>
            <w:tcBorders>
              <w:top w:val="single" w:sz="4" w:space="0" w:color="auto"/>
              <w:bottom w:val="single" w:sz="4" w:space="0" w:color="auto"/>
            </w:tcBorders>
            <w:vAlign w:val="center"/>
          </w:tcPr>
          <w:p w14:paraId="064EBA2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Times New Roman" w:hAnsi="Calibri" w:cs="Times New Roman"/>
                <w:b/>
                <w:bCs/>
                <w:color w:val="000000"/>
                <w:sz w:val="20"/>
                <w:szCs w:val="20"/>
                <w:lang w:eastAsia="en-GB"/>
              </w:rPr>
              <w:t>18</w:t>
            </w:r>
          </w:p>
        </w:tc>
      </w:tr>
      <w:tr w:rsidR="00E6060C" w:rsidRPr="00E6060C" w14:paraId="156F9F2B" w14:textId="77777777" w:rsidTr="007803A3">
        <w:trPr>
          <w:trHeight w:val="338"/>
        </w:trPr>
        <w:tc>
          <w:tcPr>
            <w:tcW w:w="420" w:type="dxa"/>
            <w:tcBorders>
              <w:top w:val="single" w:sz="4" w:space="0" w:color="auto"/>
            </w:tcBorders>
            <w:shd w:val="clear" w:color="auto" w:fill="auto"/>
            <w:noWrap/>
            <w:vAlign w:val="center"/>
          </w:tcPr>
          <w:p w14:paraId="107CD15E"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w:t>
            </w:r>
          </w:p>
        </w:tc>
        <w:tc>
          <w:tcPr>
            <w:tcW w:w="1796" w:type="dxa"/>
            <w:tcBorders>
              <w:top w:val="single" w:sz="4" w:space="0" w:color="auto"/>
            </w:tcBorders>
            <w:shd w:val="clear" w:color="auto" w:fill="auto"/>
            <w:vAlign w:val="center"/>
          </w:tcPr>
          <w:p w14:paraId="1F78BB92" w14:textId="77777777" w:rsidR="00E6060C" w:rsidRPr="00E6060C" w:rsidRDefault="00E6060C" w:rsidP="00E6060C">
            <w:pPr>
              <w:spacing w:line="240" w:lineRule="auto"/>
              <w:rPr>
                <w:rFonts w:ascii="Calibri" w:eastAsia="Times New Roman" w:hAnsi="Calibri" w:cs="Times New Roman"/>
                <w:b/>
                <w:bCs/>
                <w:color w:val="000000"/>
                <w:sz w:val="20"/>
                <w:szCs w:val="20"/>
                <w:vertAlign w:val="superscript"/>
                <w:lang w:eastAsia="en-GB"/>
              </w:rPr>
            </w:pPr>
            <w:r w:rsidRPr="00E6060C">
              <w:rPr>
                <w:rFonts w:ascii="Calibri" w:eastAsia="Times New Roman" w:hAnsi="Calibri" w:cs="Times New Roman"/>
                <w:b/>
                <w:bCs/>
                <w:color w:val="000000"/>
                <w:sz w:val="20"/>
                <w:szCs w:val="20"/>
                <w:lang w:eastAsia="en-GB"/>
              </w:rPr>
              <w:t>Colleague support</w:t>
            </w:r>
          </w:p>
        </w:tc>
        <w:tc>
          <w:tcPr>
            <w:tcW w:w="762" w:type="dxa"/>
            <w:tcBorders>
              <w:top w:val="single" w:sz="4" w:space="0" w:color="auto"/>
            </w:tcBorders>
            <w:shd w:val="clear" w:color="auto" w:fill="auto"/>
            <w:noWrap/>
            <w:vAlign w:val="center"/>
          </w:tcPr>
          <w:p w14:paraId="75C0A142"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09" w:type="dxa"/>
            <w:tcBorders>
              <w:top w:val="single" w:sz="4" w:space="0" w:color="auto"/>
            </w:tcBorders>
            <w:shd w:val="clear" w:color="auto" w:fill="auto"/>
            <w:noWrap/>
            <w:vAlign w:val="center"/>
          </w:tcPr>
          <w:p w14:paraId="79F75D48"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08" w:type="dxa"/>
            <w:tcBorders>
              <w:top w:val="single" w:sz="4" w:space="0" w:color="auto"/>
            </w:tcBorders>
            <w:shd w:val="clear" w:color="auto" w:fill="auto"/>
            <w:noWrap/>
            <w:vAlign w:val="center"/>
          </w:tcPr>
          <w:p w14:paraId="21C27A2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tcBorders>
              <w:top w:val="single" w:sz="4" w:space="0" w:color="auto"/>
            </w:tcBorders>
            <w:shd w:val="clear" w:color="auto" w:fill="auto"/>
            <w:noWrap/>
            <w:vAlign w:val="center"/>
          </w:tcPr>
          <w:p w14:paraId="3CD62D9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noWrap/>
            <w:vAlign w:val="center"/>
          </w:tcPr>
          <w:p w14:paraId="7FA110B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noWrap/>
            <w:vAlign w:val="center"/>
          </w:tcPr>
          <w:p w14:paraId="610B222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20" w:type="dxa"/>
            <w:tcBorders>
              <w:top w:val="single" w:sz="4" w:space="0" w:color="auto"/>
            </w:tcBorders>
            <w:shd w:val="clear" w:color="auto" w:fill="auto"/>
            <w:noWrap/>
            <w:vAlign w:val="center"/>
          </w:tcPr>
          <w:p w14:paraId="032A451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tcBorders>
              <w:top w:val="single" w:sz="4" w:space="0" w:color="auto"/>
            </w:tcBorders>
            <w:shd w:val="clear" w:color="auto" w:fill="auto"/>
            <w:noWrap/>
            <w:vAlign w:val="center"/>
          </w:tcPr>
          <w:p w14:paraId="07A9D7D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tcBorders>
              <w:top w:val="single" w:sz="4" w:space="0" w:color="auto"/>
            </w:tcBorders>
            <w:shd w:val="clear" w:color="auto" w:fill="auto"/>
            <w:noWrap/>
            <w:vAlign w:val="center"/>
          </w:tcPr>
          <w:p w14:paraId="19CAA52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tcBorders>
              <w:top w:val="single" w:sz="4" w:space="0" w:color="auto"/>
            </w:tcBorders>
            <w:shd w:val="clear" w:color="auto" w:fill="auto"/>
            <w:vAlign w:val="center"/>
          </w:tcPr>
          <w:p w14:paraId="0E2DD92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noWrap/>
            <w:vAlign w:val="center"/>
          </w:tcPr>
          <w:p w14:paraId="0FF015D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noWrap/>
            <w:vAlign w:val="center"/>
          </w:tcPr>
          <w:p w14:paraId="08823CC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noWrap/>
            <w:vAlign w:val="center"/>
          </w:tcPr>
          <w:p w14:paraId="07613B9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noWrap/>
            <w:vAlign w:val="center"/>
          </w:tcPr>
          <w:p w14:paraId="3838345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vAlign w:val="center"/>
          </w:tcPr>
          <w:p w14:paraId="5F3D927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tcBorders>
              <w:top w:val="single" w:sz="4" w:space="0" w:color="auto"/>
            </w:tcBorders>
            <w:shd w:val="clear" w:color="auto" w:fill="auto"/>
            <w:vAlign w:val="center"/>
          </w:tcPr>
          <w:p w14:paraId="5828A3B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tcBorders>
              <w:top w:val="single" w:sz="4" w:space="0" w:color="auto"/>
            </w:tcBorders>
            <w:shd w:val="clear" w:color="auto" w:fill="auto"/>
            <w:vAlign w:val="center"/>
          </w:tcPr>
          <w:p w14:paraId="2A1D7E1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tcBorders>
              <w:top w:val="single" w:sz="4" w:space="0" w:color="auto"/>
            </w:tcBorders>
            <w:shd w:val="clear" w:color="auto" w:fill="auto"/>
            <w:vAlign w:val="center"/>
          </w:tcPr>
          <w:p w14:paraId="487A432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097795F" w14:textId="77777777" w:rsidTr="007803A3">
        <w:trPr>
          <w:trHeight w:val="338"/>
        </w:trPr>
        <w:tc>
          <w:tcPr>
            <w:tcW w:w="420" w:type="dxa"/>
            <w:shd w:val="clear" w:color="auto" w:fill="auto"/>
            <w:noWrap/>
            <w:vAlign w:val="center"/>
          </w:tcPr>
          <w:p w14:paraId="7639E03A"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2</w:t>
            </w:r>
          </w:p>
        </w:tc>
        <w:tc>
          <w:tcPr>
            <w:tcW w:w="1796" w:type="dxa"/>
            <w:shd w:val="clear" w:color="auto" w:fill="auto"/>
            <w:vAlign w:val="center"/>
          </w:tcPr>
          <w:p w14:paraId="255C0656" w14:textId="77777777" w:rsidR="00E6060C" w:rsidRPr="00E6060C" w:rsidRDefault="00E6060C" w:rsidP="00E6060C">
            <w:pPr>
              <w:spacing w:line="240" w:lineRule="auto"/>
              <w:rPr>
                <w:rFonts w:ascii="Calibri" w:eastAsia="Times New Roman" w:hAnsi="Calibri" w:cs="Times New Roman"/>
                <w:b/>
                <w:bCs/>
                <w:color w:val="000000"/>
                <w:sz w:val="20"/>
                <w:szCs w:val="20"/>
                <w:vertAlign w:val="superscript"/>
                <w:lang w:eastAsia="en-GB"/>
              </w:rPr>
            </w:pPr>
            <w:r w:rsidRPr="00E6060C">
              <w:rPr>
                <w:rFonts w:ascii="Calibri" w:eastAsia="Times New Roman" w:hAnsi="Calibri" w:cs="Times New Roman"/>
                <w:b/>
                <w:bCs/>
                <w:color w:val="000000"/>
                <w:sz w:val="20"/>
                <w:szCs w:val="20"/>
                <w:lang w:eastAsia="en-GB"/>
              </w:rPr>
              <w:t>Influence in decision-making</w:t>
            </w:r>
          </w:p>
        </w:tc>
        <w:tc>
          <w:tcPr>
            <w:tcW w:w="762" w:type="dxa"/>
            <w:shd w:val="clear" w:color="auto" w:fill="auto"/>
            <w:noWrap/>
            <w:vAlign w:val="center"/>
          </w:tcPr>
          <w:p w14:paraId="566BCF0F" w14:textId="7ABCBE2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.38**</w:t>
            </w:r>
          </w:p>
        </w:tc>
        <w:tc>
          <w:tcPr>
            <w:tcW w:w="709" w:type="dxa"/>
            <w:shd w:val="clear" w:color="auto" w:fill="auto"/>
            <w:noWrap/>
            <w:vAlign w:val="center"/>
          </w:tcPr>
          <w:p w14:paraId="00F346AC"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08" w:type="dxa"/>
            <w:shd w:val="clear" w:color="auto" w:fill="auto"/>
            <w:noWrap/>
            <w:vAlign w:val="center"/>
          </w:tcPr>
          <w:p w14:paraId="0FEAEE42"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center"/>
          </w:tcPr>
          <w:p w14:paraId="42C30F2D"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502A155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7981809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20" w:type="dxa"/>
            <w:shd w:val="clear" w:color="auto" w:fill="auto"/>
            <w:noWrap/>
            <w:vAlign w:val="center"/>
          </w:tcPr>
          <w:p w14:paraId="783041A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6E549C0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3EF2C76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shd w:val="clear" w:color="auto" w:fill="auto"/>
            <w:vAlign w:val="center"/>
          </w:tcPr>
          <w:p w14:paraId="02D9AFC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7439904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5F60E0F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22A3472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6CEDCB2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997A08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48F5997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110DE01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5C59EAF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87A0AC9" w14:textId="77777777" w:rsidTr="007803A3">
        <w:trPr>
          <w:trHeight w:val="338"/>
        </w:trPr>
        <w:tc>
          <w:tcPr>
            <w:tcW w:w="420" w:type="dxa"/>
            <w:shd w:val="clear" w:color="auto" w:fill="auto"/>
            <w:noWrap/>
            <w:vAlign w:val="center"/>
          </w:tcPr>
          <w:p w14:paraId="4E17E61C"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3</w:t>
            </w:r>
          </w:p>
        </w:tc>
        <w:tc>
          <w:tcPr>
            <w:tcW w:w="1796" w:type="dxa"/>
            <w:shd w:val="clear" w:color="auto" w:fill="auto"/>
            <w:vAlign w:val="center"/>
          </w:tcPr>
          <w:p w14:paraId="05E3ADA6"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Resources and demands</w:t>
            </w:r>
          </w:p>
        </w:tc>
        <w:tc>
          <w:tcPr>
            <w:tcW w:w="762" w:type="dxa"/>
            <w:shd w:val="clear" w:color="auto" w:fill="auto"/>
            <w:noWrap/>
            <w:vAlign w:val="center"/>
          </w:tcPr>
          <w:p w14:paraId="0A896059" w14:textId="35D7CC9D"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.22**</w:t>
            </w:r>
          </w:p>
        </w:tc>
        <w:tc>
          <w:tcPr>
            <w:tcW w:w="709" w:type="dxa"/>
            <w:shd w:val="clear" w:color="auto" w:fill="auto"/>
            <w:noWrap/>
            <w:vAlign w:val="center"/>
          </w:tcPr>
          <w:p w14:paraId="5341DBCC" w14:textId="32D172FC"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.29**</w:t>
            </w:r>
          </w:p>
        </w:tc>
        <w:tc>
          <w:tcPr>
            <w:tcW w:w="708" w:type="dxa"/>
            <w:shd w:val="clear" w:color="auto" w:fill="auto"/>
            <w:noWrap/>
            <w:vAlign w:val="center"/>
          </w:tcPr>
          <w:p w14:paraId="2099F40F"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09" w:type="dxa"/>
            <w:shd w:val="clear" w:color="auto" w:fill="auto"/>
            <w:noWrap/>
            <w:vAlign w:val="center"/>
          </w:tcPr>
          <w:p w14:paraId="4D3499D9"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74" w:type="dxa"/>
            <w:shd w:val="clear" w:color="auto" w:fill="auto"/>
            <w:noWrap/>
            <w:vAlign w:val="center"/>
          </w:tcPr>
          <w:p w14:paraId="75FEEEB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501927B1"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20" w:type="dxa"/>
            <w:shd w:val="clear" w:color="auto" w:fill="auto"/>
            <w:noWrap/>
            <w:vAlign w:val="center"/>
          </w:tcPr>
          <w:p w14:paraId="70148E2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5F9DB09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3F8BEBE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shd w:val="clear" w:color="auto" w:fill="auto"/>
            <w:vAlign w:val="center"/>
          </w:tcPr>
          <w:p w14:paraId="75E65B2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2143DDA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439A4A1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118738D"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7215A7F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43DA5E7D"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2B67C9A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47AF3F1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29143D2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5292594A" w14:textId="77777777" w:rsidTr="007803A3">
        <w:trPr>
          <w:trHeight w:val="338"/>
        </w:trPr>
        <w:tc>
          <w:tcPr>
            <w:tcW w:w="420" w:type="dxa"/>
            <w:shd w:val="clear" w:color="auto" w:fill="auto"/>
            <w:noWrap/>
            <w:vAlign w:val="center"/>
          </w:tcPr>
          <w:p w14:paraId="4CFC74CB"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4</w:t>
            </w:r>
          </w:p>
        </w:tc>
        <w:tc>
          <w:tcPr>
            <w:tcW w:w="1796" w:type="dxa"/>
            <w:shd w:val="clear" w:color="auto" w:fill="auto"/>
            <w:vAlign w:val="center"/>
          </w:tcPr>
          <w:p w14:paraId="0C197D4B"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Resources</w:t>
            </w:r>
          </w:p>
        </w:tc>
        <w:tc>
          <w:tcPr>
            <w:tcW w:w="762" w:type="dxa"/>
            <w:shd w:val="clear" w:color="auto" w:fill="auto"/>
            <w:noWrap/>
            <w:vAlign w:val="center"/>
          </w:tcPr>
          <w:p w14:paraId="48E86F27" w14:textId="2835001F"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.25**</w:t>
            </w:r>
          </w:p>
        </w:tc>
        <w:tc>
          <w:tcPr>
            <w:tcW w:w="709" w:type="dxa"/>
            <w:shd w:val="clear" w:color="auto" w:fill="auto"/>
            <w:noWrap/>
            <w:vAlign w:val="center"/>
          </w:tcPr>
          <w:p w14:paraId="17FCFAE5" w14:textId="14525F2F"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4</w:t>
            </w:r>
            <w:r w:rsidRPr="00E6060C">
              <w:rPr>
                <w:rFonts w:ascii="Calibri" w:eastAsia="Calibri" w:hAnsi="Calibri" w:cs="Times New Roman"/>
                <w:color w:val="000000"/>
                <w:sz w:val="20"/>
                <w:szCs w:val="20"/>
              </w:rPr>
              <w:t>**</w:t>
            </w:r>
          </w:p>
        </w:tc>
        <w:tc>
          <w:tcPr>
            <w:tcW w:w="708" w:type="dxa"/>
            <w:shd w:val="clear" w:color="auto" w:fill="auto"/>
            <w:noWrap/>
            <w:vAlign w:val="center"/>
          </w:tcPr>
          <w:p w14:paraId="5F31E0DB" w14:textId="371A5136"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.79**</w:t>
            </w:r>
          </w:p>
        </w:tc>
        <w:tc>
          <w:tcPr>
            <w:tcW w:w="709" w:type="dxa"/>
            <w:shd w:val="clear" w:color="auto" w:fill="auto"/>
            <w:noWrap/>
            <w:vAlign w:val="center"/>
          </w:tcPr>
          <w:p w14:paraId="178C1E35"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74" w:type="dxa"/>
            <w:shd w:val="clear" w:color="auto" w:fill="auto"/>
            <w:noWrap/>
            <w:vAlign w:val="center"/>
          </w:tcPr>
          <w:p w14:paraId="756F9943"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74" w:type="dxa"/>
            <w:shd w:val="clear" w:color="auto" w:fill="auto"/>
            <w:noWrap/>
            <w:vAlign w:val="center"/>
          </w:tcPr>
          <w:p w14:paraId="5557A08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20" w:type="dxa"/>
            <w:shd w:val="clear" w:color="auto" w:fill="auto"/>
            <w:noWrap/>
            <w:vAlign w:val="center"/>
          </w:tcPr>
          <w:p w14:paraId="1DB5C77D"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61B2D09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23F903F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shd w:val="clear" w:color="auto" w:fill="auto"/>
            <w:vAlign w:val="center"/>
          </w:tcPr>
          <w:p w14:paraId="23196BF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2150227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A474ED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3CA7F0C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1CE0E3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290425B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1F2830E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63E9E49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1EF25AC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6F1B1BD7" w14:textId="77777777" w:rsidTr="007803A3">
        <w:trPr>
          <w:trHeight w:val="338"/>
        </w:trPr>
        <w:tc>
          <w:tcPr>
            <w:tcW w:w="420" w:type="dxa"/>
            <w:shd w:val="clear" w:color="auto" w:fill="auto"/>
            <w:noWrap/>
            <w:vAlign w:val="center"/>
          </w:tcPr>
          <w:p w14:paraId="53785E86"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5</w:t>
            </w:r>
          </w:p>
        </w:tc>
        <w:tc>
          <w:tcPr>
            <w:tcW w:w="1796" w:type="dxa"/>
            <w:shd w:val="clear" w:color="auto" w:fill="auto"/>
            <w:vAlign w:val="center"/>
          </w:tcPr>
          <w:p w14:paraId="4BCF1112"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Demands</w:t>
            </w:r>
          </w:p>
        </w:tc>
        <w:tc>
          <w:tcPr>
            <w:tcW w:w="762" w:type="dxa"/>
            <w:shd w:val="clear" w:color="auto" w:fill="auto"/>
            <w:noWrap/>
            <w:vAlign w:val="center"/>
          </w:tcPr>
          <w:p w14:paraId="61CEC9EF" w14:textId="07AA54DF"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09" w:type="dxa"/>
            <w:shd w:val="clear" w:color="auto" w:fill="auto"/>
            <w:noWrap/>
            <w:vAlign w:val="center"/>
          </w:tcPr>
          <w:p w14:paraId="5525D354" w14:textId="2C8690BB"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8" w:type="dxa"/>
            <w:shd w:val="clear" w:color="auto" w:fill="auto"/>
            <w:noWrap/>
            <w:vAlign w:val="center"/>
          </w:tcPr>
          <w:p w14:paraId="272920DF" w14:textId="416B25BC"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.9</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09" w:type="dxa"/>
            <w:shd w:val="clear" w:color="auto" w:fill="auto"/>
            <w:noWrap/>
            <w:vAlign w:val="center"/>
          </w:tcPr>
          <w:p w14:paraId="6FDEDF4E" w14:textId="469361EE"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.48**</w:t>
            </w:r>
          </w:p>
        </w:tc>
        <w:tc>
          <w:tcPr>
            <w:tcW w:w="774" w:type="dxa"/>
            <w:shd w:val="clear" w:color="auto" w:fill="auto"/>
            <w:noWrap/>
            <w:vAlign w:val="center"/>
          </w:tcPr>
          <w:p w14:paraId="54299A70"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74" w:type="dxa"/>
            <w:shd w:val="clear" w:color="auto" w:fill="auto"/>
            <w:noWrap/>
            <w:vAlign w:val="center"/>
          </w:tcPr>
          <w:p w14:paraId="5B169221"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20" w:type="dxa"/>
            <w:shd w:val="clear" w:color="auto" w:fill="auto"/>
            <w:noWrap/>
            <w:vAlign w:val="center"/>
          </w:tcPr>
          <w:p w14:paraId="0BF0D4D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3122995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176293C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shd w:val="clear" w:color="auto" w:fill="auto"/>
            <w:vAlign w:val="center"/>
          </w:tcPr>
          <w:p w14:paraId="3BCAF61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74503CF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4540347D"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4B2A680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34E53BA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592EDD4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5EB8B3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68488D1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425918D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3C69829E" w14:textId="77777777" w:rsidTr="007803A3">
        <w:trPr>
          <w:trHeight w:val="338"/>
        </w:trPr>
        <w:tc>
          <w:tcPr>
            <w:tcW w:w="420" w:type="dxa"/>
            <w:shd w:val="clear" w:color="auto" w:fill="auto"/>
            <w:noWrap/>
            <w:vAlign w:val="center"/>
          </w:tcPr>
          <w:p w14:paraId="7E07ED3B"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6</w:t>
            </w:r>
          </w:p>
        </w:tc>
        <w:tc>
          <w:tcPr>
            <w:tcW w:w="1796" w:type="dxa"/>
            <w:shd w:val="clear" w:color="auto" w:fill="auto"/>
            <w:vAlign w:val="center"/>
          </w:tcPr>
          <w:p w14:paraId="1124E074"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Work-related basic needs</w:t>
            </w:r>
          </w:p>
        </w:tc>
        <w:tc>
          <w:tcPr>
            <w:tcW w:w="762" w:type="dxa"/>
            <w:shd w:val="clear" w:color="auto" w:fill="auto"/>
            <w:noWrap/>
            <w:vAlign w:val="center"/>
          </w:tcPr>
          <w:p w14:paraId="4EC38AE5" w14:textId="1F20CFFD"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3EB45B58" w14:textId="48D7DF4C"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08" w:type="dxa"/>
            <w:shd w:val="clear" w:color="auto" w:fill="auto"/>
            <w:noWrap/>
            <w:vAlign w:val="center"/>
          </w:tcPr>
          <w:p w14:paraId="282104E1" w14:textId="1C9E3DE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30</w:t>
            </w:r>
            <w:r w:rsidRPr="00E6060C">
              <w:rPr>
                <w:rFonts w:ascii="Calibri" w:eastAsia="Calibri" w:hAnsi="Calibri" w:cs="Times New Roman"/>
                <w:color w:val="000000"/>
                <w:sz w:val="20"/>
                <w:szCs w:val="20"/>
              </w:rPr>
              <w:t>**</w:t>
            </w:r>
          </w:p>
        </w:tc>
        <w:tc>
          <w:tcPr>
            <w:tcW w:w="709" w:type="dxa"/>
            <w:shd w:val="clear" w:color="auto" w:fill="auto"/>
            <w:noWrap/>
            <w:vAlign w:val="center"/>
          </w:tcPr>
          <w:p w14:paraId="15C4F146" w14:textId="7DB991D8"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.36**</w:t>
            </w:r>
          </w:p>
        </w:tc>
        <w:tc>
          <w:tcPr>
            <w:tcW w:w="774" w:type="dxa"/>
            <w:shd w:val="clear" w:color="auto" w:fill="auto"/>
            <w:noWrap/>
            <w:vAlign w:val="center"/>
          </w:tcPr>
          <w:p w14:paraId="3F68D37C" w14:textId="531CFDE2"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20</w:t>
            </w:r>
            <w:r w:rsidRPr="00E6060C">
              <w:rPr>
                <w:rFonts w:ascii="Calibri" w:eastAsia="Calibri" w:hAnsi="Calibri" w:cs="Times New Roman"/>
                <w:color w:val="000000"/>
                <w:sz w:val="20"/>
                <w:szCs w:val="20"/>
              </w:rPr>
              <w:t>**</w:t>
            </w:r>
          </w:p>
        </w:tc>
        <w:tc>
          <w:tcPr>
            <w:tcW w:w="774" w:type="dxa"/>
            <w:shd w:val="clear" w:color="auto" w:fill="auto"/>
            <w:noWrap/>
            <w:vAlign w:val="center"/>
          </w:tcPr>
          <w:p w14:paraId="338619B5"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20" w:type="dxa"/>
            <w:shd w:val="clear" w:color="auto" w:fill="auto"/>
            <w:noWrap/>
            <w:vAlign w:val="center"/>
          </w:tcPr>
          <w:p w14:paraId="3A95108B"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center"/>
          </w:tcPr>
          <w:p w14:paraId="03A86B8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noWrap/>
            <w:vAlign w:val="center"/>
          </w:tcPr>
          <w:p w14:paraId="6F31FB5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shd w:val="clear" w:color="auto" w:fill="auto"/>
            <w:vAlign w:val="center"/>
          </w:tcPr>
          <w:p w14:paraId="6B8569D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783A408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6DCAA31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1E02CD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6024C21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D37D17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616B908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7694843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3AA08DB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86F7DBF" w14:textId="77777777" w:rsidTr="007803A3">
        <w:trPr>
          <w:trHeight w:val="338"/>
        </w:trPr>
        <w:tc>
          <w:tcPr>
            <w:tcW w:w="420" w:type="dxa"/>
            <w:shd w:val="clear" w:color="auto" w:fill="auto"/>
            <w:noWrap/>
            <w:vAlign w:val="center"/>
          </w:tcPr>
          <w:p w14:paraId="36C4B8C5"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7</w:t>
            </w:r>
          </w:p>
        </w:tc>
        <w:tc>
          <w:tcPr>
            <w:tcW w:w="1796" w:type="dxa"/>
            <w:shd w:val="clear" w:color="auto" w:fill="auto"/>
            <w:vAlign w:val="center"/>
          </w:tcPr>
          <w:p w14:paraId="33F14172"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Autonomy</w:t>
            </w:r>
          </w:p>
        </w:tc>
        <w:tc>
          <w:tcPr>
            <w:tcW w:w="762" w:type="dxa"/>
            <w:shd w:val="clear" w:color="auto" w:fill="auto"/>
            <w:noWrap/>
            <w:vAlign w:val="center"/>
          </w:tcPr>
          <w:p w14:paraId="49689120" w14:textId="1A44AF08"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09" w:type="dxa"/>
            <w:shd w:val="clear" w:color="auto" w:fill="auto"/>
            <w:noWrap/>
            <w:vAlign w:val="center"/>
          </w:tcPr>
          <w:p w14:paraId="4B9442E1" w14:textId="57FB76E9"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.41**</w:t>
            </w:r>
          </w:p>
        </w:tc>
        <w:tc>
          <w:tcPr>
            <w:tcW w:w="708" w:type="dxa"/>
            <w:shd w:val="clear" w:color="auto" w:fill="auto"/>
            <w:noWrap/>
            <w:vAlign w:val="center"/>
          </w:tcPr>
          <w:p w14:paraId="11D68BCE" w14:textId="3266A192" w:rsidR="00E6060C" w:rsidRPr="00E6060C" w:rsidRDefault="00E6060C" w:rsidP="006F6F29">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.40**</w:t>
            </w:r>
          </w:p>
        </w:tc>
        <w:tc>
          <w:tcPr>
            <w:tcW w:w="709" w:type="dxa"/>
            <w:shd w:val="clear" w:color="auto" w:fill="auto"/>
            <w:noWrap/>
            <w:vAlign w:val="center"/>
          </w:tcPr>
          <w:p w14:paraId="6EBE1E0C" w14:textId="55EE8E6D"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40</w:t>
            </w:r>
            <w:r w:rsidRPr="00E6060C">
              <w:rPr>
                <w:rFonts w:ascii="Calibri" w:eastAsia="Calibri" w:hAnsi="Calibri" w:cs="Times New Roman"/>
                <w:color w:val="000000"/>
                <w:sz w:val="20"/>
                <w:szCs w:val="20"/>
              </w:rPr>
              <w:t>**</w:t>
            </w:r>
          </w:p>
        </w:tc>
        <w:tc>
          <w:tcPr>
            <w:tcW w:w="774" w:type="dxa"/>
            <w:shd w:val="clear" w:color="auto" w:fill="auto"/>
            <w:noWrap/>
            <w:vAlign w:val="center"/>
          </w:tcPr>
          <w:p w14:paraId="0E93A5C1" w14:textId="3BDAD3D3"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.33**</w:t>
            </w:r>
          </w:p>
        </w:tc>
        <w:tc>
          <w:tcPr>
            <w:tcW w:w="774" w:type="dxa"/>
            <w:shd w:val="clear" w:color="auto" w:fill="auto"/>
            <w:noWrap/>
            <w:vAlign w:val="center"/>
          </w:tcPr>
          <w:p w14:paraId="514A8619" w14:textId="54FD128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.8</w:t>
            </w:r>
            <w:r w:rsidR="00611231">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20" w:type="dxa"/>
            <w:shd w:val="clear" w:color="auto" w:fill="auto"/>
            <w:noWrap/>
            <w:vAlign w:val="center"/>
          </w:tcPr>
          <w:p w14:paraId="330754A2"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09" w:type="dxa"/>
            <w:shd w:val="clear" w:color="auto" w:fill="auto"/>
            <w:noWrap/>
            <w:vAlign w:val="center"/>
          </w:tcPr>
          <w:p w14:paraId="3B46A5BD"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09" w:type="dxa"/>
            <w:shd w:val="clear" w:color="auto" w:fill="auto"/>
            <w:noWrap/>
            <w:vAlign w:val="center"/>
          </w:tcPr>
          <w:p w14:paraId="20512A2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8" w:type="dxa"/>
            <w:shd w:val="clear" w:color="auto" w:fill="auto"/>
            <w:vAlign w:val="center"/>
          </w:tcPr>
          <w:p w14:paraId="64CB535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67481DE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54AFC15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759A118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32A06FB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4FE9C3E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560E20C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770C6FA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332408B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69166277" w14:textId="77777777" w:rsidTr="007803A3">
        <w:trPr>
          <w:trHeight w:val="338"/>
        </w:trPr>
        <w:tc>
          <w:tcPr>
            <w:tcW w:w="420" w:type="dxa"/>
            <w:shd w:val="clear" w:color="auto" w:fill="auto"/>
            <w:noWrap/>
            <w:vAlign w:val="center"/>
          </w:tcPr>
          <w:p w14:paraId="3837C860"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8</w:t>
            </w:r>
          </w:p>
        </w:tc>
        <w:tc>
          <w:tcPr>
            <w:tcW w:w="1796" w:type="dxa"/>
            <w:shd w:val="clear" w:color="auto" w:fill="auto"/>
            <w:vAlign w:val="center"/>
          </w:tcPr>
          <w:p w14:paraId="4F0EE95C"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Competence</w:t>
            </w:r>
          </w:p>
        </w:tc>
        <w:tc>
          <w:tcPr>
            <w:tcW w:w="762" w:type="dxa"/>
            <w:shd w:val="clear" w:color="auto" w:fill="auto"/>
            <w:noWrap/>
            <w:vAlign w:val="center"/>
          </w:tcPr>
          <w:p w14:paraId="0A1B4A23" w14:textId="0BBCACD2"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.17*</w:t>
            </w:r>
          </w:p>
        </w:tc>
        <w:tc>
          <w:tcPr>
            <w:tcW w:w="709" w:type="dxa"/>
            <w:shd w:val="clear" w:color="auto" w:fill="auto"/>
            <w:noWrap/>
            <w:vAlign w:val="center"/>
          </w:tcPr>
          <w:p w14:paraId="53F7E0C7" w14:textId="603EBDB8"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.20**</w:t>
            </w:r>
          </w:p>
        </w:tc>
        <w:tc>
          <w:tcPr>
            <w:tcW w:w="708" w:type="dxa"/>
            <w:shd w:val="clear" w:color="auto" w:fill="auto"/>
            <w:noWrap/>
            <w:vAlign w:val="center"/>
          </w:tcPr>
          <w:p w14:paraId="677717BE" w14:textId="620115FB"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w:t>
            </w:r>
            <w:r w:rsidR="00611231">
              <w:rPr>
                <w:rFonts w:ascii="Calibri" w:eastAsia="Calibri" w:hAnsi="Calibri" w:cs="Times New Roman"/>
                <w:color w:val="000000"/>
                <w:sz w:val="20"/>
                <w:szCs w:val="20"/>
              </w:rPr>
              <w:t>4</w:t>
            </w:r>
            <w:r w:rsidRPr="00E6060C">
              <w:rPr>
                <w:rFonts w:ascii="Calibri" w:eastAsia="Calibri" w:hAnsi="Calibri" w:cs="Times New Roman"/>
                <w:color w:val="000000"/>
                <w:sz w:val="20"/>
                <w:szCs w:val="20"/>
              </w:rPr>
              <w:t>*</w:t>
            </w:r>
          </w:p>
        </w:tc>
        <w:tc>
          <w:tcPr>
            <w:tcW w:w="709" w:type="dxa"/>
            <w:shd w:val="clear" w:color="auto" w:fill="auto"/>
            <w:noWrap/>
            <w:vAlign w:val="center"/>
          </w:tcPr>
          <w:p w14:paraId="5ED6D1FA" w14:textId="5EB52BBA"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5</w:t>
            </w:r>
            <w:r w:rsidRPr="00E6060C">
              <w:rPr>
                <w:rFonts w:ascii="Calibri" w:eastAsia="Calibri" w:hAnsi="Calibri" w:cs="Times New Roman"/>
                <w:color w:val="000000"/>
                <w:sz w:val="20"/>
                <w:szCs w:val="20"/>
              </w:rPr>
              <w:t>**</w:t>
            </w:r>
          </w:p>
        </w:tc>
        <w:tc>
          <w:tcPr>
            <w:tcW w:w="774" w:type="dxa"/>
            <w:shd w:val="clear" w:color="auto" w:fill="auto"/>
            <w:noWrap/>
            <w:vAlign w:val="center"/>
          </w:tcPr>
          <w:p w14:paraId="72424A9F" w14:textId="675B6DD6"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.05</w:t>
            </w:r>
          </w:p>
        </w:tc>
        <w:tc>
          <w:tcPr>
            <w:tcW w:w="774" w:type="dxa"/>
            <w:shd w:val="clear" w:color="auto" w:fill="auto"/>
            <w:noWrap/>
            <w:vAlign w:val="center"/>
          </w:tcPr>
          <w:p w14:paraId="743597B1" w14:textId="3991A0D4"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.7</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20" w:type="dxa"/>
            <w:shd w:val="clear" w:color="auto" w:fill="auto"/>
            <w:noWrap/>
            <w:vAlign w:val="center"/>
          </w:tcPr>
          <w:p w14:paraId="47094ABA" w14:textId="22D3C90C"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.5</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4A848AED"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09" w:type="dxa"/>
            <w:shd w:val="clear" w:color="auto" w:fill="auto"/>
            <w:noWrap/>
            <w:vAlign w:val="center"/>
          </w:tcPr>
          <w:p w14:paraId="59D27944"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08" w:type="dxa"/>
            <w:shd w:val="clear" w:color="auto" w:fill="auto"/>
            <w:vAlign w:val="center"/>
          </w:tcPr>
          <w:p w14:paraId="7A83175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224600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885593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4EBD71C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54C3638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66CDB8E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D3C9DE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1983D65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71C336B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53EA5FE5" w14:textId="77777777" w:rsidTr="007803A3">
        <w:trPr>
          <w:trHeight w:val="338"/>
        </w:trPr>
        <w:tc>
          <w:tcPr>
            <w:tcW w:w="420" w:type="dxa"/>
            <w:shd w:val="clear" w:color="auto" w:fill="auto"/>
            <w:noWrap/>
            <w:vAlign w:val="center"/>
          </w:tcPr>
          <w:p w14:paraId="1ACC6FBC"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9</w:t>
            </w:r>
          </w:p>
        </w:tc>
        <w:tc>
          <w:tcPr>
            <w:tcW w:w="1796" w:type="dxa"/>
            <w:shd w:val="clear" w:color="auto" w:fill="auto"/>
            <w:vAlign w:val="center"/>
          </w:tcPr>
          <w:p w14:paraId="2FE7467B"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Relatedness</w:t>
            </w:r>
          </w:p>
        </w:tc>
        <w:tc>
          <w:tcPr>
            <w:tcW w:w="762" w:type="dxa"/>
            <w:shd w:val="clear" w:color="auto" w:fill="auto"/>
            <w:noWrap/>
            <w:vAlign w:val="center"/>
          </w:tcPr>
          <w:p w14:paraId="5687A596" w14:textId="31D497A5"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4</w:t>
            </w:r>
            <w:r w:rsidRPr="00E6060C">
              <w:rPr>
                <w:rFonts w:ascii="Calibri" w:eastAsia="Calibri" w:hAnsi="Calibri" w:cs="Times New Roman"/>
                <w:color w:val="000000"/>
                <w:sz w:val="20"/>
                <w:szCs w:val="20"/>
              </w:rPr>
              <w:t>**</w:t>
            </w:r>
          </w:p>
        </w:tc>
        <w:tc>
          <w:tcPr>
            <w:tcW w:w="709" w:type="dxa"/>
            <w:shd w:val="clear" w:color="auto" w:fill="auto"/>
            <w:noWrap/>
            <w:vAlign w:val="center"/>
          </w:tcPr>
          <w:p w14:paraId="2CE86195" w14:textId="43CA56F4"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.40**</w:t>
            </w:r>
          </w:p>
        </w:tc>
        <w:tc>
          <w:tcPr>
            <w:tcW w:w="708" w:type="dxa"/>
            <w:shd w:val="clear" w:color="auto" w:fill="auto"/>
            <w:noWrap/>
            <w:vAlign w:val="center"/>
          </w:tcPr>
          <w:p w14:paraId="69F44ECB" w14:textId="4476A974"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.14*</w:t>
            </w:r>
          </w:p>
        </w:tc>
        <w:tc>
          <w:tcPr>
            <w:tcW w:w="709" w:type="dxa"/>
            <w:shd w:val="clear" w:color="auto" w:fill="auto"/>
            <w:noWrap/>
            <w:vAlign w:val="center"/>
          </w:tcPr>
          <w:p w14:paraId="5C7FAE64" w14:textId="174FA6AD"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74" w:type="dxa"/>
            <w:shd w:val="clear" w:color="auto" w:fill="auto"/>
            <w:noWrap/>
            <w:vAlign w:val="center"/>
          </w:tcPr>
          <w:p w14:paraId="29521AB4" w14:textId="65BA0506"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.06</w:t>
            </w:r>
          </w:p>
        </w:tc>
        <w:tc>
          <w:tcPr>
            <w:tcW w:w="774" w:type="dxa"/>
            <w:shd w:val="clear" w:color="auto" w:fill="auto"/>
            <w:noWrap/>
            <w:vAlign w:val="center"/>
          </w:tcPr>
          <w:p w14:paraId="4DD74634" w14:textId="2C5FB0A4"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.83**</w:t>
            </w:r>
          </w:p>
        </w:tc>
        <w:tc>
          <w:tcPr>
            <w:tcW w:w="720" w:type="dxa"/>
            <w:shd w:val="clear" w:color="auto" w:fill="auto"/>
            <w:noWrap/>
            <w:vAlign w:val="center"/>
          </w:tcPr>
          <w:p w14:paraId="56AD186C" w14:textId="6E0847E9"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.58**</w:t>
            </w:r>
          </w:p>
        </w:tc>
        <w:tc>
          <w:tcPr>
            <w:tcW w:w="709" w:type="dxa"/>
            <w:shd w:val="clear" w:color="auto" w:fill="auto"/>
            <w:noWrap/>
            <w:vAlign w:val="center"/>
          </w:tcPr>
          <w:p w14:paraId="498ED7C7" w14:textId="4EBBA8A9"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.38**</w:t>
            </w:r>
          </w:p>
        </w:tc>
        <w:tc>
          <w:tcPr>
            <w:tcW w:w="709" w:type="dxa"/>
            <w:shd w:val="clear" w:color="auto" w:fill="auto"/>
            <w:noWrap/>
            <w:vAlign w:val="center"/>
          </w:tcPr>
          <w:p w14:paraId="07F8C064"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1.00</w:t>
            </w:r>
          </w:p>
        </w:tc>
        <w:tc>
          <w:tcPr>
            <w:tcW w:w="708" w:type="dxa"/>
            <w:shd w:val="clear" w:color="auto" w:fill="auto"/>
            <w:vAlign w:val="center"/>
          </w:tcPr>
          <w:p w14:paraId="6CF980A9"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74" w:type="dxa"/>
            <w:shd w:val="clear" w:color="auto" w:fill="auto"/>
            <w:noWrap/>
            <w:vAlign w:val="center"/>
          </w:tcPr>
          <w:p w14:paraId="3AC9C669" w14:textId="77777777"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p>
        </w:tc>
        <w:tc>
          <w:tcPr>
            <w:tcW w:w="774" w:type="dxa"/>
            <w:shd w:val="clear" w:color="auto" w:fill="auto"/>
            <w:noWrap/>
            <w:vAlign w:val="center"/>
          </w:tcPr>
          <w:p w14:paraId="69CD7D1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0B44B81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66582BC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5F94DCD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6CEA0D7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6A1429E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22989DC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52984056" w14:textId="77777777" w:rsidTr="007803A3">
        <w:trPr>
          <w:trHeight w:val="338"/>
        </w:trPr>
        <w:tc>
          <w:tcPr>
            <w:tcW w:w="420" w:type="dxa"/>
            <w:shd w:val="clear" w:color="auto" w:fill="auto"/>
            <w:noWrap/>
            <w:vAlign w:val="center"/>
          </w:tcPr>
          <w:p w14:paraId="616DA44A"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10</w:t>
            </w:r>
          </w:p>
        </w:tc>
        <w:tc>
          <w:tcPr>
            <w:tcW w:w="1796" w:type="dxa"/>
            <w:shd w:val="clear" w:color="auto" w:fill="auto"/>
            <w:vAlign w:val="center"/>
          </w:tcPr>
          <w:p w14:paraId="46448B64" w14:textId="77777777" w:rsidR="00E6060C" w:rsidRPr="00E6060C" w:rsidRDefault="00E6060C" w:rsidP="00E6060C">
            <w:pPr>
              <w:spacing w:line="240" w:lineRule="auto"/>
              <w:rPr>
                <w:rFonts w:ascii="Calibri" w:eastAsia="Calibri" w:hAnsi="Calibri" w:cs="Times New Roman"/>
                <w:b/>
                <w:sz w:val="20"/>
                <w:szCs w:val="20"/>
              </w:rPr>
            </w:pPr>
            <w:r w:rsidRPr="00E6060C">
              <w:rPr>
                <w:rFonts w:ascii="Calibri" w:eastAsia="Calibri" w:hAnsi="Calibri" w:cs="Times New Roman"/>
                <w:b/>
                <w:sz w:val="20"/>
                <w:szCs w:val="20"/>
              </w:rPr>
              <w:t>Work engagement</w:t>
            </w:r>
          </w:p>
        </w:tc>
        <w:tc>
          <w:tcPr>
            <w:tcW w:w="762" w:type="dxa"/>
            <w:shd w:val="clear" w:color="auto" w:fill="auto"/>
            <w:noWrap/>
            <w:vAlign w:val="center"/>
          </w:tcPr>
          <w:p w14:paraId="4EA4535E" w14:textId="10422E58"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.36**</w:t>
            </w:r>
          </w:p>
        </w:tc>
        <w:tc>
          <w:tcPr>
            <w:tcW w:w="709" w:type="dxa"/>
            <w:shd w:val="clear" w:color="auto" w:fill="auto"/>
            <w:noWrap/>
            <w:vAlign w:val="center"/>
          </w:tcPr>
          <w:p w14:paraId="111F2766" w14:textId="55F89C5E"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8" w:type="dxa"/>
            <w:shd w:val="clear" w:color="auto" w:fill="auto"/>
            <w:noWrap/>
            <w:vAlign w:val="center"/>
          </w:tcPr>
          <w:p w14:paraId="73373D42" w14:textId="3D93970B"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9</w:t>
            </w:r>
            <w:r w:rsidRPr="00E6060C">
              <w:rPr>
                <w:rFonts w:ascii="Calibri" w:eastAsia="Calibri" w:hAnsi="Calibri" w:cs="Times New Roman"/>
                <w:color w:val="000000"/>
                <w:sz w:val="20"/>
                <w:szCs w:val="20"/>
              </w:rPr>
              <w:t>**</w:t>
            </w:r>
          </w:p>
        </w:tc>
        <w:tc>
          <w:tcPr>
            <w:tcW w:w="709" w:type="dxa"/>
            <w:shd w:val="clear" w:color="auto" w:fill="auto"/>
            <w:noWrap/>
            <w:vAlign w:val="center"/>
          </w:tcPr>
          <w:p w14:paraId="2935F893" w14:textId="6216531E"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74" w:type="dxa"/>
            <w:shd w:val="clear" w:color="auto" w:fill="auto"/>
            <w:noWrap/>
            <w:vAlign w:val="center"/>
          </w:tcPr>
          <w:p w14:paraId="168DF2F3" w14:textId="0D7F82B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.20**</w:t>
            </w:r>
          </w:p>
        </w:tc>
        <w:tc>
          <w:tcPr>
            <w:tcW w:w="774" w:type="dxa"/>
            <w:shd w:val="clear" w:color="auto" w:fill="auto"/>
            <w:noWrap/>
            <w:vAlign w:val="center"/>
          </w:tcPr>
          <w:p w14:paraId="5EAE1C0F" w14:textId="6FC74228"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20" w:type="dxa"/>
            <w:shd w:val="clear" w:color="auto" w:fill="auto"/>
            <w:noWrap/>
            <w:vAlign w:val="center"/>
          </w:tcPr>
          <w:p w14:paraId="587745BD" w14:textId="4A41ECE5"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.50**</w:t>
            </w:r>
          </w:p>
        </w:tc>
        <w:tc>
          <w:tcPr>
            <w:tcW w:w="709" w:type="dxa"/>
            <w:shd w:val="clear" w:color="auto" w:fill="auto"/>
            <w:noWrap/>
            <w:vAlign w:val="center"/>
          </w:tcPr>
          <w:p w14:paraId="72BB38C7" w14:textId="5E29EA7A"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.28**</w:t>
            </w:r>
          </w:p>
        </w:tc>
        <w:tc>
          <w:tcPr>
            <w:tcW w:w="709" w:type="dxa"/>
            <w:shd w:val="clear" w:color="auto" w:fill="auto"/>
            <w:noWrap/>
            <w:vAlign w:val="center"/>
          </w:tcPr>
          <w:p w14:paraId="137E1153" w14:textId="0BEAE121"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08" w:type="dxa"/>
            <w:shd w:val="clear" w:color="auto" w:fill="auto"/>
            <w:vAlign w:val="center"/>
          </w:tcPr>
          <w:p w14:paraId="666B4756" w14:textId="7777777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1.00</w:t>
            </w:r>
          </w:p>
        </w:tc>
        <w:tc>
          <w:tcPr>
            <w:tcW w:w="774" w:type="dxa"/>
            <w:shd w:val="clear" w:color="auto" w:fill="auto"/>
            <w:noWrap/>
            <w:vAlign w:val="center"/>
          </w:tcPr>
          <w:p w14:paraId="3C9C9232" w14:textId="77777777" w:rsidR="00E6060C" w:rsidRPr="00E6060C" w:rsidRDefault="00E6060C" w:rsidP="00E6060C">
            <w:pPr>
              <w:spacing w:line="240" w:lineRule="auto"/>
              <w:jc w:val="center"/>
              <w:rPr>
                <w:rFonts w:ascii="Calibri" w:eastAsia="Calibri" w:hAnsi="Calibri" w:cs="Times New Roman"/>
                <w:color w:val="000000"/>
                <w:sz w:val="20"/>
                <w:szCs w:val="20"/>
              </w:rPr>
            </w:pPr>
          </w:p>
        </w:tc>
        <w:tc>
          <w:tcPr>
            <w:tcW w:w="774" w:type="dxa"/>
            <w:shd w:val="clear" w:color="auto" w:fill="auto"/>
            <w:noWrap/>
            <w:vAlign w:val="center"/>
          </w:tcPr>
          <w:p w14:paraId="5DA16DD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14FFBD9B"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3219976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1AD16DA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6F68A4D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1C87B72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1D8A02C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66EB75D7" w14:textId="77777777" w:rsidTr="007803A3">
        <w:trPr>
          <w:trHeight w:val="338"/>
        </w:trPr>
        <w:tc>
          <w:tcPr>
            <w:tcW w:w="420" w:type="dxa"/>
            <w:shd w:val="clear" w:color="auto" w:fill="auto"/>
            <w:noWrap/>
            <w:vAlign w:val="center"/>
          </w:tcPr>
          <w:p w14:paraId="35E9131C"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11</w:t>
            </w:r>
          </w:p>
        </w:tc>
        <w:tc>
          <w:tcPr>
            <w:tcW w:w="1796" w:type="dxa"/>
            <w:shd w:val="clear" w:color="auto" w:fill="auto"/>
            <w:vAlign w:val="center"/>
          </w:tcPr>
          <w:p w14:paraId="498EFA47" w14:textId="77777777" w:rsidR="00E6060C" w:rsidRPr="00E6060C" w:rsidRDefault="00E6060C" w:rsidP="00E6060C">
            <w:pPr>
              <w:spacing w:line="240" w:lineRule="auto"/>
              <w:rPr>
                <w:rFonts w:ascii="Calibri" w:eastAsia="Calibri" w:hAnsi="Calibri" w:cs="Times New Roman"/>
                <w:b/>
                <w:sz w:val="20"/>
                <w:szCs w:val="20"/>
              </w:rPr>
            </w:pPr>
            <w:r w:rsidRPr="00E6060C">
              <w:rPr>
                <w:rFonts w:ascii="Calibri" w:eastAsia="Calibri" w:hAnsi="Calibri" w:cs="Times New Roman"/>
                <w:b/>
                <w:sz w:val="20"/>
                <w:szCs w:val="20"/>
              </w:rPr>
              <w:t>Vigour</w:t>
            </w:r>
          </w:p>
        </w:tc>
        <w:tc>
          <w:tcPr>
            <w:tcW w:w="762" w:type="dxa"/>
            <w:shd w:val="clear" w:color="auto" w:fill="auto"/>
            <w:noWrap/>
            <w:vAlign w:val="center"/>
          </w:tcPr>
          <w:p w14:paraId="0D245F38" w14:textId="4CCB6815"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.37**</w:t>
            </w:r>
          </w:p>
        </w:tc>
        <w:tc>
          <w:tcPr>
            <w:tcW w:w="709" w:type="dxa"/>
            <w:shd w:val="clear" w:color="auto" w:fill="auto"/>
            <w:noWrap/>
            <w:vAlign w:val="center"/>
          </w:tcPr>
          <w:p w14:paraId="4765B0A0" w14:textId="3264D734"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08" w:type="dxa"/>
            <w:shd w:val="clear" w:color="auto" w:fill="auto"/>
            <w:noWrap/>
            <w:vAlign w:val="center"/>
          </w:tcPr>
          <w:p w14:paraId="2335B654" w14:textId="61A0BD1B"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5</w:t>
            </w:r>
            <w:r w:rsidRPr="00E6060C">
              <w:rPr>
                <w:rFonts w:ascii="Calibri" w:eastAsia="Calibri" w:hAnsi="Calibri" w:cs="Times New Roman"/>
                <w:color w:val="000000"/>
                <w:sz w:val="20"/>
                <w:szCs w:val="20"/>
              </w:rPr>
              <w:t>**</w:t>
            </w:r>
          </w:p>
        </w:tc>
        <w:tc>
          <w:tcPr>
            <w:tcW w:w="709" w:type="dxa"/>
            <w:shd w:val="clear" w:color="auto" w:fill="auto"/>
            <w:noWrap/>
            <w:vAlign w:val="center"/>
          </w:tcPr>
          <w:p w14:paraId="5EA083F0" w14:textId="6E839F21"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74" w:type="dxa"/>
            <w:shd w:val="clear" w:color="auto" w:fill="auto"/>
            <w:noWrap/>
            <w:vAlign w:val="center"/>
          </w:tcPr>
          <w:p w14:paraId="4EF27CB5" w14:textId="4A7CAB86"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.28**</w:t>
            </w:r>
          </w:p>
        </w:tc>
        <w:tc>
          <w:tcPr>
            <w:tcW w:w="774" w:type="dxa"/>
            <w:shd w:val="clear" w:color="auto" w:fill="auto"/>
            <w:noWrap/>
            <w:vAlign w:val="center"/>
          </w:tcPr>
          <w:p w14:paraId="47A70285" w14:textId="2BCD1B4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20" w:type="dxa"/>
            <w:shd w:val="clear" w:color="auto" w:fill="auto"/>
            <w:noWrap/>
            <w:vAlign w:val="center"/>
          </w:tcPr>
          <w:p w14:paraId="6D188F31" w14:textId="769D6130"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9" w:type="dxa"/>
            <w:shd w:val="clear" w:color="auto" w:fill="auto"/>
            <w:noWrap/>
            <w:vAlign w:val="center"/>
          </w:tcPr>
          <w:p w14:paraId="623A33B3" w14:textId="0EA6772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09" w:type="dxa"/>
            <w:shd w:val="clear" w:color="auto" w:fill="auto"/>
            <w:noWrap/>
            <w:vAlign w:val="center"/>
          </w:tcPr>
          <w:p w14:paraId="6DDE3F41" w14:textId="23370C95"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08" w:type="dxa"/>
            <w:shd w:val="clear" w:color="auto" w:fill="auto"/>
            <w:vAlign w:val="center"/>
          </w:tcPr>
          <w:p w14:paraId="022D89AB" w14:textId="11EA870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.92**</w:t>
            </w:r>
          </w:p>
        </w:tc>
        <w:tc>
          <w:tcPr>
            <w:tcW w:w="774" w:type="dxa"/>
            <w:shd w:val="clear" w:color="auto" w:fill="auto"/>
            <w:noWrap/>
            <w:vAlign w:val="center"/>
          </w:tcPr>
          <w:p w14:paraId="28070BB6" w14:textId="7777777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1.00</w:t>
            </w:r>
          </w:p>
        </w:tc>
        <w:tc>
          <w:tcPr>
            <w:tcW w:w="774" w:type="dxa"/>
            <w:shd w:val="clear" w:color="auto" w:fill="auto"/>
            <w:noWrap/>
            <w:vAlign w:val="center"/>
          </w:tcPr>
          <w:p w14:paraId="31590D8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4067C3D0"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67CFD40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2B053B9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02CB50F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4CEEEAE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04B67677"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6B47BBA8" w14:textId="77777777" w:rsidTr="007803A3">
        <w:trPr>
          <w:trHeight w:val="338"/>
        </w:trPr>
        <w:tc>
          <w:tcPr>
            <w:tcW w:w="420" w:type="dxa"/>
            <w:shd w:val="clear" w:color="auto" w:fill="auto"/>
            <w:noWrap/>
            <w:vAlign w:val="center"/>
          </w:tcPr>
          <w:p w14:paraId="7214A54D"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12</w:t>
            </w:r>
          </w:p>
        </w:tc>
        <w:tc>
          <w:tcPr>
            <w:tcW w:w="1796" w:type="dxa"/>
            <w:shd w:val="clear" w:color="auto" w:fill="auto"/>
            <w:vAlign w:val="center"/>
          </w:tcPr>
          <w:p w14:paraId="1D165FE7" w14:textId="77777777" w:rsidR="00E6060C" w:rsidRPr="00E6060C" w:rsidRDefault="00E6060C" w:rsidP="00E6060C">
            <w:pPr>
              <w:spacing w:line="240" w:lineRule="auto"/>
              <w:rPr>
                <w:rFonts w:ascii="Calibri" w:eastAsia="Calibri" w:hAnsi="Calibri" w:cs="Times New Roman"/>
                <w:b/>
                <w:sz w:val="20"/>
                <w:szCs w:val="20"/>
              </w:rPr>
            </w:pPr>
            <w:r w:rsidRPr="00E6060C">
              <w:rPr>
                <w:rFonts w:ascii="Calibri" w:eastAsia="Calibri" w:hAnsi="Calibri" w:cs="Times New Roman"/>
                <w:b/>
                <w:sz w:val="20"/>
                <w:szCs w:val="20"/>
              </w:rPr>
              <w:t>Dedication</w:t>
            </w:r>
          </w:p>
        </w:tc>
        <w:tc>
          <w:tcPr>
            <w:tcW w:w="762" w:type="dxa"/>
            <w:shd w:val="clear" w:color="auto" w:fill="auto"/>
            <w:noWrap/>
            <w:vAlign w:val="center"/>
          </w:tcPr>
          <w:p w14:paraId="7E69EE2A" w14:textId="6D4BA5CF"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5</w:t>
            </w:r>
            <w:r w:rsidRPr="00E6060C">
              <w:rPr>
                <w:rFonts w:ascii="Calibri" w:eastAsia="Calibri" w:hAnsi="Calibri" w:cs="Times New Roman"/>
                <w:color w:val="000000"/>
                <w:sz w:val="20"/>
                <w:szCs w:val="20"/>
              </w:rPr>
              <w:t>**</w:t>
            </w:r>
          </w:p>
        </w:tc>
        <w:tc>
          <w:tcPr>
            <w:tcW w:w="709" w:type="dxa"/>
            <w:shd w:val="clear" w:color="auto" w:fill="auto"/>
            <w:noWrap/>
            <w:vAlign w:val="center"/>
          </w:tcPr>
          <w:p w14:paraId="40E2CBE0" w14:textId="425375B0"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08" w:type="dxa"/>
            <w:shd w:val="clear" w:color="auto" w:fill="auto"/>
            <w:noWrap/>
            <w:vAlign w:val="center"/>
          </w:tcPr>
          <w:p w14:paraId="57B42BB6" w14:textId="16D6AA85"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.28**</w:t>
            </w:r>
          </w:p>
        </w:tc>
        <w:tc>
          <w:tcPr>
            <w:tcW w:w="709" w:type="dxa"/>
            <w:shd w:val="clear" w:color="auto" w:fill="auto"/>
            <w:noWrap/>
            <w:vAlign w:val="center"/>
          </w:tcPr>
          <w:p w14:paraId="35FDCF11" w14:textId="44587207"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.31**</w:t>
            </w:r>
          </w:p>
        </w:tc>
        <w:tc>
          <w:tcPr>
            <w:tcW w:w="774" w:type="dxa"/>
            <w:shd w:val="clear" w:color="auto" w:fill="auto"/>
            <w:noWrap/>
            <w:vAlign w:val="center"/>
          </w:tcPr>
          <w:p w14:paraId="64FD92DE" w14:textId="101B5BD9"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74" w:type="dxa"/>
            <w:shd w:val="clear" w:color="auto" w:fill="auto"/>
            <w:noWrap/>
            <w:vAlign w:val="center"/>
          </w:tcPr>
          <w:p w14:paraId="6EF84ABA" w14:textId="049F5D7E"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.48**</w:t>
            </w:r>
          </w:p>
        </w:tc>
        <w:tc>
          <w:tcPr>
            <w:tcW w:w="720" w:type="dxa"/>
            <w:shd w:val="clear" w:color="auto" w:fill="auto"/>
            <w:noWrap/>
            <w:vAlign w:val="center"/>
          </w:tcPr>
          <w:p w14:paraId="4657B9FB" w14:textId="70D24D1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.5</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2E86A821" w14:textId="4EE44C89"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09" w:type="dxa"/>
            <w:shd w:val="clear" w:color="auto" w:fill="auto"/>
            <w:noWrap/>
            <w:vAlign w:val="center"/>
          </w:tcPr>
          <w:p w14:paraId="7EECBA93" w14:textId="2759143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8" w:type="dxa"/>
            <w:shd w:val="clear" w:color="auto" w:fill="auto"/>
            <w:vAlign w:val="center"/>
          </w:tcPr>
          <w:p w14:paraId="5ABE8945" w14:textId="1F6A344A"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.89**</w:t>
            </w:r>
          </w:p>
        </w:tc>
        <w:tc>
          <w:tcPr>
            <w:tcW w:w="774" w:type="dxa"/>
            <w:shd w:val="clear" w:color="auto" w:fill="auto"/>
            <w:noWrap/>
            <w:vAlign w:val="center"/>
          </w:tcPr>
          <w:p w14:paraId="5AA4FD3F" w14:textId="4864C35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.7</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74" w:type="dxa"/>
            <w:shd w:val="clear" w:color="auto" w:fill="auto"/>
            <w:noWrap/>
            <w:vAlign w:val="center"/>
          </w:tcPr>
          <w:p w14:paraId="06944A4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1.00</w:t>
            </w:r>
          </w:p>
        </w:tc>
        <w:tc>
          <w:tcPr>
            <w:tcW w:w="774" w:type="dxa"/>
            <w:shd w:val="clear" w:color="auto" w:fill="auto"/>
            <w:noWrap/>
            <w:vAlign w:val="center"/>
          </w:tcPr>
          <w:p w14:paraId="01F2715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noWrap/>
            <w:vAlign w:val="center"/>
          </w:tcPr>
          <w:p w14:paraId="4CF1FD01"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A83DB4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2F7FB09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50A7936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47CF0035"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BD975EA" w14:textId="77777777" w:rsidTr="007803A3">
        <w:trPr>
          <w:trHeight w:val="338"/>
        </w:trPr>
        <w:tc>
          <w:tcPr>
            <w:tcW w:w="420" w:type="dxa"/>
            <w:shd w:val="clear" w:color="auto" w:fill="auto"/>
            <w:noWrap/>
            <w:vAlign w:val="center"/>
          </w:tcPr>
          <w:p w14:paraId="39F70408"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13</w:t>
            </w:r>
          </w:p>
        </w:tc>
        <w:tc>
          <w:tcPr>
            <w:tcW w:w="1796" w:type="dxa"/>
            <w:shd w:val="clear" w:color="auto" w:fill="auto"/>
            <w:vAlign w:val="center"/>
          </w:tcPr>
          <w:p w14:paraId="5462853D" w14:textId="77777777" w:rsidR="00E6060C" w:rsidRPr="00E6060C" w:rsidRDefault="00E6060C" w:rsidP="00E6060C">
            <w:pPr>
              <w:spacing w:line="240" w:lineRule="auto"/>
              <w:rPr>
                <w:rFonts w:ascii="Calibri" w:eastAsia="Calibri" w:hAnsi="Calibri" w:cs="Times New Roman"/>
                <w:b/>
                <w:sz w:val="20"/>
                <w:szCs w:val="20"/>
              </w:rPr>
            </w:pPr>
            <w:r w:rsidRPr="00E6060C">
              <w:rPr>
                <w:rFonts w:ascii="Calibri" w:eastAsia="Calibri" w:hAnsi="Calibri" w:cs="Times New Roman"/>
                <w:b/>
                <w:sz w:val="20"/>
                <w:szCs w:val="20"/>
              </w:rPr>
              <w:t>Absorption</w:t>
            </w:r>
          </w:p>
        </w:tc>
        <w:tc>
          <w:tcPr>
            <w:tcW w:w="762" w:type="dxa"/>
            <w:shd w:val="clear" w:color="auto" w:fill="auto"/>
            <w:noWrap/>
            <w:vAlign w:val="center"/>
          </w:tcPr>
          <w:p w14:paraId="629E694C" w14:textId="5CA6ACE2"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.26**</w:t>
            </w:r>
          </w:p>
        </w:tc>
        <w:tc>
          <w:tcPr>
            <w:tcW w:w="709" w:type="dxa"/>
            <w:shd w:val="clear" w:color="auto" w:fill="auto"/>
            <w:noWrap/>
            <w:vAlign w:val="center"/>
          </w:tcPr>
          <w:p w14:paraId="723A7747" w14:textId="0143307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8" w:type="dxa"/>
            <w:shd w:val="clear" w:color="auto" w:fill="auto"/>
            <w:noWrap/>
            <w:vAlign w:val="center"/>
          </w:tcPr>
          <w:p w14:paraId="47FEC37F" w14:textId="09A83C2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.1</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09" w:type="dxa"/>
            <w:shd w:val="clear" w:color="auto" w:fill="auto"/>
            <w:noWrap/>
            <w:vAlign w:val="center"/>
          </w:tcPr>
          <w:p w14:paraId="139EBDC6" w14:textId="16193B21"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74" w:type="dxa"/>
            <w:shd w:val="clear" w:color="auto" w:fill="auto"/>
            <w:noWrap/>
            <w:vAlign w:val="center"/>
          </w:tcPr>
          <w:p w14:paraId="4BE31837" w14:textId="60FE297B"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.09</w:t>
            </w:r>
          </w:p>
        </w:tc>
        <w:tc>
          <w:tcPr>
            <w:tcW w:w="774" w:type="dxa"/>
            <w:shd w:val="clear" w:color="auto" w:fill="auto"/>
            <w:noWrap/>
            <w:vAlign w:val="center"/>
          </w:tcPr>
          <w:p w14:paraId="6224D42A" w14:textId="118A36A1"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.42**</w:t>
            </w:r>
          </w:p>
        </w:tc>
        <w:tc>
          <w:tcPr>
            <w:tcW w:w="720" w:type="dxa"/>
            <w:shd w:val="clear" w:color="auto" w:fill="auto"/>
            <w:noWrap/>
            <w:vAlign w:val="center"/>
          </w:tcPr>
          <w:p w14:paraId="39EC3576" w14:textId="7E5E7FAC"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35CBC06B" w14:textId="0A54EAB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.26**</w:t>
            </w:r>
          </w:p>
        </w:tc>
        <w:tc>
          <w:tcPr>
            <w:tcW w:w="709" w:type="dxa"/>
            <w:shd w:val="clear" w:color="auto" w:fill="auto"/>
            <w:noWrap/>
            <w:vAlign w:val="center"/>
          </w:tcPr>
          <w:p w14:paraId="64A18676" w14:textId="76BE14D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.35**</w:t>
            </w:r>
          </w:p>
        </w:tc>
        <w:tc>
          <w:tcPr>
            <w:tcW w:w="708" w:type="dxa"/>
            <w:shd w:val="clear" w:color="auto" w:fill="auto"/>
            <w:vAlign w:val="center"/>
          </w:tcPr>
          <w:p w14:paraId="23B0428C" w14:textId="7533A266"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.88**</w:t>
            </w:r>
          </w:p>
        </w:tc>
        <w:tc>
          <w:tcPr>
            <w:tcW w:w="774" w:type="dxa"/>
            <w:shd w:val="clear" w:color="auto" w:fill="auto"/>
            <w:noWrap/>
            <w:vAlign w:val="center"/>
          </w:tcPr>
          <w:p w14:paraId="3BF5BAFE" w14:textId="58EA18C4"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70</w:t>
            </w:r>
            <w:r w:rsidRPr="00E6060C">
              <w:rPr>
                <w:rFonts w:ascii="Calibri" w:eastAsia="Calibri" w:hAnsi="Calibri" w:cs="Times New Roman"/>
                <w:color w:val="000000"/>
                <w:sz w:val="20"/>
                <w:szCs w:val="20"/>
              </w:rPr>
              <w:t>**</w:t>
            </w:r>
          </w:p>
        </w:tc>
        <w:tc>
          <w:tcPr>
            <w:tcW w:w="774" w:type="dxa"/>
            <w:shd w:val="clear" w:color="auto" w:fill="auto"/>
            <w:noWrap/>
            <w:vAlign w:val="center"/>
          </w:tcPr>
          <w:p w14:paraId="5D137CB6" w14:textId="27C4FED5"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.6</w:t>
            </w:r>
            <w:r w:rsidR="00611231">
              <w:rPr>
                <w:rFonts w:ascii="Calibri" w:eastAsia="Calibri" w:hAnsi="Calibri" w:cs="Times New Roman"/>
                <w:color w:val="000000"/>
                <w:sz w:val="20"/>
                <w:szCs w:val="20"/>
              </w:rPr>
              <w:t>9</w:t>
            </w:r>
            <w:r w:rsidRPr="00E6060C">
              <w:rPr>
                <w:rFonts w:ascii="Calibri" w:eastAsia="Calibri" w:hAnsi="Calibri" w:cs="Times New Roman"/>
                <w:color w:val="000000"/>
                <w:sz w:val="20"/>
                <w:szCs w:val="20"/>
              </w:rPr>
              <w:t>**</w:t>
            </w:r>
          </w:p>
        </w:tc>
        <w:tc>
          <w:tcPr>
            <w:tcW w:w="774" w:type="dxa"/>
            <w:shd w:val="clear" w:color="auto" w:fill="auto"/>
            <w:noWrap/>
            <w:vAlign w:val="center"/>
          </w:tcPr>
          <w:p w14:paraId="4FA4352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1.00</w:t>
            </w:r>
          </w:p>
        </w:tc>
        <w:tc>
          <w:tcPr>
            <w:tcW w:w="774" w:type="dxa"/>
            <w:shd w:val="clear" w:color="auto" w:fill="auto"/>
            <w:noWrap/>
            <w:vAlign w:val="center"/>
          </w:tcPr>
          <w:p w14:paraId="6998B7C4"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22CED1C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3530853"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53733F1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0748B87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4A34DE1B" w14:textId="77777777" w:rsidTr="007803A3">
        <w:trPr>
          <w:trHeight w:val="338"/>
        </w:trPr>
        <w:tc>
          <w:tcPr>
            <w:tcW w:w="420" w:type="dxa"/>
            <w:shd w:val="clear" w:color="auto" w:fill="auto"/>
            <w:noWrap/>
            <w:vAlign w:val="center"/>
          </w:tcPr>
          <w:p w14:paraId="308D4CD4"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14</w:t>
            </w:r>
          </w:p>
        </w:tc>
        <w:tc>
          <w:tcPr>
            <w:tcW w:w="1796" w:type="dxa"/>
            <w:shd w:val="clear" w:color="auto" w:fill="auto"/>
            <w:vAlign w:val="center"/>
          </w:tcPr>
          <w:p w14:paraId="37C92B0C" w14:textId="49B7F4B5" w:rsidR="00E6060C" w:rsidRPr="00E6060C" w:rsidRDefault="001D6140" w:rsidP="00E6060C">
            <w:pPr>
              <w:spacing w:line="240" w:lineRule="auto"/>
              <w:rPr>
                <w:rFonts w:ascii="Calibri" w:eastAsia="Calibri" w:hAnsi="Calibri" w:cs="Times New Roman"/>
                <w:b/>
                <w:sz w:val="20"/>
                <w:szCs w:val="20"/>
              </w:rPr>
            </w:pPr>
            <w:r>
              <w:rPr>
                <w:rFonts w:ascii="Calibri" w:eastAsia="Calibri" w:hAnsi="Calibri" w:cs="Times New Roman"/>
                <w:b/>
                <w:sz w:val="20"/>
                <w:szCs w:val="20"/>
              </w:rPr>
              <w:t>Well-being</w:t>
            </w:r>
            <w:r w:rsidR="00E6060C" w:rsidRPr="00E6060C">
              <w:rPr>
                <w:rFonts w:ascii="Calibri" w:eastAsia="Calibri" w:hAnsi="Calibri" w:cs="Times New Roman"/>
                <w:b/>
                <w:sz w:val="20"/>
                <w:szCs w:val="20"/>
              </w:rPr>
              <w:t xml:space="preserve"> </w:t>
            </w:r>
          </w:p>
        </w:tc>
        <w:tc>
          <w:tcPr>
            <w:tcW w:w="762" w:type="dxa"/>
            <w:shd w:val="clear" w:color="auto" w:fill="auto"/>
            <w:noWrap/>
            <w:vAlign w:val="center"/>
          </w:tcPr>
          <w:p w14:paraId="3B853085" w14:textId="4B70ECDF"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09" w:type="dxa"/>
            <w:shd w:val="clear" w:color="auto" w:fill="auto"/>
            <w:noWrap/>
            <w:vAlign w:val="center"/>
          </w:tcPr>
          <w:p w14:paraId="7FA32AE4" w14:textId="463C0964"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.38**</w:t>
            </w:r>
          </w:p>
        </w:tc>
        <w:tc>
          <w:tcPr>
            <w:tcW w:w="708" w:type="dxa"/>
            <w:shd w:val="clear" w:color="auto" w:fill="auto"/>
            <w:noWrap/>
            <w:vAlign w:val="center"/>
          </w:tcPr>
          <w:p w14:paraId="31B15F18" w14:textId="08412E21"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50</w:t>
            </w:r>
            <w:r w:rsidRPr="00E6060C">
              <w:rPr>
                <w:rFonts w:ascii="Calibri" w:eastAsia="Calibri" w:hAnsi="Calibri" w:cs="Times New Roman"/>
                <w:color w:val="000000"/>
                <w:sz w:val="20"/>
                <w:szCs w:val="20"/>
              </w:rPr>
              <w:t>**</w:t>
            </w:r>
          </w:p>
        </w:tc>
        <w:tc>
          <w:tcPr>
            <w:tcW w:w="709" w:type="dxa"/>
            <w:shd w:val="clear" w:color="auto" w:fill="auto"/>
            <w:noWrap/>
            <w:vAlign w:val="center"/>
          </w:tcPr>
          <w:p w14:paraId="7C99F5B4" w14:textId="47935193"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.42**</w:t>
            </w:r>
          </w:p>
        </w:tc>
        <w:tc>
          <w:tcPr>
            <w:tcW w:w="774" w:type="dxa"/>
            <w:shd w:val="clear" w:color="auto" w:fill="auto"/>
            <w:noWrap/>
            <w:vAlign w:val="center"/>
          </w:tcPr>
          <w:p w14:paraId="3974005D" w14:textId="79AD46F8"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.44**</w:t>
            </w:r>
          </w:p>
        </w:tc>
        <w:tc>
          <w:tcPr>
            <w:tcW w:w="774" w:type="dxa"/>
            <w:shd w:val="clear" w:color="auto" w:fill="auto"/>
            <w:noWrap/>
            <w:vAlign w:val="center"/>
          </w:tcPr>
          <w:p w14:paraId="323EC0EF" w14:textId="07889EBE"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.57**</w:t>
            </w:r>
          </w:p>
        </w:tc>
        <w:tc>
          <w:tcPr>
            <w:tcW w:w="720" w:type="dxa"/>
            <w:shd w:val="clear" w:color="auto" w:fill="auto"/>
            <w:noWrap/>
            <w:vAlign w:val="center"/>
          </w:tcPr>
          <w:p w14:paraId="2C7C5FCD" w14:textId="1F3EA23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.61**</w:t>
            </w:r>
          </w:p>
        </w:tc>
        <w:tc>
          <w:tcPr>
            <w:tcW w:w="709" w:type="dxa"/>
            <w:shd w:val="clear" w:color="auto" w:fill="auto"/>
            <w:noWrap/>
            <w:vAlign w:val="center"/>
          </w:tcPr>
          <w:p w14:paraId="3A74002F" w14:textId="40E2AF04"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09" w:type="dxa"/>
            <w:shd w:val="clear" w:color="auto" w:fill="auto"/>
            <w:noWrap/>
            <w:vAlign w:val="center"/>
          </w:tcPr>
          <w:p w14:paraId="0F37D435" w14:textId="5360F06A"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40</w:t>
            </w:r>
            <w:r w:rsidRPr="00E6060C">
              <w:rPr>
                <w:rFonts w:ascii="Calibri" w:eastAsia="Calibri" w:hAnsi="Calibri" w:cs="Times New Roman"/>
                <w:color w:val="000000"/>
                <w:sz w:val="20"/>
                <w:szCs w:val="20"/>
              </w:rPr>
              <w:t>**</w:t>
            </w:r>
          </w:p>
        </w:tc>
        <w:tc>
          <w:tcPr>
            <w:tcW w:w="708" w:type="dxa"/>
            <w:shd w:val="clear" w:color="auto" w:fill="auto"/>
            <w:vAlign w:val="center"/>
          </w:tcPr>
          <w:p w14:paraId="6BD4B384" w14:textId="48F3E2AE"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.6</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74" w:type="dxa"/>
            <w:shd w:val="clear" w:color="auto" w:fill="auto"/>
            <w:noWrap/>
            <w:vAlign w:val="center"/>
          </w:tcPr>
          <w:p w14:paraId="59F7CCFB" w14:textId="4F4C14B0"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.6</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74" w:type="dxa"/>
            <w:shd w:val="clear" w:color="auto" w:fill="auto"/>
            <w:noWrap/>
            <w:vAlign w:val="center"/>
          </w:tcPr>
          <w:p w14:paraId="127FA71B" w14:textId="34C277DC" w:rsidR="00E6060C" w:rsidRPr="00E6060C" w:rsidRDefault="00E6060C" w:rsidP="008E423B">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.6</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74" w:type="dxa"/>
            <w:shd w:val="clear" w:color="auto" w:fill="auto"/>
            <w:noWrap/>
            <w:vAlign w:val="center"/>
          </w:tcPr>
          <w:p w14:paraId="463A7C31" w14:textId="237CF72F" w:rsidR="00E6060C" w:rsidRPr="00E6060C" w:rsidRDefault="00E6060C" w:rsidP="008E423B">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.46**</w:t>
            </w:r>
          </w:p>
        </w:tc>
        <w:tc>
          <w:tcPr>
            <w:tcW w:w="774" w:type="dxa"/>
            <w:shd w:val="clear" w:color="auto" w:fill="auto"/>
            <w:noWrap/>
            <w:vAlign w:val="center"/>
          </w:tcPr>
          <w:p w14:paraId="4CBB4548"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1.00</w:t>
            </w:r>
          </w:p>
        </w:tc>
        <w:tc>
          <w:tcPr>
            <w:tcW w:w="774" w:type="dxa"/>
            <w:shd w:val="clear" w:color="auto" w:fill="auto"/>
            <w:vAlign w:val="center"/>
          </w:tcPr>
          <w:p w14:paraId="475DC10F"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74" w:type="dxa"/>
            <w:shd w:val="clear" w:color="auto" w:fill="auto"/>
            <w:vAlign w:val="center"/>
          </w:tcPr>
          <w:p w14:paraId="72C4377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6C91847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25946D61"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3028E0C" w14:textId="77777777" w:rsidTr="007803A3">
        <w:trPr>
          <w:trHeight w:val="338"/>
        </w:trPr>
        <w:tc>
          <w:tcPr>
            <w:tcW w:w="420" w:type="dxa"/>
            <w:shd w:val="clear" w:color="auto" w:fill="auto"/>
            <w:noWrap/>
            <w:vAlign w:val="center"/>
          </w:tcPr>
          <w:p w14:paraId="693990AA"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15</w:t>
            </w:r>
          </w:p>
        </w:tc>
        <w:tc>
          <w:tcPr>
            <w:tcW w:w="1796" w:type="dxa"/>
            <w:shd w:val="clear" w:color="auto" w:fill="auto"/>
            <w:vAlign w:val="center"/>
          </w:tcPr>
          <w:p w14:paraId="606FC84F"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Calibri" w:hAnsi="Calibri" w:cs="Times New Roman"/>
                <w:b/>
                <w:sz w:val="20"/>
                <w:szCs w:val="20"/>
              </w:rPr>
              <w:t xml:space="preserve">HAUA </w:t>
            </w:r>
          </w:p>
        </w:tc>
        <w:tc>
          <w:tcPr>
            <w:tcW w:w="762" w:type="dxa"/>
            <w:shd w:val="clear" w:color="auto" w:fill="auto"/>
            <w:noWrap/>
            <w:vAlign w:val="center"/>
          </w:tcPr>
          <w:p w14:paraId="3B6476E3" w14:textId="0C238BC3"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1831A36E" w14:textId="4AB56878"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.1</w:t>
            </w:r>
            <w:r w:rsidR="00611231">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08" w:type="dxa"/>
            <w:shd w:val="clear" w:color="auto" w:fill="auto"/>
            <w:noWrap/>
            <w:vAlign w:val="center"/>
          </w:tcPr>
          <w:p w14:paraId="435778F2" w14:textId="2C759903"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09" w:type="dxa"/>
            <w:shd w:val="clear" w:color="auto" w:fill="auto"/>
            <w:noWrap/>
            <w:vAlign w:val="center"/>
          </w:tcPr>
          <w:p w14:paraId="0DC7A86B" w14:textId="367BE4A1"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.21**</w:t>
            </w:r>
          </w:p>
        </w:tc>
        <w:tc>
          <w:tcPr>
            <w:tcW w:w="774" w:type="dxa"/>
            <w:shd w:val="clear" w:color="auto" w:fill="auto"/>
            <w:noWrap/>
            <w:vAlign w:val="center"/>
          </w:tcPr>
          <w:p w14:paraId="3F94D5CE" w14:textId="49FEB47A"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.33**</w:t>
            </w:r>
          </w:p>
        </w:tc>
        <w:tc>
          <w:tcPr>
            <w:tcW w:w="774" w:type="dxa"/>
            <w:shd w:val="clear" w:color="auto" w:fill="auto"/>
            <w:noWrap/>
            <w:vAlign w:val="center"/>
          </w:tcPr>
          <w:p w14:paraId="4BDB1DDF" w14:textId="04FFDC8D"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9</w:t>
            </w:r>
            <w:r w:rsidRPr="00E6060C">
              <w:rPr>
                <w:rFonts w:ascii="Calibri" w:eastAsia="Calibri" w:hAnsi="Calibri" w:cs="Times New Roman"/>
                <w:color w:val="000000"/>
                <w:sz w:val="20"/>
                <w:szCs w:val="20"/>
              </w:rPr>
              <w:t>*</w:t>
            </w:r>
          </w:p>
        </w:tc>
        <w:tc>
          <w:tcPr>
            <w:tcW w:w="720" w:type="dxa"/>
            <w:shd w:val="clear" w:color="auto" w:fill="auto"/>
            <w:noWrap/>
            <w:vAlign w:val="center"/>
          </w:tcPr>
          <w:p w14:paraId="3015CC47" w14:textId="66BCCD49"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.41**</w:t>
            </w:r>
          </w:p>
        </w:tc>
        <w:tc>
          <w:tcPr>
            <w:tcW w:w="709" w:type="dxa"/>
            <w:shd w:val="clear" w:color="auto" w:fill="auto"/>
            <w:noWrap/>
            <w:vAlign w:val="center"/>
          </w:tcPr>
          <w:p w14:paraId="4F4A9895" w14:textId="741C4EF8"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.21**</w:t>
            </w:r>
          </w:p>
        </w:tc>
        <w:tc>
          <w:tcPr>
            <w:tcW w:w="709" w:type="dxa"/>
            <w:shd w:val="clear" w:color="auto" w:fill="auto"/>
            <w:noWrap/>
            <w:vAlign w:val="center"/>
          </w:tcPr>
          <w:p w14:paraId="7BCC6F55" w14:textId="7D0E7E0B"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8" w:type="dxa"/>
            <w:shd w:val="clear" w:color="auto" w:fill="auto"/>
            <w:vAlign w:val="center"/>
          </w:tcPr>
          <w:p w14:paraId="6CD7FC99" w14:textId="3006793D"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74" w:type="dxa"/>
            <w:shd w:val="clear" w:color="auto" w:fill="auto"/>
            <w:noWrap/>
            <w:vAlign w:val="center"/>
          </w:tcPr>
          <w:p w14:paraId="35026900" w14:textId="0365DBC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.30**</w:t>
            </w:r>
          </w:p>
        </w:tc>
        <w:tc>
          <w:tcPr>
            <w:tcW w:w="774" w:type="dxa"/>
            <w:shd w:val="clear" w:color="auto" w:fill="auto"/>
            <w:noWrap/>
            <w:vAlign w:val="center"/>
          </w:tcPr>
          <w:p w14:paraId="388302BC" w14:textId="75AD00C3"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5</w:t>
            </w:r>
            <w:r w:rsidRPr="00E6060C">
              <w:rPr>
                <w:rFonts w:ascii="Calibri" w:eastAsia="Calibri" w:hAnsi="Calibri" w:cs="Times New Roman"/>
                <w:color w:val="000000"/>
                <w:sz w:val="20"/>
                <w:szCs w:val="20"/>
              </w:rPr>
              <w:t>**</w:t>
            </w:r>
          </w:p>
        </w:tc>
        <w:tc>
          <w:tcPr>
            <w:tcW w:w="774" w:type="dxa"/>
            <w:shd w:val="clear" w:color="auto" w:fill="auto"/>
            <w:noWrap/>
            <w:vAlign w:val="center"/>
          </w:tcPr>
          <w:p w14:paraId="150CC90E" w14:textId="09031DC6"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.23**</w:t>
            </w:r>
          </w:p>
        </w:tc>
        <w:tc>
          <w:tcPr>
            <w:tcW w:w="774" w:type="dxa"/>
            <w:shd w:val="clear" w:color="auto" w:fill="auto"/>
            <w:noWrap/>
            <w:vAlign w:val="center"/>
          </w:tcPr>
          <w:p w14:paraId="2689E100" w14:textId="5799DBD1"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.72**</w:t>
            </w:r>
          </w:p>
        </w:tc>
        <w:tc>
          <w:tcPr>
            <w:tcW w:w="774" w:type="dxa"/>
            <w:shd w:val="clear" w:color="auto" w:fill="auto"/>
            <w:vAlign w:val="center"/>
          </w:tcPr>
          <w:p w14:paraId="12897859"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1.00</w:t>
            </w:r>
          </w:p>
        </w:tc>
        <w:tc>
          <w:tcPr>
            <w:tcW w:w="774" w:type="dxa"/>
            <w:shd w:val="clear" w:color="auto" w:fill="auto"/>
            <w:vAlign w:val="center"/>
          </w:tcPr>
          <w:p w14:paraId="3EDA9C6A"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43" w:type="dxa"/>
            <w:shd w:val="clear" w:color="auto" w:fill="auto"/>
            <w:vAlign w:val="center"/>
          </w:tcPr>
          <w:p w14:paraId="63AF5D2E"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5996A346"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7828FCF" w14:textId="77777777" w:rsidTr="007803A3">
        <w:trPr>
          <w:trHeight w:val="338"/>
        </w:trPr>
        <w:tc>
          <w:tcPr>
            <w:tcW w:w="420" w:type="dxa"/>
            <w:shd w:val="clear" w:color="auto" w:fill="auto"/>
            <w:noWrap/>
            <w:vAlign w:val="center"/>
          </w:tcPr>
          <w:p w14:paraId="14101F21"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16</w:t>
            </w:r>
          </w:p>
        </w:tc>
        <w:tc>
          <w:tcPr>
            <w:tcW w:w="1796" w:type="dxa"/>
            <w:shd w:val="clear" w:color="auto" w:fill="auto"/>
            <w:vAlign w:val="center"/>
          </w:tcPr>
          <w:p w14:paraId="4986F461" w14:textId="77777777" w:rsidR="00E6060C" w:rsidRPr="00E6060C" w:rsidRDefault="00E6060C" w:rsidP="00E6060C">
            <w:pPr>
              <w:spacing w:line="240" w:lineRule="auto"/>
              <w:rPr>
                <w:rFonts w:ascii="Calibri" w:eastAsia="Calibri" w:hAnsi="Calibri" w:cs="Times New Roman"/>
                <w:b/>
                <w:sz w:val="20"/>
                <w:szCs w:val="20"/>
              </w:rPr>
            </w:pPr>
            <w:r w:rsidRPr="00E6060C">
              <w:rPr>
                <w:rFonts w:ascii="Calibri" w:eastAsia="Calibri" w:hAnsi="Calibri" w:cs="Times New Roman"/>
                <w:b/>
                <w:sz w:val="20"/>
                <w:szCs w:val="20"/>
              </w:rPr>
              <w:t>LAUA</w:t>
            </w:r>
          </w:p>
        </w:tc>
        <w:tc>
          <w:tcPr>
            <w:tcW w:w="762" w:type="dxa"/>
            <w:shd w:val="clear" w:color="auto" w:fill="auto"/>
            <w:noWrap/>
            <w:vAlign w:val="center"/>
          </w:tcPr>
          <w:p w14:paraId="595A1157" w14:textId="4492C52E"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.24**</w:t>
            </w:r>
          </w:p>
        </w:tc>
        <w:tc>
          <w:tcPr>
            <w:tcW w:w="709" w:type="dxa"/>
            <w:shd w:val="clear" w:color="auto" w:fill="auto"/>
            <w:noWrap/>
            <w:vAlign w:val="center"/>
          </w:tcPr>
          <w:p w14:paraId="6F582A38" w14:textId="4DA350E6"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611231">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08" w:type="dxa"/>
            <w:shd w:val="clear" w:color="auto" w:fill="auto"/>
            <w:noWrap/>
            <w:vAlign w:val="center"/>
          </w:tcPr>
          <w:p w14:paraId="24588A9A" w14:textId="0D636392"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09" w:type="dxa"/>
            <w:shd w:val="clear" w:color="auto" w:fill="auto"/>
            <w:noWrap/>
            <w:vAlign w:val="center"/>
          </w:tcPr>
          <w:p w14:paraId="73C9EAEB" w14:textId="38EF8D9D"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74" w:type="dxa"/>
            <w:shd w:val="clear" w:color="auto" w:fill="auto"/>
            <w:noWrap/>
            <w:vAlign w:val="center"/>
          </w:tcPr>
          <w:p w14:paraId="24462352" w14:textId="59189501"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74" w:type="dxa"/>
            <w:shd w:val="clear" w:color="auto" w:fill="auto"/>
            <w:noWrap/>
            <w:vAlign w:val="center"/>
          </w:tcPr>
          <w:p w14:paraId="31C5D4A3" w14:textId="1F192075"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611231">
              <w:rPr>
                <w:rFonts w:ascii="Calibri" w:eastAsia="Calibri" w:hAnsi="Calibri" w:cs="Times New Roman"/>
                <w:color w:val="000000"/>
                <w:sz w:val="20"/>
                <w:szCs w:val="20"/>
              </w:rPr>
              <w:t>5</w:t>
            </w:r>
            <w:r w:rsidRPr="00E6060C">
              <w:rPr>
                <w:rFonts w:ascii="Calibri" w:eastAsia="Calibri" w:hAnsi="Calibri" w:cs="Times New Roman"/>
                <w:color w:val="000000"/>
                <w:sz w:val="20"/>
                <w:szCs w:val="20"/>
              </w:rPr>
              <w:t>**</w:t>
            </w:r>
          </w:p>
        </w:tc>
        <w:tc>
          <w:tcPr>
            <w:tcW w:w="720" w:type="dxa"/>
            <w:shd w:val="clear" w:color="auto" w:fill="auto"/>
            <w:noWrap/>
            <w:vAlign w:val="center"/>
          </w:tcPr>
          <w:p w14:paraId="0D7B2E82" w14:textId="21FEDADC"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50</w:t>
            </w:r>
            <w:r w:rsidRPr="00E6060C">
              <w:rPr>
                <w:rFonts w:ascii="Calibri" w:eastAsia="Calibri" w:hAnsi="Calibri" w:cs="Times New Roman"/>
                <w:color w:val="000000"/>
                <w:sz w:val="20"/>
                <w:szCs w:val="20"/>
              </w:rPr>
              <w:t>**</w:t>
            </w:r>
          </w:p>
        </w:tc>
        <w:tc>
          <w:tcPr>
            <w:tcW w:w="709" w:type="dxa"/>
            <w:shd w:val="clear" w:color="auto" w:fill="auto"/>
            <w:noWrap/>
            <w:vAlign w:val="center"/>
          </w:tcPr>
          <w:p w14:paraId="49B3FB08" w14:textId="491EDFCC"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.1</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9" w:type="dxa"/>
            <w:shd w:val="clear" w:color="auto" w:fill="auto"/>
            <w:noWrap/>
            <w:vAlign w:val="center"/>
          </w:tcPr>
          <w:p w14:paraId="18B23887" w14:textId="407C5F9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.34**</w:t>
            </w:r>
          </w:p>
        </w:tc>
        <w:tc>
          <w:tcPr>
            <w:tcW w:w="708" w:type="dxa"/>
            <w:shd w:val="clear" w:color="auto" w:fill="auto"/>
            <w:vAlign w:val="center"/>
          </w:tcPr>
          <w:p w14:paraId="082F45A0" w14:textId="7E6BEC75"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.54**</w:t>
            </w:r>
          </w:p>
        </w:tc>
        <w:tc>
          <w:tcPr>
            <w:tcW w:w="774" w:type="dxa"/>
            <w:shd w:val="clear" w:color="auto" w:fill="auto"/>
            <w:noWrap/>
            <w:vAlign w:val="center"/>
          </w:tcPr>
          <w:p w14:paraId="188EAF8B" w14:textId="0D5B4516"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.5</w:t>
            </w:r>
            <w:r w:rsidR="00611231">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74" w:type="dxa"/>
            <w:shd w:val="clear" w:color="auto" w:fill="auto"/>
            <w:noWrap/>
            <w:vAlign w:val="center"/>
          </w:tcPr>
          <w:p w14:paraId="34F1259D" w14:textId="017604C9"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.60**</w:t>
            </w:r>
          </w:p>
        </w:tc>
        <w:tc>
          <w:tcPr>
            <w:tcW w:w="774" w:type="dxa"/>
            <w:shd w:val="clear" w:color="auto" w:fill="auto"/>
            <w:noWrap/>
            <w:vAlign w:val="center"/>
          </w:tcPr>
          <w:p w14:paraId="223CC1C4" w14:textId="27A23171"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.38**</w:t>
            </w:r>
          </w:p>
        </w:tc>
        <w:tc>
          <w:tcPr>
            <w:tcW w:w="774" w:type="dxa"/>
            <w:shd w:val="clear" w:color="auto" w:fill="auto"/>
            <w:noWrap/>
            <w:vAlign w:val="center"/>
          </w:tcPr>
          <w:p w14:paraId="0FE24BDB" w14:textId="144F8C2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.7</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74" w:type="dxa"/>
            <w:shd w:val="clear" w:color="auto" w:fill="auto"/>
            <w:vAlign w:val="center"/>
          </w:tcPr>
          <w:p w14:paraId="7784C741" w14:textId="4AC079D0"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.6</w:t>
            </w:r>
            <w:r w:rsidR="00611231">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74" w:type="dxa"/>
            <w:shd w:val="clear" w:color="auto" w:fill="auto"/>
            <w:vAlign w:val="center"/>
          </w:tcPr>
          <w:p w14:paraId="3BDCF962"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1.00</w:t>
            </w:r>
          </w:p>
        </w:tc>
        <w:tc>
          <w:tcPr>
            <w:tcW w:w="743" w:type="dxa"/>
            <w:shd w:val="clear" w:color="auto" w:fill="auto"/>
            <w:vAlign w:val="center"/>
          </w:tcPr>
          <w:p w14:paraId="2757E651"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c>
          <w:tcPr>
            <w:tcW w:w="709" w:type="dxa"/>
            <w:shd w:val="clear" w:color="auto" w:fill="auto"/>
            <w:vAlign w:val="center"/>
          </w:tcPr>
          <w:p w14:paraId="722B705D"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0ADB57DE" w14:textId="77777777" w:rsidTr="007803A3">
        <w:trPr>
          <w:trHeight w:val="338"/>
        </w:trPr>
        <w:tc>
          <w:tcPr>
            <w:tcW w:w="420" w:type="dxa"/>
            <w:shd w:val="clear" w:color="auto" w:fill="auto"/>
            <w:noWrap/>
            <w:vAlign w:val="center"/>
          </w:tcPr>
          <w:p w14:paraId="36D39A98"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17</w:t>
            </w:r>
          </w:p>
        </w:tc>
        <w:tc>
          <w:tcPr>
            <w:tcW w:w="1796" w:type="dxa"/>
            <w:shd w:val="clear" w:color="auto" w:fill="auto"/>
            <w:vAlign w:val="center"/>
          </w:tcPr>
          <w:p w14:paraId="6EDE7B01"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Calibri" w:hAnsi="Calibri" w:cs="Times New Roman"/>
                <w:b/>
                <w:sz w:val="20"/>
                <w:szCs w:val="20"/>
              </w:rPr>
              <w:t>HAPA</w:t>
            </w:r>
          </w:p>
        </w:tc>
        <w:tc>
          <w:tcPr>
            <w:tcW w:w="762" w:type="dxa"/>
            <w:shd w:val="clear" w:color="auto" w:fill="auto"/>
            <w:noWrap/>
            <w:vAlign w:val="center"/>
          </w:tcPr>
          <w:p w14:paraId="6821C1A2" w14:textId="550E0740" w:rsidR="00E6060C" w:rsidRPr="00E6060C" w:rsidRDefault="00E6060C" w:rsidP="008E423B">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.31**</w:t>
            </w:r>
          </w:p>
        </w:tc>
        <w:tc>
          <w:tcPr>
            <w:tcW w:w="709" w:type="dxa"/>
            <w:shd w:val="clear" w:color="auto" w:fill="auto"/>
            <w:noWrap/>
            <w:vAlign w:val="center"/>
          </w:tcPr>
          <w:p w14:paraId="720E4FD2" w14:textId="16390CF3"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.40**</w:t>
            </w:r>
          </w:p>
        </w:tc>
        <w:tc>
          <w:tcPr>
            <w:tcW w:w="708" w:type="dxa"/>
            <w:shd w:val="clear" w:color="auto" w:fill="auto"/>
            <w:noWrap/>
            <w:vAlign w:val="center"/>
          </w:tcPr>
          <w:p w14:paraId="2A1921AD" w14:textId="25B292EE"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.40**</w:t>
            </w:r>
          </w:p>
        </w:tc>
        <w:tc>
          <w:tcPr>
            <w:tcW w:w="709" w:type="dxa"/>
            <w:shd w:val="clear" w:color="auto" w:fill="auto"/>
            <w:noWrap/>
            <w:vAlign w:val="center"/>
          </w:tcPr>
          <w:p w14:paraId="212DC364" w14:textId="4EBB8755"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40</w:t>
            </w:r>
            <w:r w:rsidRPr="00E6060C">
              <w:rPr>
                <w:rFonts w:ascii="Calibri" w:eastAsia="Calibri" w:hAnsi="Calibri" w:cs="Times New Roman"/>
                <w:color w:val="000000"/>
                <w:sz w:val="20"/>
                <w:szCs w:val="20"/>
              </w:rPr>
              <w:t>**</w:t>
            </w:r>
          </w:p>
        </w:tc>
        <w:tc>
          <w:tcPr>
            <w:tcW w:w="774" w:type="dxa"/>
            <w:shd w:val="clear" w:color="auto" w:fill="auto"/>
            <w:noWrap/>
            <w:vAlign w:val="center"/>
          </w:tcPr>
          <w:p w14:paraId="73AD8920" w14:textId="0B439DAD"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w:t>
            </w:r>
            <w:r w:rsidR="00611231">
              <w:rPr>
                <w:rFonts w:ascii="Calibri" w:eastAsia="Calibri" w:hAnsi="Calibri" w:cs="Times New Roman"/>
                <w:color w:val="000000"/>
                <w:sz w:val="20"/>
                <w:szCs w:val="20"/>
              </w:rPr>
              <w:t>2</w:t>
            </w:r>
            <w:r w:rsidRPr="00E6060C">
              <w:rPr>
                <w:rFonts w:ascii="Calibri" w:eastAsia="Calibri" w:hAnsi="Calibri" w:cs="Times New Roman"/>
                <w:color w:val="000000"/>
                <w:sz w:val="20"/>
                <w:szCs w:val="20"/>
              </w:rPr>
              <w:t>**</w:t>
            </w:r>
          </w:p>
        </w:tc>
        <w:tc>
          <w:tcPr>
            <w:tcW w:w="774" w:type="dxa"/>
            <w:shd w:val="clear" w:color="auto" w:fill="auto"/>
            <w:noWrap/>
            <w:vAlign w:val="center"/>
          </w:tcPr>
          <w:p w14:paraId="63727A7F" w14:textId="3C04A880"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.48**</w:t>
            </w:r>
          </w:p>
        </w:tc>
        <w:tc>
          <w:tcPr>
            <w:tcW w:w="720" w:type="dxa"/>
            <w:shd w:val="clear" w:color="auto" w:fill="auto"/>
            <w:noWrap/>
            <w:vAlign w:val="center"/>
          </w:tcPr>
          <w:p w14:paraId="39D24D4D" w14:textId="19C10840"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.5</w:t>
            </w:r>
            <w:r w:rsidR="00611231">
              <w:rPr>
                <w:rFonts w:ascii="Calibri" w:eastAsia="Calibri" w:hAnsi="Calibri" w:cs="Times New Roman"/>
                <w:color w:val="000000"/>
                <w:sz w:val="20"/>
                <w:szCs w:val="20"/>
              </w:rPr>
              <w:t>3</w:t>
            </w:r>
            <w:r w:rsidRPr="00E6060C">
              <w:rPr>
                <w:rFonts w:ascii="Calibri" w:eastAsia="Calibri" w:hAnsi="Calibri" w:cs="Times New Roman"/>
                <w:color w:val="000000"/>
                <w:sz w:val="20"/>
                <w:szCs w:val="20"/>
              </w:rPr>
              <w:t>**</w:t>
            </w:r>
          </w:p>
        </w:tc>
        <w:tc>
          <w:tcPr>
            <w:tcW w:w="709" w:type="dxa"/>
            <w:shd w:val="clear" w:color="auto" w:fill="auto"/>
            <w:noWrap/>
            <w:vAlign w:val="center"/>
          </w:tcPr>
          <w:p w14:paraId="53EC63C7" w14:textId="1D66393F"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.27**</w:t>
            </w:r>
          </w:p>
        </w:tc>
        <w:tc>
          <w:tcPr>
            <w:tcW w:w="709" w:type="dxa"/>
            <w:shd w:val="clear" w:color="auto" w:fill="auto"/>
            <w:noWrap/>
            <w:vAlign w:val="center"/>
          </w:tcPr>
          <w:p w14:paraId="2EBCBD35" w14:textId="75AEEFFD"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.31**</w:t>
            </w:r>
          </w:p>
        </w:tc>
        <w:tc>
          <w:tcPr>
            <w:tcW w:w="708" w:type="dxa"/>
            <w:shd w:val="clear" w:color="auto" w:fill="auto"/>
            <w:vAlign w:val="center"/>
          </w:tcPr>
          <w:p w14:paraId="19B37405" w14:textId="5339AF66" w:rsidR="00E6060C" w:rsidRPr="00E6060C" w:rsidRDefault="00E6060C" w:rsidP="008E423B">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.61**</w:t>
            </w:r>
          </w:p>
        </w:tc>
        <w:tc>
          <w:tcPr>
            <w:tcW w:w="774" w:type="dxa"/>
            <w:shd w:val="clear" w:color="auto" w:fill="auto"/>
            <w:noWrap/>
            <w:vAlign w:val="center"/>
          </w:tcPr>
          <w:p w14:paraId="1476AE86" w14:textId="670ACAD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w:t>
            </w:r>
            <w:r w:rsidR="00611231">
              <w:rPr>
                <w:rFonts w:ascii="Calibri" w:eastAsia="Calibri" w:hAnsi="Calibri" w:cs="Times New Roman"/>
                <w:color w:val="000000"/>
                <w:sz w:val="20"/>
                <w:szCs w:val="20"/>
              </w:rPr>
              <w:t>60</w:t>
            </w:r>
            <w:r w:rsidRPr="00E6060C">
              <w:rPr>
                <w:rFonts w:ascii="Calibri" w:eastAsia="Calibri" w:hAnsi="Calibri" w:cs="Times New Roman"/>
                <w:color w:val="000000"/>
                <w:sz w:val="20"/>
                <w:szCs w:val="20"/>
              </w:rPr>
              <w:t>**</w:t>
            </w:r>
          </w:p>
        </w:tc>
        <w:tc>
          <w:tcPr>
            <w:tcW w:w="774" w:type="dxa"/>
            <w:shd w:val="clear" w:color="auto" w:fill="auto"/>
            <w:noWrap/>
            <w:vAlign w:val="center"/>
          </w:tcPr>
          <w:p w14:paraId="281201D4" w14:textId="2415BFA7"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.5</w:t>
            </w:r>
            <w:r w:rsidR="00611231">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74" w:type="dxa"/>
            <w:shd w:val="clear" w:color="auto" w:fill="auto"/>
            <w:noWrap/>
            <w:vAlign w:val="center"/>
          </w:tcPr>
          <w:p w14:paraId="55DCEFDD" w14:textId="7166400F"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.47**</w:t>
            </w:r>
          </w:p>
        </w:tc>
        <w:tc>
          <w:tcPr>
            <w:tcW w:w="774" w:type="dxa"/>
            <w:shd w:val="clear" w:color="auto" w:fill="auto"/>
            <w:noWrap/>
            <w:vAlign w:val="center"/>
          </w:tcPr>
          <w:p w14:paraId="17EAE6ED" w14:textId="7AB469D8"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.75**</w:t>
            </w:r>
          </w:p>
        </w:tc>
        <w:tc>
          <w:tcPr>
            <w:tcW w:w="774" w:type="dxa"/>
            <w:shd w:val="clear" w:color="auto" w:fill="auto"/>
            <w:vAlign w:val="center"/>
          </w:tcPr>
          <w:p w14:paraId="29A9CC52" w14:textId="764D80F8"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w:t>
            </w:r>
            <w:r w:rsidR="00384206">
              <w:rPr>
                <w:rFonts w:ascii="Calibri" w:eastAsia="Calibri" w:hAnsi="Calibri" w:cs="Times New Roman"/>
                <w:color w:val="000000"/>
                <w:sz w:val="20"/>
                <w:szCs w:val="20"/>
              </w:rPr>
              <w:t>20</w:t>
            </w:r>
            <w:r w:rsidRPr="00E6060C">
              <w:rPr>
                <w:rFonts w:ascii="Calibri" w:eastAsia="Calibri" w:hAnsi="Calibri" w:cs="Times New Roman"/>
                <w:color w:val="000000"/>
                <w:sz w:val="20"/>
                <w:szCs w:val="20"/>
              </w:rPr>
              <w:t>**</w:t>
            </w:r>
          </w:p>
        </w:tc>
        <w:tc>
          <w:tcPr>
            <w:tcW w:w="774" w:type="dxa"/>
            <w:shd w:val="clear" w:color="auto" w:fill="auto"/>
            <w:vAlign w:val="center"/>
          </w:tcPr>
          <w:p w14:paraId="72101E6F" w14:textId="1659B3E4"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.3</w:t>
            </w:r>
            <w:r w:rsidR="00384206">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43" w:type="dxa"/>
            <w:shd w:val="clear" w:color="auto" w:fill="auto"/>
            <w:vAlign w:val="center"/>
          </w:tcPr>
          <w:p w14:paraId="6F6C6E73" w14:textId="7777777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1.00</w:t>
            </w:r>
          </w:p>
        </w:tc>
        <w:tc>
          <w:tcPr>
            <w:tcW w:w="709" w:type="dxa"/>
            <w:shd w:val="clear" w:color="auto" w:fill="auto"/>
            <w:vAlign w:val="center"/>
          </w:tcPr>
          <w:p w14:paraId="2DD621CC" w14:textId="77777777" w:rsidR="00E6060C" w:rsidRPr="00E6060C" w:rsidRDefault="00E6060C" w:rsidP="00E6060C">
            <w:pPr>
              <w:spacing w:line="240" w:lineRule="auto"/>
              <w:jc w:val="center"/>
              <w:rPr>
                <w:rFonts w:ascii="Calibri" w:eastAsia="Times New Roman" w:hAnsi="Calibri" w:cs="Times New Roman"/>
                <w:sz w:val="20"/>
                <w:szCs w:val="20"/>
                <w:lang w:eastAsia="en-GB"/>
              </w:rPr>
            </w:pPr>
          </w:p>
        </w:tc>
      </w:tr>
      <w:tr w:rsidR="00E6060C" w:rsidRPr="00E6060C" w14:paraId="510029A6" w14:textId="77777777" w:rsidTr="007803A3">
        <w:trPr>
          <w:trHeight w:val="338"/>
        </w:trPr>
        <w:tc>
          <w:tcPr>
            <w:tcW w:w="420" w:type="dxa"/>
            <w:shd w:val="clear" w:color="auto" w:fill="auto"/>
            <w:noWrap/>
            <w:vAlign w:val="center"/>
          </w:tcPr>
          <w:p w14:paraId="1BC6A170"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Times New Roman" w:hAnsi="Calibri" w:cs="Times New Roman"/>
                <w:b/>
                <w:bCs/>
                <w:color w:val="000000"/>
                <w:sz w:val="20"/>
                <w:szCs w:val="20"/>
                <w:lang w:eastAsia="en-GB"/>
              </w:rPr>
              <w:t>18</w:t>
            </w:r>
          </w:p>
        </w:tc>
        <w:tc>
          <w:tcPr>
            <w:tcW w:w="1796" w:type="dxa"/>
            <w:shd w:val="clear" w:color="auto" w:fill="auto"/>
            <w:vAlign w:val="center"/>
          </w:tcPr>
          <w:p w14:paraId="2E2C0B99" w14:textId="77777777" w:rsidR="00E6060C" w:rsidRPr="00E6060C" w:rsidRDefault="00E6060C" w:rsidP="00E6060C">
            <w:pPr>
              <w:spacing w:line="240" w:lineRule="auto"/>
              <w:rPr>
                <w:rFonts w:ascii="Calibri" w:eastAsia="Times New Roman" w:hAnsi="Calibri" w:cs="Times New Roman"/>
                <w:b/>
                <w:bCs/>
                <w:color w:val="000000"/>
                <w:sz w:val="20"/>
                <w:szCs w:val="20"/>
                <w:lang w:eastAsia="en-GB"/>
              </w:rPr>
            </w:pPr>
            <w:r w:rsidRPr="00E6060C">
              <w:rPr>
                <w:rFonts w:ascii="Calibri" w:eastAsia="Calibri" w:hAnsi="Calibri" w:cs="Times New Roman"/>
                <w:b/>
                <w:sz w:val="20"/>
                <w:szCs w:val="20"/>
              </w:rPr>
              <w:t>LAPA</w:t>
            </w:r>
          </w:p>
        </w:tc>
        <w:tc>
          <w:tcPr>
            <w:tcW w:w="762" w:type="dxa"/>
            <w:shd w:val="clear" w:color="auto" w:fill="auto"/>
            <w:noWrap/>
            <w:vAlign w:val="center"/>
          </w:tcPr>
          <w:p w14:paraId="6AC5B21D" w14:textId="0A56E6CE"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384206">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3D4EF1F4" w14:textId="42E1306C"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384206">
              <w:rPr>
                <w:rFonts w:ascii="Calibri" w:eastAsia="Calibri" w:hAnsi="Calibri" w:cs="Times New Roman"/>
                <w:color w:val="000000"/>
                <w:sz w:val="20"/>
                <w:szCs w:val="20"/>
              </w:rPr>
              <w:t>9</w:t>
            </w:r>
            <w:r w:rsidRPr="00E6060C">
              <w:rPr>
                <w:rFonts w:ascii="Calibri" w:eastAsia="Calibri" w:hAnsi="Calibri" w:cs="Times New Roman"/>
                <w:color w:val="000000"/>
                <w:sz w:val="20"/>
                <w:szCs w:val="20"/>
              </w:rPr>
              <w:t>**</w:t>
            </w:r>
          </w:p>
        </w:tc>
        <w:tc>
          <w:tcPr>
            <w:tcW w:w="708" w:type="dxa"/>
            <w:shd w:val="clear" w:color="auto" w:fill="auto"/>
            <w:noWrap/>
            <w:vAlign w:val="center"/>
          </w:tcPr>
          <w:p w14:paraId="18A4FB61" w14:textId="540B72EE"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w:t>
            </w:r>
            <w:r w:rsidR="00384206">
              <w:rPr>
                <w:rFonts w:ascii="Calibri" w:eastAsia="Calibri" w:hAnsi="Calibri" w:cs="Times New Roman"/>
                <w:color w:val="000000"/>
                <w:sz w:val="20"/>
                <w:szCs w:val="20"/>
              </w:rPr>
              <w:t>7</w:t>
            </w:r>
            <w:r w:rsidRPr="00E6060C">
              <w:rPr>
                <w:rFonts w:ascii="Calibri" w:eastAsia="Calibri" w:hAnsi="Calibri" w:cs="Times New Roman"/>
                <w:color w:val="000000"/>
                <w:sz w:val="20"/>
                <w:szCs w:val="20"/>
              </w:rPr>
              <w:t>**</w:t>
            </w:r>
          </w:p>
        </w:tc>
        <w:tc>
          <w:tcPr>
            <w:tcW w:w="709" w:type="dxa"/>
            <w:shd w:val="clear" w:color="auto" w:fill="auto"/>
            <w:noWrap/>
            <w:vAlign w:val="center"/>
          </w:tcPr>
          <w:p w14:paraId="0C4C74A2" w14:textId="5644EA2E"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.34**</w:t>
            </w:r>
          </w:p>
        </w:tc>
        <w:tc>
          <w:tcPr>
            <w:tcW w:w="774" w:type="dxa"/>
            <w:shd w:val="clear" w:color="auto" w:fill="auto"/>
            <w:noWrap/>
            <w:vAlign w:val="center"/>
          </w:tcPr>
          <w:p w14:paraId="6C232DC3" w14:textId="2CD8B8C2"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.30**</w:t>
            </w:r>
          </w:p>
        </w:tc>
        <w:tc>
          <w:tcPr>
            <w:tcW w:w="774" w:type="dxa"/>
            <w:shd w:val="clear" w:color="auto" w:fill="auto"/>
            <w:noWrap/>
            <w:vAlign w:val="center"/>
          </w:tcPr>
          <w:p w14:paraId="1C9F738C" w14:textId="1134C059"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.41**</w:t>
            </w:r>
          </w:p>
        </w:tc>
        <w:tc>
          <w:tcPr>
            <w:tcW w:w="720" w:type="dxa"/>
            <w:shd w:val="clear" w:color="auto" w:fill="auto"/>
            <w:noWrap/>
            <w:vAlign w:val="center"/>
          </w:tcPr>
          <w:p w14:paraId="2C20964E" w14:textId="2FC3CFF4"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.4</w:t>
            </w:r>
            <w:r w:rsidR="00384206">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noWrap/>
            <w:vAlign w:val="center"/>
          </w:tcPr>
          <w:p w14:paraId="7932FD02" w14:textId="060D9145" w:rsidR="00E6060C" w:rsidRPr="00E6060C" w:rsidRDefault="00E6060C" w:rsidP="00E6060C">
            <w:pPr>
              <w:spacing w:line="240" w:lineRule="auto"/>
              <w:jc w:val="center"/>
              <w:rPr>
                <w:rFonts w:ascii="Calibri" w:eastAsia="Times New Roman" w:hAnsi="Calibri" w:cs="Times New Roman"/>
                <w:color w:val="000000"/>
                <w:sz w:val="20"/>
                <w:szCs w:val="20"/>
                <w:lang w:eastAsia="en-GB"/>
              </w:rPr>
            </w:pPr>
            <w:r w:rsidRPr="00E6060C">
              <w:rPr>
                <w:rFonts w:ascii="Calibri" w:eastAsia="Calibri" w:hAnsi="Calibri" w:cs="Times New Roman"/>
                <w:color w:val="000000"/>
                <w:sz w:val="20"/>
                <w:szCs w:val="20"/>
              </w:rPr>
              <w:t>.2</w:t>
            </w:r>
            <w:r w:rsidR="00384206">
              <w:rPr>
                <w:rFonts w:ascii="Calibri" w:eastAsia="Calibri" w:hAnsi="Calibri" w:cs="Times New Roman"/>
                <w:color w:val="000000"/>
                <w:sz w:val="20"/>
                <w:szCs w:val="20"/>
              </w:rPr>
              <w:t>6</w:t>
            </w:r>
            <w:r w:rsidRPr="00E6060C">
              <w:rPr>
                <w:rFonts w:ascii="Calibri" w:eastAsia="Calibri" w:hAnsi="Calibri" w:cs="Times New Roman"/>
                <w:color w:val="000000"/>
                <w:sz w:val="20"/>
                <w:szCs w:val="20"/>
              </w:rPr>
              <w:t>**</w:t>
            </w:r>
          </w:p>
        </w:tc>
        <w:tc>
          <w:tcPr>
            <w:tcW w:w="709" w:type="dxa"/>
            <w:shd w:val="clear" w:color="auto" w:fill="auto"/>
            <w:noWrap/>
            <w:vAlign w:val="center"/>
          </w:tcPr>
          <w:p w14:paraId="34212B4A" w14:textId="518ABE6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w:t>
            </w:r>
            <w:r w:rsidR="00384206">
              <w:rPr>
                <w:rFonts w:ascii="Calibri" w:eastAsia="Calibri" w:hAnsi="Calibri" w:cs="Times New Roman"/>
                <w:color w:val="000000"/>
                <w:sz w:val="20"/>
                <w:szCs w:val="20"/>
              </w:rPr>
              <w:t>30</w:t>
            </w:r>
            <w:r w:rsidRPr="00E6060C">
              <w:rPr>
                <w:rFonts w:ascii="Calibri" w:eastAsia="Calibri" w:hAnsi="Calibri" w:cs="Times New Roman"/>
                <w:color w:val="000000"/>
                <w:sz w:val="20"/>
                <w:szCs w:val="20"/>
              </w:rPr>
              <w:t>**</w:t>
            </w:r>
          </w:p>
        </w:tc>
        <w:tc>
          <w:tcPr>
            <w:tcW w:w="708" w:type="dxa"/>
            <w:shd w:val="clear" w:color="auto" w:fill="auto"/>
            <w:vAlign w:val="center"/>
          </w:tcPr>
          <w:p w14:paraId="77868F92" w14:textId="52B89545"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.40**</w:t>
            </w:r>
          </w:p>
        </w:tc>
        <w:tc>
          <w:tcPr>
            <w:tcW w:w="774" w:type="dxa"/>
            <w:shd w:val="clear" w:color="auto" w:fill="auto"/>
            <w:noWrap/>
            <w:vAlign w:val="center"/>
          </w:tcPr>
          <w:p w14:paraId="003EBE24" w14:textId="0E4355F4"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w:t>
            </w:r>
            <w:r w:rsidR="00384206">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74" w:type="dxa"/>
            <w:shd w:val="clear" w:color="auto" w:fill="auto"/>
            <w:noWrap/>
            <w:vAlign w:val="center"/>
          </w:tcPr>
          <w:p w14:paraId="0211265A" w14:textId="48453BF8" w:rsidR="00E6060C" w:rsidRPr="00E6060C" w:rsidRDefault="00E6060C" w:rsidP="00E6060C">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.36**</w:t>
            </w:r>
          </w:p>
        </w:tc>
        <w:tc>
          <w:tcPr>
            <w:tcW w:w="774" w:type="dxa"/>
            <w:shd w:val="clear" w:color="auto" w:fill="auto"/>
            <w:noWrap/>
            <w:vAlign w:val="center"/>
          </w:tcPr>
          <w:p w14:paraId="66F8F1CF" w14:textId="231A7A21" w:rsidR="00E6060C" w:rsidRPr="00E6060C" w:rsidRDefault="00E6060C" w:rsidP="008E423B">
            <w:pPr>
              <w:spacing w:line="240" w:lineRule="auto"/>
              <w:jc w:val="center"/>
              <w:rPr>
                <w:rFonts w:ascii="Calibri" w:eastAsia="Times New Roman" w:hAnsi="Calibri" w:cs="Times New Roman"/>
                <w:sz w:val="20"/>
                <w:szCs w:val="20"/>
                <w:lang w:eastAsia="en-GB"/>
              </w:rPr>
            </w:pPr>
            <w:r w:rsidRPr="00E6060C">
              <w:rPr>
                <w:rFonts w:ascii="Calibri" w:eastAsia="Calibri" w:hAnsi="Calibri" w:cs="Times New Roman"/>
                <w:color w:val="000000"/>
                <w:sz w:val="20"/>
                <w:szCs w:val="20"/>
              </w:rPr>
              <w:t>.30**</w:t>
            </w:r>
          </w:p>
        </w:tc>
        <w:tc>
          <w:tcPr>
            <w:tcW w:w="774" w:type="dxa"/>
            <w:shd w:val="clear" w:color="auto" w:fill="auto"/>
            <w:noWrap/>
            <w:vAlign w:val="center"/>
          </w:tcPr>
          <w:p w14:paraId="7761735E" w14:textId="49CC0015"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.7</w:t>
            </w:r>
            <w:r w:rsidR="00384206">
              <w:rPr>
                <w:rFonts w:ascii="Calibri" w:eastAsia="Calibri" w:hAnsi="Calibri" w:cs="Times New Roman"/>
                <w:color w:val="000000"/>
                <w:sz w:val="20"/>
                <w:szCs w:val="20"/>
              </w:rPr>
              <w:t>9</w:t>
            </w:r>
            <w:r w:rsidRPr="00E6060C">
              <w:rPr>
                <w:rFonts w:ascii="Calibri" w:eastAsia="Calibri" w:hAnsi="Calibri" w:cs="Times New Roman"/>
                <w:color w:val="000000"/>
                <w:sz w:val="20"/>
                <w:szCs w:val="20"/>
              </w:rPr>
              <w:t>**</w:t>
            </w:r>
          </w:p>
        </w:tc>
        <w:tc>
          <w:tcPr>
            <w:tcW w:w="774" w:type="dxa"/>
            <w:shd w:val="clear" w:color="auto" w:fill="auto"/>
            <w:vAlign w:val="center"/>
          </w:tcPr>
          <w:p w14:paraId="7093CD9D" w14:textId="322BF308"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.41**</w:t>
            </w:r>
          </w:p>
        </w:tc>
        <w:tc>
          <w:tcPr>
            <w:tcW w:w="774" w:type="dxa"/>
            <w:shd w:val="clear" w:color="auto" w:fill="auto"/>
            <w:vAlign w:val="center"/>
          </w:tcPr>
          <w:p w14:paraId="7143F299" w14:textId="5B1745BB"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.2</w:t>
            </w:r>
            <w:r w:rsidR="00384206">
              <w:rPr>
                <w:rFonts w:ascii="Calibri" w:eastAsia="Calibri" w:hAnsi="Calibri" w:cs="Times New Roman"/>
                <w:color w:val="000000"/>
                <w:sz w:val="20"/>
                <w:szCs w:val="20"/>
              </w:rPr>
              <w:t>8</w:t>
            </w:r>
            <w:r w:rsidRPr="00E6060C">
              <w:rPr>
                <w:rFonts w:ascii="Calibri" w:eastAsia="Calibri" w:hAnsi="Calibri" w:cs="Times New Roman"/>
                <w:color w:val="000000"/>
                <w:sz w:val="20"/>
                <w:szCs w:val="20"/>
              </w:rPr>
              <w:t>**</w:t>
            </w:r>
          </w:p>
        </w:tc>
        <w:tc>
          <w:tcPr>
            <w:tcW w:w="743" w:type="dxa"/>
            <w:shd w:val="clear" w:color="auto" w:fill="auto"/>
            <w:vAlign w:val="center"/>
          </w:tcPr>
          <w:p w14:paraId="56BECD71" w14:textId="26DB103F"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.6</w:t>
            </w:r>
            <w:r w:rsidR="00384206">
              <w:rPr>
                <w:rFonts w:ascii="Calibri" w:eastAsia="Calibri" w:hAnsi="Calibri" w:cs="Times New Roman"/>
                <w:color w:val="000000"/>
                <w:sz w:val="20"/>
                <w:szCs w:val="20"/>
              </w:rPr>
              <w:t>1</w:t>
            </w:r>
            <w:r w:rsidRPr="00E6060C">
              <w:rPr>
                <w:rFonts w:ascii="Calibri" w:eastAsia="Calibri" w:hAnsi="Calibri" w:cs="Times New Roman"/>
                <w:color w:val="000000"/>
                <w:sz w:val="20"/>
                <w:szCs w:val="20"/>
              </w:rPr>
              <w:t>**</w:t>
            </w:r>
          </w:p>
        </w:tc>
        <w:tc>
          <w:tcPr>
            <w:tcW w:w="709" w:type="dxa"/>
            <w:shd w:val="clear" w:color="auto" w:fill="auto"/>
            <w:vAlign w:val="center"/>
          </w:tcPr>
          <w:p w14:paraId="70DC5D9C" w14:textId="77777777" w:rsidR="00E6060C" w:rsidRPr="00E6060C" w:rsidRDefault="00E6060C" w:rsidP="00E6060C">
            <w:pPr>
              <w:spacing w:line="240" w:lineRule="auto"/>
              <w:jc w:val="center"/>
              <w:rPr>
                <w:rFonts w:ascii="Calibri" w:eastAsia="Calibri" w:hAnsi="Calibri" w:cs="Times New Roman"/>
                <w:color w:val="000000"/>
                <w:sz w:val="20"/>
                <w:szCs w:val="20"/>
              </w:rPr>
            </w:pPr>
            <w:r w:rsidRPr="00E6060C">
              <w:rPr>
                <w:rFonts w:ascii="Calibri" w:eastAsia="Calibri" w:hAnsi="Calibri" w:cs="Times New Roman"/>
                <w:color w:val="000000"/>
                <w:sz w:val="20"/>
                <w:szCs w:val="20"/>
              </w:rPr>
              <w:t>1.00</w:t>
            </w:r>
          </w:p>
        </w:tc>
      </w:tr>
    </w:tbl>
    <w:p w14:paraId="0E4AA870" w14:textId="77777777" w:rsidR="00E6060C" w:rsidRPr="00E6060C" w:rsidRDefault="00E6060C" w:rsidP="00E6060C">
      <w:pPr>
        <w:spacing w:after="200" w:line="240" w:lineRule="auto"/>
        <w:ind w:left="-284"/>
        <w:contextualSpacing/>
        <w:rPr>
          <w:rFonts w:ascii="Calibri" w:eastAsia="Calibri" w:hAnsi="Calibri" w:cs="Times New Roman"/>
          <w:color w:val="000000"/>
        </w:rPr>
      </w:pPr>
      <w:r w:rsidRPr="00E6060C">
        <w:rPr>
          <w:rFonts w:ascii="Calibri" w:eastAsia="Calibri" w:hAnsi="Calibri" w:cs="Times New Roman"/>
          <w:color w:val="000000"/>
        </w:rPr>
        <w:t>**Correlation is significant at the .01 level (2-tailed)</w:t>
      </w:r>
    </w:p>
    <w:p w14:paraId="612C9013" w14:textId="77777777" w:rsidR="00E6060C" w:rsidRPr="00E6060C" w:rsidRDefault="00E6060C" w:rsidP="00E6060C">
      <w:pPr>
        <w:spacing w:after="200" w:line="240" w:lineRule="auto"/>
        <w:ind w:left="-284"/>
        <w:contextualSpacing/>
        <w:rPr>
          <w:rFonts w:ascii="Calibri" w:eastAsia="Calibri" w:hAnsi="Calibri" w:cs="Times New Roman"/>
          <w:color w:val="000000"/>
        </w:rPr>
      </w:pPr>
      <w:r w:rsidRPr="00E6060C">
        <w:rPr>
          <w:rFonts w:ascii="Calibri" w:eastAsia="Calibri" w:hAnsi="Calibri" w:cs="Times New Roman"/>
          <w:color w:val="000000"/>
        </w:rPr>
        <w:t>*Correlation is significant at the .05 level (2-tailed)</w:t>
      </w:r>
    </w:p>
    <w:p w14:paraId="05A01C5F" w14:textId="01FAB5A3" w:rsidR="00E6060C" w:rsidRPr="00E6060C" w:rsidRDefault="00E6060C" w:rsidP="00E6060C">
      <w:pPr>
        <w:spacing w:after="200" w:line="240" w:lineRule="auto"/>
        <w:ind w:left="-284"/>
        <w:contextualSpacing/>
        <w:rPr>
          <w:rFonts w:ascii="Calibri" w:eastAsia="Calibri" w:hAnsi="Calibri" w:cs="Times New Roman"/>
          <w:color w:val="000000"/>
        </w:rPr>
        <w:sectPr w:rsidR="00E6060C" w:rsidRPr="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i/>
          <w:color w:val="000000"/>
        </w:rPr>
        <w:t>Notes:</w:t>
      </w:r>
      <w:r w:rsidRPr="00E6060C">
        <w:rPr>
          <w:rFonts w:ascii="Calibri" w:eastAsia="Calibri" w:hAnsi="Calibri" w:cs="Times New Roman"/>
          <w:color w:val="000000"/>
        </w:rPr>
        <w:t xml:space="preserve">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=composite scale formed by adding scores on the four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 scales (no. 15-18 in the table above) together; HAUA=high activation unpleasant affect; LAUA=low activation unpleasant affect; HAPA=high activation pleasant affect; LAPA=low activation pleasant affect </w:t>
      </w:r>
    </w:p>
    <w:p w14:paraId="6A6D1877" w14:textId="77777777" w:rsidR="00E6060C" w:rsidRPr="00E6060C" w:rsidRDefault="00E6060C" w:rsidP="00E6060C">
      <w:pPr>
        <w:spacing w:after="200" w:line="360" w:lineRule="auto"/>
        <w:contextualSpacing/>
        <w:rPr>
          <w:rFonts w:ascii="Calibri" w:eastAsia="Calibri" w:hAnsi="Calibri" w:cs="Times New Roman"/>
          <w:i/>
          <w:color w:val="000000"/>
        </w:rPr>
      </w:pPr>
      <w:r w:rsidRPr="00E6060C">
        <w:rPr>
          <w:rFonts w:ascii="Calibri" w:eastAsia="Calibri" w:hAnsi="Calibri" w:cs="Times New Roman"/>
          <w:i/>
          <w:color w:val="000000"/>
        </w:rPr>
        <w:lastRenderedPageBreak/>
        <w:t>Discriminant analyses, Cronbach’s alpha, and CFA of the work-related basic needs, work engagement, and resources and demands scales</w:t>
      </w:r>
    </w:p>
    <w:p w14:paraId="765070A8" w14:textId="77777777" w:rsidR="00E6060C" w:rsidRPr="00E6060C" w:rsidRDefault="00E6060C" w:rsidP="00E6060C">
      <w:pPr>
        <w:spacing w:after="200" w:line="360" w:lineRule="auto"/>
        <w:contextualSpacing/>
        <w:rPr>
          <w:rFonts w:ascii="Calibri" w:eastAsia="Calibri" w:hAnsi="Calibri" w:cs="Times New Roman"/>
          <w:i/>
          <w:color w:val="000000"/>
        </w:rPr>
      </w:pPr>
    </w:p>
    <w:p w14:paraId="06FEDEA9" w14:textId="2FA65A77"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Initially, a CFA (ML) was conducted for the one factor models pertaining to the work-related basic needs, work engagement, and resources and demands scales</w:t>
      </w:r>
      <w:r w:rsidR="00CA510C">
        <w:rPr>
          <w:rFonts w:ascii="Calibri" w:eastAsia="Calibri" w:hAnsi="Calibri" w:cs="Times New Roman"/>
          <w:color w:val="000000"/>
        </w:rPr>
        <w:t>,</w:t>
      </w:r>
      <w:r w:rsidRPr="00E6060C">
        <w:rPr>
          <w:rFonts w:ascii="Calibri" w:eastAsia="Calibri" w:hAnsi="Calibri" w:cs="Times New Roman"/>
          <w:color w:val="000000"/>
        </w:rPr>
        <w:t xml:space="preserve"> and the three and</w:t>
      </w:r>
      <w:r w:rsidR="00CA510C">
        <w:rPr>
          <w:rFonts w:ascii="Calibri" w:eastAsia="Calibri" w:hAnsi="Calibri" w:cs="Times New Roman"/>
          <w:color w:val="000000"/>
        </w:rPr>
        <w:t xml:space="preserve"> two factor models </w:t>
      </w:r>
      <w:r w:rsidRPr="00E6060C">
        <w:rPr>
          <w:rFonts w:ascii="Calibri" w:eastAsia="Calibri" w:hAnsi="Calibri" w:cs="Times New Roman"/>
          <w:color w:val="000000"/>
        </w:rPr>
        <w:t>pertaining to these scales</w:t>
      </w:r>
      <w:r w:rsidR="00CA510C">
        <w:rPr>
          <w:rFonts w:ascii="Calibri" w:eastAsia="Calibri" w:hAnsi="Calibri" w:cs="Times New Roman"/>
          <w:color w:val="000000"/>
        </w:rPr>
        <w:t>,</w:t>
      </w:r>
      <w:r w:rsidRPr="00E6060C">
        <w:rPr>
          <w:rFonts w:ascii="Calibri" w:eastAsia="Calibri" w:hAnsi="Calibri" w:cs="Times New Roman"/>
          <w:color w:val="000000"/>
        </w:rPr>
        <w:t xml:space="preserve"> to enable the goodness of fit statistics between the models to be compared. Casewise deletion of missing data was again conducted t</w:t>
      </w:r>
      <w:r w:rsidRPr="00E6060C">
        <w:rPr>
          <w:rFonts w:ascii="Calibri" w:eastAsia="Calibri" w:hAnsi="Calibri" w:cs="Times New Roman"/>
        </w:rPr>
        <w:t>o enable the SRMR to be produced, and the results of these analyses were compared with the analyses conducted on the full, unmatched dataset (N=217). Again, the results revealed little difference (</w:t>
      </w:r>
      <w:r w:rsidR="00CA510C" w:rsidRPr="001B312F">
        <w:rPr>
          <w:rFonts w:ascii="Calibri" w:eastAsia="Calibri" w:hAnsi="Calibri" w:cs="Times New Roman"/>
        </w:rPr>
        <w:t>for the results from both analyses for the final scales</w:t>
      </w:r>
      <w:r w:rsidR="00CA510C">
        <w:rPr>
          <w:rFonts w:ascii="Calibri" w:eastAsia="Calibri" w:hAnsi="Calibri" w:cs="Times New Roman"/>
        </w:rPr>
        <w:t>,</w:t>
      </w:r>
      <w:r w:rsidR="00CA510C" w:rsidRPr="00E6060C">
        <w:rPr>
          <w:rFonts w:ascii="Calibri" w:eastAsia="Calibri" w:hAnsi="Calibri" w:cs="Times New Roman"/>
        </w:rPr>
        <w:t xml:space="preserve"> </w:t>
      </w:r>
      <w:r w:rsidRPr="00E6060C">
        <w:rPr>
          <w:rFonts w:ascii="Calibri" w:eastAsia="Calibri" w:hAnsi="Calibri" w:cs="Times New Roman"/>
        </w:rPr>
        <w:t xml:space="preserve">see </w:t>
      </w:r>
      <w:r w:rsidR="001B312F">
        <w:rPr>
          <w:rFonts w:ascii="Calibri" w:eastAsia="Calibri" w:hAnsi="Calibri" w:cs="Times New Roman"/>
        </w:rPr>
        <w:fldChar w:fldCharType="begin"/>
      </w:r>
      <w:r w:rsidR="001B312F">
        <w:rPr>
          <w:rFonts w:ascii="Calibri" w:eastAsia="Calibri" w:hAnsi="Calibri" w:cs="Times New Roman"/>
        </w:rPr>
        <w:instrText xml:space="preserve"> REF _Ref453583030 \h </w:instrText>
      </w:r>
      <w:r w:rsidR="001B312F">
        <w:rPr>
          <w:rFonts w:ascii="Calibri" w:eastAsia="Calibri" w:hAnsi="Calibri" w:cs="Times New Roman"/>
        </w:rPr>
      </w:r>
      <w:r w:rsidR="001B312F">
        <w:rPr>
          <w:rFonts w:ascii="Calibri" w:eastAsia="Calibri" w:hAnsi="Calibri" w:cs="Times New Roman"/>
        </w:rPr>
        <w:fldChar w:fldCharType="separate"/>
      </w:r>
      <w:r w:rsidR="00152F6D">
        <w:t xml:space="preserve">Table </w:t>
      </w:r>
      <w:r w:rsidR="00152F6D">
        <w:rPr>
          <w:noProof/>
        </w:rPr>
        <w:t>7</w:t>
      </w:r>
      <w:r w:rsidR="00152F6D">
        <w:t>.</w:t>
      </w:r>
      <w:r w:rsidR="00152F6D">
        <w:rPr>
          <w:noProof/>
        </w:rPr>
        <w:t>5</w:t>
      </w:r>
      <w:r w:rsidR="001B312F">
        <w:rPr>
          <w:rFonts w:ascii="Calibri" w:eastAsia="Calibri" w:hAnsi="Calibri" w:cs="Times New Roman"/>
        </w:rPr>
        <w:fldChar w:fldCharType="end"/>
      </w:r>
      <w:r w:rsidRPr="001B312F">
        <w:rPr>
          <w:rFonts w:ascii="Calibri" w:eastAsia="Calibri" w:hAnsi="Calibri" w:cs="Times New Roman"/>
        </w:rPr>
        <w:t>), hence the fit statistics from the complete datas</w:t>
      </w:r>
      <w:r w:rsidRPr="00E6060C">
        <w:rPr>
          <w:rFonts w:ascii="Calibri" w:eastAsia="Calibri" w:hAnsi="Calibri" w:cs="Times New Roman"/>
        </w:rPr>
        <w:t>et (N=217) are reported in the text which follows (</w:t>
      </w:r>
      <w:r w:rsidRPr="001B312F">
        <w:rPr>
          <w:rFonts w:ascii="Calibri" w:eastAsia="Calibri" w:hAnsi="Calibri" w:cs="Times New Roman"/>
        </w:rPr>
        <w:t xml:space="preserve">see also </w:t>
      </w:r>
      <w:r w:rsidR="001B312F" w:rsidRPr="001B312F">
        <w:rPr>
          <w:rFonts w:ascii="Calibri" w:eastAsia="Calibri" w:hAnsi="Calibri" w:cs="Times New Roman"/>
        </w:rPr>
        <w:fldChar w:fldCharType="begin"/>
      </w:r>
      <w:r w:rsidR="001B312F" w:rsidRPr="001B312F">
        <w:rPr>
          <w:rFonts w:ascii="Calibri" w:eastAsia="Calibri" w:hAnsi="Calibri" w:cs="Times New Roman"/>
        </w:rPr>
        <w:instrText xml:space="preserve"> REF _Ref453583030 \h </w:instrText>
      </w:r>
      <w:r w:rsidR="001B312F">
        <w:rPr>
          <w:rFonts w:ascii="Calibri" w:eastAsia="Calibri" w:hAnsi="Calibri" w:cs="Times New Roman"/>
        </w:rPr>
        <w:instrText xml:space="preserve"> \* MERGEFORMAT </w:instrText>
      </w:r>
      <w:r w:rsidR="001B312F" w:rsidRPr="001B312F">
        <w:rPr>
          <w:rFonts w:ascii="Calibri" w:eastAsia="Calibri" w:hAnsi="Calibri" w:cs="Times New Roman"/>
        </w:rPr>
      </w:r>
      <w:r w:rsidR="001B312F" w:rsidRPr="001B312F">
        <w:rPr>
          <w:rFonts w:ascii="Calibri" w:eastAsia="Calibri" w:hAnsi="Calibri" w:cs="Times New Roman"/>
        </w:rPr>
        <w:fldChar w:fldCharType="separate"/>
      </w:r>
      <w:r w:rsidR="00152F6D">
        <w:t xml:space="preserve">Table </w:t>
      </w:r>
      <w:r w:rsidR="00152F6D">
        <w:rPr>
          <w:noProof/>
        </w:rPr>
        <w:t>7.5</w:t>
      </w:r>
      <w:r w:rsidR="001B312F" w:rsidRPr="001B312F">
        <w:rPr>
          <w:rFonts w:ascii="Calibri" w:eastAsia="Calibri" w:hAnsi="Calibri" w:cs="Times New Roman"/>
        </w:rPr>
        <w:fldChar w:fldCharType="end"/>
      </w:r>
      <w:r w:rsidRPr="001B312F">
        <w:rPr>
          <w:rFonts w:ascii="Calibri" w:eastAsia="Calibri" w:hAnsi="Calibri" w:cs="Times New Roman"/>
        </w:rPr>
        <w:t>), along</w:t>
      </w:r>
      <w:r w:rsidRPr="00E6060C">
        <w:rPr>
          <w:rFonts w:ascii="Calibri" w:eastAsia="Calibri" w:hAnsi="Calibri" w:cs="Times New Roman"/>
        </w:rPr>
        <w:t xml:space="preserve"> with the SRMR results from the analyses conducted following casewise deletion of missing data. </w:t>
      </w:r>
      <w:r w:rsidRPr="00E6060C">
        <w:rPr>
          <w:rFonts w:ascii="Calibri" w:eastAsia="Calibri" w:hAnsi="Calibri" w:cs="Times New Roman"/>
          <w:color w:val="000000"/>
        </w:rPr>
        <w:t>Discriminant analyses were conducted by calculating the average variance extracted for each of the subcomponents (AVE), which is equal to squaring the standardised factor loadings, and then comparing the squared correlation between each pair of factors (</w:t>
      </w:r>
      <w:r w:rsidR="001B312F">
        <w:rPr>
          <w:rFonts w:ascii="Calibri" w:eastAsia="Calibri" w:hAnsi="Calibri" w:cs="Times New Roman"/>
          <w:color w:val="000000"/>
        </w:rPr>
        <w:fldChar w:fldCharType="begin"/>
      </w:r>
      <w:r w:rsidR="001B312F">
        <w:rPr>
          <w:rFonts w:ascii="Calibri" w:eastAsia="Calibri" w:hAnsi="Calibri" w:cs="Times New Roman"/>
          <w:color w:val="000000"/>
        </w:rPr>
        <w:instrText xml:space="preserve"> REF _Ref453582927 \h </w:instrText>
      </w:r>
      <w:r w:rsidR="001B312F">
        <w:rPr>
          <w:rFonts w:ascii="Calibri" w:eastAsia="Calibri" w:hAnsi="Calibri" w:cs="Times New Roman"/>
          <w:color w:val="000000"/>
        </w:rPr>
      </w:r>
      <w:r w:rsidR="001B312F">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4</w:t>
      </w:r>
      <w:r w:rsidR="001B312F">
        <w:rPr>
          <w:rFonts w:ascii="Calibri" w:eastAsia="Calibri" w:hAnsi="Calibri" w:cs="Times New Roman"/>
          <w:color w:val="000000"/>
        </w:rPr>
        <w:fldChar w:fldCharType="end"/>
      </w:r>
      <w:r w:rsidRPr="00E6060C">
        <w:rPr>
          <w:rFonts w:ascii="Calibri" w:eastAsia="Calibri" w:hAnsi="Calibri" w:cs="Times New Roman"/>
          <w:color w:val="000000"/>
        </w:rPr>
        <w:t xml:space="preserve">). If a factor’s AVE was higher than its squared correlation with all the other variables in the model, it was considered to have discriminant validity, in accordance with guidelines outlined by Fornell and Larcker (1981). </w:t>
      </w:r>
    </w:p>
    <w:p w14:paraId="7AB0B628" w14:textId="77777777" w:rsidR="00E6060C" w:rsidRPr="00E6060C" w:rsidRDefault="00E6060C" w:rsidP="00E6060C">
      <w:pPr>
        <w:spacing w:after="200" w:line="360" w:lineRule="auto"/>
        <w:contextualSpacing/>
        <w:rPr>
          <w:rFonts w:ascii="Calibri" w:eastAsia="Calibri" w:hAnsi="Calibri" w:cs="Times New Roman"/>
          <w:color w:val="000000"/>
        </w:rPr>
      </w:pPr>
    </w:p>
    <w:p w14:paraId="684928A5" w14:textId="21B334C2"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The average variance extracted for autonomy and competence was higher than the squared correlations between autonomy and each of the other two needs, and between competence and each of the other two needs (</w:t>
      </w:r>
      <w:r w:rsidR="00A44EA3">
        <w:rPr>
          <w:rFonts w:ascii="Calibri" w:eastAsia="Calibri" w:hAnsi="Calibri" w:cs="Times New Roman"/>
          <w:color w:val="000000"/>
        </w:rPr>
        <w:fldChar w:fldCharType="begin"/>
      </w:r>
      <w:r w:rsidR="00A44EA3">
        <w:rPr>
          <w:rFonts w:ascii="Calibri" w:eastAsia="Calibri" w:hAnsi="Calibri" w:cs="Times New Roman"/>
          <w:color w:val="000000"/>
        </w:rPr>
        <w:instrText xml:space="preserve"> REF _Ref453582927 \h </w:instrText>
      </w:r>
      <w:r w:rsidR="00A44EA3">
        <w:rPr>
          <w:rFonts w:ascii="Calibri" w:eastAsia="Calibri" w:hAnsi="Calibri" w:cs="Times New Roman"/>
          <w:color w:val="000000"/>
        </w:rPr>
      </w:r>
      <w:r w:rsidR="00A44EA3">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4</w:t>
      </w:r>
      <w:r w:rsidR="00A44EA3">
        <w:rPr>
          <w:rFonts w:ascii="Calibri" w:eastAsia="Calibri" w:hAnsi="Calibri" w:cs="Times New Roman"/>
          <w:color w:val="000000"/>
        </w:rPr>
        <w:fldChar w:fldCharType="end"/>
      </w:r>
      <w:r w:rsidRPr="00E6060C">
        <w:rPr>
          <w:rFonts w:ascii="Calibri" w:eastAsia="Calibri" w:hAnsi="Calibri" w:cs="Times New Roman"/>
          <w:color w:val="000000"/>
        </w:rPr>
        <w:t xml:space="preserve">), suggesting discriminant validity. However, for relatedness, it was only higher than its squared correlation with competence. Given the reported differential relationships between each of these three factors with predictors of work engagement (e.g. Van den Broeck et al., 2010), however, it was considered appropriate to treat the three scales individually. For example, in a previous study task autonomy was more strongly associated with autonomy satisfaction than any other need, and social support was more strongly associated with relatedness than any other need (Van den Broeck </w:t>
      </w:r>
      <w:r w:rsidR="00395453">
        <w:rPr>
          <w:rFonts w:ascii="Calibri" w:eastAsia="Calibri" w:hAnsi="Calibri" w:cs="Times New Roman"/>
          <w:color w:val="000000"/>
        </w:rPr>
        <w:t>et al.</w:t>
      </w:r>
      <w:r w:rsidRPr="00E6060C">
        <w:rPr>
          <w:rFonts w:ascii="Calibri" w:eastAsia="Calibri" w:hAnsi="Calibri" w:cs="Times New Roman"/>
          <w:color w:val="000000"/>
        </w:rPr>
        <w:t xml:space="preserve">, 2010). This indicates that it should not be expected that each predictor should have the same effect on work engagement via each of the three needs, and thus that it makes theoretical sense to treat the three scales separately. Confirmatory factor analysis revealed that the fit of the three factor model was excellent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=24)=78.92, </w:t>
      </w:r>
      <w:r w:rsidRPr="00E6060C">
        <w:rPr>
          <w:rFonts w:ascii="Calibri" w:eastAsia="Calibri" w:hAnsi="Calibri" w:cs="Times New Roman"/>
          <w:i/>
          <w:color w:val="000000"/>
        </w:rPr>
        <w:t>p</w:t>
      </w:r>
      <w:r w:rsidRPr="00E6060C">
        <w:rPr>
          <w:rFonts w:ascii="Calibri" w:eastAsia="Calibri" w:hAnsi="Calibri" w:cs="Times New Roman"/>
          <w:color w:val="000000"/>
        </w:rPr>
        <w:t xml:space="preserve">=&lt;.001, CFI=.94, RMSEA=.10, SRMR (N=203) =.07, and much better than the fit of a one factor model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=27)=292.60, </w:t>
      </w:r>
      <w:r w:rsidRPr="00E6060C">
        <w:rPr>
          <w:rFonts w:ascii="Calibri" w:eastAsia="Calibri" w:hAnsi="Calibri" w:cs="Times New Roman"/>
          <w:i/>
          <w:color w:val="000000"/>
        </w:rPr>
        <w:t>p</w:t>
      </w:r>
      <w:r w:rsidRPr="00E6060C">
        <w:rPr>
          <w:rFonts w:ascii="Calibri" w:eastAsia="Calibri" w:hAnsi="Calibri" w:cs="Times New Roman"/>
          <w:color w:val="000000"/>
        </w:rPr>
        <w:t xml:space="preserve">=&lt;.001, CFI=.71, RMSEA=.21, SRMR (N=203)=.11. The reliability of each of the three subscales was also high (Cronbach’s α =.76-.84, see </w:t>
      </w:r>
      <w:r w:rsidR="00A44EA3">
        <w:rPr>
          <w:rFonts w:ascii="Calibri" w:eastAsia="Calibri" w:hAnsi="Calibri" w:cs="Times New Roman"/>
          <w:color w:val="000000"/>
        </w:rPr>
        <w:fldChar w:fldCharType="begin"/>
      </w:r>
      <w:r w:rsidR="00A44EA3">
        <w:rPr>
          <w:rFonts w:ascii="Calibri" w:eastAsia="Calibri" w:hAnsi="Calibri" w:cs="Times New Roman"/>
          <w:color w:val="000000"/>
        </w:rPr>
        <w:instrText xml:space="preserve"> REF _Ref453583030 \h </w:instrText>
      </w:r>
      <w:r w:rsidR="00A44EA3">
        <w:rPr>
          <w:rFonts w:ascii="Calibri" w:eastAsia="Calibri" w:hAnsi="Calibri" w:cs="Times New Roman"/>
          <w:color w:val="000000"/>
        </w:rPr>
      </w:r>
      <w:r w:rsidR="00A44EA3">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5</w:t>
      </w:r>
      <w:r w:rsidR="00A44EA3">
        <w:rPr>
          <w:rFonts w:ascii="Calibri" w:eastAsia="Calibri" w:hAnsi="Calibri" w:cs="Times New Roman"/>
          <w:color w:val="000000"/>
        </w:rPr>
        <w:fldChar w:fldCharType="end"/>
      </w:r>
      <w:r w:rsidRPr="00E6060C">
        <w:rPr>
          <w:rFonts w:ascii="Calibri" w:eastAsia="Calibri" w:hAnsi="Calibri" w:cs="Times New Roman"/>
          <w:color w:val="000000"/>
        </w:rPr>
        <w:t xml:space="preserve">), although the reliability of the single 9-item scale was higher, Cronbach’s α=.86. This is to be expected, given that </w:t>
      </w:r>
      <w:r w:rsidRPr="00E6060C">
        <w:rPr>
          <w:rFonts w:ascii="Calibri" w:eastAsia="Calibri" w:hAnsi="Calibri" w:cs="Times New Roman"/>
          <w:color w:val="000000"/>
        </w:rPr>
        <w:lastRenderedPageBreak/>
        <w:t xml:space="preserve">increasing the number of items in a scale increases its reliability, in accordance with Classical Test Theory (DeVellis, 2006), and thus a reduction in reliability is an inevitable result of reducing the number of items in a scale. It is therefore important to consider the results of CFA in conjunction with reliability analysis when making decisions about scale structure. In this case, taking both the empirical and theoretical evidence into account suggests that the three subscales can be considered to have discriminant validity and can be appropriately treated as separate measures.  </w:t>
      </w:r>
    </w:p>
    <w:p w14:paraId="59A9358E" w14:textId="77777777" w:rsidR="00E6060C" w:rsidRPr="00E6060C" w:rsidRDefault="00E6060C" w:rsidP="00E6060C">
      <w:pPr>
        <w:spacing w:after="200" w:line="360" w:lineRule="auto"/>
        <w:contextualSpacing/>
        <w:rPr>
          <w:rFonts w:ascii="Calibri" w:eastAsia="Calibri" w:hAnsi="Calibri" w:cs="Times New Roman"/>
          <w:color w:val="000000"/>
        </w:rPr>
      </w:pPr>
    </w:p>
    <w:p w14:paraId="4B786CD7" w14:textId="6E7B06BC"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Confirmatory factor analysis revealed that the fit of a three factor work engagement model,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=24)=116.15, </w:t>
      </w:r>
      <w:r w:rsidRPr="00E6060C">
        <w:rPr>
          <w:rFonts w:ascii="Calibri" w:eastAsia="Calibri" w:hAnsi="Calibri" w:cs="Times New Roman"/>
          <w:i/>
          <w:color w:val="000000"/>
        </w:rPr>
        <w:t>p</w:t>
      </w:r>
      <w:r w:rsidRPr="00E6060C">
        <w:rPr>
          <w:rFonts w:ascii="Calibri" w:eastAsia="Calibri" w:hAnsi="Calibri" w:cs="Times New Roman"/>
          <w:color w:val="000000"/>
        </w:rPr>
        <w:t>=&lt;.001,</w:t>
      </w:r>
      <w:r w:rsidRPr="00E6060C">
        <w:rPr>
          <w:rFonts w:ascii="Calibri" w:eastAsia="Calibri" w:hAnsi="Calibri" w:cs="Times New Roman"/>
          <w:i/>
          <w:color w:val="000000"/>
        </w:rPr>
        <w:t xml:space="preserve"> </w:t>
      </w:r>
      <w:r w:rsidRPr="00E6060C">
        <w:rPr>
          <w:rFonts w:ascii="Calibri" w:eastAsia="Calibri" w:hAnsi="Calibri" w:cs="Times New Roman"/>
          <w:color w:val="000000"/>
        </w:rPr>
        <w:t xml:space="preserve">CFI=.92, RMSEA=.13, SRMR (N=191)=.06, was better than that of a one factor model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=27)=154.81, </w:t>
      </w:r>
      <w:r w:rsidRPr="00E6060C">
        <w:rPr>
          <w:rFonts w:ascii="Calibri" w:eastAsia="Calibri" w:hAnsi="Calibri" w:cs="Times New Roman"/>
          <w:i/>
          <w:color w:val="000000"/>
        </w:rPr>
        <w:t>p</w:t>
      </w:r>
      <w:r w:rsidRPr="00E6060C">
        <w:rPr>
          <w:rFonts w:ascii="Calibri" w:eastAsia="Calibri" w:hAnsi="Calibri" w:cs="Times New Roman"/>
          <w:color w:val="000000"/>
        </w:rPr>
        <w:t>=&lt;.001, CFI=.88, RMSEA=.15, SRMR (N=191)=.06. However, the average variance extracted for each of the subcomponents was not greater than any of their paired correlations (</w:t>
      </w:r>
      <w:r w:rsidR="00A44EA3">
        <w:rPr>
          <w:rFonts w:ascii="Calibri" w:eastAsia="Calibri" w:hAnsi="Calibri" w:cs="Times New Roman"/>
          <w:color w:val="000000"/>
        </w:rPr>
        <w:fldChar w:fldCharType="begin"/>
      </w:r>
      <w:r w:rsidR="00A44EA3">
        <w:rPr>
          <w:rFonts w:ascii="Calibri" w:eastAsia="Calibri" w:hAnsi="Calibri" w:cs="Times New Roman"/>
          <w:color w:val="000000"/>
        </w:rPr>
        <w:instrText xml:space="preserve"> REF _Ref453582927 \h </w:instrText>
      </w:r>
      <w:r w:rsidR="00A44EA3">
        <w:rPr>
          <w:rFonts w:ascii="Calibri" w:eastAsia="Calibri" w:hAnsi="Calibri" w:cs="Times New Roman"/>
          <w:color w:val="000000"/>
        </w:rPr>
      </w:r>
      <w:r w:rsidR="00A44EA3">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4</w:t>
      </w:r>
      <w:r w:rsidR="00A44EA3">
        <w:rPr>
          <w:rFonts w:ascii="Calibri" w:eastAsia="Calibri" w:hAnsi="Calibri" w:cs="Times New Roman"/>
          <w:color w:val="000000"/>
        </w:rPr>
        <w:fldChar w:fldCharType="end"/>
      </w:r>
      <w:r w:rsidRPr="00E6060C">
        <w:rPr>
          <w:rFonts w:ascii="Calibri" w:eastAsia="Calibri" w:hAnsi="Calibri" w:cs="Times New Roman"/>
          <w:color w:val="000000"/>
        </w:rPr>
        <w:t xml:space="preserve">), suggesting that it is not possible to discriminate between them. It was concluded that the three subcomponents should be treated as a single measure for practical reasons, in particular, to avoid the issue of multicollinearity when conducting mediation analyses using regression. As highlighted earlier, this is in line with Schaufeli </w:t>
      </w:r>
      <w:r w:rsidR="00395453">
        <w:rPr>
          <w:rFonts w:ascii="Calibri" w:eastAsia="Calibri" w:hAnsi="Calibri" w:cs="Times New Roman"/>
          <w:color w:val="000000"/>
        </w:rPr>
        <w:t>et al.</w:t>
      </w:r>
      <w:r w:rsidRPr="00E6060C">
        <w:rPr>
          <w:rFonts w:ascii="Calibri" w:eastAsia="Calibri" w:hAnsi="Calibri" w:cs="Times New Roman"/>
          <w:color w:val="000000"/>
        </w:rPr>
        <w:t>’s (2006) suggestions. The reliability of the single 9-item scale was extremely good, Cronbach’s α=.91, and higher than that of any of the subcomponents (Cronbach’s α=.76-.84).</w:t>
      </w:r>
    </w:p>
    <w:p w14:paraId="65F44F4B" w14:textId="77777777" w:rsidR="00E6060C" w:rsidRPr="00E6060C" w:rsidRDefault="00E6060C" w:rsidP="00E6060C">
      <w:pPr>
        <w:spacing w:after="200" w:line="360" w:lineRule="auto"/>
        <w:contextualSpacing/>
        <w:rPr>
          <w:rFonts w:ascii="Calibri" w:eastAsia="Calibri" w:hAnsi="Calibri" w:cs="Times New Roman"/>
          <w:color w:val="000000"/>
        </w:rPr>
      </w:pPr>
    </w:p>
    <w:p w14:paraId="6892CC42" w14:textId="77777777"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The average variance extracted for resources was higher than the squared correlation between resources and demands (Table 7.4), however, the average variance extracted for demands was not higher than this squared correlation, suggesting that it is not possible to discriminate adequately between resources and demands. Confirmatory factor analysis revealed an excellent fit of the one factor model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=14)=38.83, </w:t>
      </w:r>
      <w:r w:rsidRPr="00E6060C">
        <w:rPr>
          <w:rFonts w:ascii="Calibri" w:eastAsia="Calibri" w:hAnsi="Calibri" w:cs="Times New Roman"/>
          <w:i/>
          <w:color w:val="000000"/>
        </w:rPr>
        <w:t>p</w:t>
      </w:r>
      <w:r w:rsidRPr="00E6060C">
        <w:rPr>
          <w:rFonts w:ascii="Calibri" w:eastAsia="Calibri" w:hAnsi="Calibri" w:cs="Times New Roman"/>
          <w:color w:val="000000"/>
        </w:rPr>
        <w:t xml:space="preserve">=&lt;.001, CFI=.94, RMSEA=.09, SRMR (N=205)=.06, although the fit of the two-factor model was even better,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=13)=15.58, </w:t>
      </w:r>
      <w:r w:rsidRPr="00E6060C">
        <w:rPr>
          <w:rFonts w:ascii="Calibri" w:eastAsia="Calibri" w:hAnsi="Calibri" w:cs="Times New Roman"/>
          <w:i/>
          <w:color w:val="000000"/>
        </w:rPr>
        <w:t>p</w:t>
      </w:r>
      <w:r w:rsidRPr="00E6060C">
        <w:rPr>
          <w:rFonts w:ascii="Calibri" w:eastAsia="Calibri" w:hAnsi="Calibri" w:cs="Times New Roman"/>
          <w:color w:val="000000"/>
        </w:rPr>
        <w:t xml:space="preserve">=.273, CFI=.99, RMSEA=.03, SRMR (N=205)=.04. Nevertheless, it was considered appropriate to treat resources and demands as a single scale for the same practical reasons as previously discussed for the work engagement scale. The reliability of the 7-item scale was good, Cronbach’s α=.80, comparable to that of demands (Cronbach’s α=.83), and much better than that of resources (Cronbach’s α=.59), when considered as separate scales. </w:t>
      </w:r>
    </w:p>
    <w:p w14:paraId="62B2DBE9" w14:textId="77777777" w:rsidR="00E6060C" w:rsidRPr="00E6060C" w:rsidRDefault="00E6060C" w:rsidP="00E6060C">
      <w:pPr>
        <w:spacing w:after="200" w:line="360" w:lineRule="auto"/>
        <w:contextualSpacing/>
        <w:rPr>
          <w:rFonts w:ascii="Calibri" w:eastAsia="Calibri" w:hAnsi="Calibri" w:cs="Times New Roman"/>
          <w:color w:val="000000"/>
        </w:rPr>
      </w:pPr>
    </w:p>
    <w:p w14:paraId="02AB74FB" w14:textId="77777777"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In summary, the results of these analyses and theoretical considerations suggest that autonomy, competence and belonging should be considered as three separate scales, that work engagement should be considered as a composite scale comprising the related subcomponents, vigour, </w:t>
      </w:r>
      <w:r w:rsidRPr="00E6060C">
        <w:rPr>
          <w:rFonts w:ascii="Calibri" w:eastAsia="Calibri" w:hAnsi="Calibri" w:cs="Times New Roman"/>
          <w:color w:val="000000"/>
        </w:rPr>
        <w:lastRenderedPageBreak/>
        <w:t xml:space="preserve">dedication and absorption, and that the two related variables, resources and demands should also be considered as a composite scale. </w:t>
      </w:r>
    </w:p>
    <w:p w14:paraId="06B373EA" w14:textId="77777777" w:rsidR="00E6060C" w:rsidRPr="00E6060C" w:rsidRDefault="00E6060C" w:rsidP="00E6060C">
      <w:pPr>
        <w:spacing w:after="200" w:line="360" w:lineRule="auto"/>
        <w:contextualSpacing/>
        <w:rPr>
          <w:rFonts w:ascii="Calibri" w:eastAsia="Calibri" w:hAnsi="Calibri" w:cs="Times New Roman"/>
          <w:color w:val="000000"/>
        </w:rPr>
      </w:pPr>
    </w:p>
    <w:p w14:paraId="2D728A5D" w14:textId="2B9DAC50" w:rsidR="00E6060C" w:rsidRPr="00E6060C" w:rsidRDefault="00E6060C" w:rsidP="00E6060C">
      <w:pPr>
        <w:spacing w:after="200" w:line="360" w:lineRule="auto"/>
        <w:contextualSpacing/>
        <w:rPr>
          <w:rFonts w:ascii="Calibri" w:eastAsia="Calibri" w:hAnsi="Calibri" w:cs="Times New Roman"/>
          <w:i/>
          <w:color w:val="000000"/>
        </w:rPr>
      </w:pPr>
      <w:r w:rsidRPr="00E6060C">
        <w:rPr>
          <w:rFonts w:ascii="Calibri" w:eastAsia="Calibri" w:hAnsi="Calibri" w:cs="Times New Roman"/>
          <w:i/>
          <w:color w:val="000000"/>
        </w:rPr>
        <w:t xml:space="preserve">Cronbach’s alpha and CFA for the colleague support, influence in decision-making and </w:t>
      </w:r>
      <w:r w:rsidR="001D6140">
        <w:rPr>
          <w:rFonts w:ascii="Calibri" w:eastAsia="Calibri" w:hAnsi="Calibri" w:cs="Times New Roman"/>
          <w:i/>
          <w:color w:val="000000"/>
        </w:rPr>
        <w:t>well-being</w:t>
      </w:r>
      <w:r w:rsidRPr="00E6060C">
        <w:rPr>
          <w:rFonts w:ascii="Calibri" w:eastAsia="Calibri" w:hAnsi="Calibri" w:cs="Times New Roman"/>
          <w:i/>
          <w:color w:val="000000"/>
        </w:rPr>
        <w:t xml:space="preserve"> scales</w:t>
      </w:r>
    </w:p>
    <w:p w14:paraId="1E32DEA8" w14:textId="77777777" w:rsidR="00E6060C" w:rsidRPr="00E6060C" w:rsidRDefault="00E6060C" w:rsidP="00E6060C">
      <w:pPr>
        <w:spacing w:after="200" w:line="360" w:lineRule="auto"/>
        <w:contextualSpacing/>
        <w:rPr>
          <w:rFonts w:ascii="Calibri" w:eastAsia="Calibri" w:hAnsi="Calibri" w:cs="Times New Roman"/>
          <w:i/>
          <w:color w:val="000000"/>
        </w:rPr>
      </w:pPr>
    </w:p>
    <w:p w14:paraId="20948533" w14:textId="2129F7AE"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rPr>
        <w:t xml:space="preserve">The results of reliability analyses indicate that the </w:t>
      </w:r>
      <w:r w:rsidRPr="00E6060C">
        <w:rPr>
          <w:rFonts w:ascii="Calibri" w:eastAsia="Calibri" w:hAnsi="Calibri" w:cs="Times New Roman"/>
          <w:color w:val="000000"/>
        </w:rPr>
        <w:t xml:space="preserve">colleague support, influence in decision-making, and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 scales </w:t>
      </w:r>
      <w:r w:rsidRPr="00E6060C">
        <w:rPr>
          <w:rFonts w:ascii="Calibri" w:eastAsia="Calibri" w:hAnsi="Calibri" w:cs="Times New Roman"/>
        </w:rPr>
        <w:t>all achieved a Cronbach’s</w:t>
      </w:r>
      <w:r w:rsidRPr="00E6060C">
        <w:rPr>
          <w:rFonts w:ascii="Calibri" w:eastAsia="Calibri" w:hAnsi="Calibri" w:cs="Times New Roman"/>
          <w:i/>
        </w:rPr>
        <w:t xml:space="preserve"> α</w:t>
      </w:r>
      <w:r w:rsidRPr="00E6060C">
        <w:rPr>
          <w:rFonts w:ascii="Calibri" w:eastAsia="Calibri" w:hAnsi="Calibri" w:cs="Times New Roman"/>
        </w:rPr>
        <w:t xml:space="preserve"> of .79 or above, indicating good to high internal consistency. The highest value was for colleague support, Cronbach’s </w:t>
      </w:r>
      <w:r w:rsidRPr="00E6060C">
        <w:rPr>
          <w:rFonts w:ascii="Calibri" w:eastAsia="Calibri" w:hAnsi="Calibri" w:cs="Times New Roman"/>
          <w:i/>
        </w:rPr>
        <w:t>α</w:t>
      </w:r>
      <w:r w:rsidRPr="00E6060C">
        <w:rPr>
          <w:rFonts w:ascii="Calibri" w:eastAsia="Calibri" w:hAnsi="Calibri" w:cs="Times New Roman"/>
        </w:rPr>
        <w:t xml:space="preserve">=.90, and the lowest value was for low activated pleasant affect (comfort), </w:t>
      </w:r>
      <w:r w:rsidRPr="00E6060C">
        <w:rPr>
          <w:rFonts w:ascii="Calibri" w:eastAsia="Calibri" w:hAnsi="Calibri" w:cs="Times New Roman"/>
          <w:i/>
        </w:rPr>
        <w:t>α</w:t>
      </w:r>
      <w:r w:rsidRPr="00E6060C">
        <w:rPr>
          <w:rFonts w:ascii="Calibri" w:eastAsia="Calibri" w:hAnsi="Calibri" w:cs="Times New Roman"/>
        </w:rPr>
        <w:t xml:space="preserve">=.79. These results are similar to those obtained by previous studies (see section </w:t>
      </w:r>
      <w:r w:rsidR="00A44EA3">
        <w:rPr>
          <w:rFonts w:ascii="Calibri" w:eastAsia="Calibri" w:hAnsi="Calibri" w:cs="Times New Roman"/>
        </w:rPr>
        <w:fldChar w:fldCharType="begin"/>
      </w:r>
      <w:r w:rsidR="00A44EA3">
        <w:rPr>
          <w:rFonts w:ascii="Calibri" w:eastAsia="Calibri" w:hAnsi="Calibri" w:cs="Times New Roman"/>
        </w:rPr>
        <w:instrText xml:space="preserve"> REF _Ref453583691 \r \h </w:instrText>
      </w:r>
      <w:r w:rsidR="00A44EA3">
        <w:rPr>
          <w:rFonts w:ascii="Calibri" w:eastAsia="Calibri" w:hAnsi="Calibri" w:cs="Times New Roman"/>
        </w:rPr>
      </w:r>
      <w:r w:rsidR="00A44EA3">
        <w:rPr>
          <w:rFonts w:ascii="Calibri" w:eastAsia="Calibri" w:hAnsi="Calibri" w:cs="Times New Roman"/>
        </w:rPr>
        <w:fldChar w:fldCharType="separate"/>
      </w:r>
      <w:r w:rsidR="00152F6D">
        <w:rPr>
          <w:rFonts w:ascii="Calibri" w:eastAsia="Calibri" w:hAnsi="Calibri" w:cs="Times New Roman"/>
        </w:rPr>
        <w:t>7.7</w:t>
      </w:r>
      <w:r w:rsidR="00A44EA3">
        <w:rPr>
          <w:rFonts w:ascii="Calibri" w:eastAsia="Calibri" w:hAnsi="Calibri" w:cs="Times New Roman"/>
        </w:rPr>
        <w:fldChar w:fldCharType="end"/>
      </w:r>
      <w:r w:rsidRPr="00E6060C">
        <w:rPr>
          <w:rFonts w:ascii="Calibri" w:eastAsia="Calibri" w:hAnsi="Calibri" w:cs="Times New Roman"/>
        </w:rPr>
        <w:t xml:space="preserve">).  </w:t>
      </w:r>
    </w:p>
    <w:p w14:paraId="7CC6AD29" w14:textId="77777777" w:rsidR="00E6060C" w:rsidRPr="00E6060C" w:rsidRDefault="00E6060C" w:rsidP="00E6060C">
      <w:pPr>
        <w:spacing w:after="200" w:line="360" w:lineRule="auto"/>
        <w:contextualSpacing/>
        <w:rPr>
          <w:rFonts w:ascii="Calibri" w:eastAsia="Calibri" w:hAnsi="Calibri" w:cs="Times New Roman"/>
          <w:highlight w:val="lightGray"/>
        </w:rPr>
      </w:pPr>
    </w:p>
    <w:p w14:paraId="6CEDE5DB" w14:textId="0BDA4CFB"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rPr>
        <w:t>The validity of the scales was again conducted via CFA (ML) in AMOS (version 22). Each measure was specified according to the theoretical structure outlined in previous literature (</w:t>
      </w:r>
      <w:r w:rsidRPr="00E6060C">
        <w:rPr>
          <w:rFonts w:ascii="Calibri" w:eastAsia="Calibri" w:hAnsi="Calibri" w:cs="Times New Roman"/>
          <w:shd w:val="clear" w:color="auto" w:fill="FFFFFF"/>
        </w:rPr>
        <w:t xml:space="preserve">see section </w:t>
      </w:r>
      <w:r w:rsidR="00A44EA3">
        <w:rPr>
          <w:rFonts w:ascii="Calibri" w:eastAsia="Calibri" w:hAnsi="Calibri" w:cs="Times New Roman"/>
          <w:shd w:val="clear" w:color="auto" w:fill="FFFFFF"/>
        </w:rPr>
        <w:fldChar w:fldCharType="begin"/>
      </w:r>
      <w:r w:rsidR="00A44EA3">
        <w:rPr>
          <w:rFonts w:ascii="Calibri" w:eastAsia="Calibri" w:hAnsi="Calibri" w:cs="Times New Roman"/>
          <w:shd w:val="clear" w:color="auto" w:fill="FFFFFF"/>
        </w:rPr>
        <w:instrText xml:space="preserve"> REF _Ref453583765 \r \h </w:instrText>
      </w:r>
      <w:r w:rsidR="00A44EA3">
        <w:rPr>
          <w:rFonts w:ascii="Calibri" w:eastAsia="Calibri" w:hAnsi="Calibri" w:cs="Times New Roman"/>
          <w:shd w:val="clear" w:color="auto" w:fill="FFFFFF"/>
        </w:rPr>
      </w:r>
      <w:r w:rsidR="00A44EA3">
        <w:rPr>
          <w:rFonts w:ascii="Calibri" w:eastAsia="Calibri" w:hAnsi="Calibri" w:cs="Times New Roman"/>
          <w:shd w:val="clear" w:color="auto" w:fill="FFFFFF"/>
        </w:rPr>
        <w:fldChar w:fldCharType="separate"/>
      </w:r>
      <w:r w:rsidR="00152F6D">
        <w:rPr>
          <w:rFonts w:ascii="Calibri" w:eastAsia="Calibri" w:hAnsi="Calibri" w:cs="Times New Roman"/>
          <w:shd w:val="clear" w:color="auto" w:fill="FFFFFF"/>
        </w:rPr>
        <w:t>7.7</w:t>
      </w:r>
      <w:r w:rsidR="00A44EA3">
        <w:rPr>
          <w:rFonts w:ascii="Calibri" w:eastAsia="Calibri" w:hAnsi="Calibri" w:cs="Times New Roman"/>
          <w:shd w:val="clear" w:color="auto" w:fill="FFFFFF"/>
        </w:rPr>
        <w:fldChar w:fldCharType="end"/>
      </w:r>
      <w:r w:rsidRPr="00E6060C">
        <w:rPr>
          <w:rFonts w:ascii="Calibri" w:eastAsia="Calibri" w:hAnsi="Calibri" w:cs="Times New Roman"/>
          <w:shd w:val="clear" w:color="auto" w:fill="FFFFFF"/>
        </w:rPr>
        <w:t>)</w:t>
      </w:r>
      <w:r w:rsidRPr="00E6060C">
        <w:rPr>
          <w:rFonts w:ascii="Calibri" w:eastAsia="Calibri" w:hAnsi="Calibri" w:cs="Times New Roman"/>
        </w:rPr>
        <w:t xml:space="preserve"> and in accordance with any adjustments made at Time 1 (discussed earlier in this section). As colleague support and influence in decision-making contained only three items, they could not be factor analysed separately as one-factor models due to saturation (each model containing zero degrees of freedom). Therefore, a one-factor model was created from these two variables, with a covariance specified between each factor, allowing the two constructs to covary and creating degrees of freedom enabling the analysis to proceed. In</w:t>
      </w:r>
      <w:r w:rsidR="00A44EA3">
        <w:rPr>
          <w:rFonts w:ascii="Calibri" w:eastAsia="Calibri" w:hAnsi="Calibri" w:cs="Times New Roman"/>
        </w:rPr>
        <w:t xml:space="preserve"> accordance with the literature,</w:t>
      </w:r>
      <w:r w:rsidRPr="00E6060C">
        <w:rPr>
          <w:rFonts w:ascii="Calibri" w:eastAsia="Calibri" w:hAnsi="Calibri" w:cs="Times New Roman"/>
        </w:rPr>
        <w:t xml:space="preserve"> </w:t>
      </w:r>
      <w:r w:rsidR="001D6140">
        <w:rPr>
          <w:rFonts w:ascii="Calibri" w:eastAsia="Calibri" w:hAnsi="Calibri" w:cs="Times New Roman"/>
        </w:rPr>
        <w:t>well-being</w:t>
      </w:r>
      <w:r w:rsidRPr="00E6060C">
        <w:rPr>
          <w:rFonts w:ascii="Calibri" w:eastAsia="Calibri" w:hAnsi="Calibri" w:cs="Times New Roman"/>
        </w:rPr>
        <w:t xml:space="preserve"> was assessed via a four-factor model comprising high activated unpleasant affect, high activated pleasant affect, low activated unpleasant affect and low activated pleasant affect (Warr et al., 2014). </w:t>
      </w:r>
    </w:p>
    <w:p w14:paraId="7D97F0A0" w14:textId="77777777" w:rsidR="00E6060C" w:rsidRPr="00E6060C" w:rsidRDefault="00E6060C" w:rsidP="00E6060C">
      <w:pPr>
        <w:spacing w:after="200" w:line="360" w:lineRule="auto"/>
        <w:contextualSpacing/>
        <w:rPr>
          <w:rFonts w:ascii="Calibri" w:eastAsia="Calibri" w:hAnsi="Calibri" w:cs="Times New Roman"/>
        </w:rPr>
      </w:pPr>
    </w:p>
    <w:p w14:paraId="48F723E2" w14:textId="4A912EFE"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rPr>
        <w:t xml:space="preserve">The results of CFA (ML) for the one-factor model comprising colleague support and influence in decision-making were very good (N=217; </w:t>
      </w:r>
      <w:r w:rsidR="00A44EA3">
        <w:rPr>
          <w:rFonts w:ascii="Calibri" w:eastAsia="Calibri" w:hAnsi="Calibri" w:cs="Times New Roman"/>
        </w:rPr>
        <w:fldChar w:fldCharType="begin"/>
      </w:r>
      <w:r w:rsidR="00A44EA3">
        <w:rPr>
          <w:rFonts w:ascii="Calibri" w:eastAsia="Calibri" w:hAnsi="Calibri" w:cs="Times New Roman"/>
        </w:rPr>
        <w:instrText xml:space="preserve"> REF _Ref453583030 \h </w:instrText>
      </w:r>
      <w:r w:rsidR="00A44EA3">
        <w:rPr>
          <w:rFonts w:ascii="Calibri" w:eastAsia="Calibri" w:hAnsi="Calibri" w:cs="Times New Roman"/>
        </w:rPr>
      </w:r>
      <w:r w:rsidR="00A44EA3">
        <w:rPr>
          <w:rFonts w:ascii="Calibri" w:eastAsia="Calibri" w:hAnsi="Calibri" w:cs="Times New Roman"/>
        </w:rPr>
        <w:fldChar w:fldCharType="separate"/>
      </w:r>
      <w:r w:rsidR="00152F6D">
        <w:t xml:space="preserve">Table </w:t>
      </w:r>
      <w:r w:rsidR="00152F6D">
        <w:rPr>
          <w:noProof/>
        </w:rPr>
        <w:t>7</w:t>
      </w:r>
      <w:r w:rsidR="00152F6D">
        <w:t>.</w:t>
      </w:r>
      <w:r w:rsidR="00152F6D">
        <w:rPr>
          <w:noProof/>
        </w:rPr>
        <w:t>5</w:t>
      </w:r>
      <w:r w:rsidR="00A44EA3">
        <w:rPr>
          <w:rFonts w:ascii="Calibri" w:eastAsia="Calibri" w:hAnsi="Calibri" w:cs="Times New Roman"/>
        </w:rPr>
        <w:fldChar w:fldCharType="end"/>
      </w:r>
      <w:r w:rsidRPr="00E6060C">
        <w:rPr>
          <w:rFonts w:ascii="Calibri" w:eastAsia="Calibri" w:hAnsi="Calibri" w:cs="Times New Roman"/>
        </w:rPr>
        <w:t xml:space="preserve">),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=8)=16.24, </w:t>
      </w:r>
      <w:r w:rsidRPr="00E6060C">
        <w:rPr>
          <w:rFonts w:ascii="Calibri" w:eastAsia="Calibri" w:hAnsi="Calibri" w:cs="Times New Roman"/>
          <w:i/>
          <w:color w:val="000000"/>
        </w:rPr>
        <w:t>p</w:t>
      </w:r>
      <w:r w:rsidRPr="00E6060C">
        <w:rPr>
          <w:rFonts w:ascii="Calibri" w:eastAsia="Calibri" w:hAnsi="Calibri" w:cs="Times New Roman"/>
          <w:color w:val="000000"/>
        </w:rPr>
        <w:t>=</w:t>
      </w:r>
      <w:r w:rsidRPr="00E6060C">
        <w:rPr>
          <w:rFonts w:ascii="Calibri" w:eastAsia="Calibri" w:hAnsi="Calibri" w:cs="Times New Roman"/>
        </w:rPr>
        <w:t xml:space="preserve">.039, </w:t>
      </w:r>
      <w:r w:rsidRPr="00E6060C">
        <w:rPr>
          <w:rFonts w:ascii="Calibri" w:eastAsia="Calibri" w:hAnsi="Calibri" w:cs="Times New Roman"/>
          <w:color w:val="000000"/>
        </w:rPr>
        <w:t xml:space="preserve">CFI=.99, RMSEA=.06, SRMR (N=212) =.35, suggesting high validity. The results for the four factor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 model were also very good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=98)= 225.47, </w:t>
      </w:r>
      <w:r w:rsidRPr="00E6060C">
        <w:rPr>
          <w:rFonts w:ascii="Calibri" w:eastAsia="Calibri" w:hAnsi="Calibri" w:cs="Times New Roman"/>
          <w:i/>
          <w:color w:val="000000"/>
        </w:rPr>
        <w:t>p</w:t>
      </w:r>
      <w:r w:rsidRPr="00E6060C">
        <w:rPr>
          <w:rFonts w:ascii="Calibri" w:eastAsia="Calibri" w:hAnsi="Calibri" w:cs="Times New Roman"/>
          <w:color w:val="000000"/>
        </w:rPr>
        <w:t>=&lt;.001</w:t>
      </w:r>
      <w:r w:rsidRPr="00E6060C">
        <w:rPr>
          <w:rFonts w:ascii="Calibri" w:eastAsia="Calibri" w:hAnsi="Calibri" w:cs="Times New Roman"/>
        </w:rPr>
        <w:t xml:space="preserve">, </w:t>
      </w:r>
      <w:r w:rsidRPr="00E6060C">
        <w:rPr>
          <w:rFonts w:ascii="Calibri" w:eastAsia="Calibri" w:hAnsi="Calibri" w:cs="Times New Roman"/>
          <w:color w:val="000000"/>
        </w:rPr>
        <w:t xml:space="preserve">CFI=.93, RMSEA=.08, SRMR (N=166) =.07, and much better than those of a one-factor model (N=217), </w:t>
      </w:r>
      <w:r w:rsidRPr="00E6060C">
        <w:rPr>
          <w:rFonts w:ascii="Calibri" w:eastAsia="Calibri" w:hAnsi="Calibri" w:cs="Times New Roman"/>
          <w:i/>
          <w:color w:val="000000"/>
        </w:rPr>
        <w:t>Chi</w:t>
      </w:r>
      <w:r w:rsidRPr="00E6060C">
        <w:rPr>
          <w:rFonts w:ascii="Calibri" w:eastAsia="Calibri" w:hAnsi="Calibri" w:cs="Times New Roman"/>
          <w:i/>
          <w:color w:val="000000"/>
          <w:vertAlign w:val="superscript"/>
        </w:rPr>
        <w:t>2</w:t>
      </w:r>
      <w:r w:rsidRPr="00E6060C">
        <w:rPr>
          <w:rFonts w:ascii="Calibri" w:eastAsia="Calibri" w:hAnsi="Calibri" w:cs="Times New Roman"/>
          <w:color w:val="000000"/>
        </w:rPr>
        <w:t>(</w:t>
      </w:r>
      <w:r w:rsidRPr="00E6060C">
        <w:rPr>
          <w:rFonts w:ascii="Calibri" w:eastAsia="Calibri" w:hAnsi="Calibri" w:cs="Times New Roman"/>
          <w:i/>
          <w:color w:val="000000"/>
        </w:rPr>
        <w:t>df</w:t>
      </w:r>
      <w:r w:rsidRPr="00E6060C">
        <w:rPr>
          <w:rFonts w:ascii="Calibri" w:eastAsia="Calibri" w:hAnsi="Calibri" w:cs="Times New Roman"/>
          <w:color w:val="000000"/>
        </w:rPr>
        <w:t xml:space="preserve">=104)=905.70 , </w:t>
      </w:r>
      <w:r w:rsidRPr="00E6060C">
        <w:rPr>
          <w:rFonts w:ascii="Calibri" w:eastAsia="Calibri" w:hAnsi="Calibri" w:cs="Times New Roman"/>
          <w:i/>
          <w:color w:val="000000"/>
        </w:rPr>
        <w:t>p</w:t>
      </w:r>
      <w:r w:rsidRPr="00E6060C">
        <w:rPr>
          <w:rFonts w:ascii="Calibri" w:eastAsia="Calibri" w:hAnsi="Calibri" w:cs="Times New Roman"/>
          <w:color w:val="000000"/>
        </w:rPr>
        <w:t>=&lt;.001</w:t>
      </w:r>
      <w:r w:rsidRPr="00E6060C">
        <w:rPr>
          <w:rFonts w:ascii="Calibri" w:eastAsia="Calibri" w:hAnsi="Calibri" w:cs="Times New Roman"/>
        </w:rPr>
        <w:t xml:space="preserve">, </w:t>
      </w:r>
      <w:r w:rsidRPr="00E6060C">
        <w:rPr>
          <w:rFonts w:ascii="Calibri" w:eastAsia="Calibri" w:hAnsi="Calibri" w:cs="Times New Roman"/>
          <w:color w:val="000000"/>
        </w:rPr>
        <w:t xml:space="preserve">CFI=.54, RMSEA=.19, SRMR (N=166) =.15. These results are in keeping with previous literature (see section </w:t>
      </w:r>
      <w:r w:rsidR="00957235">
        <w:rPr>
          <w:rFonts w:ascii="Calibri" w:eastAsia="Calibri" w:hAnsi="Calibri" w:cs="Times New Roman"/>
          <w:color w:val="000000"/>
        </w:rPr>
        <w:fldChar w:fldCharType="begin"/>
      </w:r>
      <w:r w:rsidR="00957235">
        <w:rPr>
          <w:rFonts w:ascii="Calibri" w:eastAsia="Calibri" w:hAnsi="Calibri" w:cs="Times New Roman"/>
          <w:color w:val="000000"/>
        </w:rPr>
        <w:instrText xml:space="preserve"> REF _Ref453584141 \r \h </w:instrText>
      </w:r>
      <w:r w:rsidR="00957235">
        <w:rPr>
          <w:rFonts w:ascii="Calibri" w:eastAsia="Calibri" w:hAnsi="Calibri" w:cs="Times New Roman"/>
          <w:color w:val="000000"/>
        </w:rPr>
      </w:r>
      <w:r w:rsidR="00957235">
        <w:rPr>
          <w:rFonts w:ascii="Calibri" w:eastAsia="Calibri" w:hAnsi="Calibri" w:cs="Times New Roman"/>
          <w:color w:val="000000"/>
        </w:rPr>
        <w:fldChar w:fldCharType="separate"/>
      </w:r>
      <w:r w:rsidR="00152F6D">
        <w:rPr>
          <w:rFonts w:ascii="Calibri" w:eastAsia="Calibri" w:hAnsi="Calibri" w:cs="Times New Roman"/>
          <w:color w:val="000000"/>
        </w:rPr>
        <w:t>7.7</w:t>
      </w:r>
      <w:r w:rsidR="00957235">
        <w:rPr>
          <w:rFonts w:ascii="Calibri" w:eastAsia="Calibri" w:hAnsi="Calibri" w:cs="Times New Roman"/>
          <w:color w:val="000000"/>
        </w:rPr>
        <w:fldChar w:fldCharType="end"/>
      </w:r>
      <w:r w:rsidRPr="00E6060C">
        <w:rPr>
          <w:rFonts w:ascii="Calibri" w:eastAsia="Calibri" w:hAnsi="Calibri" w:cs="Times New Roman"/>
          <w:color w:val="000000"/>
        </w:rPr>
        <w:t xml:space="preserve">), and confirm the structure of the four factor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 model.</w:t>
      </w:r>
    </w:p>
    <w:p w14:paraId="4C287562" w14:textId="77777777" w:rsidR="00E6060C" w:rsidRPr="00E6060C" w:rsidRDefault="00E6060C" w:rsidP="00E6060C">
      <w:pPr>
        <w:spacing w:after="200" w:line="360" w:lineRule="auto"/>
        <w:contextualSpacing/>
        <w:rPr>
          <w:rFonts w:ascii="Calibri" w:eastAsia="Calibri" w:hAnsi="Calibri" w:cs="Times New Roman"/>
          <w:color w:val="000000"/>
          <w:highlight w:val="lightGray"/>
        </w:rPr>
      </w:pPr>
    </w:p>
    <w:p w14:paraId="2CD95F40" w14:textId="77777777" w:rsidR="007803A3" w:rsidRDefault="007803A3">
      <w:pPr>
        <w:spacing w:after="160"/>
        <w:rPr>
          <w:rFonts w:ascii="Calibri" w:eastAsia="Calibri" w:hAnsi="Calibri" w:cs="Times New Roman"/>
          <w:i/>
          <w:color w:val="000000"/>
        </w:rPr>
      </w:pPr>
      <w:r>
        <w:rPr>
          <w:rFonts w:ascii="Calibri" w:eastAsia="Calibri" w:hAnsi="Calibri" w:cs="Times New Roman"/>
          <w:i/>
          <w:color w:val="000000"/>
        </w:rPr>
        <w:br w:type="page"/>
      </w:r>
    </w:p>
    <w:p w14:paraId="472C1A1A" w14:textId="12785173" w:rsidR="00E6060C" w:rsidRPr="00E6060C" w:rsidRDefault="00E6060C" w:rsidP="00E6060C">
      <w:pPr>
        <w:spacing w:after="200" w:line="360" w:lineRule="auto"/>
        <w:contextualSpacing/>
        <w:rPr>
          <w:rFonts w:ascii="Calibri" w:eastAsia="Calibri" w:hAnsi="Calibri" w:cs="Times New Roman"/>
          <w:i/>
          <w:color w:val="000000"/>
        </w:rPr>
      </w:pPr>
      <w:r w:rsidRPr="00E6060C">
        <w:rPr>
          <w:rFonts w:ascii="Calibri" w:eastAsia="Calibri" w:hAnsi="Calibri" w:cs="Times New Roman"/>
          <w:i/>
          <w:color w:val="000000"/>
        </w:rPr>
        <w:lastRenderedPageBreak/>
        <w:t>Summary of Cronbach’s alpha and CFA for all of the final scales</w:t>
      </w:r>
    </w:p>
    <w:p w14:paraId="01F227B3" w14:textId="77777777" w:rsidR="00E6060C" w:rsidRPr="00E6060C" w:rsidRDefault="00E6060C" w:rsidP="00E6060C">
      <w:pPr>
        <w:spacing w:after="200" w:line="360" w:lineRule="auto"/>
        <w:contextualSpacing/>
        <w:rPr>
          <w:rFonts w:ascii="Calibri" w:eastAsia="Calibri" w:hAnsi="Calibri" w:cs="Times New Roman"/>
          <w:i/>
          <w:color w:val="000000"/>
        </w:rPr>
      </w:pPr>
    </w:p>
    <w:p w14:paraId="41E99FBF" w14:textId="1C6D6B82"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In summary, discriminant, confirmatory factor, and reliability analyses were conducted to determine whether the work-related basic needs, work engagement and resources and demands scales should be considered as composite scales or separate measures for the purposes of further analyses. In addition, confirmatory factor, and reliability analyses were conducted to confirm the structure of the colleague support, influence in decision-making and </w:t>
      </w:r>
      <w:r w:rsidR="001D6140">
        <w:rPr>
          <w:rFonts w:ascii="Calibri" w:eastAsia="Calibri" w:hAnsi="Calibri" w:cs="Times New Roman"/>
          <w:color w:val="000000"/>
        </w:rPr>
        <w:t>well-being</w:t>
      </w:r>
      <w:r w:rsidRPr="00E6060C">
        <w:rPr>
          <w:rFonts w:ascii="Calibri" w:eastAsia="Calibri" w:hAnsi="Calibri" w:cs="Times New Roman"/>
          <w:color w:val="000000"/>
        </w:rPr>
        <w:t xml:space="preserve"> scales. Empirical evidence was considered in conjunction with theoretical evidence before arriving at a final decision. </w:t>
      </w:r>
    </w:p>
    <w:p w14:paraId="3AA23230" w14:textId="77777777" w:rsidR="00E6060C" w:rsidRPr="00E6060C" w:rsidRDefault="00E6060C" w:rsidP="00E6060C">
      <w:pPr>
        <w:spacing w:after="200" w:line="360" w:lineRule="auto"/>
        <w:contextualSpacing/>
        <w:rPr>
          <w:rFonts w:ascii="Calibri" w:eastAsia="Calibri" w:hAnsi="Calibri" w:cs="Times New Roman"/>
          <w:color w:val="000000"/>
        </w:rPr>
      </w:pPr>
    </w:p>
    <w:p w14:paraId="7B6C3712" w14:textId="4EF38FA7"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The results of discriminant analyses suggested that autonomy, competence and belonging should be considered as three separate scales, that work engagement should be considered as a composite scale comprising the related subcomponents, vigour, dedication and absorption, and that the two related variables, resources and demands should also be considered as a composite scale. The results of Cronbach’s alpha and CFA for these final scales are presented in </w:t>
      </w:r>
      <w:r w:rsidR="00957235">
        <w:rPr>
          <w:rFonts w:ascii="Calibri" w:eastAsia="Calibri" w:hAnsi="Calibri" w:cs="Times New Roman"/>
          <w:color w:val="000000"/>
        </w:rPr>
        <w:fldChar w:fldCharType="begin"/>
      </w:r>
      <w:r w:rsidR="00957235">
        <w:rPr>
          <w:rFonts w:ascii="Calibri" w:eastAsia="Calibri" w:hAnsi="Calibri" w:cs="Times New Roman"/>
          <w:color w:val="000000"/>
        </w:rPr>
        <w:instrText xml:space="preserve"> REF _Ref453583030 \h </w:instrText>
      </w:r>
      <w:r w:rsidR="00957235">
        <w:rPr>
          <w:rFonts w:ascii="Calibri" w:eastAsia="Calibri" w:hAnsi="Calibri" w:cs="Times New Roman"/>
          <w:color w:val="000000"/>
        </w:rPr>
      </w:r>
      <w:r w:rsidR="00957235">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5</w:t>
      </w:r>
      <w:r w:rsidR="00957235">
        <w:rPr>
          <w:rFonts w:ascii="Calibri" w:eastAsia="Calibri" w:hAnsi="Calibri" w:cs="Times New Roman"/>
          <w:color w:val="000000"/>
        </w:rPr>
        <w:fldChar w:fldCharType="end"/>
      </w:r>
      <w:r w:rsidRPr="00E6060C">
        <w:rPr>
          <w:rFonts w:ascii="Calibri" w:eastAsia="Calibri" w:hAnsi="Calibri" w:cs="Times New Roman"/>
          <w:color w:val="000000"/>
        </w:rPr>
        <w:t xml:space="preserve"> and from this point forward, these scales form the basis of all discussions and analyses. </w:t>
      </w:r>
    </w:p>
    <w:p w14:paraId="0189B35D" w14:textId="77777777" w:rsidR="00E6060C" w:rsidRPr="00E6060C" w:rsidRDefault="00E6060C" w:rsidP="00E6060C">
      <w:pPr>
        <w:spacing w:after="200" w:line="360" w:lineRule="auto"/>
        <w:contextualSpacing/>
        <w:rPr>
          <w:rFonts w:ascii="Calibri" w:eastAsia="Calibri" w:hAnsi="Calibri" w:cs="Times New Roman"/>
          <w:color w:val="000000"/>
        </w:rPr>
      </w:pPr>
    </w:p>
    <w:p w14:paraId="1CFE8CC7" w14:textId="3E46CA07" w:rsidR="00E6060C" w:rsidRPr="00E6060C" w:rsidRDefault="00E6060C" w:rsidP="00C23D06">
      <w:pPr>
        <w:spacing w:after="200" w:line="360" w:lineRule="auto"/>
        <w:contextualSpacing/>
        <w:rPr>
          <w:rFonts w:ascii="Calibri" w:eastAsia="Calibri" w:hAnsi="Calibri" w:cs="Times New Roman"/>
          <w:color w:val="000000"/>
        </w:rPr>
      </w:pPr>
      <w:r w:rsidRPr="00E6060C">
        <w:rPr>
          <w:rFonts w:ascii="Calibri" w:eastAsia="Calibri" w:hAnsi="Calibri" w:cs="Times New Roman"/>
        </w:rPr>
        <w:t xml:space="preserve">The results of reliability analyses for all of the final measures, including those which were not subjected to discriminant analyses, indicated that all of the scales achieved a Cronbach’s alpha of .75 or above, indicating good to high internal consistency (Table 7.5). The highest values were for colleague support and work engagement, which both achieved a Cronbach’s </w:t>
      </w:r>
      <w:r w:rsidRPr="00E6060C">
        <w:rPr>
          <w:rFonts w:ascii="Calibri" w:eastAsia="Calibri" w:hAnsi="Calibri" w:cs="Times New Roman"/>
          <w:i/>
        </w:rPr>
        <w:t>α</w:t>
      </w:r>
      <w:r w:rsidRPr="00E6060C">
        <w:rPr>
          <w:rFonts w:ascii="Calibri" w:eastAsia="Calibri" w:hAnsi="Calibri" w:cs="Times New Roman"/>
        </w:rPr>
        <w:t xml:space="preserve"> of .91, and the lowest value was for relatedness, </w:t>
      </w:r>
      <w:r w:rsidRPr="00E6060C">
        <w:rPr>
          <w:rFonts w:ascii="Calibri" w:eastAsia="Calibri" w:hAnsi="Calibri" w:cs="Times New Roman"/>
          <w:i/>
        </w:rPr>
        <w:t>α</w:t>
      </w:r>
      <w:r w:rsidRPr="00E6060C">
        <w:rPr>
          <w:rFonts w:ascii="Calibri" w:eastAsia="Calibri" w:hAnsi="Calibri" w:cs="Times New Roman"/>
        </w:rPr>
        <w:t xml:space="preserve">=.75. These results are similar to those obtained by previous studies (see section </w:t>
      </w:r>
      <w:r w:rsidR="00957235">
        <w:rPr>
          <w:rFonts w:ascii="Calibri" w:eastAsia="Calibri" w:hAnsi="Calibri" w:cs="Times New Roman"/>
        </w:rPr>
        <w:fldChar w:fldCharType="begin"/>
      </w:r>
      <w:r w:rsidR="00957235">
        <w:rPr>
          <w:rFonts w:ascii="Calibri" w:eastAsia="Calibri" w:hAnsi="Calibri" w:cs="Times New Roman"/>
        </w:rPr>
        <w:instrText xml:space="preserve"> REF _Ref453584454 \r \h </w:instrText>
      </w:r>
      <w:r w:rsidR="00957235">
        <w:rPr>
          <w:rFonts w:ascii="Calibri" w:eastAsia="Calibri" w:hAnsi="Calibri" w:cs="Times New Roman"/>
        </w:rPr>
      </w:r>
      <w:r w:rsidR="00957235">
        <w:rPr>
          <w:rFonts w:ascii="Calibri" w:eastAsia="Calibri" w:hAnsi="Calibri" w:cs="Times New Roman"/>
        </w:rPr>
        <w:fldChar w:fldCharType="separate"/>
      </w:r>
      <w:r w:rsidR="00152F6D">
        <w:rPr>
          <w:rFonts w:ascii="Calibri" w:eastAsia="Calibri" w:hAnsi="Calibri" w:cs="Times New Roman"/>
        </w:rPr>
        <w:t>7.7</w:t>
      </w:r>
      <w:r w:rsidR="00957235">
        <w:rPr>
          <w:rFonts w:ascii="Calibri" w:eastAsia="Calibri" w:hAnsi="Calibri" w:cs="Times New Roman"/>
        </w:rPr>
        <w:fldChar w:fldCharType="end"/>
      </w:r>
      <w:r w:rsidRPr="00E6060C">
        <w:rPr>
          <w:rFonts w:ascii="Calibri" w:eastAsia="Calibri" w:hAnsi="Calibri" w:cs="Times New Roman"/>
        </w:rPr>
        <w:t xml:space="preserve">). The results of CFA for </w:t>
      </w:r>
      <w:r w:rsidRPr="00E6060C">
        <w:rPr>
          <w:rFonts w:ascii="Calibri" w:eastAsia="Calibri" w:hAnsi="Calibri" w:cs="Times New Roman"/>
          <w:color w:val="000000"/>
        </w:rPr>
        <w:t>all of the final scales were also very good, with all models achieving CFI values of .89 or above and SRMR values of .07 or less (</w:t>
      </w:r>
      <w:r w:rsidR="00957235">
        <w:rPr>
          <w:rFonts w:ascii="Calibri" w:eastAsia="Calibri" w:hAnsi="Calibri" w:cs="Times New Roman"/>
          <w:color w:val="000000"/>
        </w:rPr>
        <w:fldChar w:fldCharType="begin"/>
      </w:r>
      <w:r w:rsidR="00957235">
        <w:rPr>
          <w:rFonts w:ascii="Calibri" w:eastAsia="Calibri" w:hAnsi="Calibri" w:cs="Times New Roman"/>
          <w:color w:val="000000"/>
        </w:rPr>
        <w:instrText xml:space="preserve"> REF _Ref453583030 \h </w:instrText>
      </w:r>
      <w:r w:rsidR="00957235">
        <w:rPr>
          <w:rFonts w:ascii="Calibri" w:eastAsia="Calibri" w:hAnsi="Calibri" w:cs="Times New Roman"/>
          <w:color w:val="000000"/>
        </w:rPr>
      </w:r>
      <w:r w:rsidR="00957235">
        <w:rPr>
          <w:rFonts w:ascii="Calibri" w:eastAsia="Calibri" w:hAnsi="Calibri" w:cs="Times New Roman"/>
          <w:color w:val="000000"/>
        </w:rPr>
        <w:fldChar w:fldCharType="separate"/>
      </w:r>
      <w:r w:rsidR="00152F6D">
        <w:t xml:space="preserve">Table </w:t>
      </w:r>
      <w:r w:rsidR="00152F6D">
        <w:rPr>
          <w:noProof/>
        </w:rPr>
        <w:t>7</w:t>
      </w:r>
      <w:r w:rsidR="00152F6D">
        <w:t>.</w:t>
      </w:r>
      <w:r w:rsidR="00152F6D">
        <w:rPr>
          <w:noProof/>
        </w:rPr>
        <w:t>5</w:t>
      </w:r>
      <w:r w:rsidR="00957235">
        <w:rPr>
          <w:rFonts w:ascii="Calibri" w:eastAsia="Calibri" w:hAnsi="Calibri" w:cs="Times New Roman"/>
          <w:color w:val="000000"/>
        </w:rPr>
        <w:fldChar w:fldCharType="end"/>
      </w:r>
      <w:r w:rsidRPr="00E6060C">
        <w:rPr>
          <w:rFonts w:ascii="Calibri" w:eastAsia="Calibri" w:hAnsi="Calibri" w:cs="Times New Roman"/>
          <w:color w:val="000000"/>
        </w:rPr>
        <w:t xml:space="preserve">). RMSEA values were between .09 (resources and demands) and .15 (work engagement). This is slightly higher than the generally accepted level (~.05-.08), however, taken together with the results from the other fit statistics, all of the scales can be considered to have achieved adequate validity. </w:t>
      </w:r>
      <w:r w:rsidR="005707E0">
        <w:rPr>
          <w:rFonts w:ascii="Calibri" w:eastAsia="Calibri" w:hAnsi="Calibri" w:cs="Times New Roman"/>
          <w:color w:val="000000"/>
        </w:rPr>
        <w:t>In sum</w:t>
      </w:r>
      <w:r w:rsidRPr="00E6060C">
        <w:rPr>
          <w:rFonts w:ascii="Calibri" w:eastAsia="Calibri" w:hAnsi="Calibri" w:cs="Times New Roman"/>
          <w:color w:val="000000"/>
        </w:rPr>
        <w:t xml:space="preserve">, these results suggest that the reliability and validity of the final measures used in the questionnaire is acceptable. </w:t>
      </w:r>
    </w:p>
    <w:p w14:paraId="6C6B7D44" w14:textId="77777777" w:rsidR="00E6060C" w:rsidRPr="00E6060C" w:rsidRDefault="00E6060C" w:rsidP="00E6060C">
      <w:pPr>
        <w:spacing w:after="200" w:line="360" w:lineRule="auto"/>
        <w:contextualSpacing/>
        <w:rPr>
          <w:rFonts w:ascii="Calibri" w:eastAsia="Calibri" w:hAnsi="Calibri" w:cs="Times New Roman"/>
          <w:color w:val="000000"/>
        </w:rPr>
        <w:sectPr w:rsidR="00E6060C" w:rsidRPr="00E6060C" w:rsidSect="00C37307">
          <w:footerReference w:type="first" r:id="rId32"/>
          <w:pgSz w:w="11906" w:h="16838"/>
          <w:pgMar w:top="1440" w:right="1440" w:bottom="1440" w:left="1440" w:header="709" w:footer="709" w:gutter="0"/>
          <w:pgNumType w:start="151"/>
          <w:cols w:space="708"/>
          <w:titlePg/>
          <w:docGrid w:linePitch="360"/>
        </w:sectPr>
      </w:pPr>
    </w:p>
    <w:p w14:paraId="1F0B062F" w14:textId="4402EB64" w:rsidR="0035035C" w:rsidRDefault="0035035C" w:rsidP="005852AD">
      <w:pPr>
        <w:pStyle w:val="Figurestyle"/>
      </w:pPr>
      <w:bookmarkStart w:id="369" w:name="_Ref453582927"/>
      <w:bookmarkStart w:id="370" w:name="_Toc468286073"/>
      <w:r>
        <w:lastRenderedPageBreak/>
        <w:t xml:space="preserve">Table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4</w:t>
      </w:r>
      <w:r w:rsidR="00245D68">
        <w:rPr>
          <w:noProof/>
        </w:rPr>
        <w:fldChar w:fldCharType="end"/>
      </w:r>
      <w:bookmarkEnd w:id="369"/>
      <w:r>
        <w:t xml:space="preserve"> </w:t>
      </w:r>
      <w:r w:rsidRPr="009E5442">
        <w:t>A table displaying the results of discriminant analyses to investigate the discriminant validity of the subcomponents of the work-related basic needs, work engagement, and resources and demands scales (N=217)</w:t>
      </w:r>
      <w:bookmarkEnd w:id="370"/>
    </w:p>
    <w:tbl>
      <w:tblPr>
        <w:tblStyle w:val="TableGrid4"/>
        <w:tblW w:w="1497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10"/>
        <w:gridCol w:w="1134"/>
        <w:gridCol w:w="1701"/>
        <w:gridCol w:w="1876"/>
        <w:gridCol w:w="1919"/>
        <w:gridCol w:w="1318"/>
        <w:gridCol w:w="1322"/>
        <w:gridCol w:w="1353"/>
        <w:gridCol w:w="1375"/>
      </w:tblGrid>
      <w:tr w:rsidR="00E6060C" w:rsidRPr="007803A3" w14:paraId="1A469BA3" w14:textId="77777777" w:rsidTr="00E6060C">
        <w:tc>
          <w:tcPr>
            <w:tcW w:w="562" w:type="dxa"/>
            <w:tcBorders>
              <w:top w:val="single" w:sz="4" w:space="0" w:color="auto"/>
              <w:bottom w:val="single" w:sz="4" w:space="0" w:color="auto"/>
            </w:tcBorders>
          </w:tcPr>
          <w:p w14:paraId="1F3F8F80" w14:textId="77777777" w:rsidR="00E6060C" w:rsidRPr="007803A3" w:rsidRDefault="00E6060C" w:rsidP="00E6060C">
            <w:pPr>
              <w:rPr>
                <w:rFonts w:ascii="Calibri" w:eastAsia="Calibri" w:hAnsi="Calibri" w:cs="Times New Roman"/>
                <w:b/>
                <w:sz w:val="20"/>
                <w:szCs w:val="20"/>
              </w:rPr>
            </w:pPr>
            <w:r w:rsidRPr="007803A3">
              <w:rPr>
                <w:rFonts w:ascii="Calibri" w:eastAsia="Calibri" w:hAnsi="Calibri" w:cs="Times New Roman"/>
                <w:b/>
                <w:sz w:val="20"/>
                <w:szCs w:val="20"/>
              </w:rPr>
              <w:t>No.</w:t>
            </w:r>
          </w:p>
        </w:tc>
        <w:tc>
          <w:tcPr>
            <w:tcW w:w="2410" w:type="dxa"/>
            <w:tcBorders>
              <w:top w:val="single" w:sz="4" w:space="0" w:color="auto"/>
              <w:bottom w:val="single" w:sz="4" w:space="0" w:color="auto"/>
            </w:tcBorders>
          </w:tcPr>
          <w:p w14:paraId="6470E6CF"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sz w:val="20"/>
                <w:szCs w:val="20"/>
              </w:rPr>
              <w:t xml:space="preserve">Variables </w:t>
            </w:r>
          </w:p>
        </w:tc>
        <w:tc>
          <w:tcPr>
            <w:tcW w:w="1134" w:type="dxa"/>
            <w:tcBorders>
              <w:top w:val="single" w:sz="4" w:space="0" w:color="auto"/>
              <w:bottom w:val="single" w:sz="4" w:space="0" w:color="auto"/>
            </w:tcBorders>
          </w:tcPr>
          <w:p w14:paraId="5A536DB6"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sz w:val="20"/>
                <w:szCs w:val="20"/>
              </w:rPr>
              <w:t>Items</w:t>
            </w:r>
          </w:p>
        </w:tc>
        <w:tc>
          <w:tcPr>
            <w:tcW w:w="1701" w:type="dxa"/>
            <w:tcBorders>
              <w:top w:val="single" w:sz="4" w:space="0" w:color="auto"/>
              <w:bottom w:val="single" w:sz="4" w:space="0" w:color="auto"/>
            </w:tcBorders>
          </w:tcPr>
          <w:p w14:paraId="4DA4C924"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sz w:val="20"/>
                <w:szCs w:val="20"/>
              </w:rPr>
              <w:t>Standardised factor loadings of each item</w:t>
            </w:r>
          </w:p>
        </w:tc>
        <w:tc>
          <w:tcPr>
            <w:tcW w:w="1876" w:type="dxa"/>
            <w:tcBorders>
              <w:top w:val="single" w:sz="4" w:space="0" w:color="auto"/>
              <w:bottom w:val="single" w:sz="4" w:space="0" w:color="auto"/>
            </w:tcBorders>
          </w:tcPr>
          <w:p w14:paraId="45C544BE" w14:textId="77777777" w:rsidR="00E6060C" w:rsidRPr="007803A3" w:rsidRDefault="00E6060C" w:rsidP="00E6060C">
            <w:pPr>
              <w:jc w:val="center"/>
              <w:rPr>
                <w:rFonts w:ascii="Calibri" w:eastAsia="Calibri" w:hAnsi="Calibri" w:cs="Times New Roman"/>
                <w:b/>
                <w:sz w:val="20"/>
                <w:szCs w:val="20"/>
                <w:vertAlign w:val="superscript"/>
              </w:rPr>
            </w:pPr>
            <w:r w:rsidRPr="007803A3">
              <w:rPr>
                <w:rFonts w:ascii="Calibri" w:eastAsia="Calibri" w:hAnsi="Calibri" w:cs="Times New Roman"/>
                <w:b/>
                <w:sz w:val="20"/>
                <w:szCs w:val="20"/>
              </w:rPr>
              <w:t>Average variance extracted for each variable</w:t>
            </w:r>
            <w:r w:rsidRPr="007803A3">
              <w:rPr>
                <w:rFonts w:ascii="Calibri" w:eastAsia="Calibri" w:hAnsi="Calibri" w:cs="Times New Roman"/>
                <w:b/>
                <w:sz w:val="20"/>
                <w:szCs w:val="20"/>
                <w:vertAlign w:val="superscript"/>
              </w:rPr>
              <w:t>1</w:t>
            </w:r>
          </w:p>
        </w:tc>
        <w:tc>
          <w:tcPr>
            <w:tcW w:w="1919" w:type="dxa"/>
            <w:tcBorders>
              <w:top w:val="single" w:sz="4" w:space="0" w:color="auto"/>
              <w:bottom w:val="single" w:sz="4" w:space="0" w:color="auto"/>
            </w:tcBorders>
          </w:tcPr>
          <w:p w14:paraId="3BEAFE9F"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sz w:val="20"/>
                <w:szCs w:val="20"/>
              </w:rPr>
              <w:t>Factor pairs associated with each variable</w:t>
            </w:r>
          </w:p>
        </w:tc>
        <w:tc>
          <w:tcPr>
            <w:tcW w:w="1318" w:type="dxa"/>
            <w:tcBorders>
              <w:top w:val="single" w:sz="4" w:space="0" w:color="auto"/>
              <w:bottom w:val="single" w:sz="4" w:space="0" w:color="auto"/>
            </w:tcBorders>
          </w:tcPr>
          <w:p w14:paraId="4136EC2F"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i/>
                <w:sz w:val="20"/>
                <w:szCs w:val="20"/>
              </w:rPr>
              <w:t>r</w:t>
            </w:r>
            <w:r w:rsidRPr="007803A3">
              <w:rPr>
                <w:rFonts w:ascii="Calibri" w:eastAsia="Calibri" w:hAnsi="Calibri" w:cs="Times New Roman"/>
                <w:b/>
                <w:sz w:val="20"/>
                <w:szCs w:val="20"/>
              </w:rPr>
              <w:t xml:space="preserve"> between each factor pair</w:t>
            </w:r>
          </w:p>
        </w:tc>
        <w:tc>
          <w:tcPr>
            <w:tcW w:w="1322" w:type="dxa"/>
            <w:tcBorders>
              <w:top w:val="single" w:sz="4" w:space="0" w:color="auto"/>
              <w:bottom w:val="single" w:sz="4" w:space="0" w:color="auto"/>
            </w:tcBorders>
          </w:tcPr>
          <w:p w14:paraId="730F996B"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i/>
                <w:sz w:val="20"/>
                <w:szCs w:val="20"/>
              </w:rPr>
              <w:t>r</w:t>
            </w:r>
            <w:r w:rsidRPr="007803A3">
              <w:rPr>
                <w:rFonts w:ascii="Calibri" w:eastAsia="Calibri" w:hAnsi="Calibri" w:cs="Times New Roman"/>
                <w:b/>
                <w:i/>
                <w:sz w:val="20"/>
                <w:szCs w:val="20"/>
                <w:vertAlign w:val="superscript"/>
              </w:rPr>
              <w:t xml:space="preserve">r </w:t>
            </w:r>
            <w:r w:rsidRPr="007803A3">
              <w:rPr>
                <w:rFonts w:ascii="Calibri" w:eastAsia="Calibri" w:hAnsi="Calibri" w:cs="Times New Roman"/>
                <w:b/>
                <w:sz w:val="20"/>
                <w:szCs w:val="20"/>
              </w:rPr>
              <w:t>between each factor pair</w:t>
            </w:r>
          </w:p>
        </w:tc>
        <w:tc>
          <w:tcPr>
            <w:tcW w:w="1353" w:type="dxa"/>
            <w:tcBorders>
              <w:top w:val="single" w:sz="4" w:space="0" w:color="auto"/>
              <w:bottom w:val="single" w:sz="4" w:space="0" w:color="auto"/>
            </w:tcBorders>
          </w:tcPr>
          <w:p w14:paraId="387D8F9D"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sz w:val="20"/>
                <w:szCs w:val="20"/>
              </w:rPr>
              <w:t xml:space="preserve">Is AVE higher than </w:t>
            </w:r>
            <w:r w:rsidRPr="007803A3">
              <w:rPr>
                <w:rFonts w:ascii="Calibri" w:eastAsia="Calibri" w:hAnsi="Calibri" w:cs="Times New Roman"/>
                <w:b/>
                <w:i/>
                <w:sz w:val="20"/>
                <w:szCs w:val="20"/>
              </w:rPr>
              <w:t>r</w:t>
            </w:r>
            <w:r w:rsidRPr="007803A3">
              <w:rPr>
                <w:rFonts w:ascii="Calibri" w:eastAsia="Calibri" w:hAnsi="Calibri" w:cs="Times New Roman"/>
                <w:b/>
                <w:i/>
                <w:sz w:val="20"/>
                <w:szCs w:val="20"/>
                <w:vertAlign w:val="superscript"/>
              </w:rPr>
              <w:t>2</w:t>
            </w:r>
            <w:r w:rsidRPr="007803A3">
              <w:rPr>
                <w:rFonts w:ascii="Calibri" w:eastAsia="Calibri" w:hAnsi="Calibri" w:cs="Times New Roman"/>
                <w:b/>
                <w:sz w:val="20"/>
                <w:szCs w:val="20"/>
              </w:rPr>
              <w:t>?</w:t>
            </w:r>
          </w:p>
        </w:tc>
        <w:tc>
          <w:tcPr>
            <w:tcW w:w="1375" w:type="dxa"/>
            <w:tcBorders>
              <w:top w:val="single" w:sz="4" w:space="0" w:color="auto"/>
              <w:bottom w:val="single" w:sz="4" w:space="0" w:color="auto"/>
            </w:tcBorders>
          </w:tcPr>
          <w:p w14:paraId="43FB49AF"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b/>
                <w:sz w:val="20"/>
                <w:szCs w:val="20"/>
              </w:rPr>
              <w:t>Discriminant validity present</w:t>
            </w:r>
            <w:r w:rsidRPr="007803A3">
              <w:rPr>
                <w:rFonts w:ascii="Calibri" w:eastAsia="Calibri" w:hAnsi="Calibri" w:cs="Times New Roman"/>
                <w:b/>
                <w:sz w:val="20"/>
                <w:szCs w:val="20"/>
                <w:vertAlign w:val="superscript"/>
              </w:rPr>
              <w:t>2</w:t>
            </w:r>
            <w:r w:rsidRPr="007803A3">
              <w:rPr>
                <w:rFonts w:ascii="Calibri" w:eastAsia="Calibri" w:hAnsi="Calibri" w:cs="Times New Roman"/>
                <w:b/>
                <w:sz w:val="20"/>
                <w:szCs w:val="20"/>
              </w:rPr>
              <w:t>?</w:t>
            </w:r>
          </w:p>
        </w:tc>
      </w:tr>
      <w:tr w:rsidR="00E6060C" w:rsidRPr="007803A3" w14:paraId="4A8D901A" w14:textId="77777777" w:rsidTr="00E6060C">
        <w:tc>
          <w:tcPr>
            <w:tcW w:w="562" w:type="dxa"/>
            <w:tcBorders>
              <w:top w:val="single" w:sz="4" w:space="0" w:color="auto"/>
            </w:tcBorders>
          </w:tcPr>
          <w:p w14:paraId="21CD869F"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1</w:t>
            </w:r>
          </w:p>
        </w:tc>
        <w:tc>
          <w:tcPr>
            <w:tcW w:w="13033" w:type="dxa"/>
            <w:gridSpan w:val="8"/>
            <w:tcBorders>
              <w:top w:val="single" w:sz="4" w:space="0" w:color="auto"/>
            </w:tcBorders>
          </w:tcPr>
          <w:p w14:paraId="64B24366" w14:textId="77777777" w:rsidR="00E6060C" w:rsidRPr="007803A3" w:rsidRDefault="00E6060C" w:rsidP="00E6060C">
            <w:pPr>
              <w:rPr>
                <w:rFonts w:ascii="Calibri" w:eastAsia="Calibri" w:hAnsi="Calibri" w:cs="Times New Roman"/>
                <w:b/>
                <w:sz w:val="20"/>
                <w:szCs w:val="20"/>
              </w:rPr>
            </w:pPr>
            <w:r w:rsidRPr="007803A3">
              <w:rPr>
                <w:rFonts w:ascii="Calibri" w:eastAsia="Calibri" w:hAnsi="Calibri" w:cs="Times New Roman"/>
                <w:b/>
                <w:sz w:val="20"/>
                <w:szCs w:val="20"/>
              </w:rPr>
              <w:t>Work-related basic needs</w:t>
            </w:r>
          </w:p>
        </w:tc>
        <w:tc>
          <w:tcPr>
            <w:tcW w:w="1375" w:type="dxa"/>
            <w:tcBorders>
              <w:top w:val="single" w:sz="4" w:space="0" w:color="auto"/>
            </w:tcBorders>
          </w:tcPr>
          <w:p w14:paraId="25D07E64" w14:textId="77777777" w:rsidR="00E6060C" w:rsidRPr="007803A3" w:rsidRDefault="00E6060C" w:rsidP="00E6060C">
            <w:pPr>
              <w:jc w:val="center"/>
              <w:rPr>
                <w:rFonts w:ascii="Calibri" w:eastAsia="Calibri" w:hAnsi="Calibri" w:cs="Times New Roman"/>
                <w:b/>
                <w:sz w:val="20"/>
                <w:szCs w:val="20"/>
              </w:rPr>
            </w:pPr>
            <w:r w:rsidRPr="007803A3">
              <w:rPr>
                <w:rFonts w:ascii="Calibri" w:eastAsia="Calibri" w:hAnsi="Calibri" w:cs="Times New Roman"/>
                <w:sz w:val="20"/>
                <w:szCs w:val="20"/>
              </w:rPr>
              <w:t>Yes</w:t>
            </w:r>
          </w:p>
        </w:tc>
      </w:tr>
      <w:tr w:rsidR="00E6060C" w:rsidRPr="007803A3" w14:paraId="100FBF85" w14:textId="77777777" w:rsidTr="00E6060C">
        <w:tc>
          <w:tcPr>
            <w:tcW w:w="562" w:type="dxa"/>
          </w:tcPr>
          <w:p w14:paraId="33DE241E" w14:textId="77777777" w:rsidR="00E6060C" w:rsidRPr="007803A3" w:rsidRDefault="00E6060C" w:rsidP="00E6060C">
            <w:pPr>
              <w:rPr>
                <w:rFonts w:ascii="Calibri" w:eastAsia="Calibri" w:hAnsi="Calibri" w:cs="Times New Roman"/>
                <w:sz w:val="20"/>
                <w:szCs w:val="20"/>
              </w:rPr>
            </w:pPr>
          </w:p>
        </w:tc>
        <w:tc>
          <w:tcPr>
            <w:tcW w:w="2410" w:type="dxa"/>
          </w:tcPr>
          <w:p w14:paraId="6C1C513D"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Autonomy (AUT)</w:t>
            </w:r>
          </w:p>
        </w:tc>
        <w:tc>
          <w:tcPr>
            <w:tcW w:w="1134" w:type="dxa"/>
          </w:tcPr>
          <w:p w14:paraId="15656FC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WRBNS1</w:t>
            </w:r>
          </w:p>
        </w:tc>
        <w:tc>
          <w:tcPr>
            <w:tcW w:w="1701" w:type="dxa"/>
          </w:tcPr>
          <w:p w14:paraId="6F7EA87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.822</w:t>
            </w:r>
          </w:p>
        </w:tc>
        <w:tc>
          <w:tcPr>
            <w:tcW w:w="1876" w:type="dxa"/>
            <w:vMerge w:val="restart"/>
          </w:tcPr>
          <w:p w14:paraId="6911E8B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.640</w:t>
            </w:r>
          </w:p>
        </w:tc>
        <w:tc>
          <w:tcPr>
            <w:tcW w:w="1919" w:type="dxa"/>
          </w:tcPr>
          <w:p w14:paraId="6F1AC99D"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AUT-COM</w:t>
            </w:r>
          </w:p>
        </w:tc>
        <w:tc>
          <w:tcPr>
            <w:tcW w:w="1318" w:type="dxa"/>
          </w:tcPr>
          <w:p w14:paraId="71B5914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.508</w:t>
            </w:r>
          </w:p>
        </w:tc>
        <w:tc>
          <w:tcPr>
            <w:tcW w:w="1322" w:type="dxa"/>
          </w:tcPr>
          <w:p w14:paraId="5D92695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.254</w:t>
            </w:r>
          </w:p>
        </w:tc>
        <w:tc>
          <w:tcPr>
            <w:tcW w:w="1353" w:type="dxa"/>
          </w:tcPr>
          <w:p w14:paraId="54DF284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val="restart"/>
            <w:tcBorders>
              <w:bottom w:val="single" w:sz="4" w:space="0" w:color="auto"/>
            </w:tcBorders>
          </w:tcPr>
          <w:p w14:paraId="10185208" w14:textId="77777777" w:rsidR="00E6060C" w:rsidRPr="007803A3" w:rsidRDefault="00E6060C" w:rsidP="00E6060C">
            <w:pPr>
              <w:jc w:val="center"/>
              <w:rPr>
                <w:rFonts w:ascii="Calibri" w:eastAsia="Calibri" w:hAnsi="Calibri" w:cs="Times New Roman"/>
                <w:sz w:val="20"/>
                <w:szCs w:val="20"/>
              </w:rPr>
            </w:pPr>
          </w:p>
        </w:tc>
      </w:tr>
      <w:tr w:rsidR="00E6060C" w:rsidRPr="007803A3" w14:paraId="72DDE1C1" w14:textId="77777777" w:rsidTr="00E6060C">
        <w:tc>
          <w:tcPr>
            <w:tcW w:w="562" w:type="dxa"/>
          </w:tcPr>
          <w:p w14:paraId="47331726" w14:textId="77777777" w:rsidR="00E6060C" w:rsidRPr="007803A3" w:rsidRDefault="00E6060C" w:rsidP="00E6060C">
            <w:pPr>
              <w:rPr>
                <w:rFonts w:ascii="Calibri" w:eastAsia="Calibri" w:hAnsi="Calibri" w:cs="Times New Roman"/>
                <w:sz w:val="20"/>
                <w:szCs w:val="20"/>
              </w:rPr>
            </w:pPr>
          </w:p>
        </w:tc>
        <w:tc>
          <w:tcPr>
            <w:tcW w:w="2410" w:type="dxa"/>
          </w:tcPr>
          <w:p w14:paraId="0E0BF1BD" w14:textId="77777777" w:rsidR="00E6060C" w:rsidRPr="007803A3" w:rsidRDefault="00E6060C" w:rsidP="00E6060C">
            <w:pPr>
              <w:rPr>
                <w:rFonts w:ascii="Calibri" w:eastAsia="Calibri" w:hAnsi="Calibri" w:cs="Times New Roman"/>
                <w:sz w:val="20"/>
                <w:szCs w:val="20"/>
              </w:rPr>
            </w:pPr>
          </w:p>
        </w:tc>
        <w:tc>
          <w:tcPr>
            <w:tcW w:w="1134" w:type="dxa"/>
          </w:tcPr>
          <w:p w14:paraId="7B45867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WRBNS2</w:t>
            </w:r>
          </w:p>
        </w:tc>
        <w:tc>
          <w:tcPr>
            <w:tcW w:w="1701" w:type="dxa"/>
          </w:tcPr>
          <w:p w14:paraId="3544AD3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.715</w:t>
            </w:r>
          </w:p>
        </w:tc>
        <w:tc>
          <w:tcPr>
            <w:tcW w:w="1876" w:type="dxa"/>
            <w:vMerge/>
          </w:tcPr>
          <w:p w14:paraId="26B702E9" w14:textId="77777777" w:rsidR="00E6060C" w:rsidRPr="007803A3" w:rsidRDefault="00E6060C" w:rsidP="00E6060C">
            <w:pPr>
              <w:jc w:val="center"/>
              <w:rPr>
                <w:rFonts w:ascii="Calibri" w:eastAsia="Calibri" w:hAnsi="Calibri" w:cs="Times New Roman"/>
                <w:sz w:val="20"/>
                <w:szCs w:val="20"/>
              </w:rPr>
            </w:pPr>
          </w:p>
        </w:tc>
        <w:tc>
          <w:tcPr>
            <w:tcW w:w="1919" w:type="dxa"/>
            <w:vMerge w:val="restart"/>
          </w:tcPr>
          <w:p w14:paraId="55F760E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AUT-REL</w:t>
            </w:r>
          </w:p>
        </w:tc>
        <w:tc>
          <w:tcPr>
            <w:tcW w:w="1318" w:type="dxa"/>
            <w:vMerge w:val="restart"/>
          </w:tcPr>
          <w:p w14:paraId="0E4CBFC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.581</w:t>
            </w:r>
          </w:p>
        </w:tc>
        <w:tc>
          <w:tcPr>
            <w:tcW w:w="1322" w:type="dxa"/>
            <w:vMerge w:val="restart"/>
          </w:tcPr>
          <w:p w14:paraId="3167056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.545</w:t>
            </w:r>
          </w:p>
        </w:tc>
        <w:tc>
          <w:tcPr>
            <w:tcW w:w="1353" w:type="dxa"/>
            <w:vMerge w:val="restart"/>
          </w:tcPr>
          <w:p w14:paraId="5847D3E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tcBorders>
              <w:bottom w:val="single" w:sz="4" w:space="0" w:color="auto"/>
            </w:tcBorders>
          </w:tcPr>
          <w:p w14:paraId="569A272E" w14:textId="77777777" w:rsidR="00E6060C" w:rsidRPr="007803A3" w:rsidRDefault="00E6060C" w:rsidP="00E6060C">
            <w:pPr>
              <w:jc w:val="center"/>
              <w:rPr>
                <w:rFonts w:ascii="Calibri" w:eastAsia="Calibri" w:hAnsi="Calibri" w:cs="Times New Roman"/>
                <w:sz w:val="20"/>
                <w:szCs w:val="20"/>
              </w:rPr>
            </w:pPr>
          </w:p>
        </w:tc>
      </w:tr>
      <w:tr w:rsidR="00E6060C" w:rsidRPr="007803A3" w14:paraId="59A16C17" w14:textId="77777777" w:rsidTr="00E6060C">
        <w:tc>
          <w:tcPr>
            <w:tcW w:w="562" w:type="dxa"/>
          </w:tcPr>
          <w:p w14:paraId="452AA558" w14:textId="77777777" w:rsidR="00E6060C" w:rsidRPr="007803A3" w:rsidRDefault="00E6060C" w:rsidP="00E6060C">
            <w:pPr>
              <w:rPr>
                <w:rFonts w:ascii="Calibri" w:eastAsia="Calibri" w:hAnsi="Calibri" w:cs="Times New Roman"/>
                <w:sz w:val="20"/>
                <w:szCs w:val="20"/>
              </w:rPr>
            </w:pPr>
          </w:p>
        </w:tc>
        <w:tc>
          <w:tcPr>
            <w:tcW w:w="2410" w:type="dxa"/>
          </w:tcPr>
          <w:p w14:paraId="1016011B" w14:textId="77777777" w:rsidR="00E6060C" w:rsidRPr="007803A3" w:rsidRDefault="00E6060C" w:rsidP="00E6060C">
            <w:pPr>
              <w:rPr>
                <w:rFonts w:ascii="Calibri" w:eastAsia="Calibri" w:hAnsi="Calibri" w:cs="Times New Roman"/>
                <w:sz w:val="20"/>
                <w:szCs w:val="20"/>
              </w:rPr>
            </w:pPr>
          </w:p>
        </w:tc>
        <w:tc>
          <w:tcPr>
            <w:tcW w:w="1134" w:type="dxa"/>
          </w:tcPr>
          <w:p w14:paraId="37351E0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WRBNS3</w:t>
            </w:r>
          </w:p>
        </w:tc>
        <w:tc>
          <w:tcPr>
            <w:tcW w:w="1701" w:type="dxa"/>
          </w:tcPr>
          <w:p w14:paraId="0BCD0B3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.857</w:t>
            </w:r>
          </w:p>
        </w:tc>
        <w:tc>
          <w:tcPr>
            <w:tcW w:w="1876" w:type="dxa"/>
            <w:vMerge/>
          </w:tcPr>
          <w:p w14:paraId="54342AAD" w14:textId="77777777" w:rsidR="00E6060C" w:rsidRPr="007803A3" w:rsidRDefault="00E6060C" w:rsidP="00E6060C">
            <w:pPr>
              <w:jc w:val="center"/>
              <w:rPr>
                <w:rFonts w:ascii="Calibri" w:eastAsia="Calibri" w:hAnsi="Calibri" w:cs="Times New Roman"/>
                <w:sz w:val="20"/>
                <w:szCs w:val="20"/>
              </w:rPr>
            </w:pPr>
          </w:p>
        </w:tc>
        <w:tc>
          <w:tcPr>
            <w:tcW w:w="1919" w:type="dxa"/>
            <w:vMerge/>
          </w:tcPr>
          <w:p w14:paraId="705605B0" w14:textId="77777777" w:rsidR="00E6060C" w:rsidRPr="007803A3" w:rsidRDefault="00E6060C" w:rsidP="00E6060C">
            <w:pPr>
              <w:jc w:val="center"/>
              <w:rPr>
                <w:rFonts w:ascii="Calibri" w:eastAsia="Calibri" w:hAnsi="Calibri" w:cs="Times New Roman"/>
                <w:sz w:val="20"/>
                <w:szCs w:val="20"/>
              </w:rPr>
            </w:pPr>
          </w:p>
        </w:tc>
        <w:tc>
          <w:tcPr>
            <w:tcW w:w="1318" w:type="dxa"/>
            <w:vMerge/>
          </w:tcPr>
          <w:p w14:paraId="2F251EC9" w14:textId="77777777" w:rsidR="00E6060C" w:rsidRPr="007803A3" w:rsidRDefault="00E6060C" w:rsidP="00E6060C">
            <w:pPr>
              <w:jc w:val="center"/>
              <w:rPr>
                <w:rFonts w:ascii="Calibri" w:eastAsia="Calibri" w:hAnsi="Calibri" w:cs="Times New Roman"/>
                <w:sz w:val="20"/>
                <w:szCs w:val="20"/>
              </w:rPr>
            </w:pPr>
          </w:p>
        </w:tc>
        <w:tc>
          <w:tcPr>
            <w:tcW w:w="1322" w:type="dxa"/>
            <w:vMerge/>
          </w:tcPr>
          <w:p w14:paraId="3E1AC396" w14:textId="77777777" w:rsidR="00E6060C" w:rsidRPr="007803A3" w:rsidRDefault="00E6060C" w:rsidP="00E6060C">
            <w:pPr>
              <w:jc w:val="center"/>
              <w:rPr>
                <w:rFonts w:ascii="Calibri" w:eastAsia="Calibri" w:hAnsi="Calibri" w:cs="Times New Roman"/>
                <w:sz w:val="20"/>
                <w:szCs w:val="20"/>
              </w:rPr>
            </w:pPr>
          </w:p>
        </w:tc>
        <w:tc>
          <w:tcPr>
            <w:tcW w:w="1353" w:type="dxa"/>
            <w:vMerge/>
          </w:tcPr>
          <w:p w14:paraId="23CE1EAC"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357B6368" w14:textId="77777777" w:rsidR="00E6060C" w:rsidRPr="007803A3" w:rsidRDefault="00E6060C" w:rsidP="00E6060C">
            <w:pPr>
              <w:jc w:val="center"/>
              <w:rPr>
                <w:rFonts w:ascii="Calibri" w:eastAsia="Calibri" w:hAnsi="Calibri" w:cs="Times New Roman"/>
                <w:sz w:val="20"/>
                <w:szCs w:val="20"/>
              </w:rPr>
            </w:pPr>
          </w:p>
        </w:tc>
      </w:tr>
      <w:tr w:rsidR="00E6060C" w:rsidRPr="007803A3" w14:paraId="52CEA26A" w14:textId="77777777" w:rsidTr="00E6060C">
        <w:trPr>
          <w:trHeight w:val="241"/>
        </w:trPr>
        <w:tc>
          <w:tcPr>
            <w:tcW w:w="562" w:type="dxa"/>
          </w:tcPr>
          <w:p w14:paraId="20BC89FF" w14:textId="77777777" w:rsidR="00E6060C" w:rsidRPr="007803A3" w:rsidRDefault="00E6060C" w:rsidP="00E6060C">
            <w:pPr>
              <w:rPr>
                <w:rFonts w:ascii="Calibri" w:eastAsia="Calibri" w:hAnsi="Calibri" w:cs="Times New Roman"/>
                <w:sz w:val="20"/>
                <w:szCs w:val="20"/>
              </w:rPr>
            </w:pPr>
          </w:p>
        </w:tc>
        <w:tc>
          <w:tcPr>
            <w:tcW w:w="2410" w:type="dxa"/>
            <w:shd w:val="clear" w:color="auto" w:fill="auto"/>
          </w:tcPr>
          <w:p w14:paraId="7C06B4BB"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Competence (COM)</w:t>
            </w:r>
          </w:p>
        </w:tc>
        <w:tc>
          <w:tcPr>
            <w:tcW w:w="1134" w:type="dxa"/>
          </w:tcPr>
          <w:p w14:paraId="2850538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WRBNS4</w:t>
            </w:r>
          </w:p>
        </w:tc>
        <w:tc>
          <w:tcPr>
            <w:tcW w:w="1701" w:type="dxa"/>
          </w:tcPr>
          <w:p w14:paraId="2CA07985"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.664</w:t>
            </w:r>
          </w:p>
        </w:tc>
        <w:tc>
          <w:tcPr>
            <w:tcW w:w="1876" w:type="dxa"/>
            <w:vMerge w:val="restart"/>
          </w:tcPr>
          <w:p w14:paraId="2362AE3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.655</w:t>
            </w:r>
          </w:p>
        </w:tc>
        <w:tc>
          <w:tcPr>
            <w:tcW w:w="1919" w:type="dxa"/>
          </w:tcPr>
          <w:p w14:paraId="1BC372F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COM-AUT</w:t>
            </w:r>
          </w:p>
        </w:tc>
        <w:tc>
          <w:tcPr>
            <w:tcW w:w="1318" w:type="dxa"/>
          </w:tcPr>
          <w:p w14:paraId="341D490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.508</w:t>
            </w:r>
          </w:p>
        </w:tc>
        <w:tc>
          <w:tcPr>
            <w:tcW w:w="1322" w:type="dxa"/>
          </w:tcPr>
          <w:p w14:paraId="6287D50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.254</w:t>
            </w:r>
          </w:p>
        </w:tc>
        <w:tc>
          <w:tcPr>
            <w:tcW w:w="1353" w:type="dxa"/>
          </w:tcPr>
          <w:p w14:paraId="100469ED"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tcBorders>
              <w:top w:val="single" w:sz="4" w:space="0" w:color="auto"/>
              <w:bottom w:val="single" w:sz="4" w:space="0" w:color="auto"/>
            </w:tcBorders>
          </w:tcPr>
          <w:p w14:paraId="146070A8" w14:textId="77777777" w:rsidR="00E6060C" w:rsidRPr="007803A3" w:rsidRDefault="00E6060C" w:rsidP="00E6060C">
            <w:pPr>
              <w:jc w:val="center"/>
              <w:rPr>
                <w:rFonts w:ascii="Calibri" w:eastAsia="Calibri" w:hAnsi="Calibri" w:cs="Times New Roman"/>
                <w:sz w:val="20"/>
                <w:szCs w:val="20"/>
              </w:rPr>
            </w:pPr>
          </w:p>
        </w:tc>
      </w:tr>
      <w:tr w:rsidR="00E6060C" w:rsidRPr="007803A3" w14:paraId="5C45E6F7" w14:textId="77777777" w:rsidTr="00E6060C">
        <w:tc>
          <w:tcPr>
            <w:tcW w:w="562" w:type="dxa"/>
          </w:tcPr>
          <w:p w14:paraId="5C399DFD" w14:textId="77777777" w:rsidR="00E6060C" w:rsidRPr="007803A3" w:rsidRDefault="00E6060C" w:rsidP="00E6060C">
            <w:pPr>
              <w:rPr>
                <w:rFonts w:ascii="Calibri" w:eastAsia="Calibri" w:hAnsi="Calibri" w:cs="Times New Roman"/>
                <w:sz w:val="20"/>
                <w:szCs w:val="20"/>
              </w:rPr>
            </w:pPr>
          </w:p>
        </w:tc>
        <w:tc>
          <w:tcPr>
            <w:tcW w:w="2410" w:type="dxa"/>
          </w:tcPr>
          <w:p w14:paraId="296ED8D0" w14:textId="77777777" w:rsidR="00E6060C" w:rsidRPr="007803A3" w:rsidRDefault="00E6060C" w:rsidP="00E6060C">
            <w:pPr>
              <w:rPr>
                <w:rFonts w:ascii="Calibri" w:eastAsia="Calibri" w:hAnsi="Calibri" w:cs="Times New Roman"/>
                <w:sz w:val="20"/>
                <w:szCs w:val="20"/>
              </w:rPr>
            </w:pPr>
          </w:p>
        </w:tc>
        <w:tc>
          <w:tcPr>
            <w:tcW w:w="1134" w:type="dxa"/>
          </w:tcPr>
          <w:p w14:paraId="1C807E9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WRBNS5</w:t>
            </w:r>
          </w:p>
        </w:tc>
        <w:tc>
          <w:tcPr>
            <w:tcW w:w="1701" w:type="dxa"/>
          </w:tcPr>
          <w:p w14:paraId="0885A80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.864</w:t>
            </w:r>
          </w:p>
        </w:tc>
        <w:tc>
          <w:tcPr>
            <w:tcW w:w="1876" w:type="dxa"/>
            <w:vMerge/>
          </w:tcPr>
          <w:p w14:paraId="0A8BAC00" w14:textId="77777777" w:rsidR="00E6060C" w:rsidRPr="007803A3" w:rsidRDefault="00E6060C" w:rsidP="00E6060C">
            <w:pPr>
              <w:jc w:val="center"/>
              <w:rPr>
                <w:rFonts w:ascii="Calibri" w:eastAsia="Calibri" w:hAnsi="Calibri" w:cs="Times New Roman"/>
                <w:sz w:val="20"/>
                <w:szCs w:val="20"/>
              </w:rPr>
            </w:pPr>
          </w:p>
        </w:tc>
        <w:tc>
          <w:tcPr>
            <w:tcW w:w="1919" w:type="dxa"/>
            <w:vMerge w:val="restart"/>
          </w:tcPr>
          <w:p w14:paraId="2B5229D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COM-REL</w:t>
            </w:r>
          </w:p>
        </w:tc>
        <w:tc>
          <w:tcPr>
            <w:tcW w:w="1318" w:type="dxa"/>
            <w:vMerge w:val="restart"/>
          </w:tcPr>
          <w:p w14:paraId="0A1C96B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.381</w:t>
            </w:r>
          </w:p>
        </w:tc>
        <w:tc>
          <w:tcPr>
            <w:tcW w:w="1322" w:type="dxa"/>
            <w:vMerge w:val="restart"/>
          </w:tcPr>
          <w:p w14:paraId="05CDDFD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.240</w:t>
            </w:r>
          </w:p>
        </w:tc>
        <w:tc>
          <w:tcPr>
            <w:tcW w:w="1353" w:type="dxa"/>
            <w:vMerge w:val="restart"/>
          </w:tcPr>
          <w:p w14:paraId="4611F9C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tcBorders>
              <w:bottom w:val="single" w:sz="4" w:space="0" w:color="auto"/>
            </w:tcBorders>
          </w:tcPr>
          <w:p w14:paraId="3AA80EA0" w14:textId="77777777" w:rsidR="00E6060C" w:rsidRPr="007803A3" w:rsidRDefault="00E6060C" w:rsidP="00E6060C">
            <w:pPr>
              <w:jc w:val="center"/>
              <w:rPr>
                <w:rFonts w:ascii="Calibri" w:eastAsia="Calibri" w:hAnsi="Calibri" w:cs="Times New Roman"/>
                <w:sz w:val="20"/>
                <w:szCs w:val="20"/>
              </w:rPr>
            </w:pPr>
          </w:p>
        </w:tc>
      </w:tr>
      <w:tr w:rsidR="00E6060C" w:rsidRPr="007803A3" w14:paraId="228C2583" w14:textId="77777777" w:rsidTr="00E6060C">
        <w:tc>
          <w:tcPr>
            <w:tcW w:w="562" w:type="dxa"/>
          </w:tcPr>
          <w:p w14:paraId="00BA7F94" w14:textId="77777777" w:rsidR="00E6060C" w:rsidRPr="007803A3" w:rsidRDefault="00E6060C" w:rsidP="00E6060C">
            <w:pPr>
              <w:rPr>
                <w:rFonts w:ascii="Calibri" w:eastAsia="Calibri" w:hAnsi="Calibri" w:cs="Times New Roman"/>
                <w:sz w:val="20"/>
                <w:szCs w:val="20"/>
              </w:rPr>
            </w:pPr>
          </w:p>
        </w:tc>
        <w:tc>
          <w:tcPr>
            <w:tcW w:w="2410" w:type="dxa"/>
          </w:tcPr>
          <w:p w14:paraId="0DBD0F2F" w14:textId="77777777" w:rsidR="00E6060C" w:rsidRPr="007803A3" w:rsidRDefault="00E6060C" w:rsidP="00E6060C">
            <w:pPr>
              <w:rPr>
                <w:rFonts w:ascii="Calibri" w:eastAsia="Calibri" w:hAnsi="Calibri" w:cs="Times New Roman"/>
                <w:sz w:val="20"/>
                <w:szCs w:val="20"/>
              </w:rPr>
            </w:pPr>
          </w:p>
        </w:tc>
        <w:tc>
          <w:tcPr>
            <w:tcW w:w="1134" w:type="dxa"/>
          </w:tcPr>
          <w:p w14:paraId="28FC3D5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WRBNS6</w:t>
            </w:r>
          </w:p>
        </w:tc>
        <w:tc>
          <w:tcPr>
            <w:tcW w:w="1701" w:type="dxa"/>
          </w:tcPr>
          <w:p w14:paraId="6FC9171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.881</w:t>
            </w:r>
          </w:p>
        </w:tc>
        <w:tc>
          <w:tcPr>
            <w:tcW w:w="1876" w:type="dxa"/>
            <w:vMerge/>
          </w:tcPr>
          <w:p w14:paraId="1087BA91" w14:textId="77777777" w:rsidR="00E6060C" w:rsidRPr="007803A3" w:rsidRDefault="00E6060C" w:rsidP="00E6060C">
            <w:pPr>
              <w:jc w:val="center"/>
              <w:rPr>
                <w:rFonts w:ascii="Calibri" w:eastAsia="Calibri" w:hAnsi="Calibri" w:cs="Times New Roman"/>
                <w:sz w:val="20"/>
                <w:szCs w:val="20"/>
              </w:rPr>
            </w:pPr>
          </w:p>
        </w:tc>
        <w:tc>
          <w:tcPr>
            <w:tcW w:w="1919" w:type="dxa"/>
            <w:vMerge/>
          </w:tcPr>
          <w:p w14:paraId="420D0971" w14:textId="77777777" w:rsidR="00E6060C" w:rsidRPr="007803A3" w:rsidRDefault="00E6060C" w:rsidP="00E6060C">
            <w:pPr>
              <w:jc w:val="center"/>
              <w:rPr>
                <w:rFonts w:ascii="Calibri" w:eastAsia="Calibri" w:hAnsi="Calibri" w:cs="Times New Roman"/>
                <w:sz w:val="20"/>
                <w:szCs w:val="20"/>
              </w:rPr>
            </w:pPr>
          </w:p>
        </w:tc>
        <w:tc>
          <w:tcPr>
            <w:tcW w:w="1318" w:type="dxa"/>
            <w:vMerge/>
          </w:tcPr>
          <w:p w14:paraId="093019CF" w14:textId="77777777" w:rsidR="00E6060C" w:rsidRPr="007803A3" w:rsidRDefault="00E6060C" w:rsidP="00E6060C">
            <w:pPr>
              <w:jc w:val="center"/>
              <w:rPr>
                <w:rFonts w:ascii="Calibri" w:eastAsia="Calibri" w:hAnsi="Calibri" w:cs="Times New Roman"/>
                <w:sz w:val="20"/>
                <w:szCs w:val="20"/>
              </w:rPr>
            </w:pPr>
          </w:p>
        </w:tc>
        <w:tc>
          <w:tcPr>
            <w:tcW w:w="1322" w:type="dxa"/>
            <w:vMerge/>
          </w:tcPr>
          <w:p w14:paraId="155AC0F1" w14:textId="77777777" w:rsidR="00E6060C" w:rsidRPr="007803A3" w:rsidRDefault="00E6060C" w:rsidP="00E6060C">
            <w:pPr>
              <w:jc w:val="center"/>
              <w:rPr>
                <w:rFonts w:ascii="Calibri" w:eastAsia="Calibri" w:hAnsi="Calibri" w:cs="Times New Roman"/>
                <w:sz w:val="20"/>
                <w:szCs w:val="20"/>
              </w:rPr>
            </w:pPr>
          </w:p>
        </w:tc>
        <w:tc>
          <w:tcPr>
            <w:tcW w:w="1353" w:type="dxa"/>
            <w:vMerge/>
          </w:tcPr>
          <w:p w14:paraId="55A88D81"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3E49714B" w14:textId="77777777" w:rsidR="00E6060C" w:rsidRPr="007803A3" w:rsidRDefault="00E6060C" w:rsidP="00E6060C">
            <w:pPr>
              <w:jc w:val="center"/>
              <w:rPr>
                <w:rFonts w:ascii="Calibri" w:eastAsia="Calibri" w:hAnsi="Calibri" w:cs="Times New Roman"/>
                <w:sz w:val="20"/>
                <w:szCs w:val="20"/>
              </w:rPr>
            </w:pPr>
          </w:p>
        </w:tc>
      </w:tr>
      <w:tr w:rsidR="00E6060C" w:rsidRPr="007803A3" w14:paraId="2CFB8239" w14:textId="77777777" w:rsidTr="00E6060C">
        <w:tc>
          <w:tcPr>
            <w:tcW w:w="562" w:type="dxa"/>
          </w:tcPr>
          <w:p w14:paraId="7587CF34" w14:textId="77777777" w:rsidR="00E6060C" w:rsidRPr="007803A3" w:rsidRDefault="00E6060C" w:rsidP="00E6060C">
            <w:pPr>
              <w:rPr>
                <w:rFonts w:ascii="Calibri" w:eastAsia="Calibri" w:hAnsi="Calibri" w:cs="Times New Roman"/>
                <w:sz w:val="20"/>
                <w:szCs w:val="20"/>
              </w:rPr>
            </w:pPr>
          </w:p>
        </w:tc>
        <w:tc>
          <w:tcPr>
            <w:tcW w:w="2410" w:type="dxa"/>
          </w:tcPr>
          <w:p w14:paraId="7624FC11"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Relatedness (REL)</w:t>
            </w:r>
          </w:p>
        </w:tc>
        <w:tc>
          <w:tcPr>
            <w:tcW w:w="1134" w:type="dxa"/>
          </w:tcPr>
          <w:p w14:paraId="03E713E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WRBNS7</w:t>
            </w:r>
          </w:p>
        </w:tc>
        <w:tc>
          <w:tcPr>
            <w:tcW w:w="1701" w:type="dxa"/>
          </w:tcPr>
          <w:p w14:paraId="52F29AB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.825</w:t>
            </w:r>
          </w:p>
        </w:tc>
        <w:tc>
          <w:tcPr>
            <w:tcW w:w="1876" w:type="dxa"/>
            <w:vMerge w:val="restart"/>
          </w:tcPr>
          <w:p w14:paraId="40275C7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.538</w:t>
            </w:r>
          </w:p>
        </w:tc>
        <w:tc>
          <w:tcPr>
            <w:tcW w:w="1919" w:type="dxa"/>
          </w:tcPr>
          <w:p w14:paraId="41131B3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REL-AUT</w:t>
            </w:r>
          </w:p>
        </w:tc>
        <w:tc>
          <w:tcPr>
            <w:tcW w:w="1318" w:type="dxa"/>
          </w:tcPr>
          <w:p w14:paraId="150812F5"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.581</w:t>
            </w:r>
          </w:p>
        </w:tc>
        <w:tc>
          <w:tcPr>
            <w:tcW w:w="1322" w:type="dxa"/>
          </w:tcPr>
          <w:p w14:paraId="71CBEBC9"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.545</w:t>
            </w:r>
          </w:p>
        </w:tc>
        <w:tc>
          <w:tcPr>
            <w:tcW w:w="1353" w:type="dxa"/>
          </w:tcPr>
          <w:p w14:paraId="3721735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c>
          <w:tcPr>
            <w:tcW w:w="1375" w:type="dxa"/>
            <w:vMerge/>
            <w:tcBorders>
              <w:top w:val="single" w:sz="4" w:space="0" w:color="auto"/>
              <w:bottom w:val="single" w:sz="4" w:space="0" w:color="auto"/>
            </w:tcBorders>
          </w:tcPr>
          <w:p w14:paraId="19535549" w14:textId="77777777" w:rsidR="00E6060C" w:rsidRPr="007803A3" w:rsidRDefault="00E6060C" w:rsidP="00E6060C">
            <w:pPr>
              <w:jc w:val="center"/>
              <w:rPr>
                <w:rFonts w:ascii="Calibri" w:eastAsia="Calibri" w:hAnsi="Calibri" w:cs="Times New Roman"/>
                <w:sz w:val="20"/>
                <w:szCs w:val="20"/>
              </w:rPr>
            </w:pPr>
          </w:p>
        </w:tc>
      </w:tr>
      <w:tr w:rsidR="00E6060C" w:rsidRPr="007803A3" w14:paraId="1CF858AC" w14:textId="77777777" w:rsidTr="00E6060C">
        <w:tc>
          <w:tcPr>
            <w:tcW w:w="562" w:type="dxa"/>
          </w:tcPr>
          <w:p w14:paraId="47BFA118" w14:textId="77777777" w:rsidR="00E6060C" w:rsidRPr="007803A3" w:rsidRDefault="00E6060C" w:rsidP="00E6060C">
            <w:pPr>
              <w:rPr>
                <w:rFonts w:ascii="Calibri" w:eastAsia="Calibri" w:hAnsi="Calibri" w:cs="Times New Roman"/>
                <w:sz w:val="20"/>
                <w:szCs w:val="20"/>
              </w:rPr>
            </w:pPr>
          </w:p>
        </w:tc>
        <w:tc>
          <w:tcPr>
            <w:tcW w:w="2410" w:type="dxa"/>
          </w:tcPr>
          <w:p w14:paraId="1D93EE23" w14:textId="77777777" w:rsidR="00E6060C" w:rsidRPr="007803A3" w:rsidRDefault="00E6060C" w:rsidP="00E6060C">
            <w:pPr>
              <w:rPr>
                <w:rFonts w:ascii="Calibri" w:eastAsia="Calibri" w:hAnsi="Calibri" w:cs="Times New Roman"/>
                <w:sz w:val="20"/>
                <w:szCs w:val="20"/>
              </w:rPr>
            </w:pPr>
          </w:p>
        </w:tc>
        <w:tc>
          <w:tcPr>
            <w:tcW w:w="1134" w:type="dxa"/>
          </w:tcPr>
          <w:p w14:paraId="4F23751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WRBNS8</w:t>
            </w:r>
          </w:p>
        </w:tc>
        <w:tc>
          <w:tcPr>
            <w:tcW w:w="1701" w:type="dxa"/>
          </w:tcPr>
          <w:p w14:paraId="1E4F5B3B"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.808</w:t>
            </w:r>
          </w:p>
        </w:tc>
        <w:tc>
          <w:tcPr>
            <w:tcW w:w="1876" w:type="dxa"/>
            <w:vMerge/>
          </w:tcPr>
          <w:p w14:paraId="656BAD8A" w14:textId="77777777" w:rsidR="00E6060C" w:rsidRPr="007803A3" w:rsidRDefault="00E6060C" w:rsidP="00E6060C">
            <w:pPr>
              <w:jc w:val="center"/>
              <w:rPr>
                <w:rFonts w:ascii="Calibri" w:eastAsia="Calibri" w:hAnsi="Calibri" w:cs="Times New Roman"/>
                <w:sz w:val="20"/>
                <w:szCs w:val="20"/>
              </w:rPr>
            </w:pPr>
          </w:p>
        </w:tc>
        <w:tc>
          <w:tcPr>
            <w:tcW w:w="1919" w:type="dxa"/>
            <w:vMerge w:val="restart"/>
          </w:tcPr>
          <w:p w14:paraId="6EED6F6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REL-COM</w:t>
            </w:r>
          </w:p>
        </w:tc>
        <w:tc>
          <w:tcPr>
            <w:tcW w:w="1318" w:type="dxa"/>
            <w:vMerge w:val="restart"/>
          </w:tcPr>
          <w:p w14:paraId="25D8C92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.381</w:t>
            </w:r>
          </w:p>
        </w:tc>
        <w:tc>
          <w:tcPr>
            <w:tcW w:w="1322" w:type="dxa"/>
            <w:vMerge w:val="restart"/>
          </w:tcPr>
          <w:p w14:paraId="08AA5A5B"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.240</w:t>
            </w:r>
          </w:p>
        </w:tc>
        <w:tc>
          <w:tcPr>
            <w:tcW w:w="1353" w:type="dxa"/>
            <w:vMerge w:val="restart"/>
          </w:tcPr>
          <w:p w14:paraId="0A58FF79"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tcBorders>
              <w:bottom w:val="single" w:sz="4" w:space="0" w:color="auto"/>
            </w:tcBorders>
          </w:tcPr>
          <w:p w14:paraId="134D7118" w14:textId="77777777" w:rsidR="00E6060C" w:rsidRPr="007803A3" w:rsidRDefault="00E6060C" w:rsidP="00E6060C">
            <w:pPr>
              <w:jc w:val="center"/>
              <w:rPr>
                <w:rFonts w:ascii="Calibri" w:eastAsia="Calibri" w:hAnsi="Calibri" w:cs="Times New Roman"/>
                <w:sz w:val="20"/>
                <w:szCs w:val="20"/>
              </w:rPr>
            </w:pPr>
          </w:p>
        </w:tc>
      </w:tr>
      <w:tr w:rsidR="00E6060C" w:rsidRPr="007803A3" w14:paraId="79FCBC93" w14:textId="77777777" w:rsidTr="00E6060C">
        <w:tc>
          <w:tcPr>
            <w:tcW w:w="562" w:type="dxa"/>
            <w:tcBorders>
              <w:bottom w:val="single" w:sz="4" w:space="0" w:color="auto"/>
            </w:tcBorders>
          </w:tcPr>
          <w:p w14:paraId="7E6E85BD" w14:textId="77777777" w:rsidR="00E6060C" w:rsidRPr="007803A3" w:rsidRDefault="00E6060C" w:rsidP="00E6060C">
            <w:pPr>
              <w:rPr>
                <w:rFonts w:ascii="Calibri" w:eastAsia="Calibri" w:hAnsi="Calibri" w:cs="Times New Roman"/>
                <w:sz w:val="20"/>
                <w:szCs w:val="20"/>
              </w:rPr>
            </w:pPr>
          </w:p>
        </w:tc>
        <w:tc>
          <w:tcPr>
            <w:tcW w:w="2410" w:type="dxa"/>
            <w:tcBorders>
              <w:bottom w:val="single" w:sz="4" w:space="0" w:color="auto"/>
            </w:tcBorders>
          </w:tcPr>
          <w:p w14:paraId="710D99E5" w14:textId="77777777" w:rsidR="00E6060C" w:rsidRPr="007803A3" w:rsidRDefault="00E6060C" w:rsidP="00E6060C">
            <w:pPr>
              <w:rPr>
                <w:rFonts w:ascii="Calibri" w:eastAsia="Calibri" w:hAnsi="Calibri" w:cs="Times New Roman"/>
                <w:sz w:val="20"/>
                <w:szCs w:val="20"/>
              </w:rPr>
            </w:pPr>
          </w:p>
        </w:tc>
        <w:tc>
          <w:tcPr>
            <w:tcW w:w="1134" w:type="dxa"/>
            <w:tcBorders>
              <w:bottom w:val="single" w:sz="4" w:space="0" w:color="auto"/>
            </w:tcBorders>
          </w:tcPr>
          <w:p w14:paraId="31D5D84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WRBNS9</w:t>
            </w:r>
          </w:p>
        </w:tc>
        <w:tc>
          <w:tcPr>
            <w:tcW w:w="1701" w:type="dxa"/>
            <w:tcBorders>
              <w:bottom w:val="single" w:sz="4" w:space="0" w:color="auto"/>
            </w:tcBorders>
          </w:tcPr>
          <w:p w14:paraId="73D81AC0"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.530</w:t>
            </w:r>
          </w:p>
        </w:tc>
        <w:tc>
          <w:tcPr>
            <w:tcW w:w="1876" w:type="dxa"/>
            <w:vMerge/>
            <w:tcBorders>
              <w:bottom w:val="single" w:sz="4" w:space="0" w:color="auto"/>
            </w:tcBorders>
          </w:tcPr>
          <w:p w14:paraId="44871F9A" w14:textId="77777777" w:rsidR="00E6060C" w:rsidRPr="007803A3" w:rsidRDefault="00E6060C" w:rsidP="00E6060C">
            <w:pPr>
              <w:jc w:val="center"/>
              <w:rPr>
                <w:rFonts w:ascii="Calibri" w:eastAsia="Calibri" w:hAnsi="Calibri" w:cs="Times New Roman"/>
                <w:sz w:val="20"/>
                <w:szCs w:val="20"/>
              </w:rPr>
            </w:pPr>
          </w:p>
        </w:tc>
        <w:tc>
          <w:tcPr>
            <w:tcW w:w="1919" w:type="dxa"/>
            <w:vMerge/>
            <w:tcBorders>
              <w:bottom w:val="single" w:sz="4" w:space="0" w:color="auto"/>
            </w:tcBorders>
          </w:tcPr>
          <w:p w14:paraId="0ED4277F" w14:textId="77777777" w:rsidR="00E6060C" w:rsidRPr="007803A3" w:rsidRDefault="00E6060C" w:rsidP="00E6060C">
            <w:pPr>
              <w:jc w:val="center"/>
              <w:rPr>
                <w:rFonts w:ascii="Calibri" w:eastAsia="Calibri" w:hAnsi="Calibri" w:cs="Times New Roman"/>
                <w:sz w:val="20"/>
                <w:szCs w:val="20"/>
              </w:rPr>
            </w:pPr>
          </w:p>
        </w:tc>
        <w:tc>
          <w:tcPr>
            <w:tcW w:w="1318" w:type="dxa"/>
            <w:vMerge/>
            <w:tcBorders>
              <w:bottom w:val="single" w:sz="4" w:space="0" w:color="auto"/>
            </w:tcBorders>
          </w:tcPr>
          <w:p w14:paraId="7BFBF0B9" w14:textId="77777777" w:rsidR="00E6060C" w:rsidRPr="007803A3" w:rsidRDefault="00E6060C" w:rsidP="00E6060C">
            <w:pPr>
              <w:jc w:val="center"/>
              <w:rPr>
                <w:rFonts w:ascii="Calibri" w:eastAsia="Calibri" w:hAnsi="Calibri" w:cs="Times New Roman"/>
                <w:sz w:val="20"/>
                <w:szCs w:val="20"/>
              </w:rPr>
            </w:pPr>
          </w:p>
        </w:tc>
        <w:tc>
          <w:tcPr>
            <w:tcW w:w="1322" w:type="dxa"/>
            <w:vMerge/>
            <w:tcBorders>
              <w:bottom w:val="single" w:sz="4" w:space="0" w:color="auto"/>
            </w:tcBorders>
          </w:tcPr>
          <w:p w14:paraId="0B4EF540" w14:textId="77777777" w:rsidR="00E6060C" w:rsidRPr="007803A3" w:rsidRDefault="00E6060C" w:rsidP="00E6060C">
            <w:pPr>
              <w:jc w:val="center"/>
              <w:rPr>
                <w:rFonts w:ascii="Calibri" w:eastAsia="Calibri" w:hAnsi="Calibri" w:cs="Times New Roman"/>
                <w:sz w:val="20"/>
                <w:szCs w:val="20"/>
              </w:rPr>
            </w:pPr>
          </w:p>
        </w:tc>
        <w:tc>
          <w:tcPr>
            <w:tcW w:w="1353" w:type="dxa"/>
            <w:vMerge/>
            <w:tcBorders>
              <w:bottom w:val="single" w:sz="4" w:space="0" w:color="auto"/>
            </w:tcBorders>
          </w:tcPr>
          <w:p w14:paraId="6F235E75"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3AEB8FE9" w14:textId="77777777" w:rsidR="00E6060C" w:rsidRPr="007803A3" w:rsidRDefault="00E6060C" w:rsidP="00E6060C">
            <w:pPr>
              <w:jc w:val="center"/>
              <w:rPr>
                <w:rFonts w:ascii="Calibri" w:eastAsia="Calibri" w:hAnsi="Calibri" w:cs="Times New Roman"/>
                <w:sz w:val="20"/>
                <w:szCs w:val="20"/>
              </w:rPr>
            </w:pPr>
          </w:p>
        </w:tc>
      </w:tr>
      <w:tr w:rsidR="00E6060C" w:rsidRPr="007803A3" w14:paraId="5241E7AD" w14:textId="77777777" w:rsidTr="00E6060C">
        <w:tc>
          <w:tcPr>
            <w:tcW w:w="562" w:type="dxa"/>
            <w:tcBorders>
              <w:top w:val="single" w:sz="4" w:space="0" w:color="auto"/>
            </w:tcBorders>
          </w:tcPr>
          <w:p w14:paraId="6FDB58EC"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2</w:t>
            </w:r>
          </w:p>
        </w:tc>
        <w:tc>
          <w:tcPr>
            <w:tcW w:w="13033" w:type="dxa"/>
            <w:gridSpan w:val="8"/>
            <w:tcBorders>
              <w:top w:val="single" w:sz="4" w:space="0" w:color="auto"/>
            </w:tcBorders>
          </w:tcPr>
          <w:p w14:paraId="4CEF49F3" w14:textId="77777777" w:rsidR="00E6060C" w:rsidRPr="007803A3" w:rsidRDefault="00E6060C" w:rsidP="00E6060C">
            <w:pPr>
              <w:rPr>
                <w:rFonts w:ascii="Calibri" w:eastAsia="Calibri" w:hAnsi="Calibri" w:cs="Times New Roman"/>
                <w:b/>
                <w:sz w:val="20"/>
                <w:szCs w:val="20"/>
              </w:rPr>
            </w:pPr>
            <w:r w:rsidRPr="007803A3">
              <w:rPr>
                <w:rFonts w:ascii="Calibri" w:eastAsia="Calibri" w:hAnsi="Calibri" w:cs="Times New Roman"/>
                <w:b/>
                <w:sz w:val="20"/>
                <w:szCs w:val="20"/>
              </w:rPr>
              <w:t>Work engagement</w:t>
            </w:r>
          </w:p>
        </w:tc>
        <w:tc>
          <w:tcPr>
            <w:tcW w:w="1375" w:type="dxa"/>
            <w:tcBorders>
              <w:top w:val="single" w:sz="4" w:space="0" w:color="auto"/>
            </w:tcBorders>
          </w:tcPr>
          <w:p w14:paraId="12F4BEA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r>
      <w:tr w:rsidR="00E6060C" w:rsidRPr="007803A3" w14:paraId="19B1044C" w14:textId="77777777" w:rsidTr="00E6060C">
        <w:tc>
          <w:tcPr>
            <w:tcW w:w="562" w:type="dxa"/>
          </w:tcPr>
          <w:p w14:paraId="4561B2BC" w14:textId="77777777" w:rsidR="00E6060C" w:rsidRPr="007803A3" w:rsidRDefault="00E6060C" w:rsidP="00E6060C">
            <w:pPr>
              <w:rPr>
                <w:rFonts w:ascii="Calibri" w:eastAsia="Calibri" w:hAnsi="Calibri" w:cs="Times New Roman"/>
                <w:sz w:val="20"/>
                <w:szCs w:val="20"/>
              </w:rPr>
            </w:pPr>
          </w:p>
        </w:tc>
        <w:tc>
          <w:tcPr>
            <w:tcW w:w="2410" w:type="dxa"/>
          </w:tcPr>
          <w:p w14:paraId="5012BCCC"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Vigour (VIG)</w:t>
            </w:r>
          </w:p>
        </w:tc>
        <w:tc>
          <w:tcPr>
            <w:tcW w:w="1134" w:type="dxa"/>
          </w:tcPr>
          <w:p w14:paraId="79E1CA8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WENG1</w:t>
            </w:r>
          </w:p>
        </w:tc>
        <w:tc>
          <w:tcPr>
            <w:tcW w:w="1701" w:type="dxa"/>
          </w:tcPr>
          <w:p w14:paraId="662396E0"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.853</w:t>
            </w:r>
          </w:p>
        </w:tc>
        <w:tc>
          <w:tcPr>
            <w:tcW w:w="1876" w:type="dxa"/>
            <w:vMerge w:val="restart"/>
          </w:tcPr>
          <w:p w14:paraId="7E5FF6B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.661</w:t>
            </w:r>
          </w:p>
          <w:p w14:paraId="42881D60" w14:textId="77777777" w:rsidR="00E6060C" w:rsidRPr="007803A3" w:rsidRDefault="00E6060C" w:rsidP="00E6060C">
            <w:pPr>
              <w:jc w:val="center"/>
              <w:rPr>
                <w:rFonts w:ascii="Calibri" w:eastAsia="Calibri" w:hAnsi="Calibri" w:cs="Times New Roman"/>
                <w:sz w:val="20"/>
                <w:szCs w:val="20"/>
              </w:rPr>
            </w:pPr>
          </w:p>
        </w:tc>
        <w:tc>
          <w:tcPr>
            <w:tcW w:w="1919" w:type="dxa"/>
          </w:tcPr>
          <w:p w14:paraId="7ADBB88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VIG-DED</w:t>
            </w:r>
          </w:p>
        </w:tc>
        <w:tc>
          <w:tcPr>
            <w:tcW w:w="1318" w:type="dxa"/>
          </w:tcPr>
          <w:p w14:paraId="5A42E5E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.758</w:t>
            </w:r>
          </w:p>
        </w:tc>
        <w:tc>
          <w:tcPr>
            <w:tcW w:w="1322" w:type="dxa"/>
          </w:tcPr>
          <w:p w14:paraId="537B17F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.790</w:t>
            </w:r>
          </w:p>
        </w:tc>
        <w:tc>
          <w:tcPr>
            <w:tcW w:w="1353" w:type="dxa"/>
          </w:tcPr>
          <w:p w14:paraId="3452AC3B"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c>
          <w:tcPr>
            <w:tcW w:w="1375" w:type="dxa"/>
            <w:vMerge w:val="restart"/>
          </w:tcPr>
          <w:p w14:paraId="62A61CF0" w14:textId="77777777" w:rsidR="00E6060C" w:rsidRPr="007803A3" w:rsidRDefault="00E6060C" w:rsidP="00E6060C">
            <w:pPr>
              <w:jc w:val="center"/>
              <w:rPr>
                <w:rFonts w:ascii="Calibri" w:eastAsia="Calibri" w:hAnsi="Calibri" w:cs="Times New Roman"/>
                <w:sz w:val="20"/>
                <w:szCs w:val="20"/>
              </w:rPr>
            </w:pPr>
          </w:p>
        </w:tc>
      </w:tr>
      <w:tr w:rsidR="00E6060C" w:rsidRPr="007803A3" w14:paraId="31DB6A02" w14:textId="77777777" w:rsidTr="00E6060C">
        <w:tc>
          <w:tcPr>
            <w:tcW w:w="562" w:type="dxa"/>
          </w:tcPr>
          <w:p w14:paraId="36FE9AAC" w14:textId="77777777" w:rsidR="00E6060C" w:rsidRPr="007803A3" w:rsidRDefault="00E6060C" w:rsidP="00E6060C">
            <w:pPr>
              <w:rPr>
                <w:rFonts w:ascii="Calibri" w:eastAsia="Calibri" w:hAnsi="Calibri" w:cs="Times New Roman"/>
                <w:sz w:val="20"/>
                <w:szCs w:val="20"/>
              </w:rPr>
            </w:pPr>
          </w:p>
        </w:tc>
        <w:tc>
          <w:tcPr>
            <w:tcW w:w="2410" w:type="dxa"/>
          </w:tcPr>
          <w:p w14:paraId="608081C3" w14:textId="77777777" w:rsidR="00E6060C" w:rsidRPr="007803A3" w:rsidRDefault="00E6060C" w:rsidP="00E6060C">
            <w:pPr>
              <w:rPr>
                <w:rFonts w:ascii="Calibri" w:eastAsia="Calibri" w:hAnsi="Calibri" w:cs="Times New Roman"/>
                <w:sz w:val="20"/>
                <w:szCs w:val="20"/>
              </w:rPr>
            </w:pPr>
          </w:p>
        </w:tc>
        <w:tc>
          <w:tcPr>
            <w:tcW w:w="1134" w:type="dxa"/>
          </w:tcPr>
          <w:p w14:paraId="3CFF086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WENG2</w:t>
            </w:r>
          </w:p>
        </w:tc>
        <w:tc>
          <w:tcPr>
            <w:tcW w:w="1701" w:type="dxa"/>
          </w:tcPr>
          <w:p w14:paraId="1EF24D35"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.887</w:t>
            </w:r>
          </w:p>
        </w:tc>
        <w:tc>
          <w:tcPr>
            <w:tcW w:w="1876" w:type="dxa"/>
            <w:vMerge/>
          </w:tcPr>
          <w:p w14:paraId="5088B269" w14:textId="77777777" w:rsidR="00E6060C" w:rsidRPr="007803A3" w:rsidRDefault="00E6060C" w:rsidP="00E6060C">
            <w:pPr>
              <w:jc w:val="center"/>
              <w:rPr>
                <w:rFonts w:ascii="Calibri" w:eastAsia="Calibri" w:hAnsi="Calibri" w:cs="Times New Roman"/>
                <w:sz w:val="20"/>
                <w:szCs w:val="20"/>
              </w:rPr>
            </w:pPr>
          </w:p>
        </w:tc>
        <w:tc>
          <w:tcPr>
            <w:tcW w:w="1919" w:type="dxa"/>
            <w:vMerge w:val="restart"/>
          </w:tcPr>
          <w:p w14:paraId="27313CE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VIG-ABS</w:t>
            </w:r>
          </w:p>
        </w:tc>
        <w:tc>
          <w:tcPr>
            <w:tcW w:w="1318" w:type="dxa"/>
            <w:vMerge w:val="restart"/>
          </w:tcPr>
          <w:p w14:paraId="26FA9D8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.696</w:t>
            </w:r>
          </w:p>
        </w:tc>
        <w:tc>
          <w:tcPr>
            <w:tcW w:w="1322" w:type="dxa"/>
            <w:vMerge w:val="restart"/>
          </w:tcPr>
          <w:p w14:paraId="7779E03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.646</w:t>
            </w:r>
          </w:p>
        </w:tc>
        <w:tc>
          <w:tcPr>
            <w:tcW w:w="1353" w:type="dxa"/>
            <w:vMerge w:val="restart"/>
          </w:tcPr>
          <w:p w14:paraId="199B833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tcPr>
          <w:p w14:paraId="7E057160" w14:textId="77777777" w:rsidR="00E6060C" w:rsidRPr="007803A3" w:rsidRDefault="00E6060C" w:rsidP="00E6060C">
            <w:pPr>
              <w:jc w:val="center"/>
              <w:rPr>
                <w:rFonts w:ascii="Calibri" w:eastAsia="Calibri" w:hAnsi="Calibri" w:cs="Times New Roman"/>
                <w:sz w:val="20"/>
                <w:szCs w:val="20"/>
              </w:rPr>
            </w:pPr>
          </w:p>
        </w:tc>
      </w:tr>
      <w:tr w:rsidR="00E6060C" w:rsidRPr="007803A3" w14:paraId="611C3C76" w14:textId="77777777" w:rsidTr="00E6060C">
        <w:tc>
          <w:tcPr>
            <w:tcW w:w="562" w:type="dxa"/>
          </w:tcPr>
          <w:p w14:paraId="497EAB90" w14:textId="77777777" w:rsidR="00E6060C" w:rsidRPr="007803A3" w:rsidRDefault="00E6060C" w:rsidP="00E6060C">
            <w:pPr>
              <w:rPr>
                <w:rFonts w:ascii="Calibri" w:eastAsia="Calibri" w:hAnsi="Calibri" w:cs="Times New Roman"/>
                <w:sz w:val="20"/>
                <w:szCs w:val="20"/>
              </w:rPr>
            </w:pPr>
          </w:p>
        </w:tc>
        <w:tc>
          <w:tcPr>
            <w:tcW w:w="2410" w:type="dxa"/>
          </w:tcPr>
          <w:p w14:paraId="1B888F2D" w14:textId="77777777" w:rsidR="00E6060C" w:rsidRPr="007803A3" w:rsidRDefault="00E6060C" w:rsidP="00E6060C">
            <w:pPr>
              <w:rPr>
                <w:rFonts w:ascii="Calibri" w:eastAsia="Calibri" w:hAnsi="Calibri" w:cs="Times New Roman"/>
                <w:sz w:val="20"/>
                <w:szCs w:val="20"/>
              </w:rPr>
            </w:pPr>
          </w:p>
        </w:tc>
        <w:tc>
          <w:tcPr>
            <w:tcW w:w="1134" w:type="dxa"/>
          </w:tcPr>
          <w:p w14:paraId="60E97F59"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WENG5</w:t>
            </w:r>
          </w:p>
        </w:tc>
        <w:tc>
          <w:tcPr>
            <w:tcW w:w="1701" w:type="dxa"/>
          </w:tcPr>
          <w:p w14:paraId="78C7568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.685</w:t>
            </w:r>
          </w:p>
        </w:tc>
        <w:tc>
          <w:tcPr>
            <w:tcW w:w="1876" w:type="dxa"/>
            <w:vMerge/>
          </w:tcPr>
          <w:p w14:paraId="124FEAD7" w14:textId="77777777" w:rsidR="00E6060C" w:rsidRPr="007803A3" w:rsidRDefault="00E6060C" w:rsidP="00E6060C">
            <w:pPr>
              <w:jc w:val="center"/>
              <w:rPr>
                <w:rFonts w:ascii="Calibri" w:eastAsia="Calibri" w:hAnsi="Calibri" w:cs="Times New Roman"/>
                <w:sz w:val="20"/>
                <w:szCs w:val="20"/>
              </w:rPr>
            </w:pPr>
          </w:p>
        </w:tc>
        <w:tc>
          <w:tcPr>
            <w:tcW w:w="1919" w:type="dxa"/>
            <w:vMerge/>
          </w:tcPr>
          <w:p w14:paraId="1EF0F394" w14:textId="77777777" w:rsidR="00E6060C" w:rsidRPr="007803A3" w:rsidRDefault="00E6060C" w:rsidP="00E6060C">
            <w:pPr>
              <w:jc w:val="center"/>
              <w:rPr>
                <w:rFonts w:ascii="Calibri" w:eastAsia="Calibri" w:hAnsi="Calibri" w:cs="Times New Roman"/>
                <w:sz w:val="20"/>
                <w:szCs w:val="20"/>
              </w:rPr>
            </w:pPr>
          </w:p>
        </w:tc>
        <w:tc>
          <w:tcPr>
            <w:tcW w:w="1318" w:type="dxa"/>
            <w:vMerge/>
          </w:tcPr>
          <w:p w14:paraId="1CBD3475" w14:textId="77777777" w:rsidR="00E6060C" w:rsidRPr="007803A3" w:rsidRDefault="00E6060C" w:rsidP="00E6060C">
            <w:pPr>
              <w:jc w:val="center"/>
              <w:rPr>
                <w:rFonts w:ascii="Calibri" w:eastAsia="Calibri" w:hAnsi="Calibri" w:cs="Times New Roman"/>
                <w:sz w:val="20"/>
                <w:szCs w:val="20"/>
              </w:rPr>
            </w:pPr>
          </w:p>
        </w:tc>
        <w:tc>
          <w:tcPr>
            <w:tcW w:w="1322" w:type="dxa"/>
            <w:vMerge/>
          </w:tcPr>
          <w:p w14:paraId="21922F1E" w14:textId="77777777" w:rsidR="00E6060C" w:rsidRPr="007803A3" w:rsidRDefault="00E6060C" w:rsidP="00E6060C">
            <w:pPr>
              <w:jc w:val="center"/>
              <w:rPr>
                <w:rFonts w:ascii="Calibri" w:eastAsia="Calibri" w:hAnsi="Calibri" w:cs="Times New Roman"/>
                <w:sz w:val="20"/>
                <w:szCs w:val="20"/>
              </w:rPr>
            </w:pPr>
          </w:p>
        </w:tc>
        <w:tc>
          <w:tcPr>
            <w:tcW w:w="1353" w:type="dxa"/>
            <w:vMerge/>
          </w:tcPr>
          <w:p w14:paraId="002657BC"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5A0085DC" w14:textId="77777777" w:rsidR="00E6060C" w:rsidRPr="007803A3" w:rsidRDefault="00E6060C" w:rsidP="00E6060C">
            <w:pPr>
              <w:jc w:val="center"/>
              <w:rPr>
                <w:rFonts w:ascii="Calibri" w:eastAsia="Calibri" w:hAnsi="Calibri" w:cs="Times New Roman"/>
                <w:sz w:val="20"/>
                <w:szCs w:val="20"/>
              </w:rPr>
            </w:pPr>
          </w:p>
        </w:tc>
      </w:tr>
      <w:tr w:rsidR="00E6060C" w:rsidRPr="007803A3" w14:paraId="025CEA6E" w14:textId="77777777" w:rsidTr="00E6060C">
        <w:tc>
          <w:tcPr>
            <w:tcW w:w="562" w:type="dxa"/>
          </w:tcPr>
          <w:p w14:paraId="1348668B" w14:textId="77777777" w:rsidR="00E6060C" w:rsidRPr="007803A3" w:rsidRDefault="00E6060C" w:rsidP="00E6060C">
            <w:pPr>
              <w:rPr>
                <w:rFonts w:ascii="Calibri" w:eastAsia="Calibri" w:hAnsi="Calibri" w:cs="Times New Roman"/>
                <w:sz w:val="20"/>
                <w:szCs w:val="20"/>
              </w:rPr>
            </w:pPr>
          </w:p>
        </w:tc>
        <w:tc>
          <w:tcPr>
            <w:tcW w:w="2410" w:type="dxa"/>
          </w:tcPr>
          <w:p w14:paraId="5B9296A5"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Dedication (DED)</w:t>
            </w:r>
          </w:p>
        </w:tc>
        <w:tc>
          <w:tcPr>
            <w:tcW w:w="1134" w:type="dxa"/>
          </w:tcPr>
          <w:p w14:paraId="21AA21F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WENG3</w:t>
            </w:r>
          </w:p>
        </w:tc>
        <w:tc>
          <w:tcPr>
            <w:tcW w:w="1701" w:type="dxa"/>
          </w:tcPr>
          <w:p w14:paraId="16E5DB6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.874</w:t>
            </w:r>
          </w:p>
        </w:tc>
        <w:tc>
          <w:tcPr>
            <w:tcW w:w="1876" w:type="dxa"/>
            <w:vMerge w:val="restart"/>
          </w:tcPr>
          <w:p w14:paraId="0B1E834B"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.604</w:t>
            </w:r>
          </w:p>
          <w:p w14:paraId="2C9F804E" w14:textId="77777777" w:rsidR="00E6060C" w:rsidRPr="007803A3" w:rsidRDefault="00E6060C" w:rsidP="00E6060C">
            <w:pPr>
              <w:jc w:val="center"/>
              <w:rPr>
                <w:rFonts w:ascii="Calibri" w:eastAsia="Calibri" w:hAnsi="Calibri" w:cs="Times New Roman"/>
                <w:sz w:val="20"/>
                <w:szCs w:val="20"/>
              </w:rPr>
            </w:pPr>
          </w:p>
        </w:tc>
        <w:tc>
          <w:tcPr>
            <w:tcW w:w="1919" w:type="dxa"/>
          </w:tcPr>
          <w:p w14:paraId="7E0A02A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DED-VIG</w:t>
            </w:r>
          </w:p>
        </w:tc>
        <w:tc>
          <w:tcPr>
            <w:tcW w:w="1318" w:type="dxa"/>
          </w:tcPr>
          <w:p w14:paraId="6115BEF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.758</w:t>
            </w:r>
          </w:p>
        </w:tc>
        <w:tc>
          <w:tcPr>
            <w:tcW w:w="1322" w:type="dxa"/>
          </w:tcPr>
          <w:p w14:paraId="1A4B664B"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.790</w:t>
            </w:r>
          </w:p>
        </w:tc>
        <w:tc>
          <w:tcPr>
            <w:tcW w:w="1353" w:type="dxa"/>
          </w:tcPr>
          <w:p w14:paraId="59A001F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c>
          <w:tcPr>
            <w:tcW w:w="1375" w:type="dxa"/>
            <w:vMerge/>
            <w:tcBorders>
              <w:top w:val="single" w:sz="4" w:space="0" w:color="auto"/>
            </w:tcBorders>
          </w:tcPr>
          <w:p w14:paraId="6A776B51" w14:textId="77777777" w:rsidR="00E6060C" w:rsidRPr="007803A3" w:rsidRDefault="00E6060C" w:rsidP="00E6060C">
            <w:pPr>
              <w:jc w:val="center"/>
              <w:rPr>
                <w:rFonts w:ascii="Calibri" w:eastAsia="Calibri" w:hAnsi="Calibri" w:cs="Times New Roman"/>
                <w:sz w:val="20"/>
                <w:szCs w:val="20"/>
              </w:rPr>
            </w:pPr>
          </w:p>
        </w:tc>
      </w:tr>
      <w:tr w:rsidR="00E6060C" w:rsidRPr="007803A3" w14:paraId="7A602971" w14:textId="77777777" w:rsidTr="00E6060C">
        <w:tc>
          <w:tcPr>
            <w:tcW w:w="562" w:type="dxa"/>
          </w:tcPr>
          <w:p w14:paraId="419A35EF" w14:textId="77777777" w:rsidR="00E6060C" w:rsidRPr="007803A3" w:rsidRDefault="00E6060C" w:rsidP="00E6060C">
            <w:pPr>
              <w:rPr>
                <w:rFonts w:ascii="Calibri" w:eastAsia="Calibri" w:hAnsi="Calibri" w:cs="Times New Roman"/>
                <w:sz w:val="20"/>
                <w:szCs w:val="20"/>
              </w:rPr>
            </w:pPr>
          </w:p>
        </w:tc>
        <w:tc>
          <w:tcPr>
            <w:tcW w:w="2410" w:type="dxa"/>
          </w:tcPr>
          <w:p w14:paraId="5413DF9A" w14:textId="77777777" w:rsidR="00E6060C" w:rsidRPr="007803A3" w:rsidRDefault="00E6060C" w:rsidP="00E6060C">
            <w:pPr>
              <w:rPr>
                <w:rFonts w:ascii="Calibri" w:eastAsia="Calibri" w:hAnsi="Calibri" w:cs="Times New Roman"/>
                <w:sz w:val="20"/>
                <w:szCs w:val="20"/>
              </w:rPr>
            </w:pPr>
          </w:p>
        </w:tc>
        <w:tc>
          <w:tcPr>
            <w:tcW w:w="1134" w:type="dxa"/>
          </w:tcPr>
          <w:p w14:paraId="1975F64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WENG4</w:t>
            </w:r>
          </w:p>
        </w:tc>
        <w:tc>
          <w:tcPr>
            <w:tcW w:w="1701" w:type="dxa"/>
          </w:tcPr>
          <w:p w14:paraId="5D74F740"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.797</w:t>
            </w:r>
          </w:p>
        </w:tc>
        <w:tc>
          <w:tcPr>
            <w:tcW w:w="1876" w:type="dxa"/>
            <w:vMerge/>
          </w:tcPr>
          <w:p w14:paraId="6B3E31B5" w14:textId="77777777" w:rsidR="00E6060C" w:rsidRPr="007803A3" w:rsidRDefault="00E6060C" w:rsidP="00E6060C">
            <w:pPr>
              <w:jc w:val="center"/>
              <w:rPr>
                <w:rFonts w:ascii="Calibri" w:eastAsia="Calibri" w:hAnsi="Calibri" w:cs="Times New Roman"/>
                <w:sz w:val="20"/>
                <w:szCs w:val="20"/>
              </w:rPr>
            </w:pPr>
          </w:p>
        </w:tc>
        <w:tc>
          <w:tcPr>
            <w:tcW w:w="1919" w:type="dxa"/>
            <w:vMerge w:val="restart"/>
          </w:tcPr>
          <w:p w14:paraId="4C05D65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DED-ABS</w:t>
            </w:r>
          </w:p>
        </w:tc>
        <w:tc>
          <w:tcPr>
            <w:tcW w:w="1318" w:type="dxa"/>
            <w:vMerge w:val="restart"/>
          </w:tcPr>
          <w:p w14:paraId="16FC2BC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.684</w:t>
            </w:r>
          </w:p>
        </w:tc>
        <w:tc>
          <w:tcPr>
            <w:tcW w:w="1322" w:type="dxa"/>
            <w:vMerge w:val="restart"/>
          </w:tcPr>
          <w:p w14:paraId="63296F20"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.774</w:t>
            </w:r>
          </w:p>
        </w:tc>
        <w:tc>
          <w:tcPr>
            <w:tcW w:w="1353" w:type="dxa"/>
            <w:vMerge w:val="restart"/>
          </w:tcPr>
          <w:p w14:paraId="4799110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tcPr>
          <w:p w14:paraId="562F947B" w14:textId="77777777" w:rsidR="00E6060C" w:rsidRPr="007803A3" w:rsidRDefault="00E6060C" w:rsidP="00E6060C">
            <w:pPr>
              <w:jc w:val="center"/>
              <w:rPr>
                <w:rFonts w:ascii="Calibri" w:eastAsia="Calibri" w:hAnsi="Calibri" w:cs="Times New Roman"/>
                <w:sz w:val="20"/>
                <w:szCs w:val="20"/>
              </w:rPr>
            </w:pPr>
          </w:p>
        </w:tc>
      </w:tr>
      <w:tr w:rsidR="00E6060C" w:rsidRPr="007803A3" w14:paraId="5D09BB13" w14:textId="77777777" w:rsidTr="00E6060C">
        <w:tc>
          <w:tcPr>
            <w:tcW w:w="562" w:type="dxa"/>
          </w:tcPr>
          <w:p w14:paraId="5622D06E" w14:textId="77777777" w:rsidR="00E6060C" w:rsidRPr="007803A3" w:rsidRDefault="00E6060C" w:rsidP="00E6060C">
            <w:pPr>
              <w:rPr>
                <w:rFonts w:ascii="Calibri" w:eastAsia="Calibri" w:hAnsi="Calibri" w:cs="Times New Roman"/>
                <w:sz w:val="20"/>
                <w:szCs w:val="20"/>
              </w:rPr>
            </w:pPr>
          </w:p>
        </w:tc>
        <w:tc>
          <w:tcPr>
            <w:tcW w:w="2410" w:type="dxa"/>
          </w:tcPr>
          <w:p w14:paraId="10A2F9E2" w14:textId="77777777" w:rsidR="00E6060C" w:rsidRPr="007803A3" w:rsidRDefault="00E6060C" w:rsidP="00E6060C">
            <w:pPr>
              <w:rPr>
                <w:rFonts w:ascii="Calibri" w:eastAsia="Calibri" w:hAnsi="Calibri" w:cs="Times New Roman"/>
                <w:sz w:val="20"/>
                <w:szCs w:val="20"/>
              </w:rPr>
            </w:pPr>
          </w:p>
        </w:tc>
        <w:tc>
          <w:tcPr>
            <w:tcW w:w="1134" w:type="dxa"/>
          </w:tcPr>
          <w:p w14:paraId="5759187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WENG7</w:t>
            </w:r>
          </w:p>
        </w:tc>
        <w:tc>
          <w:tcPr>
            <w:tcW w:w="1701" w:type="dxa"/>
          </w:tcPr>
          <w:p w14:paraId="100D2E8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.642</w:t>
            </w:r>
          </w:p>
        </w:tc>
        <w:tc>
          <w:tcPr>
            <w:tcW w:w="1876" w:type="dxa"/>
            <w:vMerge/>
          </w:tcPr>
          <w:p w14:paraId="64BED6F2" w14:textId="77777777" w:rsidR="00E6060C" w:rsidRPr="007803A3" w:rsidRDefault="00E6060C" w:rsidP="00E6060C">
            <w:pPr>
              <w:jc w:val="center"/>
              <w:rPr>
                <w:rFonts w:ascii="Calibri" w:eastAsia="Calibri" w:hAnsi="Calibri" w:cs="Times New Roman"/>
                <w:sz w:val="20"/>
                <w:szCs w:val="20"/>
              </w:rPr>
            </w:pPr>
          </w:p>
        </w:tc>
        <w:tc>
          <w:tcPr>
            <w:tcW w:w="1919" w:type="dxa"/>
            <w:vMerge/>
          </w:tcPr>
          <w:p w14:paraId="0848DCF5" w14:textId="77777777" w:rsidR="00E6060C" w:rsidRPr="007803A3" w:rsidRDefault="00E6060C" w:rsidP="00E6060C">
            <w:pPr>
              <w:jc w:val="center"/>
              <w:rPr>
                <w:rFonts w:ascii="Calibri" w:eastAsia="Calibri" w:hAnsi="Calibri" w:cs="Times New Roman"/>
                <w:sz w:val="20"/>
                <w:szCs w:val="20"/>
              </w:rPr>
            </w:pPr>
          </w:p>
        </w:tc>
        <w:tc>
          <w:tcPr>
            <w:tcW w:w="1318" w:type="dxa"/>
            <w:vMerge/>
          </w:tcPr>
          <w:p w14:paraId="6E514AB7" w14:textId="77777777" w:rsidR="00E6060C" w:rsidRPr="007803A3" w:rsidRDefault="00E6060C" w:rsidP="00E6060C">
            <w:pPr>
              <w:jc w:val="center"/>
              <w:rPr>
                <w:rFonts w:ascii="Calibri" w:eastAsia="Calibri" w:hAnsi="Calibri" w:cs="Times New Roman"/>
                <w:sz w:val="20"/>
                <w:szCs w:val="20"/>
              </w:rPr>
            </w:pPr>
          </w:p>
        </w:tc>
        <w:tc>
          <w:tcPr>
            <w:tcW w:w="1322" w:type="dxa"/>
            <w:vMerge/>
          </w:tcPr>
          <w:p w14:paraId="3FAC32A9" w14:textId="77777777" w:rsidR="00E6060C" w:rsidRPr="007803A3" w:rsidRDefault="00E6060C" w:rsidP="00E6060C">
            <w:pPr>
              <w:jc w:val="center"/>
              <w:rPr>
                <w:rFonts w:ascii="Calibri" w:eastAsia="Calibri" w:hAnsi="Calibri" w:cs="Times New Roman"/>
                <w:sz w:val="20"/>
                <w:szCs w:val="20"/>
              </w:rPr>
            </w:pPr>
          </w:p>
        </w:tc>
        <w:tc>
          <w:tcPr>
            <w:tcW w:w="1353" w:type="dxa"/>
            <w:vMerge/>
          </w:tcPr>
          <w:p w14:paraId="4C2051B0"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0EEAB40B" w14:textId="77777777" w:rsidR="00E6060C" w:rsidRPr="007803A3" w:rsidRDefault="00E6060C" w:rsidP="00E6060C">
            <w:pPr>
              <w:jc w:val="center"/>
              <w:rPr>
                <w:rFonts w:ascii="Calibri" w:eastAsia="Calibri" w:hAnsi="Calibri" w:cs="Times New Roman"/>
                <w:sz w:val="20"/>
                <w:szCs w:val="20"/>
              </w:rPr>
            </w:pPr>
          </w:p>
        </w:tc>
      </w:tr>
      <w:tr w:rsidR="00E6060C" w:rsidRPr="007803A3" w14:paraId="78580A22" w14:textId="77777777" w:rsidTr="00E6060C">
        <w:tc>
          <w:tcPr>
            <w:tcW w:w="562" w:type="dxa"/>
          </w:tcPr>
          <w:p w14:paraId="595AA0C4" w14:textId="77777777" w:rsidR="00E6060C" w:rsidRPr="007803A3" w:rsidRDefault="00E6060C" w:rsidP="00E6060C">
            <w:pPr>
              <w:rPr>
                <w:rFonts w:ascii="Calibri" w:eastAsia="Calibri" w:hAnsi="Calibri" w:cs="Times New Roman"/>
                <w:sz w:val="20"/>
                <w:szCs w:val="20"/>
              </w:rPr>
            </w:pPr>
          </w:p>
        </w:tc>
        <w:tc>
          <w:tcPr>
            <w:tcW w:w="2410" w:type="dxa"/>
          </w:tcPr>
          <w:p w14:paraId="04D66961"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Absorption (ABS)</w:t>
            </w:r>
          </w:p>
        </w:tc>
        <w:tc>
          <w:tcPr>
            <w:tcW w:w="1134" w:type="dxa"/>
          </w:tcPr>
          <w:p w14:paraId="3095707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WENG6</w:t>
            </w:r>
          </w:p>
        </w:tc>
        <w:tc>
          <w:tcPr>
            <w:tcW w:w="1701" w:type="dxa"/>
          </w:tcPr>
          <w:p w14:paraId="7008C1A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.846</w:t>
            </w:r>
          </w:p>
        </w:tc>
        <w:tc>
          <w:tcPr>
            <w:tcW w:w="1876" w:type="dxa"/>
            <w:vMerge w:val="restart"/>
          </w:tcPr>
          <w:p w14:paraId="1AFADD05"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.519</w:t>
            </w:r>
          </w:p>
        </w:tc>
        <w:tc>
          <w:tcPr>
            <w:tcW w:w="1919" w:type="dxa"/>
          </w:tcPr>
          <w:p w14:paraId="24FDD445"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ABS-VIG</w:t>
            </w:r>
          </w:p>
        </w:tc>
        <w:tc>
          <w:tcPr>
            <w:tcW w:w="1318" w:type="dxa"/>
          </w:tcPr>
          <w:p w14:paraId="38C53189"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.696</w:t>
            </w:r>
          </w:p>
        </w:tc>
        <w:tc>
          <w:tcPr>
            <w:tcW w:w="1322" w:type="dxa"/>
          </w:tcPr>
          <w:p w14:paraId="000A1FC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.646</w:t>
            </w:r>
          </w:p>
        </w:tc>
        <w:tc>
          <w:tcPr>
            <w:tcW w:w="1353" w:type="dxa"/>
          </w:tcPr>
          <w:p w14:paraId="1F71C1F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c>
          <w:tcPr>
            <w:tcW w:w="1375" w:type="dxa"/>
            <w:vMerge/>
            <w:tcBorders>
              <w:top w:val="single" w:sz="4" w:space="0" w:color="auto"/>
            </w:tcBorders>
          </w:tcPr>
          <w:p w14:paraId="6A2A6B02" w14:textId="77777777" w:rsidR="00E6060C" w:rsidRPr="007803A3" w:rsidRDefault="00E6060C" w:rsidP="00E6060C">
            <w:pPr>
              <w:jc w:val="center"/>
              <w:rPr>
                <w:rFonts w:ascii="Calibri" w:eastAsia="Calibri" w:hAnsi="Calibri" w:cs="Times New Roman"/>
                <w:sz w:val="20"/>
                <w:szCs w:val="20"/>
              </w:rPr>
            </w:pPr>
          </w:p>
        </w:tc>
      </w:tr>
      <w:tr w:rsidR="00E6060C" w:rsidRPr="007803A3" w14:paraId="55BDC123" w14:textId="77777777" w:rsidTr="00E6060C">
        <w:tc>
          <w:tcPr>
            <w:tcW w:w="562" w:type="dxa"/>
          </w:tcPr>
          <w:p w14:paraId="6489B575" w14:textId="77777777" w:rsidR="00E6060C" w:rsidRPr="007803A3" w:rsidRDefault="00E6060C" w:rsidP="00E6060C">
            <w:pPr>
              <w:rPr>
                <w:rFonts w:ascii="Calibri" w:eastAsia="Calibri" w:hAnsi="Calibri" w:cs="Times New Roman"/>
                <w:sz w:val="20"/>
                <w:szCs w:val="20"/>
              </w:rPr>
            </w:pPr>
          </w:p>
        </w:tc>
        <w:tc>
          <w:tcPr>
            <w:tcW w:w="2410" w:type="dxa"/>
          </w:tcPr>
          <w:p w14:paraId="12033421" w14:textId="77777777" w:rsidR="00E6060C" w:rsidRPr="007803A3" w:rsidRDefault="00E6060C" w:rsidP="00E6060C">
            <w:pPr>
              <w:rPr>
                <w:rFonts w:ascii="Calibri" w:eastAsia="Calibri" w:hAnsi="Calibri" w:cs="Times New Roman"/>
                <w:sz w:val="20"/>
                <w:szCs w:val="20"/>
              </w:rPr>
            </w:pPr>
          </w:p>
        </w:tc>
        <w:tc>
          <w:tcPr>
            <w:tcW w:w="1134" w:type="dxa"/>
          </w:tcPr>
          <w:p w14:paraId="1FF39BAD"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WENG8</w:t>
            </w:r>
          </w:p>
        </w:tc>
        <w:tc>
          <w:tcPr>
            <w:tcW w:w="1701" w:type="dxa"/>
          </w:tcPr>
          <w:p w14:paraId="5FA7EC79"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.716</w:t>
            </w:r>
          </w:p>
        </w:tc>
        <w:tc>
          <w:tcPr>
            <w:tcW w:w="1876" w:type="dxa"/>
            <w:vMerge/>
          </w:tcPr>
          <w:p w14:paraId="4827D9BD" w14:textId="77777777" w:rsidR="00E6060C" w:rsidRPr="007803A3" w:rsidRDefault="00E6060C" w:rsidP="00E6060C">
            <w:pPr>
              <w:jc w:val="center"/>
              <w:rPr>
                <w:rFonts w:ascii="Calibri" w:eastAsia="Calibri" w:hAnsi="Calibri" w:cs="Times New Roman"/>
                <w:sz w:val="20"/>
                <w:szCs w:val="20"/>
              </w:rPr>
            </w:pPr>
          </w:p>
        </w:tc>
        <w:tc>
          <w:tcPr>
            <w:tcW w:w="1919" w:type="dxa"/>
            <w:vMerge w:val="restart"/>
          </w:tcPr>
          <w:p w14:paraId="3BD9043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ABS-DED</w:t>
            </w:r>
          </w:p>
        </w:tc>
        <w:tc>
          <w:tcPr>
            <w:tcW w:w="1318" w:type="dxa"/>
            <w:vMerge w:val="restart"/>
          </w:tcPr>
          <w:p w14:paraId="0F82D885"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.684</w:t>
            </w:r>
          </w:p>
        </w:tc>
        <w:tc>
          <w:tcPr>
            <w:tcW w:w="1322" w:type="dxa"/>
            <w:vMerge w:val="restart"/>
          </w:tcPr>
          <w:p w14:paraId="29B91E70"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.774</w:t>
            </w:r>
          </w:p>
        </w:tc>
        <w:tc>
          <w:tcPr>
            <w:tcW w:w="1353" w:type="dxa"/>
            <w:vMerge w:val="restart"/>
          </w:tcPr>
          <w:p w14:paraId="3DD18A6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c>
          <w:tcPr>
            <w:tcW w:w="1375" w:type="dxa"/>
            <w:vMerge/>
          </w:tcPr>
          <w:p w14:paraId="2AB7517C" w14:textId="77777777" w:rsidR="00E6060C" w:rsidRPr="007803A3" w:rsidRDefault="00E6060C" w:rsidP="00E6060C">
            <w:pPr>
              <w:jc w:val="center"/>
              <w:rPr>
                <w:rFonts w:ascii="Calibri" w:eastAsia="Calibri" w:hAnsi="Calibri" w:cs="Times New Roman"/>
                <w:sz w:val="20"/>
                <w:szCs w:val="20"/>
              </w:rPr>
            </w:pPr>
          </w:p>
        </w:tc>
      </w:tr>
      <w:tr w:rsidR="00E6060C" w:rsidRPr="007803A3" w14:paraId="3AC5A08B" w14:textId="77777777" w:rsidTr="00E6060C">
        <w:tc>
          <w:tcPr>
            <w:tcW w:w="562" w:type="dxa"/>
            <w:tcBorders>
              <w:bottom w:val="single" w:sz="4" w:space="0" w:color="auto"/>
            </w:tcBorders>
          </w:tcPr>
          <w:p w14:paraId="6BA7334E" w14:textId="77777777" w:rsidR="00E6060C" w:rsidRPr="007803A3" w:rsidRDefault="00E6060C" w:rsidP="00E6060C">
            <w:pPr>
              <w:rPr>
                <w:rFonts w:ascii="Calibri" w:eastAsia="Calibri" w:hAnsi="Calibri" w:cs="Times New Roman"/>
                <w:sz w:val="20"/>
                <w:szCs w:val="20"/>
              </w:rPr>
            </w:pPr>
          </w:p>
        </w:tc>
        <w:tc>
          <w:tcPr>
            <w:tcW w:w="2410" w:type="dxa"/>
            <w:tcBorders>
              <w:bottom w:val="single" w:sz="4" w:space="0" w:color="auto"/>
            </w:tcBorders>
          </w:tcPr>
          <w:p w14:paraId="08681E24" w14:textId="77777777" w:rsidR="00E6060C" w:rsidRPr="007803A3" w:rsidRDefault="00E6060C" w:rsidP="00E6060C">
            <w:pPr>
              <w:rPr>
                <w:rFonts w:ascii="Calibri" w:eastAsia="Calibri" w:hAnsi="Calibri" w:cs="Times New Roman"/>
                <w:sz w:val="20"/>
                <w:szCs w:val="20"/>
              </w:rPr>
            </w:pPr>
          </w:p>
        </w:tc>
        <w:tc>
          <w:tcPr>
            <w:tcW w:w="1134" w:type="dxa"/>
            <w:tcBorders>
              <w:bottom w:val="single" w:sz="4" w:space="0" w:color="auto"/>
            </w:tcBorders>
          </w:tcPr>
          <w:p w14:paraId="1D5906A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WENG9</w:t>
            </w:r>
          </w:p>
        </w:tc>
        <w:tc>
          <w:tcPr>
            <w:tcW w:w="1701" w:type="dxa"/>
            <w:tcBorders>
              <w:bottom w:val="single" w:sz="4" w:space="0" w:color="auto"/>
            </w:tcBorders>
          </w:tcPr>
          <w:p w14:paraId="7B60D14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.574</w:t>
            </w:r>
          </w:p>
        </w:tc>
        <w:tc>
          <w:tcPr>
            <w:tcW w:w="1876" w:type="dxa"/>
            <w:vMerge/>
            <w:tcBorders>
              <w:bottom w:val="single" w:sz="4" w:space="0" w:color="auto"/>
            </w:tcBorders>
          </w:tcPr>
          <w:p w14:paraId="4C49EC8F" w14:textId="77777777" w:rsidR="00E6060C" w:rsidRPr="007803A3" w:rsidRDefault="00E6060C" w:rsidP="00E6060C">
            <w:pPr>
              <w:jc w:val="center"/>
              <w:rPr>
                <w:rFonts w:ascii="Calibri" w:eastAsia="Calibri" w:hAnsi="Calibri" w:cs="Times New Roman"/>
                <w:sz w:val="20"/>
                <w:szCs w:val="20"/>
              </w:rPr>
            </w:pPr>
          </w:p>
        </w:tc>
        <w:tc>
          <w:tcPr>
            <w:tcW w:w="1919" w:type="dxa"/>
            <w:vMerge/>
            <w:tcBorders>
              <w:bottom w:val="single" w:sz="4" w:space="0" w:color="auto"/>
            </w:tcBorders>
          </w:tcPr>
          <w:p w14:paraId="4B04FA59" w14:textId="77777777" w:rsidR="00E6060C" w:rsidRPr="007803A3" w:rsidRDefault="00E6060C" w:rsidP="00E6060C">
            <w:pPr>
              <w:jc w:val="center"/>
              <w:rPr>
                <w:rFonts w:ascii="Calibri" w:eastAsia="Calibri" w:hAnsi="Calibri" w:cs="Times New Roman"/>
                <w:sz w:val="20"/>
                <w:szCs w:val="20"/>
              </w:rPr>
            </w:pPr>
          </w:p>
        </w:tc>
        <w:tc>
          <w:tcPr>
            <w:tcW w:w="1318" w:type="dxa"/>
            <w:vMerge/>
            <w:tcBorders>
              <w:bottom w:val="single" w:sz="4" w:space="0" w:color="auto"/>
            </w:tcBorders>
          </w:tcPr>
          <w:p w14:paraId="1904FE5A" w14:textId="77777777" w:rsidR="00E6060C" w:rsidRPr="007803A3" w:rsidRDefault="00E6060C" w:rsidP="00E6060C">
            <w:pPr>
              <w:jc w:val="center"/>
              <w:rPr>
                <w:rFonts w:ascii="Calibri" w:eastAsia="Calibri" w:hAnsi="Calibri" w:cs="Times New Roman"/>
                <w:sz w:val="20"/>
                <w:szCs w:val="20"/>
              </w:rPr>
            </w:pPr>
          </w:p>
        </w:tc>
        <w:tc>
          <w:tcPr>
            <w:tcW w:w="1322" w:type="dxa"/>
            <w:vMerge/>
            <w:tcBorders>
              <w:bottom w:val="single" w:sz="4" w:space="0" w:color="auto"/>
            </w:tcBorders>
          </w:tcPr>
          <w:p w14:paraId="6F9E8A40" w14:textId="77777777" w:rsidR="00E6060C" w:rsidRPr="007803A3" w:rsidRDefault="00E6060C" w:rsidP="00E6060C">
            <w:pPr>
              <w:jc w:val="center"/>
              <w:rPr>
                <w:rFonts w:ascii="Calibri" w:eastAsia="Calibri" w:hAnsi="Calibri" w:cs="Times New Roman"/>
                <w:sz w:val="20"/>
                <w:szCs w:val="20"/>
              </w:rPr>
            </w:pPr>
          </w:p>
        </w:tc>
        <w:tc>
          <w:tcPr>
            <w:tcW w:w="1353" w:type="dxa"/>
            <w:vMerge/>
            <w:tcBorders>
              <w:bottom w:val="single" w:sz="4" w:space="0" w:color="auto"/>
            </w:tcBorders>
          </w:tcPr>
          <w:p w14:paraId="302AA500"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6F08AC44" w14:textId="77777777" w:rsidR="00E6060C" w:rsidRPr="007803A3" w:rsidRDefault="00E6060C" w:rsidP="00E6060C">
            <w:pPr>
              <w:jc w:val="center"/>
              <w:rPr>
                <w:rFonts w:ascii="Calibri" w:eastAsia="Calibri" w:hAnsi="Calibri" w:cs="Times New Roman"/>
                <w:sz w:val="20"/>
                <w:szCs w:val="20"/>
              </w:rPr>
            </w:pPr>
          </w:p>
        </w:tc>
      </w:tr>
      <w:tr w:rsidR="00E6060C" w:rsidRPr="007803A3" w14:paraId="3635A0A0" w14:textId="77777777" w:rsidTr="00E6060C">
        <w:tc>
          <w:tcPr>
            <w:tcW w:w="562" w:type="dxa"/>
            <w:tcBorders>
              <w:top w:val="single" w:sz="4" w:space="0" w:color="auto"/>
            </w:tcBorders>
          </w:tcPr>
          <w:p w14:paraId="4AACC771"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3</w:t>
            </w:r>
          </w:p>
        </w:tc>
        <w:tc>
          <w:tcPr>
            <w:tcW w:w="13033" w:type="dxa"/>
            <w:gridSpan w:val="8"/>
            <w:tcBorders>
              <w:top w:val="single" w:sz="4" w:space="0" w:color="auto"/>
            </w:tcBorders>
          </w:tcPr>
          <w:p w14:paraId="616C16CF" w14:textId="77777777" w:rsidR="00E6060C" w:rsidRPr="007803A3" w:rsidRDefault="00E6060C" w:rsidP="00E6060C">
            <w:pPr>
              <w:rPr>
                <w:rFonts w:ascii="Calibri" w:eastAsia="Calibri" w:hAnsi="Calibri" w:cs="Times New Roman"/>
                <w:b/>
                <w:sz w:val="20"/>
                <w:szCs w:val="20"/>
              </w:rPr>
            </w:pPr>
            <w:r w:rsidRPr="007803A3">
              <w:rPr>
                <w:rFonts w:ascii="Calibri" w:eastAsia="Calibri" w:hAnsi="Calibri" w:cs="Times New Roman"/>
                <w:b/>
                <w:sz w:val="20"/>
                <w:szCs w:val="20"/>
              </w:rPr>
              <w:t>Resources and demands</w:t>
            </w:r>
          </w:p>
        </w:tc>
        <w:tc>
          <w:tcPr>
            <w:tcW w:w="1375" w:type="dxa"/>
            <w:tcBorders>
              <w:top w:val="single" w:sz="4" w:space="0" w:color="auto"/>
            </w:tcBorders>
          </w:tcPr>
          <w:p w14:paraId="0AB3FE7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r>
      <w:tr w:rsidR="00E6060C" w:rsidRPr="007803A3" w14:paraId="6F95CF34" w14:textId="77777777" w:rsidTr="00E6060C">
        <w:tc>
          <w:tcPr>
            <w:tcW w:w="562" w:type="dxa"/>
          </w:tcPr>
          <w:p w14:paraId="425FF6F6" w14:textId="77777777" w:rsidR="00E6060C" w:rsidRPr="007803A3" w:rsidRDefault="00E6060C" w:rsidP="00E6060C">
            <w:pPr>
              <w:rPr>
                <w:rFonts w:ascii="Calibri" w:eastAsia="Calibri" w:hAnsi="Calibri" w:cs="Times New Roman"/>
                <w:sz w:val="20"/>
                <w:szCs w:val="20"/>
              </w:rPr>
            </w:pPr>
          </w:p>
        </w:tc>
        <w:tc>
          <w:tcPr>
            <w:tcW w:w="2410" w:type="dxa"/>
          </w:tcPr>
          <w:p w14:paraId="7692173A"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Resources (RES)</w:t>
            </w:r>
          </w:p>
        </w:tc>
        <w:tc>
          <w:tcPr>
            <w:tcW w:w="1134" w:type="dxa"/>
          </w:tcPr>
          <w:p w14:paraId="5D92006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RDEM5</w:t>
            </w:r>
          </w:p>
        </w:tc>
        <w:tc>
          <w:tcPr>
            <w:tcW w:w="1701" w:type="dxa"/>
          </w:tcPr>
          <w:p w14:paraId="45277F9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.507</w:t>
            </w:r>
          </w:p>
        </w:tc>
        <w:tc>
          <w:tcPr>
            <w:tcW w:w="1876" w:type="dxa"/>
            <w:vMerge w:val="restart"/>
          </w:tcPr>
          <w:p w14:paraId="175762FC"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.563</w:t>
            </w:r>
          </w:p>
        </w:tc>
        <w:tc>
          <w:tcPr>
            <w:tcW w:w="1919" w:type="dxa"/>
            <w:vMerge w:val="restart"/>
          </w:tcPr>
          <w:p w14:paraId="0E7D12D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RES-DEM</w:t>
            </w:r>
          </w:p>
        </w:tc>
        <w:tc>
          <w:tcPr>
            <w:tcW w:w="1318" w:type="dxa"/>
            <w:vMerge w:val="restart"/>
          </w:tcPr>
          <w:p w14:paraId="6F47E1B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.481</w:t>
            </w:r>
          </w:p>
        </w:tc>
        <w:tc>
          <w:tcPr>
            <w:tcW w:w="1322" w:type="dxa"/>
            <w:vMerge w:val="restart"/>
          </w:tcPr>
          <w:p w14:paraId="33AC45F6"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.423</w:t>
            </w:r>
          </w:p>
        </w:tc>
        <w:tc>
          <w:tcPr>
            <w:tcW w:w="1353" w:type="dxa"/>
            <w:vMerge w:val="restart"/>
          </w:tcPr>
          <w:p w14:paraId="7304C5A8"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Yes</w:t>
            </w:r>
          </w:p>
        </w:tc>
        <w:tc>
          <w:tcPr>
            <w:tcW w:w="1375" w:type="dxa"/>
            <w:vMerge w:val="restart"/>
          </w:tcPr>
          <w:p w14:paraId="191FAF53" w14:textId="77777777" w:rsidR="00E6060C" w:rsidRPr="007803A3" w:rsidRDefault="00E6060C" w:rsidP="00E6060C">
            <w:pPr>
              <w:jc w:val="center"/>
              <w:rPr>
                <w:rFonts w:ascii="Calibri" w:eastAsia="Calibri" w:hAnsi="Calibri" w:cs="Times New Roman"/>
                <w:sz w:val="20"/>
                <w:szCs w:val="20"/>
              </w:rPr>
            </w:pPr>
          </w:p>
        </w:tc>
      </w:tr>
      <w:tr w:rsidR="00E6060C" w:rsidRPr="007803A3" w14:paraId="46CDE4A3" w14:textId="77777777" w:rsidTr="00E6060C">
        <w:tc>
          <w:tcPr>
            <w:tcW w:w="562" w:type="dxa"/>
          </w:tcPr>
          <w:p w14:paraId="613AE5BD" w14:textId="77777777" w:rsidR="00E6060C" w:rsidRPr="007803A3" w:rsidRDefault="00E6060C" w:rsidP="00E6060C">
            <w:pPr>
              <w:rPr>
                <w:rFonts w:ascii="Calibri" w:eastAsia="Calibri" w:hAnsi="Calibri" w:cs="Times New Roman"/>
                <w:sz w:val="20"/>
                <w:szCs w:val="20"/>
              </w:rPr>
            </w:pPr>
          </w:p>
        </w:tc>
        <w:tc>
          <w:tcPr>
            <w:tcW w:w="2410" w:type="dxa"/>
          </w:tcPr>
          <w:p w14:paraId="2B8C7A93" w14:textId="77777777" w:rsidR="00E6060C" w:rsidRPr="007803A3" w:rsidRDefault="00E6060C" w:rsidP="00E6060C">
            <w:pPr>
              <w:rPr>
                <w:rFonts w:ascii="Calibri" w:eastAsia="Calibri" w:hAnsi="Calibri" w:cs="Times New Roman"/>
                <w:sz w:val="20"/>
                <w:szCs w:val="20"/>
              </w:rPr>
            </w:pPr>
          </w:p>
        </w:tc>
        <w:tc>
          <w:tcPr>
            <w:tcW w:w="1134" w:type="dxa"/>
          </w:tcPr>
          <w:p w14:paraId="474716F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RDEM6</w:t>
            </w:r>
          </w:p>
        </w:tc>
        <w:tc>
          <w:tcPr>
            <w:tcW w:w="1701" w:type="dxa"/>
          </w:tcPr>
          <w:p w14:paraId="0D49F3F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.693</w:t>
            </w:r>
          </w:p>
        </w:tc>
        <w:tc>
          <w:tcPr>
            <w:tcW w:w="1876" w:type="dxa"/>
            <w:vMerge/>
          </w:tcPr>
          <w:p w14:paraId="69209DC5" w14:textId="77777777" w:rsidR="00E6060C" w:rsidRPr="007803A3" w:rsidRDefault="00E6060C" w:rsidP="00E6060C">
            <w:pPr>
              <w:jc w:val="center"/>
              <w:rPr>
                <w:rFonts w:ascii="Calibri" w:eastAsia="Calibri" w:hAnsi="Calibri" w:cs="Times New Roman"/>
                <w:sz w:val="20"/>
                <w:szCs w:val="20"/>
              </w:rPr>
            </w:pPr>
          </w:p>
        </w:tc>
        <w:tc>
          <w:tcPr>
            <w:tcW w:w="1919" w:type="dxa"/>
            <w:vMerge/>
          </w:tcPr>
          <w:p w14:paraId="23518F5F" w14:textId="77777777" w:rsidR="00E6060C" w:rsidRPr="007803A3" w:rsidRDefault="00E6060C" w:rsidP="00E6060C">
            <w:pPr>
              <w:jc w:val="center"/>
              <w:rPr>
                <w:rFonts w:ascii="Calibri" w:eastAsia="Calibri" w:hAnsi="Calibri" w:cs="Times New Roman"/>
                <w:sz w:val="20"/>
                <w:szCs w:val="20"/>
              </w:rPr>
            </w:pPr>
          </w:p>
        </w:tc>
        <w:tc>
          <w:tcPr>
            <w:tcW w:w="1318" w:type="dxa"/>
            <w:vMerge/>
          </w:tcPr>
          <w:p w14:paraId="0AF5EC35" w14:textId="77777777" w:rsidR="00E6060C" w:rsidRPr="007803A3" w:rsidRDefault="00E6060C" w:rsidP="00E6060C">
            <w:pPr>
              <w:jc w:val="center"/>
              <w:rPr>
                <w:rFonts w:ascii="Calibri" w:eastAsia="Calibri" w:hAnsi="Calibri" w:cs="Times New Roman"/>
                <w:sz w:val="20"/>
                <w:szCs w:val="20"/>
              </w:rPr>
            </w:pPr>
          </w:p>
        </w:tc>
        <w:tc>
          <w:tcPr>
            <w:tcW w:w="1322" w:type="dxa"/>
            <w:vMerge/>
          </w:tcPr>
          <w:p w14:paraId="177365AD" w14:textId="77777777" w:rsidR="00E6060C" w:rsidRPr="007803A3" w:rsidRDefault="00E6060C" w:rsidP="00E6060C">
            <w:pPr>
              <w:jc w:val="center"/>
              <w:rPr>
                <w:rFonts w:ascii="Calibri" w:eastAsia="Calibri" w:hAnsi="Calibri" w:cs="Times New Roman"/>
                <w:sz w:val="20"/>
                <w:szCs w:val="20"/>
              </w:rPr>
            </w:pPr>
          </w:p>
        </w:tc>
        <w:tc>
          <w:tcPr>
            <w:tcW w:w="1353" w:type="dxa"/>
            <w:vMerge/>
          </w:tcPr>
          <w:p w14:paraId="41106F12" w14:textId="77777777" w:rsidR="00E6060C" w:rsidRPr="007803A3" w:rsidRDefault="00E6060C" w:rsidP="00E6060C">
            <w:pPr>
              <w:jc w:val="center"/>
              <w:rPr>
                <w:rFonts w:ascii="Calibri" w:eastAsia="Calibri" w:hAnsi="Calibri" w:cs="Times New Roman"/>
                <w:sz w:val="20"/>
                <w:szCs w:val="20"/>
              </w:rPr>
            </w:pPr>
          </w:p>
        </w:tc>
        <w:tc>
          <w:tcPr>
            <w:tcW w:w="1375" w:type="dxa"/>
            <w:vMerge/>
          </w:tcPr>
          <w:p w14:paraId="2E81DB7C" w14:textId="77777777" w:rsidR="00E6060C" w:rsidRPr="007803A3" w:rsidRDefault="00E6060C" w:rsidP="00E6060C">
            <w:pPr>
              <w:rPr>
                <w:rFonts w:ascii="Calibri" w:eastAsia="Calibri" w:hAnsi="Calibri" w:cs="Times New Roman"/>
                <w:sz w:val="20"/>
                <w:szCs w:val="20"/>
              </w:rPr>
            </w:pPr>
          </w:p>
        </w:tc>
      </w:tr>
      <w:tr w:rsidR="00E6060C" w:rsidRPr="007803A3" w14:paraId="5F66C21C" w14:textId="77777777" w:rsidTr="00E6060C">
        <w:tc>
          <w:tcPr>
            <w:tcW w:w="562" w:type="dxa"/>
          </w:tcPr>
          <w:p w14:paraId="63C90AB8" w14:textId="77777777" w:rsidR="00E6060C" w:rsidRPr="007803A3" w:rsidRDefault="00E6060C" w:rsidP="00E6060C">
            <w:pPr>
              <w:rPr>
                <w:rFonts w:ascii="Calibri" w:eastAsia="Calibri" w:hAnsi="Calibri" w:cs="Times New Roman"/>
                <w:sz w:val="20"/>
                <w:szCs w:val="20"/>
              </w:rPr>
            </w:pPr>
          </w:p>
        </w:tc>
        <w:tc>
          <w:tcPr>
            <w:tcW w:w="2410" w:type="dxa"/>
          </w:tcPr>
          <w:p w14:paraId="32AD15F4" w14:textId="77777777" w:rsidR="00E6060C" w:rsidRPr="007803A3" w:rsidRDefault="00E6060C" w:rsidP="00E6060C">
            <w:pPr>
              <w:rPr>
                <w:rFonts w:ascii="Calibri" w:eastAsia="Calibri" w:hAnsi="Calibri" w:cs="Times New Roman"/>
                <w:sz w:val="20"/>
                <w:szCs w:val="20"/>
              </w:rPr>
            </w:pPr>
          </w:p>
        </w:tc>
        <w:tc>
          <w:tcPr>
            <w:tcW w:w="1134" w:type="dxa"/>
          </w:tcPr>
          <w:p w14:paraId="352FF4B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RDEM7</w:t>
            </w:r>
          </w:p>
        </w:tc>
        <w:tc>
          <w:tcPr>
            <w:tcW w:w="1701" w:type="dxa"/>
          </w:tcPr>
          <w:p w14:paraId="0BCB66AD"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.594</w:t>
            </w:r>
          </w:p>
        </w:tc>
        <w:tc>
          <w:tcPr>
            <w:tcW w:w="1876" w:type="dxa"/>
            <w:vMerge/>
          </w:tcPr>
          <w:p w14:paraId="152EA0B0" w14:textId="77777777" w:rsidR="00E6060C" w:rsidRPr="007803A3" w:rsidRDefault="00E6060C" w:rsidP="00E6060C">
            <w:pPr>
              <w:jc w:val="center"/>
              <w:rPr>
                <w:rFonts w:ascii="Calibri" w:eastAsia="Calibri" w:hAnsi="Calibri" w:cs="Times New Roman"/>
                <w:sz w:val="20"/>
                <w:szCs w:val="20"/>
              </w:rPr>
            </w:pPr>
          </w:p>
        </w:tc>
        <w:tc>
          <w:tcPr>
            <w:tcW w:w="1919" w:type="dxa"/>
            <w:vMerge/>
          </w:tcPr>
          <w:p w14:paraId="38D74F5D" w14:textId="77777777" w:rsidR="00E6060C" w:rsidRPr="007803A3" w:rsidRDefault="00E6060C" w:rsidP="00E6060C">
            <w:pPr>
              <w:jc w:val="center"/>
              <w:rPr>
                <w:rFonts w:ascii="Calibri" w:eastAsia="Calibri" w:hAnsi="Calibri" w:cs="Times New Roman"/>
                <w:sz w:val="20"/>
                <w:szCs w:val="20"/>
              </w:rPr>
            </w:pPr>
          </w:p>
        </w:tc>
        <w:tc>
          <w:tcPr>
            <w:tcW w:w="1318" w:type="dxa"/>
            <w:vMerge/>
          </w:tcPr>
          <w:p w14:paraId="370C6AF1" w14:textId="77777777" w:rsidR="00E6060C" w:rsidRPr="007803A3" w:rsidRDefault="00E6060C" w:rsidP="00E6060C">
            <w:pPr>
              <w:jc w:val="center"/>
              <w:rPr>
                <w:rFonts w:ascii="Calibri" w:eastAsia="Calibri" w:hAnsi="Calibri" w:cs="Times New Roman"/>
                <w:sz w:val="20"/>
                <w:szCs w:val="20"/>
              </w:rPr>
            </w:pPr>
          </w:p>
        </w:tc>
        <w:tc>
          <w:tcPr>
            <w:tcW w:w="1322" w:type="dxa"/>
            <w:vMerge/>
          </w:tcPr>
          <w:p w14:paraId="726F7651" w14:textId="77777777" w:rsidR="00E6060C" w:rsidRPr="007803A3" w:rsidRDefault="00E6060C" w:rsidP="00E6060C">
            <w:pPr>
              <w:jc w:val="center"/>
              <w:rPr>
                <w:rFonts w:ascii="Calibri" w:eastAsia="Calibri" w:hAnsi="Calibri" w:cs="Times New Roman"/>
                <w:sz w:val="20"/>
                <w:szCs w:val="20"/>
              </w:rPr>
            </w:pPr>
          </w:p>
        </w:tc>
        <w:tc>
          <w:tcPr>
            <w:tcW w:w="1353" w:type="dxa"/>
            <w:vMerge/>
          </w:tcPr>
          <w:p w14:paraId="391AE84E" w14:textId="77777777" w:rsidR="00E6060C" w:rsidRPr="007803A3" w:rsidRDefault="00E6060C" w:rsidP="00E6060C">
            <w:pPr>
              <w:jc w:val="center"/>
              <w:rPr>
                <w:rFonts w:ascii="Calibri" w:eastAsia="Calibri" w:hAnsi="Calibri" w:cs="Times New Roman"/>
                <w:sz w:val="20"/>
                <w:szCs w:val="20"/>
              </w:rPr>
            </w:pPr>
          </w:p>
        </w:tc>
        <w:tc>
          <w:tcPr>
            <w:tcW w:w="1375" w:type="dxa"/>
            <w:vMerge/>
            <w:tcBorders>
              <w:bottom w:val="single" w:sz="4" w:space="0" w:color="auto"/>
            </w:tcBorders>
          </w:tcPr>
          <w:p w14:paraId="584EBAF2" w14:textId="77777777" w:rsidR="00E6060C" w:rsidRPr="007803A3" w:rsidRDefault="00E6060C" w:rsidP="00E6060C">
            <w:pPr>
              <w:rPr>
                <w:rFonts w:ascii="Calibri" w:eastAsia="Calibri" w:hAnsi="Calibri" w:cs="Times New Roman"/>
                <w:sz w:val="20"/>
                <w:szCs w:val="20"/>
              </w:rPr>
            </w:pPr>
          </w:p>
        </w:tc>
      </w:tr>
      <w:tr w:rsidR="00E6060C" w:rsidRPr="007803A3" w14:paraId="1A50D0D6" w14:textId="77777777" w:rsidTr="00E6060C">
        <w:tc>
          <w:tcPr>
            <w:tcW w:w="562" w:type="dxa"/>
          </w:tcPr>
          <w:p w14:paraId="0431911B" w14:textId="77777777" w:rsidR="00E6060C" w:rsidRPr="007803A3" w:rsidRDefault="00E6060C" w:rsidP="00E6060C">
            <w:pPr>
              <w:rPr>
                <w:rFonts w:ascii="Calibri" w:eastAsia="Calibri" w:hAnsi="Calibri" w:cs="Times New Roman"/>
                <w:sz w:val="20"/>
                <w:szCs w:val="20"/>
              </w:rPr>
            </w:pPr>
          </w:p>
        </w:tc>
        <w:tc>
          <w:tcPr>
            <w:tcW w:w="2410" w:type="dxa"/>
          </w:tcPr>
          <w:p w14:paraId="7C985F9E" w14:textId="77777777" w:rsidR="00E6060C" w:rsidRPr="007803A3" w:rsidRDefault="00E6060C" w:rsidP="00E6060C">
            <w:pPr>
              <w:rPr>
                <w:rFonts w:ascii="Calibri" w:eastAsia="Calibri" w:hAnsi="Calibri" w:cs="Times New Roman"/>
                <w:sz w:val="20"/>
                <w:szCs w:val="20"/>
              </w:rPr>
            </w:pPr>
            <w:r w:rsidRPr="007803A3">
              <w:rPr>
                <w:rFonts w:ascii="Calibri" w:eastAsia="Calibri" w:hAnsi="Calibri" w:cs="Times New Roman"/>
                <w:sz w:val="20"/>
                <w:szCs w:val="20"/>
              </w:rPr>
              <w:t>Demands (DEM)</w:t>
            </w:r>
          </w:p>
        </w:tc>
        <w:tc>
          <w:tcPr>
            <w:tcW w:w="1134" w:type="dxa"/>
          </w:tcPr>
          <w:p w14:paraId="7C99340B"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RDEM1</w:t>
            </w:r>
          </w:p>
        </w:tc>
        <w:tc>
          <w:tcPr>
            <w:tcW w:w="1701" w:type="dxa"/>
          </w:tcPr>
          <w:p w14:paraId="1C6E8FBF"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.686</w:t>
            </w:r>
          </w:p>
        </w:tc>
        <w:tc>
          <w:tcPr>
            <w:tcW w:w="1876" w:type="dxa"/>
            <w:vMerge w:val="restart"/>
          </w:tcPr>
          <w:p w14:paraId="588D4EB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.363</w:t>
            </w:r>
          </w:p>
        </w:tc>
        <w:tc>
          <w:tcPr>
            <w:tcW w:w="1919" w:type="dxa"/>
            <w:vMerge w:val="restart"/>
          </w:tcPr>
          <w:p w14:paraId="401131B2"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DEM-RES</w:t>
            </w:r>
          </w:p>
        </w:tc>
        <w:tc>
          <w:tcPr>
            <w:tcW w:w="1318" w:type="dxa"/>
            <w:vMerge w:val="restart"/>
          </w:tcPr>
          <w:p w14:paraId="6EAC5F7D"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.481</w:t>
            </w:r>
          </w:p>
        </w:tc>
        <w:tc>
          <w:tcPr>
            <w:tcW w:w="1322" w:type="dxa"/>
            <w:vMerge w:val="restart"/>
          </w:tcPr>
          <w:p w14:paraId="65D838D7"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.423</w:t>
            </w:r>
          </w:p>
        </w:tc>
        <w:tc>
          <w:tcPr>
            <w:tcW w:w="1353" w:type="dxa"/>
            <w:vMerge w:val="restart"/>
          </w:tcPr>
          <w:p w14:paraId="330988D1"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No</w:t>
            </w:r>
          </w:p>
        </w:tc>
        <w:tc>
          <w:tcPr>
            <w:tcW w:w="1375" w:type="dxa"/>
            <w:vMerge/>
            <w:tcBorders>
              <w:top w:val="single" w:sz="4" w:space="0" w:color="auto"/>
            </w:tcBorders>
          </w:tcPr>
          <w:p w14:paraId="0FD2854F" w14:textId="77777777" w:rsidR="00E6060C" w:rsidRPr="007803A3" w:rsidRDefault="00E6060C" w:rsidP="00E6060C">
            <w:pPr>
              <w:rPr>
                <w:rFonts w:ascii="Calibri" w:eastAsia="Calibri" w:hAnsi="Calibri" w:cs="Times New Roman"/>
                <w:sz w:val="20"/>
                <w:szCs w:val="20"/>
              </w:rPr>
            </w:pPr>
          </w:p>
        </w:tc>
      </w:tr>
      <w:tr w:rsidR="00E6060C" w:rsidRPr="007803A3" w14:paraId="7EAA7239" w14:textId="77777777" w:rsidTr="00E6060C">
        <w:tc>
          <w:tcPr>
            <w:tcW w:w="562" w:type="dxa"/>
          </w:tcPr>
          <w:p w14:paraId="296870DE" w14:textId="77777777" w:rsidR="00E6060C" w:rsidRPr="007803A3" w:rsidRDefault="00E6060C" w:rsidP="00E6060C">
            <w:pPr>
              <w:rPr>
                <w:rFonts w:ascii="Calibri" w:eastAsia="Calibri" w:hAnsi="Calibri" w:cs="Times New Roman"/>
                <w:sz w:val="20"/>
                <w:szCs w:val="20"/>
              </w:rPr>
            </w:pPr>
          </w:p>
        </w:tc>
        <w:tc>
          <w:tcPr>
            <w:tcW w:w="2410" w:type="dxa"/>
          </w:tcPr>
          <w:p w14:paraId="26BEC74C" w14:textId="77777777" w:rsidR="00E6060C" w:rsidRPr="007803A3" w:rsidRDefault="00E6060C" w:rsidP="00E6060C">
            <w:pPr>
              <w:rPr>
                <w:rFonts w:ascii="Calibri" w:eastAsia="Calibri" w:hAnsi="Calibri" w:cs="Times New Roman"/>
                <w:sz w:val="20"/>
                <w:szCs w:val="20"/>
              </w:rPr>
            </w:pPr>
          </w:p>
        </w:tc>
        <w:tc>
          <w:tcPr>
            <w:tcW w:w="1134" w:type="dxa"/>
          </w:tcPr>
          <w:p w14:paraId="7FF06F7E"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RDEM2</w:t>
            </w:r>
          </w:p>
        </w:tc>
        <w:tc>
          <w:tcPr>
            <w:tcW w:w="1701" w:type="dxa"/>
          </w:tcPr>
          <w:p w14:paraId="45F2408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.752</w:t>
            </w:r>
          </w:p>
        </w:tc>
        <w:tc>
          <w:tcPr>
            <w:tcW w:w="1876" w:type="dxa"/>
            <w:vMerge/>
          </w:tcPr>
          <w:p w14:paraId="79A1D8A6" w14:textId="77777777" w:rsidR="00E6060C" w:rsidRPr="007803A3" w:rsidRDefault="00E6060C" w:rsidP="00E6060C">
            <w:pPr>
              <w:rPr>
                <w:rFonts w:ascii="Calibri" w:eastAsia="Calibri" w:hAnsi="Calibri" w:cs="Times New Roman"/>
                <w:sz w:val="20"/>
                <w:szCs w:val="20"/>
              </w:rPr>
            </w:pPr>
          </w:p>
        </w:tc>
        <w:tc>
          <w:tcPr>
            <w:tcW w:w="1919" w:type="dxa"/>
            <w:vMerge/>
          </w:tcPr>
          <w:p w14:paraId="51014A32" w14:textId="77777777" w:rsidR="00E6060C" w:rsidRPr="007803A3" w:rsidRDefault="00E6060C" w:rsidP="00E6060C">
            <w:pPr>
              <w:rPr>
                <w:rFonts w:ascii="Calibri" w:eastAsia="Calibri" w:hAnsi="Calibri" w:cs="Times New Roman"/>
                <w:sz w:val="20"/>
                <w:szCs w:val="20"/>
              </w:rPr>
            </w:pPr>
          </w:p>
        </w:tc>
        <w:tc>
          <w:tcPr>
            <w:tcW w:w="1318" w:type="dxa"/>
            <w:vMerge/>
          </w:tcPr>
          <w:p w14:paraId="39883D9A" w14:textId="77777777" w:rsidR="00E6060C" w:rsidRPr="007803A3" w:rsidRDefault="00E6060C" w:rsidP="00E6060C">
            <w:pPr>
              <w:rPr>
                <w:rFonts w:ascii="Calibri" w:eastAsia="Calibri" w:hAnsi="Calibri" w:cs="Times New Roman"/>
                <w:sz w:val="20"/>
                <w:szCs w:val="20"/>
              </w:rPr>
            </w:pPr>
          </w:p>
        </w:tc>
        <w:tc>
          <w:tcPr>
            <w:tcW w:w="1322" w:type="dxa"/>
            <w:vMerge/>
          </w:tcPr>
          <w:p w14:paraId="3AB003D4" w14:textId="77777777" w:rsidR="00E6060C" w:rsidRPr="007803A3" w:rsidRDefault="00E6060C" w:rsidP="00E6060C">
            <w:pPr>
              <w:rPr>
                <w:rFonts w:ascii="Calibri" w:eastAsia="Calibri" w:hAnsi="Calibri" w:cs="Times New Roman"/>
                <w:sz w:val="20"/>
                <w:szCs w:val="20"/>
              </w:rPr>
            </w:pPr>
          </w:p>
        </w:tc>
        <w:tc>
          <w:tcPr>
            <w:tcW w:w="1353" w:type="dxa"/>
            <w:vMerge/>
          </w:tcPr>
          <w:p w14:paraId="0D8FAF6A" w14:textId="77777777" w:rsidR="00E6060C" w:rsidRPr="007803A3" w:rsidRDefault="00E6060C" w:rsidP="00E6060C">
            <w:pPr>
              <w:rPr>
                <w:rFonts w:ascii="Calibri" w:eastAsia="Calibri" w:hAnsi="Calibri" w:cs="Times New Roman"/>
                <w:sz w:val="20"/>
                <w:szCs w:val="20"/>
              </w:rPr>
            </w:pPr>
          </w:p>
        </w:tc>
        <w:tc>
          <w:tcPr>
            <w:tcW w:w="1375" w:type="dxa"/>
            <w:vMerge/>
          </w:tcPr>
          <w:p w14:paraId="5C492F5A" w14:textId="77777777" w:rsidR="00E6060C" w:rsidRPr="007803A3" w:rsidRDefault="00E6060C" w:rsidP="00E6060C">
            <w:pPr>
              <w:rPr>
                <w:rFonts w:ascii="Calibri" w:eastAsia="Calibri" w:hAnsi="Calibri" w:cs="Times New Roman"/>
                <w:sz w:val="20"/>
                <w:szCs w:val="20"/>
              </w:rPr>
            </w:pPr>
          </w:p>
        </w:tc>
      </w:tr>
      <w:tr w:rsidR="00E6060C" w:rsidRPr="007803A3" w14:paraId="042A7372" w14:textId="77777777" w:rsidTr="00E6060C">
        <w:tc>
          <w:tcPr>
            <w:tcW w:w="562" w:type="dxa"/>
          </w:tcPr>
          <w:p w14:paraId="6BECEF70" w14:textId="77777777" w:rsidR="00E6060C" w:rsidRPr="007803A3" w:rsidRDefault="00E6060C" w:rsidP="00E6060C">
            <w:pPr>
              <w:rPr>
                <w:rFonts w:ascii="Calibri" w:eastAsia="Calibri" w:hAnsi="Calibri" w:cs="Times New Roman"/>
                <w:sz w:val="20"/>
                <w:szCs w:val="20"/>
              </w:rPr>
            </w:pPr>
          </w:p>
        </w:tc>
        <w:tc>
          <w:tcPr>
            <w:tcW w:w="2410" w:type="dxa"/>
          </w:tcPr>
          <w:p w14:paraId="7BAA89E7" w14:textId="77777777" w:rsidR="00E6060C" w:rsidRPr="007803A3" w:rsidRDefault="00E6060C" w:rsidP="00E6060C">
            <w:pPr>
              <w:rPr>
                <w:rFonts w:ascii="Calibri" w:eastAsia="Calibri" w:hAnsi="Calibri" w:cs="Times New Roman"/>
                <w:sz w:val="20"/>
                <w:szCs w:val="20"/>
              </w:rPr>
            </w:pPr>
          </w:p>
        </w:tc>
        <w:tc>
          <w:tcPr>
            <w:tcW w:w="1134" w:type="dxa"/>
          </w:tcPr>
          <w:p w14:paraId="58796A9D"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RDEM3</w:t>
            </w:r>
          </w:p>
        </w:tc>
        <w:tc>
          <w:tcPr>
            <w:tcW w:w="1701" w:type="dxa"/>
          </w:tcPr>
          <w:p w14:paraId="44FBE113"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.841</w:t>
            </w:r>
          </w:p>
        </w:tc>
        <w:tc>
          <w:tcPr>
            <w:tcW w:w="1876" w:type="dxa"/>
            <w:vMerge/>
          </w:tcPr>
          <w:p w14:paraId="0DF68027" w14:textId="77777777" w:rsidR="00E6060C" w:rsidRPr="007803A3" w:rsidRDefault="00E6060C" w:rsidP="00E6060C">
            <w:pPr>
              <w:rPr>
                <w:rFonts w:ascii="Calibri" w:eastAsia="Calibri" w:hAnsi="Calibri" w:cs="Times New Roman"/>
                <w:sz w:val="20"/>
                <w:szCs w:val="20"/>
              </w:rPr>
            </w:pPr>
          </w:p>
        </w:tc>
        <w:tc>
          <w:tcPr>
            <w:tcW w:w="1919" w:type="dxa"/>
            <w:vMerge/>
          </w:tcPr>
          <w:p w14:paraId="449F215F" w14:textId="77777777" w:rsidR="00E6060C" w:rsidRPr="007803A3" w:rsidRDefault="00E6060C" w:rsidP="00E6060C">
            <w:pPr>
              <w:rPr>
                <w:rFonts w:ascii="Calibri" w:eastAsia="Calibri" w:hAnsi="Calibri" w:cs="Times New Roman"/>
                <w:sz w:val="20"/>
                <w:szCs w:val="20"/>
              </w:rPr>
            </w:pPr>
          </w:p>
        </w:tc>
        <w:tc>
          <w:tcPr>
            <w:tcW w:w="1318" w:type="dxa"/>
            <w:vMerge/>
          </w:tcPr>
          <w:p w14:paraId="27D0251C" w14:textId="77777777" w:rsidR="00E6060C" w:rsidRPr="007803A3" w:rsidRDefault="00E6060C" w:rsidP="00E6060C">
            <w:pPr>
              <w:rPr>
                <w:rFonts w:ascii="Calibri" w:eastAsia="Calibri" w:hAnsi="Calibri" w:cs="Times New Roman"/>
                <w:sz w:val="20"/>
                <w:szCs w:val="20"/>
              </w:rPr>
            </w:pPr>
          </w:p>
        </w:tc>
        <w:tc>
          <w:tcPr>
            <w:tcW w:w="1322" w:type="dxa"/>
            <w:vMerge/>
          </w:tcPr>
          <w:p w14:paraId="772C76B7" w14:textId="77777777" w:rsidR="00E6060C" w:rsidRPr="007803A3" w:rsidRDefault="00E6060C" w:rsidP="00E6060C">
            <w:pPr>
              <w:rPr>
                <w:rFonts w:ascii="Calibri" w:eastAsia="Calibri" w:hAnsi="Calibri" w:cs="Times New Roman"/>
                <w:sz w:val="20"/>
                <w:szCs w:val="20"/>
              </w:rPr>
            </w:pPr>
          </w:p>
        </w:tc>
        <w:tc>
          <w:tcPr>
            <w:tcW w:w="1353" w:type="dxa"/>
            <w:vMerge/>
          </w:tcPr>
          <w:p w14:paraId="7FD3389F" w14:textId="77777777" w:rsidR="00E6060C" w:rsidRPr="007803A3" w:rsidRDefault="00E6060C" w:rsidP="00E6060C">
            <w:pPr>
              <w:rPr>
                <w:rFonts w:ascii="Calibri" w:eastAsia="Calibri" w:hAnsi="Calibri" w:cs="Times New Roman"/>
                <w:sz w:val="20"/>
                <w:szCs w:val="20"/>
              </w:rPr>
            </w:pPr>
          </w:p>
        </w:tc>
        <w:tc>
          <w:tcPr>
            <w:tcW w:w="1375" w:type="dxa"/>
            <w:vMerge/>
          </w:tcPr>
          <w:p w14:paraId="65302C90" w14:textId="77777777" w:rsidR="00E6060C" w:rsidRPr="007803A3" w:rsidRDefault="00E6060C" w:rsidP="00E6060C">
            <w:pPr>
              <w:rPr>
                <w:rFonts w:ascii="Calibri" w:eastAsia="Calibri" w:hAnsi="Calibri" w:cs="Times New Roman"/>
                <w:sz w:val="20"/>
                <w:szCs w:val="20"/>
              </w:rPr>
            </w:pPr>
          </w:p>
        </w:tc>
      </w:tr>
      <w:tr w:rsidR="00E6060C" w:rsidRPr="007803A3" w14:paraId="6F766BCB" w14:textId="77777777" w:rsidTr="00E6060C">
        <w:tc>
          <w:tcPr>
            <w:tcW w:w="562" w:type="dxa"/>
            <w:tcBorders>
              <w:bottom w:val="single" w:sz="4" w:space="0" w:color="auto"/>
            </w:tcBorders>
          </w:tcPr>
          <w:p w14:paraId="6B9B9BCD" w14:textId="77777777" w:rsidR="00E6060C" w:rsidRPr="007803A3" w:rsidRDefault="00E6060C" w:rsidP="00E6060C">
            <w:pPr>
              <w:rPr>
                <w:rFonts w:ascii="Calibri" w:eastAsia="Calibri" w:hAnsi="Calibri" w:cs="Times New Roman"/>
                <w:sz w:val="20"/>
                <w:szCs w:val="20"/>
              </w:rPr>
            </w:pPr>
          </w:p>
        </w:tc>
        <w:tc>
          <w:tcPr>
            <w:tcW w:w="2410" w:type="dxa"/>
            <w:tcBorders>
              <w:bottom w:val="single" w:sz="4" w:space="0" w:color="auto"/>
            </w:tcBorders>
          </w:tcPr>
          <w:p w14:paraId="4BB4FAF0" w14:textId="77777777" w:rsidR="00E6060C" w:rsidRPr="007803A3" w:rsidRDefault="00E6060C" w:rsidP="00E6060C">
            <w:pPr>
              <w:rPr>
                <w:rFonts w:ascii="Calibri" w:eastAsia="Calibri" w:hAnsi="Calibri" w:cs="Times New Roman"/>
                <w:sz w:val="20"/>
                <w:szCs w:val="20"/>
              </w:rPr>
            </w:pPr>
          </w:p>
        </w:tc>
        <w:tc>
          <w:tcPr>
            <w:tcW w:w="1134" w:type="dxa"/>
            <w:tcBorders>
              <w:bottom w:val="single" w:sz="4" w:space="0" w:color="auto"/>
            </w:tcBorders>
          </w:tcPr>
          <w:p w14:paraId="790B9F94"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RDEM4</w:t>
            </w:r>
          </w:p>
        </w:tc>
        <w:tc>
          <w:tcPr>
            <w:tcW w:w="1701" w:type="dxa"/>
            <w:tcBorders>
              <w:bottom w:val="single" w:sz="4" w:space="0" w:color="auto"/>
            </w:tcBorders>
          </w:tcPr>
          <w:p w14:paraId="4DF5DB2A" w14:textId="77777777" w:rsidR="00E6060C" w:rsidRPr="007803A3" w:rsidRDefault="00E6060C" w:rsidP="00E6060C">
            <w:pPr>
              <w:jc w:val="center"/>
              <w:rPr>
                <w:rFonts w:ascii="Calibri" w:eastAsia="Calibri" w:hAnsi="Calibri" w:cs="Times New Roman"/>
                <w:sz w:val="20"/>
                <w:szCs w:val="20"/>
              </w:rPr>
            </w:pPr>
            <w:r w:rsidRPr="007803A3">
              <w:rPr>
                <w:rFonts w:ascii="Calibri" w:eastAsia="Calibri" w:hAnsi="Calibri" w:cs="Times New Roman"/>
                <w:sz w:val="20"/>
                <w:szCs w:val="20"/>
              </w:rPr>
              <w:t>.714</w:t>
            </w:r>
          </w:p>
        </w:tc>
        <w:tc>
          <w:tcPr>
            <w:tcW w:w="1876" w:type="dxa"/>
            <w:vMerge/>
            <w:tcBorders>
              <w:bottom w:val="single" w:sz="4" w:space="0" w:color="auto"/>
            </w:tcBorders>
          </w:tcPr>
          <w:p w14:paraId="6BE5B166" w14:textId="77777777" w:rsidR="00E6060C" w:rsidRPr="007803A3" w:rsidRDefault="00E6060C" w:rsidP="00E6060C">
            <w:pPr>
              <w:rPr>
                <w:rFonts w:ascii="Calibri" w:eastAsia="Calibri" w:hAnsi="Calibri" w:cs="Times New Roman"/>
                <w:sz w:val="20"/>
                <w:szCs w:val="20"/>
              </w:rPr>
            </w:pPr>
          </w:p>
        </w:tc>
        <w:tc>
          <w:tcPr>
            <w:tcW w:w="1919" w:type="dxa"/>
            <w:vMerge/>
            <w:tcBorders>
              <w:bottom w:val="single" w:sz="4" w:space="0" w:color="auto"/>
            </w:tcBorders>
          </w:tcPr>
          <w:p w14:paraId="65D37968" w14:textId="77777777" w:rsidR="00E6060C" w:rsidRPr="007803A3" w:rsidRDefault="00E6060C" w:rsidP="00E6060C">
            <w:pPr>
              <w:rPr>
                <w:rFonts w:ascii="Calibri" w:eastAsia="Calibri" w:hAnsi="Calibri" w:cs="Times New Roman"/>
                <w:sz w:val="20"/>
                <w:szCs w:val="20"/>
              </w:rPr>
            </w:pPr>
          </w:p>
        </w:tc>
        <w:tc>
          <w:tcPr>
            <w:tcW w:w="1318" w:type="dxa"/>
            <w:vMerge/>
            <w:tcBorders>
              <w:bottom w:val="single" w:sz="4" w:space="0" w:color="auto"/>
            </w:tcBorders>
          </w:tcPr>
          <w:p w14:paraId="7CE58596" w14:textId="77777777" w:rsidR="00E6060C" w:rsidRPr="007803A3" w:rsidRDefault="00E6060C" w:rsidP="00E6060C">
            <w:pPr>
              <w:rPr>
                <w:rFonts w:ascii="Calibri" w:eastAsia="Calibri" w:hAnsi="Calibri" w:cs="Times New Roman"/>
                <w:sz w:val="20"/>
                <w:szCs w:val="20"/>
              </w:rPr>
            </w:pPr>
          </w:p>
        </w:tc>
        <w:tc>
          <w:tcPr>
            <w:tcW w:w="1322" w:type="dxa"/>
            <w:vMerge/>
            <w:tcBorders>
              <w:bottom w:val="single" w:sz="4" w:space="0" w:color="auto"/>
            </w:tcBorders>
          </w:tcPr>
          <w:p w14:paraId="0C42C089" w14:textId="77777777" w:rsidR="00E6060C" w:rsidRPr="007803A3" w:rsidRDefault="00E6060C" w:rsidP="00E6060C">
            <w:pPr>
              <w:rPr>
                <w:rFonts w:ascii="Calibri" w:eastAsia="Calibri" w:hAnsi="Calibri" w:cs="Times New Roman"/>
                <w:sz w:val="20"/>
                <w:szCs w:val="20"/>
              </w:rPr>
            </w:pPr>
          </w:p>
        </w:tc>
        <w:tc>
          <w:tcPr>
            <w:tcW w:w="1353" w:type="dxa"/>
            <w:vMerge/>
            <w:tcBorders>
              <w:bottom w:val="single" w:sz="4" w:space="0" w:color="auto"/>
            </w:tcBorders>
          </w:tcPr>
          <w:p w14:paraId="77E0F0C1" w14:textId="77777777" w:rsidR="00E6060C" w:rsidRPr="007803A3" w:rsidRDefault="00E6060C" w:rsidP="00E6060C">
            <w:pPr>
              <w:rPr>
                <w:rFonts w:ascii="Calibri" w:eastAsia="Calibri" w:hAnsi="Calibri" w:cs="Times New Roman"/>
                <w:sz w:val="20"/>
                <w:szCs w:val="20"/>
              </w:rPr>
            </w:pPr>
          </w:p>
        </w:tc>
        <w:tc>
          <w:tcPr>
            <w:tcW w:w="1375" w:type="dxa"/>
            <w:vMerge/>
            <w:tcBorders>
              <w:bottom w:val="single" w:sz="4" w:space="0" w:color="auto"/>
            </w:tcBorders>
          </w:tcPr>
          <w:p w14:paraId="0B8103AB" w14:textId="77777777" w:rsidR="00E6060C" w:rsidRPr="007803A3" w:rsidRDefault="00E6060C" w:rsidP="00E6060C">
            <w:pPr>
              <w:rPr>
                <w:rFonts w:ascii="Calibri" w:eastAsia="Calibri" w:hAnsi="Calibri" w:cs="Times New Roman"/>
                <w:sz w:val="20"/>
                <w:szCs w:val="20"/>
              </w:rPr>
            </w:pPr>
          </w:p>
        </w:tc>
      </w:tr>
    </w:tbl>
    <w:p w14:paraId="300ED268" w14:textId="547BE9CF" w:rsidR="00E6060C" w:rsidRPr="00E6060C" w:rsidRDefault="00E6060C" w:rsidP="007803A3">
      <w:pPr>
        <w:spacing w:after="200" w:line="240" w:lineRule="auto"/>
        <w:ind w:right="-501"/>
        <w:contextualSpacing/>
        <w:rPr>
          <w:rFonts w:ascii="Calibri" w:eastAsia="Calibri" w:hAnsi="Calibri" w:cs="Times New Roman"/>
          <w:color w:val="000000"/>
        </w:rPr>
        <w:sectPr w:rsidR="00E6060C" w:rsidRPr="00E6060C" w:rsidSect="007803A3">
          <w:pgSz w:w="16838" w:h="11906" w:orient="landscape"/>
          <w:pgMar w:top="1440" w:right="1440" w:bottom="1276" w:left="1440" w:header="709" w:footer="709" w:gutter="0"/>
          <w:cols w:space="708"/>
          <w:titlePg/>
          <w:docGrid w:linePitch="360"/>
        </w:sectPr>
      </w:pPr>
      <w:r w:rsidRPr="00E6060C">
        <w:rPr>
          <w:rFonts w:ascii="Calibri" w:eastAsia="Calibri" w:hAnsi="Calibri" w:cs="Times New Roman"/>
          <w:vertAlign w:val="superscript"/>
        </w:rPr>
        <w:t>1</w:t>
      </w:r>
      <w:r w:rsidRPr="00E6060C">
        <w:rPr>
          <w:rFonts w:ascii="Calibri" w:eastAsia="Calibri" w:hAnsi="Calibri" w:cs="Times New Roman"/>
        </w:rPr>
        <w:t xml:space="preserve">Average variance extracted is computed by adding up the standardised factor loadings for each of the relevant scale items and dividing by the number of items </w:t>
      </w:r>
      <w:r w:rsidRPr="00E6060C">
        <w:rPr>
          <w:rFonts w:ascii="Calibri" w:eastAsia="Calibri" w:hAnsi="Calibri" w:cs="Times New Roman"/>
          <w:vertAlign w:val="superscript"/>
        </w:rPr>
        <w:t>2</w:t>
      </w:r>
      <w:r w:rsidRPr="00E6060C">
        <w:rPr>
          <w:rFonts w:ascii="Calibri" w:eastAsia="Calibri" w:hAnsi="Calibri" w:cs="Times New Roman"/>
        </w:rPr>
        <w:t xml:space="preserve">The conclusions drawn here </w:t>
      </w:r>
      <w:r w:rsidR="007803A3">
        <w:rPr>
          <w:rFonts w:ascii="Calibri" w:eastAsia="Calibri" w:hAnsi="Calibri" w:cs="Times New Roman"/>
        </w:rPr>
        <w:t>are based on t</w:t>
      </w:r>
      <w:r w:rsidRPr="00E6060C">
        <w:rPr>
          <w:rFonts w:ascii="Calibri" w:eastAsia="Calibri" w:hAnsi="Calibri" w:cs="Times New Roman"/>
        </w:rPr>
        <w:t>he results presented here as well as the results of CFA</w:t>
      </w:r>
      <w:r w:rsidR="007803A3">
        <w:rPr>
          <w:rFonts w:ascii="Calibri" w:eastAsia="Calibri" w:hAnsi="Calibri" w:cs="Times New Roman"/>
        </w:rPr>
        <w:t xml:space="preserve">, </w:t>
      </w:r>
      <w:r w:rsidRPr="00E6060C">
        <w:rPr>
          <w:rFonts w:ascii="Calibri" w:eastAsia="Calibri" w:hAnsi="Calibri" w:cs="Times New Roman"/>
        </w:rPr>
        <w:t>reliability analyses and theoretical evidence (see section 7.1.5)</w:t>
      </w:r>
    </w:p>
    <w:p w14:paraId="59C01CF6" w14:textId="7CF0D835" w:rsidR="0035035C" w:rsidRDefault="0035035C" w:rsidP="005852AD">
      <w:pPr>
        <w:pStyle w:val="Figurestyle"/>
      </w:pPr>
      <w:bookmarkStart w:id="371" w:name="_Ref453583030"/>
      <w:bookmarkStart w:id="372" w:name="_Toc468286074"/>
      <w:r>
        <w:lastRenderedPageBreak/>
        <w:t xml:space="preserve">Table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5</w:t>
      </w:r>
      <w:r w:rsidR="00245D68">
        <w:rPr>
          <w:noProof/>
        </w:rPr>
        <w:fldChar w:fldCharType="end"/>
      </w:r>
      <w:bookmarkEnd w:id="371"/>
      <w:r>
        <w:t xml:space="preserve"> </w:t>
      </w:r>
      <w:r w:rsidRPr="0080014C">
        <w:t>A table displaying the results of reliability analyses and maximum likelihood confirmatory factor analyses (CFA) for each of the measures in the questionnaire, based on the unmatched sample (N=217)</w:t>
      </w:r>
      <w:bookmarkEnd w:id="372"/>
    </w:p>
    <w:tbl>
      <w:tblPr>
        <w:tblStyle w:val="TableGrid4"/>
        <w:tblW w:w="139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3167"/>
        <w:gridCol w:w="845"/>
        <w:gridCol w:w="1243"/>
        <w:gridCol w:w="759"/>
        <w:gridCol w:w="941"/>
        <w:gridCol w:w="589"/>
        <w:gridCol w:w="833"/>
        <w:gridCol w:w="1012"/>
        <w:gridCol w:w="691"/>
        <w:gridCol w:w="674"/>
        <w:gridCol w:w="967"/>
        <w:gridCol w:w="857"/>
      </w:tblGrid>
      <w:tr w:rsidR="00E6060C" w:rsidRPr="00E6060C" w14:paraId="07103C06" w14:textId="77777777" w:rsidTr="0035035C">
        <w:tc>
          <w:tcPr>
            <w:tcW w:w="1367" w:type="dxa"/>
            <w:vMerge w:val="restart"/>
            <w:tcBorders>
              <w:top w:val="single" w:sz="4" w:space="0" w:color="auto"/>
            </w:tcBorders>
          </w:tcPr>
          <w:p w14:paraId="031F2E4C"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Model description</w:t>
            </w:r>
            <w:r w:rsidRPr="00E6060C">
              <w:rPr>
                <w:rFonts w:ascii="Calibri" w:eastAsia="Calibri" w:hAnsi="Calibri" w:cs="Times New Roman"/>
                <w:b/>
                <w:vertAlign w:val="superscript"/>
              </w:rPr>
              <w:t>1</w:t>
            </w:r>
          </w:p>
        </w:tc>
        <w:tc>
          <w:tcPr>
            <w:tcW w:w="3167" w:type="dxa"/>
            <w:vMerge w:val="restart"/>
            <w:tcBorders>
              <w:top w:val="single" w:sz="4" w:space="0" w:color="auto"/>
            </w:tcBorders>
          </w:tcPr>
          <w:p w14:paraId="5E3FCF8E"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Variable(s)</w:t>
            </w:r>
          </w:p>
        </w:tc>
        <w:tc>
          <w:tcPr>
            <w:tcW w:w="2088" w:type="dxa"/>
            <w:gridSpan w:val="2"/>
            <w:tcBorders>
              <w:top w:val="single" w:sz="4" w:space="0" w:color="auto"/>
              <w:bottom w:val="single" w:sz="4" w:space="0" w:color="auto"/>
              <w:right w:val="single" w:sz="4" w:space="0" w:color="auto"/>
            </w:tcBorders>
          </w:tcPr>
          <w:p w14:paraId="510A7266"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Reliability results</w:t>
            </w:r>
          </w:p>
        </w:tc>
        <w:tc>
          <w:tcPr>
            <w:tcW w:w="7323" w:type="dxa"/>
            <w:gridSpan w:val="9"/>
            <w:tcBorders>
              <w:top w:val="single" w:sz="4" w:space="0" w:color="auto"/>
              <w:left w:val="single" w:sz="4" w:space="0" w:color="auto"/>
              <w:bottom w:val="single" w:sz="4" w:space="0" w:color="auto"/>
            </w:tcBorders>
          </w:tcPr>
          <w:p w14:paraId="18D38E8B" w14:textId="77777777" w:rsidR="00E6060C" w:rsidRPr="00E6060C" w:rsidRDefault="00E6060C" w:rsidP="00E6060C">
            <w:pPr>
              <w:jc w:val="center"/>
              <w:rPr>
                <w:rFonts w:ascii="Calibri" w:eastAsia="Calibri" w:hAnsi="Calibri" w:cs="Times New Roman"/>
                <w:b/>
                <w:vertAlign w:val="superscript"/>
              </w:rPr>
            </w:pPr>
            <w:r w:rsidRPr="00E6060C">
              <w:rPr>
                <w:rFonts w:ascii="Calibri" w:eastAsia="Calibri" w:hAnsi="Calibri" w:cs="Times New Roman"/>
                <w:b/>
              </w:rPr>
              <w:t>CFA results</w:t>
            </w:r>
            <w:r w:rsidRPr="00E6060C">
              <w:rPr>
                <w:rFonts w:ascii="Calibri" w:eastAsia="Calibri" w:hAnsi="Calibri" w:cs="Times New Roman"/>
                <w:b/>
                <w:vertAlign w:val="superscript"/>
              </w:rPr>
              <w:t>2</w:t>
            </w:r>
          </w:p>
        </w:tc>
      </w:tr>
      <w:tr w:rsidR="00E6060C" w:rsidRPr="00E6060C" w14:paraId="09B3A615" w14:textId="77777777" w:rsidTr="0035035C">
        <w:tc>
          <w:tcPr>
            <w:tcW w:w="1367" w:type="dxa"/>
            <w:vMerge/>
            <w:tcBorders>
              <w:bottom w:val="single" w:sz="4" w:space="0" w:color="auto"/>
            </w:tcBorders>
          </w:tcPr>
          <w:p w14:paraId="14DB5746" w14:textId="77777777" w:rsidR="00E6060C" w:rsidRPr="00E6060C" w:rsidRDefault="00E6060C" w:rsidP="00E6060C">
            <w:pPr>
              <w:rPr>
                <w:rFonts w:ascii="Calibri" w:eastAsia="Calibri" w:hAnsi="Calibri" w:cs="Times New Roman"/>
                <w:b/>
                <w:vertAlign w:val="superscript"/>
              </w:rPr>
            </w:pPr>
          </w:p>
        </w:tc>
        <w:tc>
          <w:tcPr>
            <w:tcW w:w="3167" w:type="dxa"/>
            <w:vMerge/>
            <w:tcBorders>
              <w:bottom w:val="single" w:sz="4" w:space="0" w:color="auto"/>
            </w:tcBorders>
          </w:tcPr>
          <w:p w14:paraId="3DAFC889" w14:textId="77777777" w:rsidR="00E6060C" w:rsidRPr="00E6060C" w:rsidRDefault="00E6060C" w:rsidP="00E6060C">
            <w:pPr>
              <w:rPr>
                <w:rFonts w:ascii="Calibri" w:eastAsia="Calibri" w:hAnsi="Calibri" w:cs="Times New Roman"/>
                <w:b/>
              </w:rPr>
            </w:pPr>
          </w:p>
        </w:tc>
        <w:tc>
          <w:tcPr>
            <w:tcW w:w="845" w:type="dxa"/>
            <w:tcBorders>
              <w:top w:val="single" w:sz="4" w:space="0" w:color="auto"/>
              <w:bottom w:val="single" w:sz="4" w:space="0" w:color="auto"/>
            </w:tcBorders>
          </w:tcPr>
          <w:p w14:paraId="1BACFAC6"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No. items</w:t>
            </w:r>
          </w:p>
        </w:tc>
        <w:tc>
          <w:tcPr>
            <w:tcW w:w="1243" w:type="dxa"/>
            <w:tcBorders>
              <w:top w:val="single" w:sz="4" w:space="0" w:color="auto"/>
              <w:bottom w:val="single" w:sz="4" w:space="0" w:color="auto"/>
              <w:right w:val="single" w:sz="4" w:space="0" w:color="auto"/>
            </w:tcBorders>
          </w:tcPr>
          <w:p w14:paraId="561D50F3"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Cronbach’s α</w:t>
            </w:r>
          </w:p>
        </w:tc>
        <w:tc>
          <w:tcPr>
            <w:tcW w:w="759" w:type="dxa"/>
            <w:tcBorders>
              <w:top w:val="single" w:sz="4" w:space="0" w:color="auto"/>
              <w:left w:val="single" w:sz="4" w:space="0" w:color="auto"/>
              <w:bottom w:val="single" w:sz="4" w:space="0" w:color="auto"/>
            </w:tcBorders>
          </w:tcPr>
          <w:p w14:paraId="3DB75E02"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w:t>
            </w:r>
          </w:p>
        </w:tc>
        <w:tc>
          <w:tcPr>
            <w:tcW w:w="941" w:type="dxa"/>
            <w:tcBorders>
              <w:top w:val="single" w:sz="4" w:space="0" w:color="auto"/>
              <w:bottom w:val="single" w:sz="4" w:space="0" w:color="auto"/>
            </w:tcBorders>
          </w:tcPr>
          <w:p w14:paraId="3E9E4380"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i/>
              </w:rPr>
              <w:t>X</w:t>
            </w:r>
            <w:r w:rsidRPr="00E6060C">
              <w:rPr>
                <w:rFonts w:ascii="Calibri" w:eastAsia="Calibri" w:hAnsi="Calibri" w:cs="Times New Roman"/>
                <w:b/>
                <w:vertAlign w:val="superscript"/>
              </w:rPr>
              <w:t>2</w:t>
            </w:r>
          </w:p>
        </w:tc>
        <w:tc>
          <w:tcPr>
            <w:tcW w:w="589" w:type="dxa"/>
            <w:tcBorders>
              <w:top w:val="single" w:sz="4" w:space="0" w:color="auto"/>
              <w:bottom w:val="single" w:sz="4" w:space="0" w:color="auto"/>
            </w:tcBorders>
          </w:tcPr>
          <w:p w14:paraId="589057FF"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df</w:t>
            </w:r>
          </w:p>
        </w:tc>
        <w:tc>
          <w:tcPr>
            <w:tcW w:w="833" w:type="dxa"/>
            <w:tcBorders>
              <w:top w:val="single" w:sz="4" w:space="0" w:color="auto"/>
              <w:bottom w:val="single" w:sz="4" w:space="0" w:color="auto"/>
            </w:tcBorders>
          </w:tcPr>
          <w:p w14:paraId="348CAAF4"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i/>
              </w:rPr>
              <w:t>p</w:t>
            </w:r>
          </w:p>
        </w:tc>
        <w:tc>
          <w:tcPr>
            <w:tcW w:w="1012" w:type="dxa"/>
            <w:tcBorders>
              <w:top w:val="single" w:sz="4" w:space="0" w:color="auto"/>
              <w:bottom w:val="single" w:sz="4" w:space="0" w:color="auto"/>
            </w:tcBorders>
          </w:tcPr>
          <w:p w14:paraId="138719E7"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CMIN/df</w:t>
            </w:r>
          </w:p>
        </w:tc>
        <w:tc>
          <w:tcPr>
            <w:tcW w:w="691" w:type="dxa"/>
            <w:tcBorders>
              <w:top w:val="single" w:sz="4" w:space="0" w:color="auto"/>
              <w:bottom w:val="single" w:sz="4" w:space="0" w:color="auto"/>
            </w:tcBorders>
          </w:tcPr>
          <w:p w14:paraId="40F95C6E"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CFI</w:t>
            </w:r>
          </w:p>
        </w:tc>
        <w:tc>
          <w:tcPr>
            <w:tcW w:w="674" w:type="dxa"/>
            <w:tcBorders>
              <w:top w:val="single" w:sz="4" w:space="0" w:color="auto"/>
              <w:bottom w:val="single" w:sz="4" w:space="0" w:color="auto"/>
            </w:tcBorders>
          </w:tcPr>
          <w:p w14:paraId="395BB390"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NFI</w:t>
            </w:r>
          </w:p>
        </w:tc>
        <w:tc>
          <w:tcPr>
            <w:tcW w:w="967" w:type="dxa"/>
            <w:tcBorders>
              <w:top w:val="single" w:sz="4" w:space="0" w:color="auto"/>
              <w:bottom w:val="single" w:sz="4" w:space="0" w:color="auto"/>
            </w:tcBorders>
          </w:tcPr>
          <w:p w14:paraId="0E047FB8"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RMSEA</w:t>
            </w:r>
          </w:p>
        </w:tc>
        <w:tc>
          <w:tcPr>
            <w:tcW w:w="857" w:type="dxa"/>
            <w:tcBorders>
              <w:top w:val="single" w:sz="4" w:space="0" w:color="auto"/>
              <w:bottom w:val="single" w:sz="4" w:space="0" w:color="auto"/>
            </w:tcBorders>
          </w:tcPr>
          <w:p w14:paraId="5DA4789A"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SRMR</w:t>
            </w:r>
          </w:p>
        </w:tc>
      </w:tr>
      <w:tr w:rsidR="00E6060C" w:rsidRPr="00E6060C" w14:paraId="3A6E6EC8" w14:textId="77777777" w:rsidTr="0035035C">
        <w:tc>
          <w:tcPr>
            <w:tcW w:w="4534" w:type="dxa"/>
            <w:gridSpan w:val="2"/>
            <w:tcBorders>
              <w:top w:val="single" w:sz="4" w:space="0" w:color="auto"/>
            </w:tcBorders>
          </w:tcPr>
          <w:p w14:paraId="4BF729F4"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Resources and demands</w:t>
            </w:r>
          </w:p>
        </w:tc>
        <w:tc>
          <w:tcPr>
            <w:tcW w:w="845" w:type="dxa"/>
            <w:tcBorders>
              <w:top w:val="single" w:sz="4" w:space="0" w:color="auto"/>
            </w:tcBorders>
          </w:tcPr>
          <w:p w14:paraId="64114390" w14:textId="77777777" w:rsidR="00E6060C" w:rsidRPr="00E6060C" w:rsidRDefault="00E6060C" w:rsidP="00E6060C">
            <w:pPr>
              <w:jc w:val="center"/>
              <w:rPr>
                <w:rFonts w:ascii="Calibri" w:eastAsia="Calibri" w:hAnsi="Calibri" w:cs="Times New Roman"/>
              </w:rPr>
            </w:pPr>
          </w:p>
        </w:tc>
        <w:tc>
          <w:tcPr>
            <w:tcW w:w="1243" w:type="dxa"/>
            <w:tcBorders>
              <w:top w:val="single" w:sz="4" w:space="0" w:color="auto"/>
              <w:right w:val="single" w:sz="4" w:space="0" w:color="auto"/>
            </w:tcBorders>
          </w:tcPr>
          <w:p w14:paraId="0559E7EC" w14:textId="77777777" w:rsidR="00E6060C" w:rsidRPr="00E6060C" w:rsidRDefault="00E6060C" w:rsidP="00E6060C">
            <w:pPr>
              <w:jc w:val="center"/>
              <w:rPr>
                <w:rFonts w:ascii="Calibri" w:eastAsia="Calibri" w:hAnsi="Calibri" w:cs="Times New Roman"/>
              </w:rPr>
            </w:pPr>
          </w:p>
        </w:tc>
        <w:tc>
          <w:tcPr>
            <w:tcW w:w="759" w:type="dxa"/>
            <w:tcBorders>
              <w:top w:val="single" w:sz="4" w:space="0" w:color="auto"/>
              <w:left w:val="single" w:sz="4" w:space="0" w:color="auto"/>
            </w:tcBorders>
          </w:tcPr>
          <w:p w14:paraId="6522FED5" w14:textId="77777777" w:rsidR="00E6060C" w:rsidRPr="00E6060C" w:rsidRDefault="00E6060C" w:rsidP="00E6060C">
            <w:pPr>
              <w:jc w:val="center"/>
              <w:rPr>
                <w:rFonts w:ascii="Calibri" w:eastAsia="Calibri" w:hAnsi="Calibri" w:cs="Times New Roman"/>
              </w:rPr>
            </w:pPr>
          </w:p>
        </w:tc>
        <w:tc>
          <w:tcPr>
            <w:tcW w:w="941" w:type="dxa"/>
            <w:tcBorders>
              <w:top w:val="single" w:sz="4" w:space="0" w:color="auto"/>
            </w:tcBorders>
          </w:tcPr>
          <w:p w14:paraId="0A9710C4" w14:textId="77777777" w:rsidR="00E6060C" w:rsidRPr="00E6060C" w:rsidRDefault="00E6060C" w:rsidP="00E6060C">
            <w:pPr>
              <w:jc w:val="center"/>
              <w:rPr>
                <w:rFonts w:ascii="Calibri" w:eastAsia="Calibri" w:hAnsi="Calibri" w:cs="Times New Roman"/>
              </w:rPr>
            </w:pPr>
          </w:p>
        </w:tc>
        <w:tc>
          <w:tcPr>
            <w:tcW w:w="589" w:type="dxa"/>
            <w:tcBorders>
              <w:top w:val="single" w:sz="4" w:space="0" w:color="auto"/>
            </w:tcBorders>
          </w:tcPr>
          <w:p w14:paraId="606AEB72" w14:textId="77777777" w:rsidR="00E6060C" w:rsidRPr="00E6060C" w:rsidRDefault="00E6060C" w:rsidP="00E6060C">
            <w:pPr>
              <w:jc w:val="center"/>
              <w:rPr>
                <w:rFonts w:ascii="Calibri" w:eastAsia="Calibri" w:hAnsi="Calibri" w:cs="Times New Roman"/>
              </w:rPr>
            </w:pPr>
          </w:p>
        </w:tc>
        <w:tc>
          <w:tcPr>
            <w:tcW w:w="833" w:type="dxa"/>
            <w:tcBorders>
              <w:top w:val="single" w:sz="4" w:space="0" w:color="auto"/>
            </w:tcBorders>
          </w:tcPr>
          <w:p w14:paraId="00D74FC1" w14:textId="77777777" w:rsidR="00E6060C" w:rsidRPr="00E6060C" w:rsidRDefault="00E6060C" w:rsidP="00E6060C">
            <w:pPr>
              <w:jc w:val="center"/>
              <w:rPr>
                <w:rFonts w:ascii="Calibri" w:eastAsia="Calibri" w:hAnsi="Calibri" w:cs="Times New Roman"/>
              </w:rPr>
            </w:pPr>
          </w:p>
        </w:tc>
        <w:tc>
          <w:tcPr>
            <w:tcW w:w="1012" w:type="dxa"/>
            <w:tcBorders>
              <w:top w:val="single" w:sz="4" w:space="0" w:color="auto"/>
            </w:tcBorders>
          </w:tcPr>
          <w:p w14:paraId="5F1B62B2" w14:textId="77777777" w:rsidR="00E6060C" w:rsidRPr="00E6060C" w:rsidRDefault="00E6060C" w:rsidP="00E6060C">
            <w:pPr>
              <w:jc w:val="center"/>
              <w:rPr>
                <w:rFonts w:ascii="Calibri" w:eastAsia="Calibri" w:hAnsi="Calibri" w:cs="Times New Roman"/>
              </w:rPr>
            </w:pPr>
          </w:p>
        </w:tc>
        <w:tc>
          <w:tcPr>
            <w:tcW w:w="691" w:type="dxa"/>
            <w:tcBorders>
              <w:top w:val="single" w:sz="4" w:space="0" w:color="auto"/>
            </w:tcBorders>
          </w:tcPr>
          <w:p w14:paraId="38A640B9" w14:textId="77777777" w:rsidR="00E6060C" w:rsidRPr="00E6060C" w:rsidRDefault="00E6060C" w:rsidP="00E6060C">
            <w:pPr>
              <w:jc w:val="center"/>
              <w:rPr>
                <w:rFonts w:ascii="Calibri" w:eastAsia="Calibri" w:hAnsi="Calibri" w:cs="Times New Roman"/>
              </w:rPr>
            </w:pPr>
          </w:p>
        </w:tc>
        <w:tc>
          <w:tcPr>
            <w:tcW w:w="674" w:type="dxa"/>
            <w:tcBorders>
              <w:top w:val="single" w:sz="4" w:space="0" w:color="auto"/>
            </w:tcBorders>
          </w:tcPr>
          <w:p w14:paraId="5D0DDA63" w14:textId="77777777" w:rsidR="00E6060C" w:rsidRPr="00E6060C" w:rsidRDefault="00E6060C" w:rsidP="00E6060C">
            <w:pPr>
              <w:jc w:val="center"/>
              <w:rPr>
                <w:rFonts w:ascii="Calibri" w:eastAsia="Calibri" w:hAnsi="Calibri" w:cs="Times New Roman"/>
              </w:rPr>
            </w:pPr>
          </w:p>
        </w:tc>
        <w:tc>
          <w:tcPr>
            <w:tcW w:w="967" w:type="dxa"/>
            <w:tcBorders>
              <w:top w:val="single" w:sz="4" w:space="0" w:color="auto"/>
            </w:tcBorders>
          </w:tcPr>
          <w:p w14:paraId="777FF85B" w14:textId="77777777" w:rsidR="00E6060C" w:rsidRPr="00E6060C" w:rsidRDefault="00E6060C" w:rsidP="00E6060C">
            <w:pPr>
              <w:jc w:val="center"/>
              <w:rPr>
                <w:rFonts w:ascii="Calibri" w:eastAsia="Calibri" w:hAnsi="Calibri" w:cs="Times New Roman"/>
              </w:rPr>
            </w:pPr>
          </w:p>
        </w:tc>
        <w:tc>
          <w:tcPr>
            <w:tcW w:w="857" w:type="dxa"/>
            <w:tcBorders>
              <w:top w:val="single" w:sz="4" w:space="0" w:color="auto"/>
            </w:tcBorders>
          </w:tcPr>
          <w:p w14:paraId="0367A696" w14:textId="77777777" w:rsidR="00E6060C" w:rsidRPr="00E6060C" w:rsidRDefault="00E6060C" w:rsidP="00E6060C">
            <w:pPr>
              <w:jc w:val="center"/>
              <w:rPr>
                <w:rFonts w:ascii="Calibri" w:eastAsia="Calibri" w:hAnsi="Calibri" w:cs="Times New Roman"/>
              </w:rPr>
            </w:pPr>
          </w:p>
        </w:tc>
      </w:tr>
      <w:tr w:rsidR="00E6060C" w:rsidRPr="00E6060C" w14:paraId="49C3E8DD" w14:textId="77777777" w:rsidTr="0035035C">
        <w:tc>
          <w:tcPr>
            <w:tcW w:w="1367" w:type="dxa"/>
          </w:tcPr>
          <w:p w14:paraId="399CC187"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One-factor</w:t>
            </w:r>
          </w:p>
        </w:tc>
        <w:tc>
          <w:tcPr>
            <w:tcW w:w="3167" w:type="dxa"/>
          </w:tcPr>
          <w:p w14:paraId="4DB92DD6"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Resources and demands</w:t>
            </w:r>
          </w:p>
        </w:tc>
        <w:tc>
          <w:tcPr>
            <w:tcW w:w="845" w:type="dxa"/>
          </w:tcPr>
          <w:p w14:paraId="542043C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w:t>
            </w:r>
          </w:p>
        </w:tc>
        <w:tc>
          <w:tcPr>
            <w:tcW w:w="1243" w:type="dxa"/>
            <w:tcBorders>
              <w:right w:val="single" w:sz="4" w:space="0" w:color="auto"/>
            </w:tcBorders>
            <w:vAlign w:val="center"/>
          </w:tcPr>
          <w:p w14:paraId="74D43B3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.80</w:t>
            </w:r>
          </w:p>
        </w:tc>
        <w:tc>
          <w:tcPr>
            <w:tcW w:w="759" w:type="dxa"/>
            <w:tcBorders>
              <w:left w:val="single" w:sz="4" w:space="0" w:color="auto"/>
              <w:bottom w:val="nil"/>
            </w:tcBorders>
          </w:tcPr>
          <w:p w14:paraId="0CF0DA1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217</w:t>
            </w:r>
          </w:p>
        </w:tc>
        <w:tc>
          <w:tcPr>
            <w:tcW w:w="941" w:type="dxa"/>
            <w:tcBorders>
              <w:bottom w:val="nil"/>
            </w:tcBorders>
            <w:vAlign w:val="center"/>
          </w:tcPr>
          <w:p w14:paraId="0EEA886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38.83</w:t>
            </w:r>
          </w:p>
        </w:tc>
        <w:tc>
          <w:tcPr>
            <w:tcW w:w="589" w:type="dxa"/>
            <w:tcBorders>
              <w:bottom w:val="nil"/>
            </w:tcBorders>
            <w:vAlign w:val="center"/>
          </w:tcPr>
          <w:p w14:paraId="5680BE0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33" w:type="dxa"/>
            <w:tcBorders>
              <w:bottom w:val="nil"/>
            </w:tcBorders>
          </w:tcPr>
          <w:p w14:paraId="2406D2C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bottom w:val="nil"/>
            </w:tcBorders>
            <w:vAlign w:val="center"/>
          </w:tcPr>
          <w:p w14:paraId="34D0298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2.77</w:t>
            </w:r>
          </w:p>
        </w:tc>
        <w:tc>
          <w:tcPr>
            <w:tcW w:w="691" w:type="dxa"/>
            <w:tcBorders>
              <w:bottom w:val="nil"/>
            </w:tcBorders>
            <w:vAlign w:val="center"/>
          </w:tcPr>
          <w:p w14:paraId="30D5093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.94</w:t>
            </w:r>
          </w:p>
        </w:tc>
        <w:tc>
          <w:tcPr>
            <w:tcW w:w="674" w:type="dxa"/>
            <w:tcBorders>
              <w:bottom w:val="nil"/>
            </w:tcBorders>
            <w:vAlign w:val="center"/>
          </w:tcPr>
          <w:p w14:paraId="77CF442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.91</w:t>
            </w:r>
          </w:p>
        </w:tc>
        <w:tc>
          <w:tcPr>
            <w:tcW w:w="967" w:type="dxa"/>
            <w:tcBorders>
              <w:bottom w:val="nil"/>
            </w:tcBorders>
            <w:vAlign w:val="center"/>
          </w:tcPr>
          <w:p w14:paraId="6577008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.09</w:t>
            </w:r>
          </w:p>
        </w:tc>
        <w:tc>
          <w:tcPr>
            <w:tcW w:w="857" w:type="dxa"/>
            <w:tcBorders>
              <w:bottom w:val="nil"/>
            </w:tcBorders>
            <w:vAlign w:val="center"/>
          </w:tcPr>
          <w:p w14:paraId="215B61C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42C749F8" w14:textId="77777777" w:rsidTr="0035035C">
        <w:tc>
          <w:tcPr>
            <w:tcW w:w="1367" w:type="dxa"/>
          </w:tcPr>
          <w:p w14:paraId="7BC935A2" w14:textId="77777777" w:rsidR="00E6060C" w:rsidRPr="00E6060C" w:rsidRDefault="00E6060C" w:rsidP="00E6060C">
            <w:pPr>
              <w:rPr>
                <w:rFonts w:ascii="Calibri" w:eastAsia="Calibri" w:hAnsi="Calibri" w:cs="Times New Roman"/>
              </w:rPr>
            </w:pPr>
          </w:p>
        </w:tc>
        <w:tc>
          <w:tcPr>
            <w:tcW w:w="3167" w:type="dxa"/>
          </w:tcPr>
          <w:p w14:paraId="711B6F66" w14:textId="77777777" w:rsidR="00E6060C" w:rsidRPr="00E6060C" w:rsidRDefault="00E6060C" w:rsidP="00E6060C">
            <w:pPr>
              <w:rPr>
                <w:rFonts w:ascii="Calibri" w:eastAsia="Calibri" w:hAnsi="Calibri" w:cs="Times New Roman"/>
                <w:vertAlign w:val="superscript"/>
              </w:rPr>
            </w:pPr>
          </w:p>
        </w:tc>
        <w:tc>
          <w:tcPr>
            <w:tcW w:w="845" w:type="dxa"/>
          </w:tcPr>
          <w:p w14:paraId="448D9D75" w14:textId="77777777" w:rsidR="00E6060C" w:rsidRPr="00E6060C" w:rsidRDefault="00E6060C" w:rsidP="00E6060C">
            <w:pPr>
              <w:jc w:val="center"/>
              <w:rPr>
                <w:rFonts w:ascii="Calibri" w:eastAsia="Calibri" w:hAnsi="Calibri" w:cs="Times New Roman"/>
              </w:rPr>
            </w:pPr>
          </w:p>
        </w:tc>
        <w:tc>
          <w:tcPr>
            <w:tcW w:w="1243" w:type="dxa"/>
            <w:tcBorders>
              <w:right w:val="single" w:sz="4" w:space="0" w:color="auto"/>
            </w:tcBorders>
            <w:vAlign w:val="center"/>
          </w:tcPr>
          <w:p w14:paraId="07DE5FA8" w14:textId="77777777" w:rsidR="00E6060C" w:rsidRPr="00E6060C" w:rsidRDefault="00E6060C" w:rsidP="00E6060C">
            <w:pPr>
              <w:jc w:val="center"/>
              <w:rPr>
                <w:rFonts w:ascii="Calibri" w:eastAsia="Calibri" w:hAnsi="Calibri" w:cs="Times New Roman"/>
              </w:rPr>
            </w:pPr>
          </w:p>
        </w:tc>
        <w:tc>
          <w:tcPr>
            <w:tcW w:w="759" w:type="dxa"/>
            <w:tcBorders>
              <w:top w:val="nil"/>
              <w:left w:val="single" w:sz="4" w:space="0" w:color="auto"/>
              <w:bottom w:val="nil"/>
            </w:tcBorders>
            <w:shd w:val="clear" w:color="auto" w:fill="D9D9D9"/>
          </w:tcPr>
          <w:p w14:paraId="790874D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205</w:t>
            </w:r>
          </w:p>
        </w:tc>
        <w:tc>
          <w:tcPr>
            <w:tcW w:w="941" w:type="dxa"/>
            <w:tcBorders>
              <w:top w:val="nil"/>
              <w:bottom w:val="nil"/>
            </w:tcBorders>
            <w:shd w:val="clear" w:color="auto" w:fill="D9D9D9"/>
            <w:vAlign w:val="center"/>
          </w:tcPr>
          <w:p w14:paraId="5476460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37.69</w:t>
            </w:r>
          </w:p>
        </w:tc>
        <w:tc>
          <w:tcPr>
            <w:tcW w:w="589" w:type="dxa"/>
            <w:tcBorders>
              <w:top w:val="nil"/>
              <w:bottom w:val="nil"/>
            </w:tcBorders>
            <w:shd w:val="clear" w:color="auto" w:fill="D9D9D9"/>
            <w:vAlign w:val="center"/>
          </w:tcPr>
          <w:p w14:paraId="586934C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33" w:type="dxa"/>
            <w:tcBorders>
              <w:top w:val="nil"/>
              <w:bottom w:val="nil"/>
            </w:tcBorders>
            <w:shd w:val="clear" w:color="auto" w:fill="D9D9D9"/>
          </w:tcPr>
          <w:p w14:paraId="5719FBD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.001</w:t>
            </w:r>
          </w:p>
        </w:tc>
        <w:tc>
          <w:tcPr>
            <w:tcW w:w="1012" w:type="dxa"/>
            <w:tcBorders>
              <w:top w:val="nil"/>
              <w:bottom w:val="nil"/>
            </w:tcBorders>
            <w:shd w:val="clear" w:color="auto" w:fill="D9D9D9"/>
            <w:vAlign w:val="center"/>
          </w:tcPr>
          <w:p w14:paraId="1ADF99F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2.69</w:t>
            </w:r>
          </w:p>
        </w:tc>
        <w:tc>
          <w:tcPr>
            <w:tcW w:w="691" w:type="dxa"/>
            <w:tcBorders>
              <w:top w:val="nil"/>
              <w:bottom w:val="nil"/>
            </w:tcBorders>
            <w:shd w:val="clear" w:color="auto" w:fill="D9D9D9"/>
            <w:vAlign w:val="center"/>
          </w:tcPr>
          <w:p w14:paraId="0F223BF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.94</w:t>
            </w:r>
          </w:p>
        </w:tc>
        <w:tc>
          <w:tcPr>
            <w:tcW w:w="674" w:type="dxa"/>
            <w:tcBorders>
              <w:top w:val="nil"/>
              <w:bottom w:val="nil"/>
            </w:tcBorders>
            <w:shd w:val="clear" w:color="auto" w:fill="D9D9D9"/>
            <w:vAlign w:val="center"/>
          </w:tcPr>
          <w:p w14:paraId="2F629AF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.91</w:t>
            </w:r>
          </w:p>
        </w:tc>
        <w:tc>
          <w:tcPr>
            <w:tcW w:w="967" w:type="dxa"/>
            <w:tcBorders>
              <w:top w:val="nil"/>
              <w:bottom w:val="nil"/>
            </w:tcBorders>
            <w:shd w:val="clear" w:color="auto" w:fill="D9D9D9"/>
            <w:vAlign w:val="center"/>
          </w:tcPr>
          <w:p w14:paraId="74E0C13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.09</w:t>
            </w:r>
          </w:p>
        </w:tc>
        <w:tc>
          <w:tcPr>
            <w:tcW w:w="857" w:type="dxa"/>
            <w:tcBorders>
              <w:top w:val="nil"/>
              <w:bottom w:val="nil"/>
            </w:tcBorders>
            <w:shd w:val="clear" w:color="auto" w:fill="D9D9D9"/>
            <w:vAlign w:val="center"/>
          </w:tcPr>
          <w:p w14:paraId="6D6124A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.06</w:t>
            </w:r>
          </w:p>
        </w:tc>
      </w:tr>
      <w:tr w:rsidR="00E6060C" w:rsidRPr="00E6060C" w14:paraId="2BE0184D" w14:textId="77777777" w:rsidTr="0035035C">
        <w:trPr>
          <w:gridAfter w:val="3"/>
          <w:wAfter w:w="2498" w:type="dxa"/>
        </w:trPr>
        <w:tc>
          <w:tcPr>
            <w:tcW w:w="6622" w:type="dxa"/>
            <w:gridSpan w:val="4"/>
            <w:tcBorders>
              <w:right w:val="single" w:sz="4" w:space="0" w:color="auto"/>
            </w:tcBorders>
          </w:tcPr>
          <w:p w14:paraId="726D9751" w14:textId="77777777" w:rsidR="00E6060C" w:rsidRPr="00E6060C" w:rsidRDefault="00E6060C" w:rsidP="00E6060C">
            <w:pPr>
              <w:rPr>
                <w:rFonts w:ascii="Calibri" w:eastAsia="Calibri" w:hAnsi="Calibri" w:cs="Times New Roman"/>
              </w:rPr>
            </w:pPr>
            <w:r w:rsidRPr="00E6060C">
              <w:rPr>
                <w:rFonts w:ascii="Calibri" w:eastAsia="Calibri" w:hAnsi="Calibri" w:cs="Times New Roman"/>
                <w:b/>
              </w:rPr>
              <w:t>Colleague support and influence in decision-making</w:t>
            </w:r>
          </w:p>
        </w:tc>
        <w:tc>
          <w:tcPr>
            <w:tcW w:w="759" w:type="dxa"/>
            <w:tcBorders>
              <w:left w:val="single" w:sz="4" w:space="0" w:color="auto"/>
            </w:tcBorders>
          </w:tcPr>
          <w:p w14:paraId="7152F1AA" w14:textId="77777777" w:rsidR="00E6060C" w:rsidRPr="00E6060C" w:rsidRDefault="00E6060C" w:rsidP="00E6060C">
            <w:pPr>
              <w:jc w:val="center"/>
              <w:rPr>
                <w:rFonts w:ascii="Calibri" w:eastAsia="Calibri" w:hAnsi="Calibri" w:cs="Times New Roman"/>
              </w:rPr>
            </w:pPr>
          </w:p>
        </w:tc>
        <w:tc>
          <w:tcPr>
            <w:tcW w:w="941" w:type="dxa"/>
          </w:tcPr>
          <w:p w14:paraId="160DEEB0" w14:textId="77777777" w:rsidR="00E6060C" w:rsidRPr="00E6060C" w:rsidRDefault="00E6060C" w:rsidP="00E6060C">
            <w:pPr>
              <w:jc w:val="center"/>
              <w:rPr>
                <w:rFonts w:ascii="Calibri" w:eastAsia="Calibri" w:hAnsi="Calibri" w:cs="Times New Roman"/>
              </w:rPr>
            </w:pPr>
          </w:p>
        </w:tc>
        <w:tc>
          <w:tcPr>
            <w:tcW w:w="589" w:type="dxa"/>
          </w:tcPr>
          <w:p w14:paraId="2F8A8704" w14:textId="77777777" w:rsidR="00E6060C" w:rsidRPr="00E6060C" w:rsidRDefault="00E6060C" w:rsidP="00E6060C">
            <w:pPr>
              <w:jc w:val="center"/>
              <w:rPr>
                <w:rFonts w:ascii="Calibri" w:eastAsia="Calibri" w:hAnsi="Calibri" w:cs="Times New Roman"/>
              </w:rPr>
            </w:pPr>
          </w:p>
        </w:tc>
        <w:tc>
          <w:tcPr>
            <w:tcW w:w="833" w:type="dxa"/>
          </w:tcPr>
          <w:p w14:paraId="706A7D51" w14:textId="77777777" w:rsidR="00E6060C" w:rsidRPr="00E6060C" w:rsidRDefault="00E6060C" w:rsidP="00E6060C">
            <w:pPr>
              <w:jc w:val="center"/>
              <w:rPr>
                <w:rFonts w:ascii="Calibri" w:eastAsia="Calibri" w:hAnsi="Calibri" w:cs="Times New Roman"/>
              </w:rPr>
            </w:pPr>
          </w:p>
        </w:tc>
        <w:tc>
          <w:tcPr>
            <w:tcW w:w="1012" w:type="dxa"/>
          </w:tcPr>
          <w:p w14:paraId="40567699" w14:textId="77777777" w:rsidR="00E6060C" w:rsidRPr="00E6060C" w:rsidRDefault="00E6060C" w:rsidP="00E6060C">
            <w:pPr>
              <w:jc w:val="center"/>
              <w:rPr>
                <w:rFonts w:ascii="Calibri" w:eastAsia="Calibri" w:hAnsi="Calibri" w:cs="Times New Roman"/>
              </w:rPr>
            </w:pPr>
          </w:p>
        </w:tc>
        <w:tc>
          <w:tcPr>
            <w:tcW w:w="691" w:type="dxa"/>
          </w:tcPr>
          <w:p w14:paraId="5010B442" w14:textId="77777777" w:rsidR="00E6060C" w:rsidRPr="00E6060C" w:rsidRDefault="00E6060C" w:rsidP="00E6060C">
            <w:pPr>
              <w:jc w:val="center"/>
              <w:rPr>
                <w:rFonts w:ascii="Calibri" w:eastAsia="Calibri" w:hAnsi="Calibri" w:cs="Times New Roman"/>
              </w:rPr>
            </w:pPr>
          </w:p>
        </w:tc>
      </w:tr>
      <w:tr w:rsidR="00E6060C" w:rsidRPr="00E6060C" w14:paraId="71CD9D55" w14:textId="77777777" w:rsidTr="0035035C">
        <w:tc>
          <w:tcPr>
            <w:tcW w:w="1367" w:type="dxa"/>
          </w:tcPr>
          <w:p w14:paraId="4F111105"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Two-factor</w:t>
            </w:r>
          </w:p>
        </w:tc>
        <w:tc>
          <w:tcPr>
            <w:tcW w:w="3167" w:type="dxa"/>
          </w:tcPr>
          <w:p w14:paraId="5CC6DEDB"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Colleague support</w:t>
            </w:r>
          </w:p>
        </w:tc>
        <w:tc>
          <w:tcPr>
            <w:tcW w:w="845" w:type="dxa"/>
          </w:tcPr>
          <w:p w14:paraId="546062E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w:t>
            </w:r>
          </w:p>
        </w:tc>
        <w:tc>
          <w:tcPr>
            <w:tcW w:w="1243" w:type="dxa"/>
            <w:tcBorders>
              <w:right w:val="single" w:sz="4" w:space="0" w:color="auto"/>
            </w:tcBorders>
          </w:tcPr>
          <w:p w14:paraId="10C0297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.90</w:t>
            </w:r>
          </w:p>
        </w:tc>
        <w:tc>
          <w:tcPr>
            <w:tcW w:w="759" w:type="dxa"/>
            <w:tcBorders>
              <w:left w:val="single" w:sz="4" w:space="0" w:color="auto"/>
              <w:bottom w:val="nil"/>
            </w:tcBorders>
          </w:tcPr>
          <w:p w14:paraId="37038E6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217</w:t>
            </w:r>
          </w:p>
        </w:tc>
        <w:tc>
          <w:tcPr>
            <w:tcW w:w="941" w:type="dxa"/>
            <w:tcBorders>
              <w:bottom w:val="nil"/>
            </w:tcBorders>
          </w:tcPr>
          <w:p w14:paraId="1E79D20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16.24</w:t>
            </w:r>
          </w:p>
        </w:tc>
        <w:tc>
          <w:tcPr>
            <w:tcW w:w="589" w:type="dxa"/>
            <w:tcBorders>
              <w:bottom w:val="nil"/>
            </w:tcBorders>
          </w:tcPr>
          <w:p w14:paraId="427BA95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w:t>
            </w:r>
          </w:p>
        </w:tc>
        <w:tc>
          <w:tcPr>
            <w:tcW w:w="833" w:type="dxa"/>
            <w:tcBorders>
              <w:bottom w:val="nil"/>
            </w:tcBorders>
          </w:tcPr>
          <w:p w14:paraId="1D1B608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.039</w:t>
            </w:r>
          </w:p>
        </w:tc>
        <w:tc>
          <w:tcPr>
            <w:tcW w:w="1012" w:type="dxa"/>
            <w:tcBorders>
              <w:bottom w:val="nil"/>
            </w:tcBorders>
          </w:tcPr>
          <w:p w14:paraId="3E537F5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2.03</w:t>
            </w:r>
          </w:p>
        </w:tc>
        <w:tc>
          <w:tcPr>
            <w:tcW w:w="691" w:type="dxa"/>
            <w:tcBorders>
              <w:bottom w:val="nil"/>
            </w:tcBorders>
          </w:tcPr>
          <w:p w14:paraId="244964C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.99</w:t>
            </w:r>
          </w:p>
        </w:tc>
        <w:tc>
          <w:tcPr>
            <w:tcW w:w="674" w:type="dxa"/>
            <w:tcBorders>
              <w:bottom w:val="nil"/>
            </w:tcBorders>
          </w:tcPr>
          <w:p w14:paraId="2EAC124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.98</w:t>
            </w:r>
          </w:p>
        </w:tc>
        <w:tc>
          <w:tcPr>
            <w:tcW w:w="967" w:type="dxa"/>
            <w:tcBorders>
              <w:bottom w:val="nil"/>
            </w:tcBorders>
          </w:tcPr>
          <w:p w14:paraId="1A458AB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.07</w:t>
            </w:r>
          </w:p>
        </w:tc>
        <w:tc>
          <w:tcPr>
            <w:tcW w:w="857" w:type="dxa"/>
            <w:tcBorders>
              <w:bottom w:val="nil"/>
            </w:tcBorders>
          </w:tcPr>
          <w:p w14:paraId="78E7DB1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7EA8BA50" w14:textId="77777777" w:rsidTr="0035035C">
        <w:tc>
          <w:tcPr>
            <w:tcW w:w="1367" w:type="dxa"/>
          </w:tcPr>
          <w:p w14:paraId="7819AFE6" w14:textId="77777777" w:rsidR="00E6060C" w:rsidRPr="00E6060C" w:rsidRDefault="00E6060C" w:rsidP="00E6060C">
            <w:pPr>
              <w:rPr>
                <w:rFonts w:ascii="Calibri" w:eastAsia="Calibri" w:hAnsi="Calibri" w:cs="Times New Roman"/>
              </w:rPr>
            </w:pPr>
          </w:p>
        </w:tc>
        <w:tc>
          <w:tcPr>
            <w:tcW w:w="3167" w:type="dxa"/>
          </w:tcPr>
          <w:p w14:paraId="0C7E0BA9"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Influence in decision-making</w:t>
            </w:r>
          </w:p>
        </w:tc>
        <w:tc>
          <w:tcPr>
            <w:tcW w:w="845" w:type="dxa"/>
          </w:tcPr>
          <w:p w14:paraId="5A9204A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w:t>
            </w:r>
          </w:p>
        </w:tc>
        <w:tc>
          <w:tcPr>
            <w:tcW w:w="1243" w:type="dxa"/>
            <w:tcBorders>
              <w:right w:val="single" w:sz="4" w:space="0" w:color="auto"/>
            </w:tcBorders>
          </w:tcPr>
          <w:p w14:paraId="2ECA0FC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.84</w:t>
            </w:r>
          </w:p>
        </w:tc>
        <w:tc>
          <w:tcPr>
            <w:tcW w:w="759" w:type="dxa"/>
            <w:tcBorders>
              <w:top w:val="nil"/>
              <w:left w:val="single" w:sz="4" w:space="0" w:color="auto"/>
              <w:bottom w:val="nil"/>
            </w:tcBorders>
            <w:shd w:val="clear" w:color="auto" w:fill="D9D9D9"/>
          </w:tcPr>
          <w:p w14:paraId="18CB2DB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212</w:t>
            </w:r>
          </w:p>
        </w:tc>
        <w:tc>
          <w:tcPr>
            <w:tcW w:w="941" w:type="dxa"/>
            <w:tcBorders>
              <w:top w:val="nil"/>
              <w:bottom w:val="nil"/>
            </w:tcBorders>
            <w:shd w:val="clear" w:color="auto" w:fill="D9D9D9"/>
          </w:tcPr>
          <w:p w14:paraId="45A58DB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14.79</w:t>
            </w:r>
          </w:p>
        </w:tc>
        <w:tc>
          <w:tcPr>
            <w:tcW w:w="589" w:type="dxa"/>
            <w:tcBorders>
              <w:top w:val="nil"/>
              <w:bottom w:val="nil"/>
            </w:tcBorders>
            <w:shd w:val="clear" w:color="auto" w:fill="D9D9D9"/>
          </w:tcPr>
          <w:p w14:paraId="7B3A5CD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w:t>
            </w:r>
          </w:p>
        </w:tc>
        <w:tc>
          <w:tcPr>
            <w:tcW w:w="833" w:type="dxa"/>
            <w:tcBorders>
              <w:top w:val="nil"/>
              <w:bottom w:val="nil"/>
            </w:tcBorders>
            <w:shd w:val="clear" w:color="auto" w:fill="D9D9D9"/>
          </w:tcPr>
          <w:p w14:paraId="0908F9F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.063</w:t>
            </w:r>
          </w:p>
        </w:tc>
        <w:tc>
          <w:tcPr>
            <w:tcW w:w="1012" w:type="dxa"/>
            <w:tcBorders>
              <w:top w:val="nil"/>
              <w:bottom w:val="nil"/>
            </w:tcBorders>
            <w:shd w:val="clear" w:color="auto" w:fill="D9D9D9"/>
          </w:tcPr>
          <w:p w14:paraId="3869C8B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1.85</w:t>
            </w:r>
          </w:p>
        </w:tc>
        <w:tc>
          <w:tcPr>
            <w:tcW w:w="691" w:type="dxa"/>
            <w:tcBorders>
              <w:top w:val="nil"/>
              <w:bottom w:val="nil"/>
            </w:tcBorders>
            <w:shd w:val="clear" w:color="auto" w:fill="D9D9D9"/>
          </w:tcPr>
          <w:p w14:paraId="4D456AA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.99</w:t>
            </w:r>
          </w:p>
        </w:tc>
        <w:tc>
          <w:tcPr>
            <w:tcW w:w="674" w:type="dxa"/>
            <w:tcBorders>
              <w:top w:val="nil"/>
              <w:bottom w:val="nil"/>
            </w:tcBorders>
            <w:shd w:val="clear" w:color="auto" w:fill="D9D9D9"/>
          </w:tcPr>
          <w:p w14:paraId="7B1A14A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.98</w:t>
            </w:r>
          </w:p>
        </w:tc>
        <w:tc>
          <w:tcPr>
            <w:tcW w:w="967" w:type="dxa"/>
            <w:tcBorders>
              <w:top w:val="nil"/>
              <w:bottom w:val="nil"/>
            </w:tcBorders>
            <w:shd w:val="clear" w:color="auto" w:fill="D9D9D9"/>
          </w:tcPr>
          <w:p w14:paraId="3298735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.06</w:t>
            </w:r>
          </w:p>
        </w:tc>
        <w:tc>
          <w:tcPr>
            <w:tcW w:w="857" w:type="dxa"/>
            <w:tcBorders>
              <w:top w:val="nil"/>
              <w:bottom w:val="nil"/>
            </w:tcBorders>
            <w:shd w:val="clear" w:color="auto" w:fill="D9D9D9"/>
          </w:tcPr>
          <w:p w14:paraId="1D8E7EF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.35</w:t>
            </w:r>
          </w:p>
        </w:tc>
      </w:tr>
      <w:tr w:rsidR="00E6060C" w:rsidRPr="00E6060C" w14:paraId="6C36D6E8" w14:textId="77777777" w:rsidTr="0035035C">
        <w:tc>
          <w:tcPr>
            <w:tcW w:w="4534" w:type="dxa"/>
            <w:gridSpan w:val="2"/>
          </w:tcPr>
          <w:p w14:paraId="2A009C4E"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Work-related basic needs</w:t>
            </w:r>
          </w:p>
        </w:tc>
        <w:tc>
          <w:tcPr>
            <w:tcW w:w="845" w:type="dxa"/>
          </w:tcPr>
          <w:p w14:paraId="74791EF2" w14:textId="77777777" w:rsidR="00E6060C" w:rsidRPr="00E6060C" w:rsidRDefault="00E6060C" w:rsidP="00E6060C">
            <w:pPr>
              <w:jc w:val="center"/>
              <w:rPr>
                <w:rFonts w:ascii="Calibri" w:eastAsia="Calibri" w:hAnsi="Calibri" w:cs="Times New Roman"/>
              </w:rPr>
            </w:pPr>
          </w:p>
        </w:tc>
        <w:tc>
          <w:tcPr>
            <w:tcW w:w="1243" w:type="dxa"/>
            <w:tcBorders>
              <w:right w:val="single" w:sz="4" w:space="0" w:color="auto"/>
            </w:tcBorders>
          </w:tcPr>
          <w:p w14:paraId="65A5161C" w14:textId="77777777" w:rsidR="00E6060C" w:rsidRPr="00E6060C" w:rsidRDefault="00E6060C" w:rsidP="00E6060C">
            <w:pPr>
              <w:jc w:val="center"/>
              <w:rPr>
                <w:rFonts w:ascii="Calibri" w:eastAsia="Calibri" w:hAnsi="Calibri" w:cs="Times New Roman"/>
              </w:rPr>
            </w:pPr>
          </w:p>
        </w:tc>
        <w:tc>
          <w:tcPr>
            <w:tcW w:w="759" w:type="dxa"/>
            <w:tcBorders>
              <w:top w:val="nil"/>
              <w:left w:val="single" w:sz="4" w:space="0" w:color="auto"/>
            </w:tcBorders>
          </w:tcPr>
          <w:p w14:paraId="094E151B" w14:textId="77777777" w:rsidR="00E6060C" w:rsidRPr="00E6060C" w:rsidRDefault="00E6060C" w:rsidP="00E6060C">
            <w:pPr>
              <w:jc w:val="center"/>
              <w:rPr>
                <w:rFonts w:ascii="Calibri" w:eastAsia="Calibri" w:hAnsi="Calibri" w:cs="Times New Roman"/>
              </w:rPr>
            </w:pPr>
          </w:p>
        </w:tc>
        <w:tc>
          <w:tcPr>
            <w:tcW w:w="941" w:type="dxa"/>
            <w:tcBorders>
              <w:top w:val="nil"/>
            </w:tcBorders>
          </w:tcPr>
          <w:p w14:paraId="138C53A0" w14:textId="77777777" w:rsidR="00E6060C" w:rsidRPr="00E6060C" w:rsidRDefault="00E6060C" w:rsidP="00E6060C">
            <w:pPr>
              <w:jc w:val="center"/>
              <w:rPr>
                <w:rFonts w:ascii="Calibri" w:eastAsia="Calibri" w:hAnsi="Calibri" w:cs="Times New Roman"/>
              </w:rPr>
            </w:pPr>
          </w:p>
        </w:tc>
        <w:tc>
          <w:tcPr>
            <w:tcW w:w="589" w:type="dxa"/>
            <w:tcBorders>
              <w:top w:val="nil"/>
            </w:tcBorders>
          </w:tcPr>
          <w:p w14:paraId="0970D80D" w14:textId="77777777" w:rsidR="00E6060C" w:rsidRPr="00E6060C" w:rsidRDefault="00E6060C" w:rsidP="00E6060C">
            <w:pPr>
              <w:jc w:val="center"/>
              <w:rPr>
                <w:rFonts w:ascii="Calibri" w:eastAsia="Calibri" w:hAnsi="Calibri" w:cs="Times New Roman"/>
              </w:rPr>
            </w:pPr>
          </w:p>
        </w:tc>
        <w:tc>
          <w:tcPr>
            <w:tcW w:w="833" w:type="dxa"/>
            <w:tcBorders>
              <w:top w:val="nil"/>
            </w:tcBorders>
          </w:tcPr>
          <w:p w14:paraId="491D23AB" w14:textId="77777777" w:rsidR="00E6060C" w:rsidRPr="00E6060C" w:rsidRDefault="00E6060C" w:rsidP="00E6060C">
            <w:pPr>
              <w:jc w:val="center"/>
              <w:rPr>
                <w:rFonts w:ascii="Calibri" w:eastAsia="Calibri" w:hAnsi="Calibri" w:cs="Times New Roman"/>
              </w:rPr>
            </w:pPr>
          </w:p>
        </w:tc>
        <w:tc>
          <w:tcPr>
            <w:tcW w:w="1012" w:type="dxa"/>
            <w:tcBorders>
              <w:top w:val="nil"/>
            </w:tcBorders>
          </w:tcPr>
          <w:p w14:paraId="7DEE32C1" w14:textId="77777777" w:rsidR="00E6060C" w:rsidRPr="00E6060C" w:rsidRDefault="00E6060C" w:rsidP="00E6060C">
            <w:pPr>
              <w:jc w:val="center"/>
              <w:rPr>
                <w:rFonts w:ascii="Calibri" w:eastAsia="Calibri" w:hAnsi="Calibri" w:cs="Times New Roman"/>
              </w:rPr>
            </w:pPr>
          </w:p>
        </w:tc>
        <w:tc>
          <w:tcPr>
            <w:tcW w:w="691" w:type="dxa"/>
            <w:tcBorders>
              <w:top w:val="nil"/>
            </w:tcBorders>
          </w:tcPr>
          <w:p w14:paraId="361E1BF0" w14:textId="77777777" w:rsidR="00E6060C" w:rsidRPr="00E6060C" w:rsidRDefault="00E6060C" w:rsidP="00E6060C">
            <w:pPr>
              <w:jc w:val="center"/>
              <w:rPr>
                <w:rFonts w:ascii="Calibri" w:eastAsia="Calibri" w:hAnsi="Calibri" w:cs="Times New Roman"/>
              </w:rPr>
            </w:pPr>
          </w:p>
        </w:tc>
        <w:tc>
          <w:tcPr>
            <w:tcW w:w="674" w:type="dxa"/>
            <w:tcBorders>
              <w:top w:val="nil"/>
            </w:tcBorders>
          </w:tcPr>
          <w:p w14:paraId="3C22898C" w14:textId="77777777" w:rsidR="00E6060C" w:rsidRPr="00E6060C" w:rsidRDefault="00E6060C" w:rsidP="00E6060C">
            <w:pPr>
              <w:jc w:val="center"/>
              <w:rPr>
                <w:rFonts w:ascii="Calibri" w:eastAsia="Calibri" w:hAnsi="Calibri" w:cs="Times New Roman"/>
              </w:rPr>
            </w:pPr>
          </w:p>
        </w:tc>
        <w:tc>
          <w:tcPr>
            <w:tcW w:w="967" w:type="dxa"/>
            <w:tcBorders>
              <w:top w:val="nil"/>
            </w:tcBorders>
          </w:tcPr>
          <w:p w14:paraId="1403A504" w14:textId="77777777" w:rsidR="00E6060C" w:rsidRPr="00E6060C" w:rsidRDefault="00E6060C" w:rsidP="00E6060C">
            <w:pPr>
              <w:jc w:val="center"/>
              <w:rPr>
                <w:rFonts w:ascii="Calibri" w:eastAsia="Calibri" w:hAnsi="Calibri" w:cs="Times New Roman"/>
              </w:rPr>
            </w:pPr>
          </w:p>
        </w:tc>
        <w:tc>
          <w:tcPr>
            <w:tcW w:w="857" w:type="dxa"/>
            <w:tcBorders>
              <w:top w:val="nil"/>
            </w:tcBorders>
          </w:tcPr>
          <w:p w14:paraId="6ADE462B" w14:textId="77777777" w:rsidR="00E6060C" w:rsidRPr="00E6060C" w:rsidRDefault="00E6060C" w:rsidP="00E6060C">
            <w:pPr>
              <w:jc w:val="center"/>
              <w:rPr>
                <w:rFonts w:ascii="Calibri" w:eastAsia="Calibri" w:hAnsi="Calibri" w:cs="Times New Roman"/>
              </w:rPr>
            </w:pPr>
          </w:p>
        </w:tc>
      </w:tr>
      <w:tr w:rsidR="00E6060C" w:rsidRPr="00E6060C" w14:paraId="18E14924" w14:textId="77777777" w:rsidTr="0035035C">
        <w:tc>
          <w:tcPr>
            <w:tcW w:w="1367" w:type="dxa"/>
          </w:tcPr>
          <w:p w14:paraId="0EDF62B8"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Three-factor</w:t>
            </w:r>
          </w:p>
        </w:tc>
        <w:tc>
          <w:tcPr>
            <w:tcW w:w="3167" w:type="dxa"/>
          </w:tcPr>
          <w:p w14:paraId="2ADAD7A1"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Autonomy</w:t>
            </w:r>
          </w:p>
        </w:tc>
        <w:tc>
          <w:tcPr>
            <w:tcW w:w="845" w:type="dxa"/>
          </w:tcPr>
          <w:p w14:paraId="288F0A7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w:t>
            </w:r>
          </w:p>
        </w:tc>
        <w:tc>
          <w:tcPr>
            <w:tcW w:w="1243" w:type="dxa"/>
            <w:tcBorders>
              <w:right w:val="single" w:sz="4" w:space="0" w:color="auto"/>
            </w:tcBorders>
          </w:tcPr>
          <w:p w14:paraId="12913BF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.84</w:t>
            </w:r>
          </w:p>
        </w:tc>
        <w:tc>
          <w:tcPr>
            <w:tcW w:w="759" w:type="dxa"/>
            <w:tcBorders>
              <w:left w:val="single" w:sz="4" w:space="0" w:color="auto"/>
              <w:bottom w:val="nil"/>
            </w:tcBorders>
          </w:tcPr>
          <w:p w14:paraId="68B555A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217</w:t>
            </w:r>
          </w:p>
        </w:tc>
        <w:tc>
          <w:tcPr>
            <w:tcW w:w="941" w:type="dxa"/>
            <w:tcBorders>
              <w:bottom w:val="nil"/>
            </w:tcBorders>
          </w:tcPr>
          <w:p w14:paraId="0FA4D8D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78.92</w:t>
            </w:r>
          </w:p>
        </w:tc>
        <w:tc>
          <w:tcPr>
            <w:tcW w:w="589" w:type="dxa"/>
            <w:tcBorders>
              <w:bottom w:val="nil"/>
            </w:tcBorders>
          </w:tcPr>
          <w:p w14:paraId="421F87C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24</w:t>
            </w:r>
          </w:p>
        </w:tc>
        <w:tc>
          <w:tcPr>
            <w:tcW w:w="833" w:type="dxa"/>
            <w:tcBorders>
              <w:bottom w:val="nil"/>
            </w:tcBorders>
          </w:tcPr>
          <w:p w14:paraId="4EA87E5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bottom w:val="nil"/>
            </w:tcBorders>
          </w:tcPr>
          <w:p w14:paraId="3103870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3.29</w:t>
            </w:r>
          </w:p>
        </w:tc>
        <w:tc>
          <w:tcPr>
            <w:tcW w:w="691" w:type="dxa"/>
            <w:tcBorders>
              <w:bottom w:val="nil"/>
            </w:tcBorders>
          </w:tcPr>
          <w:p w14:paraId="6F60E77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.94</w:t>
            </w:r>
          </w:p>
        </w:tc>
        <w:tc>
          <w:tcPr>
            <w:tcW w:w="674" w:type="dxa"/>
            <w:tcBorders>
              <w:bottom w:val="nil"/>
            </w:tcBorders>
          </w:tcPr>
          <w:p w14:paraId="739BE59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.92</w:t>
            </w:r>
          </w:p>
        </w:tc>
        <w:tc>
          <w:tcPr>
            <w:tcW w:w="967" w:type="dxa"/>
            <w:tcBorders>
              <w:bottom w:val="nil"/>
            </w:tcBorders>
          </w:tcPr>
          <w:p w14:paraId="3EC2CDE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.10</w:t>
            </w:r>
          </w:p>
        </w:tc>
        <w:tc>
          <w:tcPr>
            <w:tcW w:w="857" w:type="dxa"/>
            <w:tcBorders>
              <w:bottom w:val="nil"/>
            </w:tcBorders>
          </w:tcPr>
          <w:p w14:paraId="52621C3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6B2A5B0E" w14:textId="77777777" w:rsidTr="0035035C">
        <w:tc>
          <w:tcPr>
            <w:tcW w:w="1367" w:type="dxa"/>
          </w:tcPr>
          <w:p w14:paraId="15BFB7C8" w14:textId="77777777" w:rsidR="00E6060C" w:rsidRPr="00E6060C" w:rsidRDefault="00E6060C" w:rsidP="00E6060C">
            <w:pPr>
              <w:rPr>
                <w:rFonts w:ascii="Calibri" w:eastAsia="Calibri" w:hAnsi="Calibri" w:cs="Times New Roman"/>
              </w:rPr>
            </w:pPr>
          </w:p>
        </w:tc>
        <w:tc>
          <w:tcPr>
            <w:tcW w:w="3167" w:type="dxa"/>
          </w:tcPr>
          <w:p w14:paraId="76FA34FE"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Competence</w:t>
            </w:r>
          </w:p>
        </w:tc>
        <w:tc>
          <w:tcPr>
            <w:tcW w:w="845" w:type="dxa"/>
          </w:tcPr>
          <w:p w14:paraId="77CFDD1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w:t>
            </w:r>
          </w:p>
        </w:tc>
        <w:tc>
          <w:tcPr>
            <w:tcW w:w="1243" w:type="dxa"/>
            <w:tcBorders>
              <w:right w:val="single" w:sz="4" w:space="0" w:color="auto"/>
            </w:tcBorders>
          </w:tcPr>
          <w:p w14:paraId="7C61E66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.82</w:t>
            </w:r>
          </w:p>
        </w:tc>
        <w:tc>
          <w:tcPr>
            <w:tcW w:w="759" w:type="dxa"/>
            <w:tcBorders>
              <w:top w:val="nil"/>
              <w:left w:val="single" w:sz="4" w:space="0" w:color="auto"/>
              <w:bottom w:val="nil"/>
              <w:right w:val="nil"/>
            </w:tcBorders>
            <w:shd w:val="clear" w:color="auto" w:fill="D9D9D9"/>
          </w:tcPr>
          <w:p w14:paraId="52D164B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203</w:t>
            </w:r>
          </w:p>
        </w:tc>
        <w:tc>
          <w:tcPr>
            <w:tcW w:w="941" w:type="dxa"/>
            <w:tcBorders>
              <w:top w:val="nil"/>
              <w:left w:val="nil"/>
              <w:bottom w:val="nil"/>
              <w:right w:val="nil"/>
            </w:tcBorders>
            <w:shd w:val="clear" w:color="auto" w:fill="D9D9D9"/>
          </w:tcPr>
          <w:p w14:paraId="4611DC8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79.63</w:t>
            </w:r>
          </w:p>
        </w:tc>
        <w:tc>
          <w:tcPr>
            <w:tcW w:w="589" w:type="dxa"/>
            <w:tcBorders>
              <w:top w:val="nil"/>
              <w:left w:val="nil"/>
              <w:bottom w:val="nil"/>
              <w:right w:val="nil"/>
            </w:tcBorders>
            <w:shd w:val="clear" w:color="auto" w:fill="D9D9D9"/>
          </w:tcPr>
          <w:p w14:paraId="36471B2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24</w:t>
            </w:r>
          </w:p>
        </w:tc>
        <w:tc>
          <w:tcPr>
            <w:tcW w:w="833" w:type="dxa"/>
            <w:tcBorders>
              <w:top w:val="nil"/>
              <w:left w:val="nil"/>
              <w:bottom w:val="nil"/>
              <w:right w:val="nil"/>
            </w:tcBorders>
            <w:shd w:val="clear" w:color="auto" w:fill="D9D9D9"/>
          </w:tcPr>
          <w:p w14:paraId="60E8E89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top w:val="nil"/>
              <w:left w:val="nil"/>
              <w:bottom w:val="nil"/>
              <w:right w:val="nil"/>
            </w:tcBorders>
            <w:shd w:val="clear" w:color="auto" w:fill="D9D9D9"/>
          </w:tcPr>
          <w:p w14:paraId="6230427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3.32</w:t>
            </w:r>
          </w:p>
        </w:tc>
        <w:tc>
          <w:tcPr>
            <w:tcW w:w="691" w:type="dxa"/>
            <w:tcBorders>
              <w:top w:val="nil"/>
              <w:left w:val="nil"/>
              <w:bottom w:val="nil"/>
              <w:right w:val="nil"/>
            </w:tcBorders>
            <w:shd w:val="clear" w:color="auto" w:fill="D9D9D9"/>
          </w:tcPr>
          <w:p w14:paraId="7071FBD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.94</w:t>
            </w:r>
          </w:p>
        </w:tc>
        <w:tc>
          <w:tcPr>
            <w:tcW w:w="674" w:type="dxa"/>
            <w:tcBorders>
              <w:top w:val="nil"/>
              <w:left w:val="nil"/>
              <w:bottom w:val="nil"/>
              <w:right w:val="nil"/>
            </w:tcBorders>
            <w:shd w:val="clear" w:color="auto" w:fill="D9D9D9"/>
          </w:tcPr>
          <w:p w14:paraId="5FD7143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.91</w:t>
            </w:r>
          </w:p>
        </w:tc>
        <w:tc>
          <w:tcPr>
            <w:tcW w:w="967" w:type="dxa"/>
            <w:tcBorders>
              <w:top w:val="nil"/>
              <w:left w:val="nil"/>
              <w:bottom w:val="nil"/>
              <w:right w:val="nil"/>
            </w:tcBorders>
            <w:shd w:val="clear" w:color="auto" w:fill="D9D9D9"/>
          </w:tcPr>
          <w:p w14:paraId="592F42F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.11</w:t>
            </w:r>
          </w:p>
        </w:tc>
        <w:tc>
          <w:tcPr>
            <w:tcW w:w="857" w:type="dxa"/>
            <w:tcBorders>
              <w:top w:val="nil"/>
              <w:left w:val="nil"/>
              <w:bottom w:val="nil"/>
              <w:right w:val="nil"/>
            </w:tcBorders>
            <w:shd w:val="clear" w:color="auto" w:fill="D9D9D9"/>
          </w:tcPr>
          <w:p w14:paraId="052803E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.07</w:t>
            </w:r>
          </w:p>
        </w:tc>
      </w:tr>
      <w:tr w:rsidR="00E6060C" w:rsidRPr="00E6060C" w14:paraId="5DB25389" w14:textId="77777777" w:rsidTr="0035035C">
        <w:tc>
          <w:tcPr>
            <w:tcW w:w="1367" w:type="dxa"/>
          </w:tcPr>
          <w:p w14:paraId="52F41362" w14:textId="77777777" w:rsidR="00E6060C" w:rsidRPr="00E6060C" w:rsidRDefault="00E6060C" w:rsidP="00E6060C">
            <w:pPr>
              <w:rPr>
                <w:rFonts w:ascii="Calibri" w:eastAsia="Calibri" w:hAnsi="Calibri" w:cs="Times New Roman"/>
              </w:rPr>
            </w:pPr>
          </w:p>
        </w:tc>
        <w:tc>
          <w:tcPr>
            <w:tcW w:w="3167" w:type="dxa"/>
          </w:tcPr>
          <w:p w14:paraId="789874A2"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Relatedness</w:t>
            </w:r>
            <w:r w:rsidRPr="00E6060C">
              <w:rPr>
                <w:rFonts w:ascii="Calibri" w:eastAsia="Calibri" w:hAnsi="Calibri" w:cs="Times New Roman"/>
                <w:vertAlign w:val="superscript"/>
              </w:rPr>
              <w:t>3</w:t>
            </w:r>
          </w:p>
        </w:tc>
        <w:tc>
          <w:tcPr>
            <w:tcW w:w="845" w:type="dxa"/>
          </w:tcPr>
          <w:p w14:paraId="0BBF697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w:t>
            </w:r>
          </w:p>
        </w:tc>
        <w:tc>
          <w:tcPr>
            <w:tcW w:w="1243" w:type="dxa"/>
            <w:tcBorders>
              <w:right w:val="single" w:sz="4" w:space="0" w:color="auto"/>
            </w:tcBorders>
          </w:tcPr>
          <w:p w14:paraId="493E6CA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.76</w:t>
            </w:r>
          </w:p>
        </w:tc>
        <w:tc>
          <w:tcPr>
            <w:tcW w:w="759" w:type="dxa"/>
            <w:tcBorders>
              <w:top w:val="nil"/>
              <w:left w:val="single" w:sz="4" w:space="0" w:color="auto"/>
              <w:bottom w:val="nil"/>
              <w:right w:val="nil"/>
            </w:tcBorders>
            <w:shd w:val="clear" w:color="auto" w:fill="auto"/>
          </w:tcPr>
          <w:p w14:paraId="7ADA00E6" w14:textId="77777777" w:rsidR="00E6060C" w:rsidRPr="00E6060C" w:rsidRDefault="00E6060C" w:rsidP="00E6060C">
            <w:pPr>
              <w:jc w:val="center"/>
              <w:rPr>
                <w:rFonts w:ascii="Calibri" w:eastAsia="Calibri" w:hAnsi="Calibri" w:cs="Times New Roman"/>
              </w:rPr>
            </w:pPr>
          </w:p>
        </w:tc>
        <w:tc>
          <w:tcPr>
            <w:tcW w:w="941" w:type="dxa"/>
            <w:tcBorders>
              <w:top w:val="nil"/>
              <w:left w:val="nil"/>
              <w:bottom w:val="nil"/>
              <w:right w:val="nil"/>
            </w:tcBorders>
            <w:shd w:val="clear" w:color="auto" w:fill="auto"/>
          </w:tcPr>
          <w:p w14:paraId="18618266" w14:textId="77777777" w:rsidR="00E6060C" w:rsidRPr="00E6060C" w:rsidRDefault="00E6060C" w:rsidP="00E6060C">
            <w:pPr>
              <w:jc w:val="center"/>
              <w:rPr>
                <w:rFonts w:ascii="Calibri" w:eastAsia="Calibri" w:hAnsi="Calibri" w:cs="Times New Roman"/>
              </w:rPr>
            </w:pPr>
          </w:p>
        </w:tc>
        <w:tc>
          <w:tcPr>
            <w:tcW w:w="589" w:type="dxa"/>
            <w:tcBorders>
              <w:top w:val="nil"/>
              <w:left w:val="nil"/>
              <w:bottom w:val="nil"/>
              <w:right w:val="nil"/>
            </w:tcBorders>
            <w:shd w:val="clear" w:color="auto" w:fill="auto"/>
          </w:tcPr>
          <w:p w14:paraId="6FD44CDB" w14:textId="77777777" w:rsidR="00E6060C" w:rsidRPr="00E6060C" w:rsidRDefault="00E6060C" w:rsidP="00E6060C">
            <w:pPr>
              <w:jc w:val="center"/>
              <w:rPr>
                <w:rFonts w:ascii="Calibri" w:eastAsia="Calibri" w:hAnsi="Calibri" w:cs="Times New Roman"/>
              </w:rPr>
            </w:pPr>
          </w:p>
        </w:tc>
        <w:tc>
          <w:tcPr>
            <w:tcW w:w="833" w:type="dxa"/>
            <w:tcBorders>
              <w:top w:val="nil"/>
              <w:left w:val="nil"/>
              <w:bottom w:val="nil"/>
              <w:right w:val="nil"/>
            </w:tcBorders>
            <w:shd w:val="clear" w:color="auto" w:fill="auto"/>
          </w:tcPr>
          <w:p w14:paraId="3E956A8A" w14:textId="77777777" w:rsidR="00E6060C" w:rsidRPr="00E6060C" w:rsidRDefault="00E6060C" w:rsidP="00E6060C">
            <w:pPr>
              <w:jc w:val="center"/>
              <w:rPr>
                <w:rFonts w:ascii="Calibri" w:eastAsia="Calibri" w:hAnsi="Calibri" w:cs="Times New Roman"/>
              </w:rPr>
            </w:pPr>
          </w:p>
        </w:tc>
        <w:tc>
          <w:tcPr>
            <w:tcW w:w="1012" w:type="dxa"/>
            <w:tcBorders>
              <w:top w:val="nil"/>
              <w:left w:val="nil"/>
              <w:bottom w:val="nil"/>
              <w:right w:val="nil"/>
            </w:tcBorders>
            <w:shd w:val="clear" w:color="auto" w:fill="auto"/>
          </w:tcPr>
          <w:p w14:paraId="05250914" w14:textId="77777777" w:rsidR="00E6060C" w:rsidRPr="00E6060C" w:rsidRDefault="00E6060C" w:rsidP="00E6060C">
            <w:pPr>
              <w:jc w:val="center"/>
              <w:rPr>
                <w:rFonts w:ascii="Calibri" w:eastAsia="Calibri" w:hAnsi="Calibri" w:cs="Times New Roman"/>
              </w:rPr>
            </w:pPr>
          </w:p>
        </w:tc>
        <w:tc>
          <w:tcPr>
            <w:tcW w:w="691" w:type="dxa"/>
            <w:tcBorders>
              <w:top w:val="nil"/>
              <w:left w:val="nil"/>
              <w:bottom w:val="nil"/>
              <w:right w:val="nil"/>
            </w:tcBorders>
            <w:shd w:val="clear" w:color="auto" w:fill="auto"/>
          </w:tcPr>
          <w:p w14:paraId="78D9E8AD" w14:textId="77777777" w:rsidR="00E6060C" w:rsidRPr="00E6060C" w:rsidRDefault="00E6060C" w:rsidP="00E6060C">
            <w:pPr>
              <w:jc w:val="center"/>
              <w:rPr>
                <w:rFonts w:ascii="Calibri" w:eastAsia="Calibri" w:hAnsi="Calibri" w:cs="Times New Roman"/>
              </w:rPr>
            </w:pPr>
          </w:p>
        </w:tc>
        <w:tc>
          <w:tcPr>
            <w:tcW w:w="674" w:type="dxa"/>
            <w:tcBorders>
              <w:top w:val="nil"/>
              <w:left w:val="nil"/>
              <w:bottom w:val="nil"/>
              <w:right w:val="nil"/>
            </w:tcBorders>
            <w:shd w:val="clear" w:color="auto" w:fill="auto"/>
          </w:tcPr>
          <w:p w14:paraId="5AC03FB0" w14:textId="77777777" w:rsidR="00E6060C" w:rsidRPr="00E6060C" w:rsidRDefault="00E6060C" w:rsidP="00E6060C">
            <w:pPr>
              <w:jc w:val="center"/>
              <w:rPr>
                <w:rFonts w:ascii="Calibri" w:eastAsia="Calibri" w:hAnsi="Calibri" w:cs="Times New Roman"/>
              </w:rPr>
            </w:pPr>
          </w:p>
        </w:tc>
        <w:tc>
          <w:tcPr>
            <w:tcW w:w="967" w:type="dxa"/>
            <w:tcBorders>
              <w:top w:val="nil"/>
              <w:left w:val="nil"/>
              <w:bottom w:val="nil"/>
              <w:right w:val="nil"/>
            </w:tcBorders>
            <w:shd w:val="clear" w:color="auto" w:fill="auto"/>
          </w:tcPr>
          <w:p w14:paraId="1C58331C" w14:textId="77777777" w:rsidR="00E6060C" w:rsidRPr="00E6060C" w:rsidRDefault="00E6060C" w:rsidP="00E6060C">
            <w:pPr>
              <w:jc w:val="center"/>
              <w:rPr>
                <w:rFonts w:ascii="Calibri" w:eastAsia="Calibri" w:hAnsi="Calibri" w:cs="Times New Roman"/>
              </w:rPr>
            </w:pPr>
          </w:p>
        </w:tc>
        <w:tc>
          <w:tcPr>
            <w:tcW w:w="857" w:type="dxa"/>
            <w:tcBorders>
              <w:top w:val="nil"/>
              <w:left w:val="nil"/>
              <w:bottom w:val="nil"/>
              <w:right w:val="nil"/>
            </w:tcBorders>
            <w:shd w:val="clear" w:color="auto" w:fill="auto"/>
          </w:tcPr>
          <w:p w14:paraId="7EAD696C" w14:textId="77777777" w:rsidR="00E6060C" w:rsidRPr="00E6060C" w:rsidRDefault="00E6060C" w:rsidP="00E6060C">
            <w:pPr>
              <w:jc w:val="center"/>
              <w:rPr>
                <w:rFonts w:ascii="Calibri" w:eastAsia="Calibri" w:hAnsi="Calibri" w:cs="Times New Roman"/>
              </w:rPr>
            </w:pPr>
          </w:p>
        </w:tc>
      </w:tr>
      <w:tr w:rsidR="00E6060C" w:rsidRPr="00E6060C" w14:paraId="65CD5037" w14:textId="77777777" w:rsidTr="0035035C">
        <w:tc>
          <w:tcPr>
            <w:tcW w:w="4534" w:type="dxa"/>
            <w:gridSpan w:val="2"/>
          </w:tcPr>
          <w:p w14:paraId="1D3B9FFD"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Work engagement</w:t>
            </w:r>
          </w:p>
        </w:tc>
        <w:tc>
          <w:tcPr>
            <w:tcW w:w="845" w:type="dxa"/>
          </w:tcPr>
          <w:p w14:paraId="137571FF" w14:textId="77777777" w:rsidR="00E6060C" w:rsidRPr="00E6060C" w:rsidRDefault="00E6060C" w:rsidP="00E6060C">
            <w:pPr>
              <w:jc w:val="center"/>
              <w:rPr>
                <w:rFonts w:ascii="Calibri" w:eastAsia="Calibri" w:hAnsi="Calibri" w:cs="Times New Roman"/>
              </w:rPr>
            </w:pPr>
          </w:p>
        </w:tc>
        <w:tc>
          <w:tcPr>
            <w:tcW w:w="1243" w:type="dxa"/>
            <w:tcBorders>
              <w:right w:val="single" w:sz="4" w:space="0" w:color="auto"/>
            </w:tcBorders>
          </w:tcPr>
          <w:p w14:paraId="1BA3093F" w14:textId="77777777" w:rsidR="00E6060C" w:rsidRPr="00E6060C" w:rsidRDefault="00E6060C" w:rsidP="00E6060C">
            <w:pPr>
              <w:jc w:val="center"/>
              <w:rPr>
                <w:rFonts w:ascii="Calibri" w:eastAsia="Calibri" w:hAnsi="Calibri" w:cs="Times New Roman"/>
              </w:rPr>
            </w:pPr>
          </w:p>
        </w:tc>
        <w:tc>
          <w:tcPr>
            <w:tcW w:w="759" w:type="dxa"/>
            <w:tcBorders>
              <w:top w:val="nil"/>
              <w:left w:val="single" w:sz="4" w:space="0" w:color="auto"/>
            </w:tcBorders>
          </w:tcPr>
          <w:p w14:paraId="58A685E9" w14:textId="77777777" w:rsidR="00E6060C" w:rsidRPr="00E6060C" w:rsidRDefault="00E6060C" w:rsidP="00E6060C">
            <w:pPr>
              <w:jc w:val="center"/>
              <w:rPr>
                <w:rFonts w:ascii="Calibri" w:eastAsia="Calibri" w:hAnsi="Calibri" w:cs="Times New Roman"/>
              </w:rPr>
            </w:pPr>
          </w:p>
        </w:tc>
        <w:tc>
          <w:tcPr>
            <w:tcW w:w="941" w:type="dxa"/>
            <w:tcBorders>
              <w:top w:val="nil"/>
            </w:tcBorders>
          </w:tcPr>
          <w:p w14:paraId="076C1530" w14:textId="77777777" w:rsidR="00E6060C" w:rsidRPr="00E6060C" w:rsidRDefault="00E6060C" w:rsidP="00E6060C">
            <w:pPr>
              <w:jc w:val="center"/>
              <w:rPr>
                <w:rFonts w:ascii="Calibri" w:eastAsia="Calibri" w:hAnsi="Calibri" w:cs="Times New Roman"/>
              </w:rPr>
            </w:pPr>
          </w:p>
        </w:tc>
        <w:tc>
          <w:tcPr>
            <w:tcW w:w="589" w:type="dxa"/>
            <w:tcBorders>
              <w:top w:val="nil"/>
            </w:tcBorders>
          </w:tcPr>
          <w:p w14:paraId="5875883C" w14:textId="77777777" w:rsidR="00E6060C" w:rsidRPr="00E6060C" w:rsidRDefault="00E6060C" w:rsidP="00E6060C">
            <w:pPr>
              <w:jc w:val="center"/>
              <w:rPr>
                <w:rFonts w:ascii="Calibri" w:eastAsia="Calibri" w:hAnsi="Calibri" w:cs="Times New Roman"/>
              </w:rPr>
            </w:pPr>
          </w:p>
        </w:tc>
        <w:tc>
          <w:tcPr>
            <w:tcW w:w="833" w:type="dxa"/>
            <w:tcBorders>
              <w:top w:val="nil"/>
            </w:tcBorders>
          </w:tcPr>
          <w:p w14:paraId="2FF84FAC" w14:textId="77777777" w:rsidR="00E6060C" w:rsidRPr="00E6060C" w:rsidRDefault="00E6060C" w:rsidP="00E6060C">
            <w:pPr>
              <w:jc w:val="center"/>
              <w:rPr>
                <w:rFonts w:ascii="Calibri" w:eastAsia="Calibri" w:hAnsi="Calibri" w:cs="Times New Roman"/>
              </w:rPr>
            </w:pPr>
          </w:p>
        </w:tc>
        <w:tc>
          <w:tcPr>
            <w:tcW w:w="1012" w:type="dxa"/>
            <w:tcBorders>
              <w:top w:val="nil"/>
            </w:tcBorders>
          </w:tcPr>
          <w:p w14:paraId="64154636" w14:textId="77777777" w:rsidR="00E6060C" w:rsidRPr="00E6060C" w:rsidRDefault="00E6060C" w:rsidP="00E6060C">
            <w:pPr>
              <w:jc w:val="center"/>
              <w:rPr>
                <w:rFonts w:ascii="Calibri" w:eastAsia="Calibri" w:hAnsi="Calibri" w:cs="Times New Roman"/>
              </w:rPr>
            </w:pPr>
          </w:p>
        </w:tc>
        <w:tc>
          <w:tcPr>
            <w:tcW w:w="691" w:type="dxa"/>
            <w:tcBorders>
              <w:top w:val="nil"/>
            </w:tcBorders>
          </w:tcPr>
          <w:p w14:paraId="1F335F75" w14:textId="77777777" w:rsidR="00E6060C" w:rsidRPr="00E6060C" w:rsidRDefault="00E6060C" w:rsidP="00E6060C">
            <w:pPr>
              <w:jc w:val="center"/>
              <w:rPr>
                <w:rFonts w:ascii="Calibri" w:eastAsia="Calibri" w:hAnsi="Calibri" w:cs="Times New Roman"/>
              </w:rPr>
            </w:pPr>
          </w:p>
        </w:tc>
        <w:tc>
          <w:tcPr>
            <w:tcW w:w="674" w:type="dxa"/>
            <w:tcBorders>
              <w:top w:val="nil"/>
            </w:tcBorders>
          </w:tcPr>
          <w:p w14:paraId="10E1DD2E" w14:textId="77777777" w:rsidR="00E6060C" w:rsidRPr="00E6060C" w:rsidRDefault="00E6060C" w:rsidP="00E6060C">
            <w:pPr>
              <w:jc w:val="center"/>
              <w:rPr>
                <w:rFonts w:ascii="Calibri" w:eastAsia="Calibri" w:hAnsi="Calibri" w:cs="Times New Roman"/>
              </w:rPr>
            </w:pPr>
          </w:p>
        </w:tc>
        <w:tc>
          <w:tcPr>
            <w:tcW w:w="967" w:type="dxa"/>
            <w:tcBorders>
              <w:top w:val="nil"/>
            </w:tcBorders>
          </w:tcPr>
          <w:p w14:paraId="43EEE0BD" w14:textId="77777777" w:rsidR="00E6060C" w:rsidRPr="00E6060C" w:rsidRDefault="00E6060C" w:rsidP="00E6060C">
            <w:pPr>
              <w:jc w:val="center"/>
              <w:rPr>
                <w:rFonts w:ascii="Calibri" w:eastAsia="Calibri" w:hAnsi="Calibri" w:cs="Times New Roman"/>
              </w:rPr>
            </w:pPr>
          </w:p>
        </w:tc>
        <w:tc>
          <w:tcPr>
            <w:tcW w:w="857" w:type="dxa"/>
            <w:tcBorders>
              <w:top w:val="nil"/>
            </w:tcBorders>
          </w:tcPr>
          <w:p w14:paraId="3E3080E3" w14:textId="77777777" w:rsidR="00E6060C" w:rsidRPr="00E6060C" w:rsidRDefault="00E6060C" w:rsidP="00E6060C">
            <w:pPr>
              <w:jc w:val="center"/>
              <w:rPr>
                <w:rFonts w:ascii="Calibri" w:eastAsia="Calibri" w:hAnsi="Calibri" w:cs="Times New Roman"/>
              </w:rPr>
            </w:pPr>
          </w:p>
        </w:tc>
      </w:tr>
      <w:tr w:rsidR="00E6060C" w:rsidRPr="00E6060C" w14:paraId="0D3574D3" w14:textId="77777777" w:rsidTr="0035035C">
        <w:tc>
          <w:tcPr>
            <w:tcW w:w="1367" w:type="dxa"/>
          </w:tcPr>
          <w:p w14:paraId="108B4053"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One-factor</w:t>
            </w:r>
          </w:p>
        </w:tc>
        <w:tc>
          <w:tcPr>
            <w:tcW w:w="3167" w:type="dxa"/>
          </w:tcPr>
          <w:p w14:paraId="492F6AAC"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Work engagement</w:t>
            </w:r>
          </w:p>
        </w:tc>
        <w:tc>
          <w:tcPr>
            <w:tcW w:w="845" w:type="dxa"/>
          </w:tcPr>
          <w:p w14:paraId="3B1C1D0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w:t>
            </w:r>
          </w:p>
        </w:tc>
        <w:tc>
          <w:tcPr>
            <w:tcW w:w="1243" w:type="dxa"/>
            <w:tcBorders>
              <w:right w:val="single" w:sz="4" w:space="0" w:color="auto"/>
            </w:tcBorders>
          </w:tcPr>
          <w:p w14:paraId="4091850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.91</w:t>
            </w:r>
          </w:p>
        </w:tc>
        <w:tc>
          <w:tcPr>
            <w:tcW w:w="759" w:type="dxa"/>
            <w:tcBorders>
              <w:left w:val="single" w:sz="4" w:space="0" w:color="auto"/>
              <w:bottom w:val="nil"/>
            </w:tcBorders>
          </w:tcPr>
          <w:p w14:paraId="29A868C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217</w:t>
            </w:r>
          </w:p>
        </w:tc>
        <w:tc>
          <w:tcPr>
            <w:tcW w:w="941" w:type="dxa"/>
            <w:tcBorders>
              <w:bottom w:val="nil"/>
            </w:tcBorders>
          </w:tcPr>
          <w:p w14:paraId="3CC980D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154.81</w:t>
            </w:r>
          </w:p>
        </w:tc>
        <w:tc>
          <w:tcPr>
            <w:tcW w:w="589" w:type="dxa"/>
            <w:tcBorders>
              <w:bottom w:val="nil"/>
            </w:tcBorders>
          </w:tcPr>
          <w:p w14:paraId="195FFE4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w:t>
            </w:r>
          </w:p>
        </w:tc>
        <w:tc>
          <w:tcPr>
            <w:tcW w:w="833" w:type="dxa"/>
            <w:tcBorders>
              <w:bottom w:val="nil"/>
            </w:tcBorders>
          </w:tcPr>
          <w:p w14:paraId="12AA217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bottom w:val="nil"/>
            </w:tcBorders>
          </w:tcPr>
          <w:p w14:paraId="23D3876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5.73</w:t>
            </w:r>
          </w:p>
        </w:tc>
        <w:tc>
          <w:tcPr>
            <w:tcW w:w="691" w:type="dxa"/>
            <w:tcBorders>
              <w:bottom w:val="nil"/>
            </w:tcBorders>
          </w:tcPr>
          <w:p w14:paraId="04FDA5A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.88</w:t>
            </w:r>
          </w:p>
        </w:tc>
        <w:tc>
          <w:tcPr>
            <w:tcW w:w="674" w:type="dxa"/>
            <w:tcBorders>
              <w:bottom w:val="nil"/>
            </w:tcBorders>
          </w:tcPr>
          <w:p w14:paraId="11C9A6F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.86</w:t>
            </w:r>
          </w:p>
        </w:tc>
        <w:tc>
          <w:tcPr>
            <w:tcW w:w="967" w:type="dxa"/>
            <w:tcBorders>
              <w:bottom w:val="nil"/>
            </w:tcBorders>
          </w:tcPr>
          <w:p w14:paraId="0017A97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.15</w:t>
            </w:r>
          </w:p>
        </w:tc>
        <w:tc>
          <w:tcPr>
            <w:tcW w:w="857" w:type="dxa"/>
            <w:tcBorders>
              <w:bottom w:val="nil"/>
            </w:tcBorders>
          </w:tcPr>
          <w:p w14:paraId="26CC787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4BDB00A6" w14:textId="77777777" w:rsidTr="0035035C">
        <w:tc>
          <w:tcPr>
            <w:tcW w:w="1367" w:type="dxa"/>
          </w:tcPr>
          <w:p w14:paraId="56CF87BC" w14:textId="77777777" w:rsidR="00E6060C" w:rsidRPr="00E6060C" w:rsidRDefault="00E6060C" w:rsidP="00E6060C">
            <w:pPr>
              <w:rPr>
                <w:rFonts w:ascii="Calibri" w:eastAsia="Calibri" w:hAnsi="Calibri" w:cs="Times New Roman"/>
              </w:rPr>
            </w:pPr>
          </w:p>
        </w:tc>
        <w:tc>
          <w:tcPr>
            <w:tcW w:w="3167" w:type="dxa"/>
          </w:tcPr>
          <w:p w14:paraId="72972344" w14:textId="77777777" w:rsidR="00E6060C" w:rsidRPr="00E6060C" w:rsidRDefault="00E6060C" w:rsidP="00E6060C">
            <w:pPr>
              <w:rPr>
                <w:rFonts w:ascii="Calibri" w:eastAsia="Calibri" w:hAnsi="Calibri" w:cs="Times New Roman"/>
              </w:rPr>
            </w:pPr>
          </w:p>
        </w:tc>
        <w:tc>
          <w:tcPr>
            <w:tcW w:w="845" w:type="dxa"/>
          </w:tcPr>
          <w:p w14:paraId="2B30DE17" w14:textId="77777777" w:rsidR="00E6060C" w:rsidRPr="00E6060C" w:rsidRDefault="00E6060C" w:rsidP="00E6060C">
            <w:pPr>
              <w:jc w:val="center"/>
              <w:rPr>
                <w:rFonts w:ascii="Calibri" w:eastAsia="Calibri" w:hAnsi="Calibri" w:cs="Times New Roman"/>
              </w:rPr>
            </w:pPr>
          </w:p>
        </w:tc>
        <w:tc>
          <w:tcPr>
            <w:tcW w:w="1243" w:type="dxa"/>
            <w:tcBorders>
              <w:right w:val="single" w:sz="4" w:space="0" w:color="auto"/>
            </w:tcBorders>
          </w:tcPr>
          <w:p w14:paraId="0CC4F1E6" w14:textId="77777777" w:rsidR="00E6060C" w:rsidRPr="00E6060C" w:rsidRDefault="00E6060C" w:rsidP="00E6060C">
            <w:pPr>
              <w:jc w:val="center"/>
              <w:rPr>
                <w:rFonts w:ascii="Calibri" w:eastAsia="Calibri" w:hAnsi="Calibri" w:cs="Times New Roman"/>
              </w:rPr>
            </w:pPr>
          </w:p>
        </w:tc>
        <w:tc>
          <w:tcPr>
            <w:tcW w:w="759" w:type="dxa"/>
            <w:tcBorders>
              <w:top w:val="nil"/>
              <w:left w:val="single" w:sz="4" w:space="0" w:color="auto"/>
              <w:bottom w:val="nil"/>
            </w:tcBorders>
            <w:shd w:val="clear" w:color="auto" w:fill="D9D9D9"/>
          </w:tcPr>
          <w:p w14:paraId="7A80BA5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191</w:t>
            </w:r>
          </w:p>
        </w:tc>
        <w:tc>
          <w:tcPr>
            <w:tcW w:w="941" w:type="dxa"/>
            <w:tcBorders>
              <w:top w:val="nil"/>
              <w:bottom w:val="nil"/>
            </w:tcBorders>
            <w:shd w:val="clear" w:color="auto" w:fill="D9D9D9"/>
          </w:tcPr>
          <w:p w14:paraId="3779F89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137.60</w:t>
            </w:r>
          </w:p>
        </w:tc>
        <w:tc>
          <w:tcPr>
            <w:tcW w:w="589" w:type="dxa"/>
            <w:tcBorders>
              <w:top w:val="nil"/>
              <w:bottom w:val="nil"/>
            </w:tcBorders>
            <w:shd w:val="clear" w:color="auto" w:fill="D9D9D9"/>
          </w:tcPr>
          <w:p w14:paraId="5D41C5D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w:t>
            </w:r>
          </w:p>
        </w:tc>
        <w:tc>
          <w:tcPr>
            <w:tcW w:w="833" w:type="dxa"/>
            <w:tcBorders>
              <w:top w:val="nil"/>
              <w:bottom w:val="nil"/>
            </w:tcBorders>
            <w:shd w:val="clear" w:color="auto" w:fill="D9D9D9"/>
          </w:tcPr>
          <w:p w14:paraId="3F4FA9E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top w:val="nil"/>
              <w:bottom w:val="nil"/>
            </w:tcBorders>
            <w:shd w:val="clear" w:color="auto" w:fill="D9D9D9"/>
          </w:tcPr>
          <w:p w14:paraId="6E36438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5.10</w:t>
            </w:r>
          </w:p>
        </w:tc>
        <w:tc>
          <w:tcPr>
            <w:tcW w:w="691" w:type="dxa"/>
            <w:tcBorders>
              <w:top w:val="nil"/>
              <w:bottom w:val="nil"/>
            </w:tcBorders>
            <w:shd w:val="clear" w:color="auto" w:fill="D9D9D9"/>
          </w:tcPr>
          <w:p w14:paraId="32CA9EB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.89</w:t>
            </w:r>
          </w:p>
        </w:tc>
        <w:tc>
          <w:tcPr>
            <w:tcW w:w="674" w:type="dxa"/>
            <w:tcBorders>
              <w:top w:val="nil"/>
              <w:bottom w:val="nil"/>
            </w:tcBorders>
            <w:shd w:val="clear" w:color="auto" w:fill="D9D9D9"/>
          </w:tcPr>
          <w:p w14:paraId="22379D5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.87</w:t>
            </w:r>
          </w:p>
        </w:tc>
        <w:tc>
          <w:tcPr>
            <w:tcW w:w="967" w:type="dxa"/>
            <w:tcBorders>
              <w:top w:val="nil"/>
              <w:bottom w:val="nil"/>
            </w:tcBorders>
            <w:shd w:val="clear" w:color="auto" w:fill="D9D9D9"/>
          </w:tcPr>
          <w:p w14:paraId="4A9BB15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.15</w:t>
            </w:r>
          </w:p>
        </w:tc>
        <w:tc>
          <w:tcPr>
            <w:tcW w:w="857" w:type="dxa"/>
            <w:tcBorders>
              <w:top w:val="nil"/>
              <w:bottom w:val="nil"/>
            </w:tcBorders>
            <w:shd w:val="clear" w:color="auto" w:fill="D9D9D9"/>
          </w:tcPr>
          <w:p w14:paraId="51EEA92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.06</w:t>
            </w:r>
          </w:p>
        </w:tc>
      </w:tr>
      <w:tr w:rsidR="00E6060C" w:rsidRPr="00E6060C" w14:paraId="5956D29A" w14:textId="77777777" w:rsidTr="0035035C">
        <w:tc>
          <w:tcPr>
            <w:tcW w:w="4534" w:type="dxa"/>
            <w:gridSpan w:val="2"/>
          </w:tcPr>
          <w:p w14:paraId="2BB4B9D8" w14:textId="2DFE8842" w:rsidR="00E6060C" w:rsidRPr="00E6060C" w:rsidRDefault="001D6140" w:rsidP="00E6060C">
            <w:pPr>
              <w:rPr>
                <w:rFonts w:ascii="Calibri" w:eastAsia="Calibri" w:hAnsi="Calibri" w:cs="Times New Roman"/>
                <w:b/>
              </w:rPr>
            </w:pPr>
            <w:r>
              <w:rPr>
                <w:rFonts w:ascii="Calibri" w:eastAsia="Calibri" w:hAnsi="Calibri" w:cs="Times New Roman"/>
                <w:b/>
              </w:rPr>
              <w:t>Well-being</w:t>
            </w:r>
          </w:p>
        </w:tc>
        <w:tc>
          <w:tcPr>
            <w:tcW w:w="845" w:type="dxa"/>
          </w:tcPr>
          <w:p w14:paraId="4F4A6FA1" w14:textId="77777777" w:rsidR="00E6060C" w:rsidRPr="00E6060C" w:rsidRDefault="00E6060C" w:rsidP="00E6060C">
            <w:pPr>
              <w:jc w:val="center"/>
              <w:rPr>
                <w:rFonts w:ascii="Calibri" w:eastAsia="Calibri" w:hAnsi="Calibri" w:cs="Times New Roman"/>
              </w:rPr>
            </w:pPr>
          </w:p>
        </w:tc>
        <w:tc>
          <w:tcPr>
            <w:tcW w:w="1243" w:type="dxa"/>
            <w:tcBorders>
              <w:right w:val="single" w:sz="4" w:space="0" w:color="auto"/>
            </w:tcBorders>
          </w:tcPr>
          <w:p w14:paraId="75A95D5C" w14:textId="77777777" w:rsidR="00E6060C" w:rsidRPr="00E6060C" w:rsidRDefault="00E6060C" w:rsidP="00E6060C">
            <w:pPr>
              <w:jc w:val="center"/>
              <w:rPr>
                <w:rFonts w:ascii="Calibri" w:eastAsia="Calibri" w:hAnsi="Calibri" w:cs="Times New Roman"/>
              </w:rPr>
            </w:pPr>
          </w:p>
        </w:tc>
        <w:tc>
          <w:tcPr>
            <w:tcW w:w="759" w:type="dxa"/>
            <w:tcBorders>
              <w:top w:val="nil"/>
              <w:left w:val="single" w:sz="4" w:space="0" w:color="auto"/>
            </w:tcBorders>
          </w:tcPr>
          <w:p w14:paraId="7D6F8582" w14:textId="77777777" w:rsidR="00E6060C" w:rsidRPr="00E6060C" w:rsidRDefault="00E6060C" w:rsidP="00E6060C">
            <w:pPr>
              <w:jc w:val="center"/>
              <w:rPr>
                <w:rFonts w:ascii="Calibri" w:eastAsia="Calibri" w:hAnsi="Calibri" w:cs="Times New Roman"/>
              </w:rPr>
            </w:pPr>
          </w:p>
        </w:tc>
        <w:tc>
          <w:tcPr>
            <w:tcW w:w="941" w:type="dxa"/>
            <w:tcBorders>
              <w:top w:val="nil"/>
            </w:tcBorders>
          </w:tcPr>
          <w:p w14:paraId="3A61CC6E" w14:textId="77777777" w:rsidR="00E6060C" w:rsidRPr="00E6060C" w:rsidRDefault="00E6060C" w:rsidP="00E6060C">
            <w:pPr>
              <w:jc w:val="center"/>
              <w:rPr>
                <w:rFonts w:ascii="Calibri" w:eastAsia="Calibri" w:hAnsi="Calibri" w:cs="Times New Roman"/>
              </w:rPr>
            </w:pPr>
          </w:p>
        </w:tc>
        <w:tc>
          <w:tcPr>
            <w:tcW w:w="589" w:type="dxa"/>
            <w:tcBorders>
              <w:top w:val="nil"/>
            </w:tcBorders>
          </w:tcPr>
          <w:p w14:paraId="54EC69B5" w14:textId="77777777" w:rsidR="00E6060C" w:rsidRPr="00E6060C" w:rsidRDefault="00E6060C" w:rsidP="00E6060C">
            <w:pPr>
              <w:jc w:val="center"/>
              <w:rPr>
                <w:rFonts w:ascii="Calibri" w:eastAsia="Calibri" w:hAnsi="Calibri" w:cs="Times New Roman"/>
              </w:rPr>
            </w:pPr>
          </w:p>
        </w:tc>
        <w:tc>
          <w:tcPr>
            <w:tcW w:w="833" w:type="dxa"/>
            <w:tcBorders>
              <w:top w:val="nil"/>
            </w:tcBorders>
          </w:tcPr>
          <w:p w14:paraId="0CA0251D" w14:textId="77777777" w:rsidR="00E6060C" w:rsidRPr="00E6060C" w:rsidRDefault="00E6060C" w:rsidP="00E6060C">
            <w:pPr>
              <w:jc w:val="center"/>
              <w:rPr>
                <w:rFonts w:ascii="Calibri" w:eastAsia="Calibri" w:hAnsi="Calibri" w:cs="Times New Roman"/>
              </w:rPr>
            </w:pPr>
          </w:p>
        </w:tc>
        <w:tc>
          <w:tcPr>
            <w:tcW w:w="1012" w:type="dxa"/>
            <w:tcBorders>
              <w:top w:val="nil"/>
            </w:tcBorders>
          </w:tcPr>
          <w:p w14:paraId="76BC93A3" w14:textId="77777777" w:rsidR="00E6060C" w:rsidRPr="00E6060C" w:rsidRDefault="00E6060C" w:rsidP="00E6060C">
            <w:pPr>
              <w:jc w:val="center"/>
              <w:rPr>
                <w:rFonts w:ascii="Calibri" w:eastAsia="Calibri" w:hAnsi="Calibri" w:cs="Times New Roman"/>
              </w:rPr>
            </w:pPr>
          </w:p>
        </w:tc>
        <w:tc>
          <w:tcPr>
            <w:tcW w:w="691" w:type="dxa"/>
            <w:tcBorders>
              <w:top w:val="nil"/>
            </w:tcBorders>
          </w:tcPr>
          <w:p w14:paraId="3B78C6B5" w14:textId="77777777" w:rsidR="00E6060C" w:rsidRPr="00E6060C" w:rsidRDefault="00E6060C" w:rsidP="00E6060C">
            <w:pPr>
              <w:jc w:val="center"/>
              <w:rPr>
                <w:rFonts w:ascii="Calibri" w:eastAsia="Calibri" w:hAnsi="Calibri" w:cs="Times New Roman"/>
              </w:rPr>
            </w:pPr>
          </w:p>
        </w:tc>
        <w:tc>
          <w:tcPr>
            <w:tcW w:w="674" w:type="dxa"/>
            <w:tcBorders>
              <w:top w:val="nil"/>
            </w:tcBorders>
          </w:tcPr>
          <w:p w14:paraId="236BD636" w14:textId="77777777" w:rsidR="00E6060C" w:rsidRPr="00E6060C" w:rsidRDefault="00E6060C" w:rsidP="00E6060C">
            <w:pPr>
              <w:jc w:val="center"/>
              <w:rPr>
                <w:rFonts w:ascii="Calibri" w:eastAsia="Calibri" w:hAnsi="Calibri" w:cs="Times New Roman"/>
              </w:rPr>
            </w:pPr>
          </w:p>
        </w:tc>
        <w:tc>
          <w:tcPr>
            <w:tcW w:w="967" w:type="dxa"/>
            <w:tcBorders>
              <w:top w:val="nil"/>
            </w:tcBorders>
          </w:tcPr>
          <w:p w14:paraId="7B05A1E4" w14:textId="77777777" w:rsidR="00E6060C" w:rsidRPr="00E6060C" w:rsidRDefault="00E6060C" w:rsidP="00E6060C">
            <w:pPr>
              <w:jc w:val="center"/>
              <w:rPr>
                <w:rFonts w:ascii="Calibri" w:eastAsia="Calibri" w:hAnsi="Calibri" w:cs="Times New Roman"/>
              </w:rPr>
            </w:pPr>
          </w:p>
        </w:tc>
        <w:tc>
          <w:tcPr>
            <w:tcW w:w="857" w:type="dxa"/>
            <w:tcBorders>
              <w:top w:val="nil"/>
            </w:tcBorders>
          </w:tcPr>
          <w:p w14:paraId="2220A496" w14:textId="77777777" w:rsidR="00E6060C" w:rsidRPr="00E6060C" w:rsidRDefault="00E6060C" w:rsidP="00E6060C">
            <w:pPr>
              <w:jc w:val="center"/>
              <w:rPr>
                <w:rFonts w:ascii="Calibri" w:eastAsia="Calibri" w:hAnsi="Calibri" w:cs="Times New Roman"/>
              </w:rPr>
            </w:pPr>
          </w:p>
        </w:tc>
      </w:tr>
      <w:tr w:rsidR="00E6060C" w:rsidRPr="00E6060C" w14:paraId="7B5BC70B" w14:textId="77777777" w:rsidTr="0035035C">
        <w:tc>
          <w:tcPr>
            <w:tcW w:w="1367" w:type="dxa"/>
          </w:tcPr>
          <w:p w14:paraId="72DA3C0D"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Four-factor</w:t>
            </w:r>
          </w:p>
        </w:tc>
        <w:tc>
          <w:tcPr>
            <w:tcW w:w="3167" w:type="dxa"/>
          </w:tcPr>
          <w:p w14:paraId="393EC452"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 xml:space="preserve">High activated unpleasant affect </w:t>
            </w:r>
          </w:p>
        </w:tc>
        <w:tc>
          <w:tcPr>
            <w:tcW w:w="845" w:type="dxa"/>
          </w:tcPr>
          <w:p w14:paraId="37FE528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w:t>
            </w:r>
          </w:p>
        </w:tc>
        <w:tc>
          <w:tcPr>
            <w:tcW w:w="1243" w:type="dxa"/>
            <w:tcBorders>
              <w:right w:val="single" w:sz="4" w:space="0" w:color="auto"/>
            </w:tcBorders>
          </w:tcPr>
          <w:p w14:paraId="32B115F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.87</w:t>
            </w:r>
          </w:p>
        </w:tc>
        <w:tc>
          <w:tcPr>
            <w:tcW w:w="759" w:type="dxa"/>
            <w:tcBorders>
              <w:left w:val="single" w:sz="4" w:space="0" w:color="auto"/>
              <w:bottom w:val="nil"/>
            </w:tcBorders>
          </w:tcPr>
          <w:p w14:paraId="4EA416B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217</w:t>
            </w:r>
          </w:p>
        </w:tc>
        <w:tc>
          <w:tcPr>
            <w:tcW w:w="941" w:type="dxa"/>
            <w:tcBorders>
              <w:bottom w:val="nil"/>
            </w:tcBorders>
          </w:tcPr>
          <w:p w14:paraId="08086BF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225.47</w:t>
            </w:r>
          </w:p>
        </w:tc>
        <w:tc>
          <w:tcPr>
            <w:tcW w:w="589" w:type="dxa"/>
            <w:tcBorders>
              <w:bottom w:val="nil"/>
            </w:tcBorders>
          </w:tcPr>
          <w:p w14:paraId="46226B0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98</w:t>
            </w:r>
          </w:p>
        </w:tc>
        <w:tc>
          <w:tcPr>
            <w:tcW w:w="833" w:type="dxa"/>
            <w:tcBorders>
              <w:bottom w:val="nil"/>
            </w:tcBorders>
          </w:tcPr>
          <w:p w14:paraId="31718B6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bottom w:val="nil"/>
            </w:tcBorders>
          </w:tcPr>
          <w:p w14:paraId="6BFE5C7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2.30</w:t>
            </w:r>
          </w:p>
        </w:tc>
        <w:tc>
          <w:tcPr>
            <w:tcW w:w="691" w:type="dxa"/>
            <w:tcBorders>
              <w:bottom w:val="nil"/>
            </w:tcBorders>
          </w:tcPr>
          <w:p w14:paraId="182E1DD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.93</w:t>
            </w:r>
          </w:p>
        </w:tc>
        <w:tc>
          <w:tcPr>
            <w:tcW w:w="674" w:type="dxa"/>
            <w:tcBorders>
              <w:bottom w:val="nil"/>
            </w:tcBorders>
          </w:tcPr>
          <w:p w14:paraId="3C3BAE6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.88</w:t>
            </w:r>
          </w:p>
        </w:tc>
        <w:tc>
          <w:tcPr>
            <w:tcW w:w="967" w:type="dxa"/>
            <w:tcBorders>
              <w:bottom w:val="nil"/>
            </w:tcBorders>
          </w:tcPr>
          <w:p w14:paraId="589F65F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.08</w:t>
            </w:r>
          </w:p>
        </w:tc>
        <w:tc>
          <w:tcPr>
            <w:tcW w:w="857" w:type="dxa"/>
            <w:tcBorders>
              <w:bottom w:val="nil"/>
            </w:tcBorders>
          </w:tcPr>
          <w:p w14:paraId="76176A7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17052EDE" w14:textId="77777777" w:rsidTr="0035035C">
        <w:tc>
          <w:tcPr>
            <w:tcW w:w="1367" w:type="dxa"/>
          </w:tcPr>
          <w:p w14:paraId="0AEFE836" w14:textId="77777777" w:rsidR="00E6060C" w:rsidRPr="00E6060C" w:rsidRDefault="00E6060C" w:rsidP="00E6060C">
            <w:pPr>
              <w:rPr>
                <w:rFonts w:ascii="Calibri" w:eastAsia="Calibri" w:hAnsi="Calibri" w:cs="Times New Roman"/>
              </w:rPr>
            </w:pPr>
          </w:p>
        </w:tc>
        <w:tc>
          <w:tcPr>
            <w:tcW w:w="3167" w:type="dxa"/>
          </w:tcPr>
          <w:p w14:paraId="30AC12CB"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 xml:space="preserve">High activated pleasant affect </w:t>
            </w:r>
          </w:p>
        </w:tc>
        <w:tc>
          <w:tcPr>
            <w:tcW w:w="845" w:type="dxa"/>
          </w:tcPr>
          <w:p w14:paraId="5459D1E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w:t>
            </w:r>
          </w:p>
        </w:tc>
        <w:tc>
          <w:tcPr>
            <w:tcW w:w="1243" w:type="dxa"/>
            <w:tcBorders>
              <w:right w:val="single" w:sz="4" w:space="0" w:color="auto"/>
            </w:tcBorders>
          </w:tcPr>
          <w:p w14:paraId="14D69B2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.88</w:t>
            </w:r>
          </w:p>
        </w:tc>
        <w:tc>
          <w:tcPr>
            <w:tcW w:w="759" w:type="dxa"/>
            <w:tcBorders>
              <w:top w:val="nil"/>
              <w:left w:val="single" w:sz="4" w:space="0" w:color="auto"/>
              <w:bottom w:val="nil"/>
            </w:tcBorders>
            <w:shd w:val="clear" w:color="auto" w:fill="D9D9D9"/>
          </w:tcPr>
          <w:p w14:paraId="080B1A4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166</w:t>
            </w:r>
          </w:p>
        </w:tc>
        <w:tc>
          <w:tcPr>
            <w:tcW w:w="941" w:type="dxa"/>
            <w:tcBorders>
              <w:top w:val="nil"/>
              <w:bottom w:val="nil"/>
            </w:tcBorders>
            <w:shd w:val="clear" w:color="auto" w:fill="D9D9D9"/>
          </w:tcPr>
          <w:p w14:paraId="2CFB2FD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211.095</w:t>
            </w:r>
          </w:p>
        </w:tc>
        <w:tc>
          <w:tcPr>
            <w:tcW w:w="589" w:type="dxa"/>
            <w:tcBorders>
              <w:top w:val="nil"/>
              <w:bottom w:val="nil"/>
            </w:tcBorders>
            <w:shd w:val="clear" w:color="auto" w:fill="D9D9D9"/>
          </w:tcPr>
          <w:p w14:paraId="3B66369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98</w:t>
            </w:r>
          </w:p>
        </w:tc>
        <w:tc>
          <w:tcPr>
            <w:tcW w:w="833" w:type="dxa"/>
            <w:tcBorders>
              <w:top w:val="nil"/>
              <w:bottom w:val="nil"/>
            </w:tcBorders>
            <w:shd w:val="clear" w:color="auto" w:fill="D9D9D9"/>
          </w:tcPr>
          <w:p w14:paraId="5B4964F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&lt;.001</w:t>
            </w:r>
          </w:p>
        </w:tc>
        <w:tc>
          <w:tcPr>
            <w:tcW w:w="1012" w:type="dxa"/>
            <w:tcBorders>
              <w:top w:val="nil"/>
              <w:bottom w:val="nil"/>
            </w:tcBorders>
            <w:shd w:val="clear" w:color="auto" w:fill="D9D9D9"/>
          </w:tcPr>
          <w:p w14:paraId="29B372A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2.15</w:t>
            </w:r>
          </w:p>
        </w:tc>
        <w:tc>
          <w:tcPr>
            <w:tcW w:w="691" w:type="dxa"/>
            <w:tcBorders>
              <w:top w:val="nil"/>
              <w:bottom w:val="nil"/>
            </w:tcBorders>
            <w:shd w:val="clear" w:color="auto" w:fill="D9D9D9"/>
          </w:tcPr>
          <w:p w14:paraId="64436F5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.92</w:t>
            </w:r>
          </w:p>
        </w:tc>
        <w:tc>
          <w:tcPr>
            <w:tcW w:w="674" w:type="dxa"/>
            <w:tcBorders>
              <w:top w:val="nil"/>
              <w:bottom w:val="nil"/>
            </w:tcBorders>
            <w:shd w:val="clear" w:color="auto" w:fill="D9D9D9"/>
          </w:tcPr>
          <w:p w14:paraId="0A12B57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.86</w:t>
            </w:r>
          </w:p>
        </w:tc>
        <w:tc>
          <w:tcPr>
            <w:tcW w:w="967" w:type="dxa"/>
            <w:tcBorders>
              <w:top w:val="nil"/>
              <w:bottom w:val="nil"/>
            </w:tcBorders>
            <w:shd w:val="clear" w:color="auto" w:fill="D9D9D9"/>
          </w:tcPr>
          <w:p w14:paraId="0AC983A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.08</w:t>
            </w:r>
          </w:p>
        </w:tc>
        <w:tc>
          <w:tcPr>
            <w:tcW w:w="857" w:type="dxa"/>
            <w:tcBorders>
              <w:top w:val="nil"/>
              <w:bottom w:val="nil"/>
            </w:tcBorders>
            <w:shd w:val="clear" w:color="auto" w:fill="D9D9D9"/>
          </w:tcPr>
          <w:p w14:paraId="6FCC988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.07</w:t>
            </w:r>
          </w:p>
        </w:tc>
      </w:tr>
      <w:tr w:rsidR="00E6060C" w:rsidRPr="00E6060C" w14:paraId="11D5C07F" w14:textId="77777777" w:rsidTr="0035035C">
        <w:tc>
          <w:tcPr>
            <w:tcW w:w="1367" w:type="dxa"/>
          </w:tcPr>
          <w:p w14:paraId="3CE3C5CD" w14:textId="77777777" w:rsidR="00E6060C" w:rsidRPr="00E6060C" w:rsidRDefault="00E6060C" w:rsidP="00E6060C">
            <w:pPr>
              <w:rPr>
                <w:rFonts w:ascii="Calibri" w:eastAsia="Calibri" w:hAnsi="Calibri" w:cs="Times New Roman"/>
              </w:rPr>
            </w:pPr>
          </w:p>
        </w:tc>
        <w:tc>
          <w:tcPr>
            <w:tcW w:w="3167" w:type="dxa"/>
          </w:tcPr>
          <w:p w14:paraId="09282A6F"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 xml:space="preserve">Low activated unpleasant affect </w:t>
            </w:r>
          </w:p>
        </w:tc>
        <w:tc>
          <w:tcPr>
            <w:tcW w:w="845" w:type="dxa"/>
          </w:tcPr>
          <w:p w14:paraId="64F0997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w:t>
            </w:r>
          </w:p>
        </w:tc>
        <w:tc>
          <w:tcPr>
            <w:tcW w:w="1243" w:type="dxa"/>
            <w:tcBorders>
              <w:right w:val="single" w:sz="4" w:space="0" w:color="auto"/>
            </w:tcBorders>
          </w:tcPr>
          <w:p w14:paraId="7D3BA24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w:t>
            </w:r>
          </w:p>
        </w:tc>
        <w:tc>
          <w:tcPr>
            <w:tcW w:w="759" w:type="dxa"/>
            <w:tcBorders>
              <w:top w:val="nil"/>
              <w:left w:val="single" w:sz="4" w:space="0" w:color="auto"/>
            </w:tcBorders>
          </w:tcPr>
          <w:p w14:paraId="73CE2F6C" w14:textId="77777777" w:rsidR="00E6060C" w:rsidRPr="00E6060C" w:rsidRDefault="00E6060C" w:rsidP="00E6060C">
            <w:pPr>
              <w:jc w:val="center"/>
              <w:rPr>
                <w:rFonts w:ascii="Calibri" w:eastAsia="Calibri" w:hAnsi="Calibri" w:cs="Times New Roman"/>
              </w:rPr>
            </w:pPr>
          </w:p>
        </w:tc>
        <w:tc>
          <w:tcPr>
            <w:tcW w:w="941" w:type="dxa"/>
            <w:tcBorders>
              <w:top w:val="nil"/>
            </w:tcBorders>
          </w:tcPr>
          <w:p w14:paraId="47FE3F24" w14:textId="77777777" w:rsidR="00E6060C" w:rsidRPr="00E6060C" w:rsidRDefault="00E6060C" w:rsidP="00E6060C">
            <w:pPr>
              <w:jc w:val="center"/>
              <w:rPr>
                <w:rFonts w:ascii="Calibri" w:eastAsia="Calibri" w:hAnsi="Calibri" w:cs="Times New Roman"/>
              </w:rPr>
            </w:pPr>
          </w:p>
        </w:tc>
        <w:tc>
          <w:tcPr>
            <w:tcW w:w="589" w:type="dxa"/>
            <w:tcBorders>
              <w:top w:val="nil"/>
            </w:tcBorders>
          </w:tcPr>
          <w:p w14:paraId="7FC91A1F" w14:textId="77777777" w:rsidR="00E6060C" w:rsidRPr="00E6060C" w:rsidRDefault="00E6060C" w:rsidP="00E6060C">
            <w:pPr>
              <w:jc w:val="center"/>
              <w:rPr>
                <w:rFonts w:ascii="Calibri" w:eastAsia="Calibri" w:hAnsi="Calibri" w:cs="Times New Roman"/>
              </w:rPr>
            </w:pPr>
          </w:p>
        </w:tc>
        <w:tc>
          <w:tcPr>
            <w:tcW w:w="833" w:type="dxa"/>
            <w:tcBorders>
              <w:top w:val="nil"/>
            </w:tcBorders>
          </w:tcPr>
          <w:p w14:paraId="60FC137E" w14:textId="77777777" w:rsidR="00E6060C" w:rsidRPr="00E6060C" w:rsidRDefault="00E6060C" w:rsidP="00E6060C">
            <w:pPr>
              <w:jc w:val="center"/>
              <w:rPr>
                <w:rFonts w:ascii="Calibri" w:eastAsia="Calibri" w:hAnsi="Calibri" w:cs="Times New Roman"/>
              </w:rPr>
            </w:pPr>
          </w:p>
        </w:tc>
        <w:tc>
          <w:tcPr>
            <w:tcW w:w="1012" w:type="dxa"/>
            <w:tcBorders>
              <w:top w:val="nil"/>
            </w:tcBorders>
          </w:tcPr>
          <w:p w14:paraId="4184A8E8" w14:textId="77777777" w:rsidR="00E6060C" w:rsidRPr="00E6060C" w:rsidRDefault="00E6060C" w:rsidP="00E6060C">
            <w:pPr>
              <w:jc w:val="center"/>
              <w:rPr>
                <w:rFonts w:ascii="Calibri" w:eastAsia="Calibri" w:hAnsi="Calibri" w:cs="Times New Roman"/>
              </w:rPr>
            </w:pPr>
          </w:p>
        </w:tc>
        <w:tc>
          <w:tcPr>
            <w:tcW w:w="691" w:type="dxa"/>
            <w:tcBorders>
              <w:top w:val="nil"/>
            </w:tcBorders>
          </w:tcPr>
          <w:p w14:paraId="1950A7D9" w14:textId="77777777" w:rsidR="00E6060C" w:rsidRPr="00E6060C" w:rsidRDefault="00E6060C" w:rsidP="00E6060C">
            <w:pPr>
              <w:jc w:val="center"/>
              <w:rPr>
                <w:rFonts w:ascii="Calibri" w:eastAsia="Calibri" w:hAnsi="Calibri" w:cs="Times New Roman"/>
              </w:rPr>
            </w:pPr>
          </w:p>
        </w:tc>
        <w:tc>
          <w:tcPr>
            <w:tcW w:w="674" w:type="dxa"/>
            <w:tcBorders>
              <w:top w:val="nil"/>
            </w:tcBorders>
          </w:tcPr>
          <w:p w14:paraId="4643E1F6" w14:textId="77777777" w:rsidR="00E6060C" w:rsidRPr="00E6060C" w:rsidRDefault="00E6060C" w:rsidP="00E6060C">
            <w:pPr>
              <w:jc w:val="center"/>
              <w:rPr>
                <w:rFonts w:ascii="Calibri" w:eastAsia="Calibri" w:hAnsi="Calibri" w:cs="Times New Roman"/>
              </w:rPr>
            </w:pPr>
          </w:p>
        </w:tc>
        <w:tc>
          <w:tcPr>
            <w:tcW w:w="967" w:type="dxa"/>
            <w:tcBorders>
              <w:top w:val="nil"/>
            </w:tcBorders>
          </w:tcPr>
          <w:p w14:paraId="354061B3" w14:textId="77777777" w:rsidR="00E6060C" w:rsidRPr="00E6060C" w:rsidRDefault="00E6060C" w:rsidP="00E6060C">
            <w:pPr>
              <w:jc w:val="center"/>
              <w:rPr>
                <w:rFonts w:ascii="Calibri" w:eastAsia="Calibri" w:hAnsi="Calibri" w:cs="Times New Roman"/>
              </w:rPr>
            </w:pPr>
          </w:p>
        </w:tc>
        <w:tc>
          <w:tcPr>
            <w:tcW w:w="857" w:type="dxa"/>
            <w:tcBorders>
              <w:top w:val="nil"/>
            </w:tcBorders>
          </w:tcPr>
          <w:p w14:paraId="01F0E6E0" w14:textId="77777777" w:rsidR="00E6060C" w:rsidRPr="00E6060C" w:rsidRDefault="00E6060C" w:rsidP="00E6060C">
            <w:pPr>
              <w:jc w:val="center"/>
              <w:rPr>
                <w:rFonts w:ascii="Calibri" w:eastAsia="Calibri" w:hAnsi="Calibri" w:cs="Times New Roman"/>
              </w:rPr>
            </w:pPr>
          </w:p>
        </w:tc>
      </w:tr>
      <w:tr w:rsidR="00E6060C" w:rsidRPr="00E6060C" w14:paraId="5E8ED31B" w14:textId="77777777" w:rsidTr="0035035C">
        <w:tc>
          <w:tcPr>
            <w:tcW w:w="1367" w:type="dxa"/>
          </w:tcPr>
          <w:p w14:paraId="5046868E" w14:textId="77777777" w:rsidR="00E6060C" w:rsidRPr="00E6060C" w:rsidRDefault="00E6060C" w:rsidP="00E6060C">
            <w:pPr>
              <w:rPr>
                <w:rFonts w:ascii="Calibri" w:eastAsia="Calibri" w:hAnsi="Calibri" w:cs="Times New Roman"/>
              </w:rPr>
            </w:pPr>
          </w:p>
        </w:tc>
        <w:tc>
          <w:tcPr>
            <w:tcW w:w="3167" w:type="dxa"/>
          </w:tcPr>
          <w:p w14:paraId="3CA4CBD4"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 xml:space="preserve">Low activated pleasant affect </w:t>
            </w:r>
          </w:p>
        </w:tc>
        <w:tc>
          <w:tcPr>
            <w:tcW w:w="845" w:type="dxa"/>
          </w:tcPr>
          <w:p w14:paraId="192C607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w:t>
            </w:r>
          </w:p>
        </w:tc>
        <w:tc>
          <w:tcPr>
            <w:tcW w:w="1243" w:type="dxa"/>
            <w:tcBorders>
              <w:bottom w:val="single" w:sz="4" w:space="0" w:color="auto"/>
              <w:right w:val="single" w:sz="4" w:space="0" w:color="auto"/>
            </w:tcBorders>
          </w:tcPr>
          <w:p w14:paraId="567E07B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w:t>
            </w:r>
          </w:p>
        </w:tc>
        <w:tc>
          <w:tcPr>
            <w:tcW w:w="759" w:type="dxa"/>
            <w:tcBorders>
              <w:left w:val="single" w:sz="4" w:space="0" w:color="auto"/>
            </w:tcBorders>
          </w:tcPr>
          <w:p w14:paraId="3BFA66FF" w14:textId="77777777" w:rsidR="00E6060C" w:rsidRPr="00E6060C" w:rsidRDefault="00E6060C" w:rsidP="00E6060C">
            <w:pPr>
              <w:jc w:val="center"/>
              <w:rPr>
                <w:rFonts w:ascii="Calibri" w:eastAsia="Calibri" w:hAnsi="Calibri" w:cs="Times New Roman"/>
              </w:rPr>
            </w:pPr>
          </w:p>
        </w:tc>
        <w:tc>
          <w:tcPr>
            <w:tcW w:w="941" w:type="dxa"/>
          </w:tcPr>
          <w:p w14:paraId="104E1FFA" w14:textId="77777777" w:rsidR="00E6060C" w:rsidRPr="00E6060C" w:rsidRDefault="00E6060C" w:rsidP="00E6060C">
            <w:pPr>
              <w:jc w:val="center"/>
              <w:rPr>
                <w:rFonts w:ascii="Calibri" w:eastAsia="Calibri" w:hAnsi="Calibri" w:cs="Times New Roman"/>
              </w:rPr>
            </w:pPr>
          </w:p>
        </w:tc>
        <w:tc>
          <w:tcPr>
            <w:tcW w:w="589" w:type="dxa"/>
          </w:tcPr>
          <w:p w14:paraId="202D7D68" w14:textId="77777777" w:rsidR="00E6060C" w:rsidRPr="00E6060C" w:rsidRDefault="00E6060C" w:rsidP="00E6060C">
            <w:pPr>
              <w:jc w:val="center"/>
              <w:rPr>
                <w:rFonts w:ascii="Calibri" w:eastAsia="Calibri" w:hAnsi="Calibri" w:cs="Times New Roman"/>
              </w:rPr>
            </w:pPr>
          </w:p>
        </w:tc>
        <w:tc>
          <w:tcPr>
            <w:tcW w:w="833" w:type="dxa"/>
          </w:tcPr>
          <w:p w14:paraId="0C30D27B" w14:textId="77777777" w:rsidR="00E6060C" w:rsidRPr="00E6060C" w:rsidRDefault="00E6060C" w:rsidP="00E6060C">
            <w:pPr>
              <w:jc w:val="center"/>
              <w:rPr>
                <w:rFonts w:ascii="Calibri" w:eastAsia="Calibri" w:hAnsi="Calibri" w:cs="Times New Roman"/>
              </w:rPr>
            </w:pPr>
          </w:p>
        </w:tc>
        <w:tc>
          <w:tcPr>
            <w:tcW w:w="1012" w:type="dxa"/>
          </w:tcPr>
          <w:p w14:paraId="4807680A" w14:textId="77777777" w:rsidR="00E6060C" w:rsidRPr="00E6060C" w:rsidRDefault="00E6060C" w:rsidP="00E6060C">
            <w:pPr>
              <w:jc w:val="center"/>
              <w:rPr>
                <w:rFonts w:ascii="Calibri" w:eastAsia="Calibri" w:hAnsi="Calibri" w:cs="Times New Roman"/>
              </w:rPr>
            </w:pPr>
          </w:p>
        </w:tc>
        <w:tc>
          <w:tcPr>
            <w:tcW w:w="691" w:type="dxa"/>
          </w:tcPr>
          <w:p w14:paraId="5F2F19AD" w14:textId="77777777" w:rsidR="00E6060C" w:rsidRPr="00E6060C" w:rsidRDefault="00E6060C" w:rsidP="00E6060C">
            <w:pPr>
              <w:jc w:val="center"/>
              <w:rPr>
                <w:rFonts w:ascii="Calibri" w:eastAsia="Calibri" w:hAnsi="Calibri" w:cs="Times New Roman"/>
              </w:rPr>
            </w:pPr>
          </w:p>
        </w:tc>
        <w:tc>
          <w:tcPr>
            <w:tcW w:w="674" w:type="dxa"/>
          </w:tcPr>
          <w:p w14:paraId="2CF8FE15" w14:textId="77777777" w:rsidR="00E6060C" w:rsidRPr="00E6060C" w:rsidRDefault="00E6060C" w:rsidP="00E6060C">
            <w:pPr>
              <w:jc w:val="center"/>
              <w:rPr>
                <w:rFonts w:ascii="Calibri" w:eastAsia="Calibri" w:hAnsi="Calibri" w:cs="Times New Roman"/>
              </w:rPr>
            </w:pPr>
          </w:p>
        </w:tc>
        <w:tc>
          <w:tcPr>
            <w:tcW w:w="967" w:type="dxa"/>
          </w:tcPr>
          <w:p w14:paraId="6738253F" w14:textId="77777777" w:rsidR="00E6060C" w:rsidRPr="00E6060C" w:rsidRDefault="00E6060C" w:rsidP="00E6060C">
            <w:pPr>
              <w:jc w:val="center"/>
              <w:rPr>
                <w:rFonts w:ascii="Calibri" w:eastAsia="Calibri" w:hAnsi="Calibri" w:cs="Times New Roman"/>
              </w:rPr>
            </w:pPr>
          </w:p>
        </w:tc>
        <w:tc>
          <w:tcPr>
            <w:tcW w:w="857" w:type="dxa"/>
          </w:tcPr>
          <w:p w14:paraId="6FF9D5E0" w14:textId="77777777" w:rsidR="00E6060C" w:rsidRPr="00E6060C" w:rsidRDefault="00E6060C" w:rsidP="00E6060C">
            <w:pPr>
              <w:jc w:val="center"/>
              <w:rPr>
                <w:rFonts w:ascii="Calibri" w:eastAsia="Calibri" w:hAnsi="Calibri" w:cs="Times New Roman"/>
              </w:rPr>
            </w:pPr>
          </w:p>
        </w:tc>
      </w:tr>
    </w:tbl>
    <w:p w14:paraId="28459FD5"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rationale behind decisions regarding the number of factors to specify in each model is contained in the text.</w:t>
      </w:r>
    </w:p>
    <w:p w14:paraId="12116CDF"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2</w:t>
      </w:r>
      <w:r w:rsidRPr="00E6060C">
        <w:rPr>
          <w:rFonts w:ascii="Calibri" w:eastAsia="Calibri" w:hAnsi="Calibri" w:cs="Times New Roman"/>
        </w:rPr>
        <w:t xml:space="preserve">The shaded CFA results refer to those results obtained after casewise deletion of missing data, as described in the text.  </w:t>
      </w:r>
    </w:p>
    <w:p w14:paraId="418A6D38"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i/>
        </w:rPr>
        <w:t>Notes: X</w:t>
      </w:r>
      <w:r w:rsidRPr="00E6060C">
        <w:rPr>
          <w:rFonts w:ascii="Calibri" w:eastAsia="Calibri" w:hAnsi="Calibri" w:cs="Times New Roman"/>
          <w:vertAlign w:val="superscript"/>
        </w:rPr>
        <w:t>2</w:t>
      </w:r>
      <w:r w:rsidRPr="00E6060C">
        <w:rPr>
          <w:rFonts w:ascii="Calibri" w:eastAsia="Calibri" w:hAnsi="Calibri" w:cs="Times New Roman"/>
        </w:rPr>
        <w:t xml:space="preserve">=chi-squared;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-value associated with the Chi</w:t>
      </w:r>
      <w:r w:rsidRPr="00E6060C">
        <w:rPr>
          <w:rFonts w:ascii="Calibri" w:eastAsia="Calibri" w:hAnsi="Calibri" w:cs="Times New Roman"/>
          <w:vertAlign w:val="superscript"/>
        </w:rPr>
        <w:t>2</w:t>
      </w:r>
      <w:r w:rsidRPr="00E6060C">
        <w:rPr>
          <w:rFonts w:ascii="Calibri" w:eastAsia="Calibri" w:hAnsi="Calibri" w:cs="Times New Roman"/>
        </w:rPr>
        <w:t xml:space="preserve"> statistic; CMIN/</w:t>
      </w:r>
      <w:r w:rsidRPr="00E6060C">
        <w:rPr>
          <w:rFonts w:ascii="Calibri" w:eastAsia="Calibri" w:hAnsi="Calibri" w:cs="Times New Roman"/>
          <w:i/>
        </w:rPr>
        <w:t>df</w:t>
      </w:r>
      <w:r w:rsidRPr="00E6060C">
        <w:rPr>
          <w:rFonts w:ascii="Calibri" w:eastAsia="Calibri" w:hAnsi="Calibri" w:cs="Times New Roman"/>
        </w:rPr>
        <w:t>=chi-squared value divided by the number of degrees of freedom; CFI=comparative fit index; NFI=normed fit index; RMSEA=root mean square error of approximation; SRMR=standardised root mean square residual</w:t>
      </w:r>
    </w:p>
    <w:p w14:paraId="768CDEBF" w14:textId="77777777" w:rsidR="00E6060C" w:rsidRPr="00E6060C" w:rsidRDefault="00E6060C" w:rsidP="00E6060C">
      <w:pPr>
        <w:spacing w:after="200" w:line="360" w:lineRule="auto"/>
        <w:contextualSpacing/>
        <w:rPr>
          <w:rFonts w:ascii="Calibri" w:eastAsia="Calibri" w:hAnsi="Calibri" w:cs="Times New Roman"/>
        </w:rPr>
        <w:sectPr w:rsidR="00E6060C" w:rsidRPr="00E6060C">
          <w:pgSz w:w="16838" w:h="11906" w:orient="landscape"/>
          <w:pgMar w:top="1440" w:right="1440" w:bottom="1440" w:left="1440" w:header="709" w:footer="709" w:gutter="0"/>
          <w:cols w:space="708"/>
          <w:titlePg/>
          <w:docGrid w:linePitch="360"/>
        </w:sectPr>
      </w:pPr>
    </w:p>
    <w:p w14:paraId="154A4AB0" w14:textId="02ACCCFB" w:rsidR="00E6060C" w:rsidRPr="00E6060C" w:rsidRDefault="002A6E71" w:rsidP="00A323FB">
      <w:pPr>
        <w:pStyle w:val="Thesisheading2"/>
      </w:pPr>
      <w:bookmarkStart w:id="373" w:name="_Toc397071011"/>
      <w:bookmarkStart w:id="374" w:name="_Toc445389263"/>
      <w:bookmarkStart w:id="375" w:name="_Toc468286003"/>
      <w:r>
        <w:lastRenderedPageBreak/>
        <w:t>S</w:t>
      </w:r>
      <w:r w:rsidR="00E6060C" w:rsidRPr="00E6060C">
        <w:t>tatistical data analysis</w:t>
      </w:r>
      <w:bookmarkEnd w:id="373"/>
      <w:bookmarkEnd w:id="374"/>
      <w:bookmarkEnd w:id="375"/>
    </w:p>
    <w:p w14:paraId="5E1FFACE" w14:textId="77777777" w:rsidR="00E6060C" w:rsidRPr="00E6060C" w:rsidRDefault="00E6060C" w:rsidP="00E6060C">
      <w:pPr>
        <w:spacing w:after="200" w:line="360" w:lineRule="auto"/>
        <w:contextualSpacing/>
        <w:rPr>
          <w:rFonts w:ascii="Calibri" w:eastAsia="Calibri" w:hAnsi="Calibri" w:cs="Times New Roman"/>
        </w:rPr>
      </w:pPr>
    </w:p>
    <w:p w14:paraId="0BE5ABDF"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To evaluate the two core aims of this study, a range of statistical procedures were used. These are described below, for each aim in turn.  </w:t>
      </w:r>
    </w:p>
    <w:p w14:paraId="04FF473B" w14:textId="77777777" w:rsidR="00E6060C" w:rsidRPr="00E6060C" w:rsidRDefault="00E6060C" w:rsidP="00E6060C">
      <w:pPr>
        <w:spacing w:after="200" w:line="360" w:lineRule="auto"/>
        <w:contextualSpacing/>
        <w:rPr>
          <w:rFonts w:ascii="Calibri" w:eastAsia="Calibri" w:hAnsi="Calibri" w:cs="Times New Roman"/>
        </w:rPr>
      </w:pPr>
    </w:p>
    <w:p w14:paraId="505C6545" w14:textId="7AC63AA5" w:rsidR="00E6060C" w:rsidRPr="00E6060C" w:rsidRDefault="00E6060C" w:rsidP="0009618B">
      <w:pPr>
        <w:pStyle w:val="Heading3"/>
      </w:pPr>
      <w:bookmarkStart w:id="376" w:name="_Toc468286004"/>
      <w:r w:rsidRPr="00E6060C">
        <w:t>Aim 1</w:t>
      </w:r>
      <w:bookmarkEnd w:id="376"/>
    </w:p>
    <w:p w14:paraId="03A5E2CF" w14:textId="77777777" w:rsidR="00E6060C" w:rsidRPr="00E6060C" w:rsidRDefault="00E6060C" w:rsidP="00E6060C">
      <w:pPr>
        <w:spacing w:after="200" w:line="360" w:lineRule="auto"/>
        <w:contextualSpacing/>
        <w:rPr>
          <w:rFonts w:ascii="Calibri" w:eastAsia="Calibri" w:hAnsi="Calibri" w:cs="Times New Roman"/>
        </w:rPr>
      </w:pPr>
    </w:p>
    <w:p w14:paraId="0DFAD168" w14:textId="4E221EAC"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To explore the dataset and determine whether or not assumptions necessary for subsequent analyses were met, descriptive statistics and bivariate correlations in SPSS (version 22) were computed for the complete Time 1 and Time 2 samples, as well as for the matched sample, that is, those who responded at both Time 1 and Time 2 (N=45). The first aim of this study, to evaluate whether a </w:t>
      </w:r>
      <w:r w:rsidR="00597B3B">
        <w:rPr>
          <w:rFonts w:ascii="Calibri" w:eastAsia="Calibri" w:hAnsi="Calibri" w:cs="Times New Roman"/>
        </w:rPr>
        <w:t>group-level</w:t>
      </w:r>
      <w:r w:rsidRPr="00E6060C">
        <w:rPr>
          <w:rFonts w:ascii="Calibri" w:eastAsia="Calibri" w:hAnsi="Calibri" w:cs="Times New Roman"/>
        </w:rPr>
        <w:t xml:space="preserve"> participatory action research intervention with nursing staff on acute elderly NHS wards was effective for increasing work engagement and </w:t>
      </w:r>
      <w:r w:rsidR="001D6140">
        <w:rPr>
          <w:rFonts w:ascii="Calibri" w:eastAsia="Calibri" w:hAnsi="Calibri" w:cs="Times New Roman"/>
        </w:rPr>
        <w:t>well-being</w:t>
      </w:r>
      <w:r w:rsidRPr="00E6060C">
        <w:rPr>
          <w:rFonts w:ascii="Calibri" w:eastAsia="Calibri" w:hAnsi="Calibri" w:cs="Times New Roman"/>
        </w:rPr>
        <w:t xml:space="preserve">, was then investigated by conducting repeated measures ANOVAs in SPSS using the matched sample (Chapter </w:t>
      </w:r>
      <w:r w:rsidR="00B536D2">
        <w:rPr>
          <w:rFonts w:ascii="Calibri" w:eastAsia="Calibri" w:hAnsi="Calibri" w:cs="Times New Roman"/>
        </w:rPr>
        <w:t>8</w:t>
      </w:r>
      <w:r w:rsidRPr="00E6060C">
        <w:rPr>
          <w:rFonts w:ascii="Calibri" w:eastAsia="Calibri" w:hAnsi="Calibri" w:cs="Times New Roman"/>
        </w:rPr>
        <w:t xml:space="preserve">). This statistical procedure is able to determine whether there are any significant mean differences between control and intervention groups across time (i.e. between Time 1 and 2). The effect of the intervention on the other research variables, colleague support, influence in decision-making, resources and demands, and the three work-related basic needs, was also investigated using this method. Prior to conducting these analyses, independent samples </w:t>
      </w:r>
      <w:r w:rsidRPr="00E6060C">
        <w:rPr>
          <w:rFonts w:ascii="Calibri" w:eastAsia="Calibri" w:hAnsi="Calibri" w:cs="Times New Roman"/>
          <w:i/>
        </w:rPr>
        <w:t>t-</w:t>
      </w:r>
      <w:r w:rsidRPr="00E6060C">
        <w:rPr>
          <w:rFonts w:ascii="Calibri" w:eastAsia="Calibri" w:hAnsi="Calibri" w:cs="Times New Roman"/>
        </w:rPr>
        <w:t xml:space="preserve">tests were employed to determine whether there were significant mean differences between control and intervention groups on any of the demographic or research variables at baseline (Time 1) which warranted inclusion as controls. Unfortunately, the statistical power and robustness of repeated measures ANOVA was compromised by a small number of matched respondents, therefore multilevel modelling techniques in SPSS (version 22) were also conducted, enabling the use of the complete sample comprising both matched and unmatched respondents and thus all the Time 1 and all the Time 2 data (N=262). </w:t>
      </w:r>
    </w:p>
    <w:p w14:paraId="6A402AB7" w14:textId="77777777" w:rsidR="00E6060C" w:rsidRPr="00E6060C" w:rsidRDefault="00E6060C" w:rsidP="00E6060C">
      <w:pPr>
        <w:spacing w:after="200" w:line="360" w:lineRule="auto"/>
        <w:contextualSpacing/>
        <w:rPr>
          <w:rFonts w:ascii="Calibri" w:eastAsia="Calibri" w:hAnsi="Calibri" w:cs="Times New Roman"/>
        </w:rPr>
      </w:pPr>
    </w:p>
    <w:p w14:paraId="3AB3A791" w14:textId="5DF18E25"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Typically, multilevel modelling is conducted to explore data which is nested, or organised, at different levels (Tabachnik &amp; Fidell, 2007). For example, achievement data for individual school children (lower level) may be nested within classes (higher level) which are nested within schools (even higher level), or work engagement for individual nurses (lower level) may be nested within wards (higher level) which are nested within hospitals (even higher level). It may also be used, however, to investigate data collected from individuals at repeated time points, and thus provides an alternative to repeated measures ANOVA. In particular, it is able to take account of both repeated </w:t>
      </w:r>
      <w:r w:rsidRPr="00E6060C">
        <w:rPr>
          <w:rFonts w:ascii="Calibri" w:eastAsia="Calibri" w:hAnsi="Calibri" w:cs="Times New Roman"/>
        </w:rPr>
        <w:lastRenderedPageBreak/>
        <w:t xml:space="preserve">measures data and between-subjects data in the same analysis. It is this ability which is of particular importance here as it is able to evaluate the effect of the intervention using the complete sample, increasing the statistical power. The results for both the repeated measures ANOVAs using the matched sample, and multilevel modelling using the complete sample, are </w:t>
      </w:r>
      <w:r w:rsidR="00B536D2">
        <w:rPr>
          <w:rFonts w:ascii="Calibri" w:eastAsia="Calibri" w:hAnsi="Calibri" w:cs="Times New Roman"/>
        </w:rPr>
        <w:t>presented in Chapter 8</w:t>
      </w:r>
      <w:r w:rsidRPr="00E6060C">
        <w:rPr>
          <w:rFonts w:ascii="Calibri" w:eastAsia="Calibri" w:hAnsi="Calibri" w:cs="Times New Roman"/>
        </w:rPr>
        <w:t xml:space="preserve">. </w:t>
      </w:r>
    </w:p>
    <w:p w14:paraId="19302D89" w14:textId="77777777" w:rsidR="00E6060C" w:rsidRPr="00E6060C" w:rsidRDefault="00E6060C" w:rsidP="00E6060C">
      <w:pPr>
        <w:spacing w:after="200" w:line="360" w:lineRule="auto"/>
        <w:contextualSpacing/>
        <w:rPr>
          <w:rFonts w:ascii="Calibri" w:eastAsia="Calibri" w:hAnsi="Calibri" w:cs="Times New Roman"/>
        </w:rPr>
      </w:pPr>
    </w:p>
    <w:p w14:paraId="684F9BA9" w14:textId="7A92ED44" w:rsidR="00E6060C" w:rsidRPr="00E6060C" w:rsidRDefault="00E6060C" w:rsidP="0009618B">
      <w:pPr>
        <w:pStyle w:val="Heading3"/>
      </w:pPr>
      <w:bookmarkStart w:id="377" w:name="_Toc468286005"/>
      <w:r w:rsidRPr="00E6060C">
        <w:t>Aim 2</w:t>
      </w:r>
      <w:bookmarkEnd w:id="377"/>
    </w:p>
    <w:p w14:paraId="511399C1" w14:textId="20B355CE" w:rsidR="00E6060C" w:rsidRPr="00E6060C" w:rsidRDefault="00E6060C" w:rsidP="00E6060C">
      <w:pPr>
        <w:spacing w:after="200" w:line="360" w:lineRule="auto"/>
        <w:contextualSpacing/>
        <w:rPr>
          <w:rFonts w:ascii="Calibri" w:eastAsia="Calibri" w:hAnsi="Calibri" w:cs="Times New Roman"/>
        </w:rPr>
      </w:pPr>
    </w:p>
    <w:p w14:paraId="77FE6883" w14:textId="7B36EDD1"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second aim of this study was to evaluate whether the satisfaction of the three core needs of </w:t>
      </w:r>
      <w:r w:rsidR="00C17CB1">
        <w:rPr>
          <w:rFonts w:ascii="Calibri" w:eastAsia="Calibri" w:hAnsi="Calibri" w:cs="Times New Roman"/>
        </w:rPr>
        <w:t>Self-Determination Theory</w:t>
      </w:r>
      <w:r w:rsidRPr="00E6060C">
        <w:rPr>
          <w:rFonts w:ascii="Calibri" w:eastAsia="Calibri" w:hAnsi="Calibri" w:cs="Times New Roman"/>
        </w:rPr>
        <w:t xml:space="preserve"> (SDT), autonomy, competence, and relatedness, mediate between the job resources, social support, influence in decision-making, resources and demands, and the outcome, work engagement. </w:t>
      </w:r>
      <w:r w:rsidRPr="00E6060C">
        <w:rPr>
          <w:rFonts w:ascii="Calibri" w:eastAsia="Calibri" w:hAnsi="Calibri" w:cs="Times New Roman"/>
          <w:color w:val="000000"/>
        </w:rPr>
        <w:t xml:space="preserve">These mediation relationships </w:t>
      </w:r>
      <w:r w:rsidRPr="00E6060C">
        <w:rPr>
          <w:rFonts w:ascii="Calibri" w:eastAsia="Calibri" w:hAnsi="Calibri" w:cs="Times New Roman"/>
        </w:rPr>
        <w:t xml:space="preserve">were tested in SPSS (version 22) using the SPSS macro ‘MEDIATE for SPSS’ (Hayes, 2013). Unfortunately, the matched sample size obtained from the intervention study was too small to enable robust mediation analyses to be conducted (N=45) and it is unlikely that it would have been representative of all those who responded from all of the different wards, thus increasing the potential for biased results. Therefore, the entire unmatched sample was utilised (N=217). This comprised all of the Time 1 data and all of the Time 2 data from respondents who were not matched with any of the Time 1 data. This meant that each respondent in the dataset had only responded at either Time 1 or Time 2, and not at both time points. Combining the data from Time 1 and Time 2 in this way meant that the sample size could be maximised, increasing the robustness of the results. However, it also meant that causal relationships could not be tested as intended, as the data was largely cross-sectional. Nevertheless, this study offers a more comprehensive exploration of the mediation relationships between job resources, work-related basic needs, and work engagement, than has been conducted in previous studies. If these relationships are supported, this study could add weight to the increasing evidence for </w:t>
      </w:r>
      <w:r w:rsidR="00C17CB1">
        <w:rPr>
          <w:rFonts w:ascii="Calibri" w:eastAsia="Calibri" w:hAnsi="Calibri" w:cs="Times New Roman"/>
        </w:rPr>
        <w:t>Self-Determination Theory</w:t>
      </w:r>
      <w:r w:rsidRPr="00E6060C">
        <w:rPr>
          <w:rFonts w:ascii="Calibri" w:eastAsia="Calibri" w:hAnsi="Calibri" w:cs="Times New Roman"/>
        </w:rPr>
        <w:t xml:space="preserve"> (SDT) as a theory of motivation underlying the resources-demands model of work engagement (Bakker &amp; Demerouti, 2007; 2008). Implications for the design of interventions to increase work engagement could also follow.</w:t>
      </w:r>
    </w:p>
    <w:p w14:paraId="75FC5CE7" w14:textId="77777777" w:rsidR="00E6060C" w:rsidRPr="00E6060C" w:rsidRDefault="00E6060C" w:rsidP="00E6060C">
      <w:pPr>
        <w:spacing w:after="200" w:line="360" w:lineRule="auto"/>
        <w:contextualSpacing/>
        <w:rPr>
          <w:rFonts w:ascii="Calibri" w:eastAsia="Calibri" w:hAnsi="Calibri" w:cs="Times New Roman"/>
        </w:rPr>
      </w:pPr>
    </w:p>
    <w:p w14:paraId="6D84F8BC" w14:textId="0D9D9876"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unmatched sample size was still too small, unfortunately, to conduct latent variable structural equation modelling to investigate the mediation relationships, due to the reduction in statistical power which would have compromised the robustness of the results when all of the variables were entered together (Byrne, 2010; Hair et al., 2010). Instead, simple mediation was conducted with the manifest variables using the ‘MEDIATE for SPSS’ macro. This involved investigating the direct and indirect effects of a single predictor on a single outcome variable. Therefore, each predictor, </w:t>
      </w:r>
      <w:r w:rsidRPr="00E6060C">
        <w:rPr>
          <w:rFonts w:ascii="Calibri" w:eastAsia="Calibri" w:hAnsi="Calibri" w:cs="Times New Roman"/>
        </w:rPr>
        <w:lastRenderedPageBreak/>
        <w:t>mediator and outcome variable were entered into the model independently of any other variables. In this study, for example, the effect of social support on work engagement, mediated by autonomy, was entered in one model, and the effect of influence on decision-making on work engagement, mediated by autonomy, was entered in a separate model. This approach has the advantage that the effect of each predictor on the outcome variable can be assessed independently of any other variable, and unknown effects due to the presence of other variables entered at the same time are not introduced. This is consistent with standard procedures for simple mediation (e.g. Mackinnon, Coxe and Baraldi, 2012). Investigating the effects of the predictors on work engagement separately also enables the results to be compared more easily with the results of previous studies which have also investigated the effects of these predictors on work engagement in isolation. The simple mediation model will now be explained in more detail, before discussing the associated effect sizes which were calculated.</w:t>
      </w:r>
      <w:r w:rsidR="00B536D2">
        <w:rPr>
          <w:rFonts w:ascii="Calibri" w:eastAsia="Calibri" w:hAnsi="Calibri" w:cs="Times New Roman"/>
        </w:rPr>
        <w:t xml:space="preserve"> Chapter 9</w:t>
      </w:r>
      <w:r w:rsidRPr="00E6060C">
        <w:rPr>
          <w:rFonts w:ascii="Calibri" w:eastAsia="Calibri" w:hAnsi="Calibri" w:cs="Times New Roman"/>
        </w:rPr>
        <w:t xml:space="preserve"> details the results of these mediation analyses. </w:t>
      </w:r>
    </w:p>
    <w:p w14:paraId="21473704" w14:textId="77777777" w:rsidR="00E6060C" w:rsidRPr="00E6060C" w:rsidRDefault="00E6060C" w:rsidP="00E6060C">
      <w:pPr>
        <w:spacing w:after="200" w:line="360" w:lineRule="auto"/>
        <w:contextualSpacing/>
        <w:rPr>
          <w:rFonts w:ascii="Calibri" w:eastAsia="Calibri" w:hAnsi="Calibri" w:cs="Times New Roman"/>
        </w:rPr>
      </w:pPr>
    </w:p>
    <w:p w14:paraId="44164B87" w14:textId="77777777" w:rsidR="00E6060C" w:rsidRPr="00E06480" w:rsidRDefault="00E6060C" w:rsidP="00E06480">
      <w:pPr>
        <w:rPr>
          <w:b/>
        </w:rPr>
      </w:pPr>
      <w:bookmarkStart w:id="378" w:name="_Toc442369733"/>
      <w:r w:rsidRPr="00E06480">
        <w:rPr>
          <w:b/>
        </w:rPr>
        <w:t>The simple mediation model</w:t>
      </w:r>
      <w:bookmarkEnd w:id="378"/>
    </w:p>
    <w:p w14:paraId="265C40ED" w14:textId="77777777" w:rsidR="00E6060C" w:rsidRPr="00E6060C" w:rsidRDefault="00E6060C" w:rsidP="00E6060C">
      <w:pPr>
        <w:spacing w:after="200" w:line="360" w:lineRule="auto"/>
        <w:contextualSpacing/>
        <w:rPr>
          <w:rFonts w:ascii="Calibri" w:eastAsia="Calibri" w:hAnsi="Calibri" w:cs="Times New Roman"/>
        </w:rPr>
      </w:pPr>
    </w:p>
    <w:p w14:paraId="3C33977E" w14:textId="4768954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A simple mediation model is one which contains a single predictor (independent variable), a single mediator, and a single outcome (dependent) variable (Hayes, 2013). Models which contain more than one mediator variable, termed multiple mediation models, are not considered in this thesis. Typically, the independent variable in a simple mediation model is represented by </w:t>
      </w:r>
      <w:r w:rsidRPr="00E6060C">
        <w:rPr>
          <w:rFonts w:ascii="Calibri" w:eastAsia="Calibri" w:hAnsi="Calibri" w:cs="Times New Roman"/>
          <w:i/>
        </w:rPr>
        <w:t>X</w:t>
      </w:r>
      <w:r w:rsidRPr="00E6060C">
        <w:rPr>
          <w:rFonts w:ascii="Calibri" w:eastAsia="Calibri" w:hAnsi="Calibri" w:cs="Times New Roman"/>
        </w:rPr>
        <w:t xml:space="preserve">, the dependent variable is represented by </w:t>
      </w:r>
      <w:r w:rsidRPr="00E6060C">
        <w:rPr>
          <w:rFonts w:ascii="Calibri" w:eastAsia="Calibri" w:hAnsi="Calibri" w:cs="Times New Roman"/>
          <w:i/>
        </w:rPr>
        <w:t xml:space="preserve">Y, </w:t>
      </w:r>
      <w:r w:rsidRPr="00E6060C">
        <w:rPr>
          <w:rFonts w:ascii="Calibri" w:eastAsia="Calibri" w:hAnsi="Calibri" w:cs="Times New Roman"/>
        </w:rPr>
        <w:t xml:space="preserve">and the mediator is represented by </w:t>
      </w:r>
      <w:r w:rsidRPr="00E6060C">
        <w:rPr>
          <w:rFonts w:ascii="Calibri" w:eastAsia="Calibri" w:hAnsi="Calibri" w:cs="Times New Roman"/>
          <w:i/>
        </w:rPr>
        <w:t xml:space="preserve">M </w:t>
      </w:r>
      <w:r w:rsidRPr="00E6060C">
        <w:rPr>
          <w:rFonts w:ascii="Calibri" w:eastAsia="Calibri" w:hAnsi="Calibri" w:cs="Times New Roman"/>
        </w:rPr>
        <w:t>(</w:t>
      </w:r>
      <w:r w:rsidR="00B536D2">
        <w:rPr>
          <w:rFonts w:ascii="Calibri" w:eastAsia="Calibri" w:hAnsi="Calibri" w:cs="Times New Roman"/>
        </w:rPr>
        <w:fldChar w:fldCharType="begin"/>
      </w:r>
      <w:r w:rsidR="00B536D2">
        <w:rPr>
          <w:rFonts w:ascii="Calibri" w:eastAsia="Calibri" w:hAnsi="Calibri" w:cs="Times New Roman"/>
        </w:rPr>
        <w:instrText xml:space="preserve"> REF _Ref453584934 \h </w:instrText>
      </w:r>
      <w:r w:rsidR="00B536D2">
        <w:rPr>
          <w:rFonts w:ascii="Calibri" w:eastAsia="Calibri" w:hAnsi="Calibri" w:cs="Times New Roman"/>
        </w:rPr>
      </w:r>
      <w:r w:rsidR="00B536D2">
        <w:rPr>
          <w:rFonts w:ascii="Calibri" w:eastAsia="Calibri" w:hAnsi="Calibri" w:cs="Times New Roman"/>
        </w:rPr>
        <w:fldChar w:fldCharType="separate"/>
      </w:r>
      <w:r w:rsidR="00152F6D">
        <w:t xml:space="preserve">Figure </w:t>
      </w:r>
      <w:r w:rsidR="00152F6D">
        <w:rPr>
          <w:noProof/>
        </w:rPr>
        <w:t>7</w:t>
      </w:r>
      <w:r w:rsidR="00152F6D">
        <w:t>.</w:t>
      </w:r>
      <w:r w:rsidR="00152F6D">
        <w:rPr>
          <w:noProof/>
        </w:rPr>
        <w:t>2</w:t>
      </w:r>
      <w:r w:rsidR="00B536D2">
        <w:rPr>
          <w:rFonts w:ascii="Calibri" w:eastAsia="Calibri" w:hAnsi="Calibri" w:cs="Times New Roman"/>
        </w:rPr>
        <w:fldChar w:fldCharType="end"/>
      </w:r>
      <w:r w:rsidRPr="00E6060C">
        <w:rPr>
          <w:rFonts w:ascii="Calibri" w:eastAsia="Calibri" w:hAnsi="Calibri" w:cs="Times New Roman"/>
        </w:rPr>
        <w:t>)</w:t>
      </w:r>
      <w:r w:rsidRPr="00E6060C">
        <w:rPr>
          <w:rFonts w:ascii="Calibri" w:eastAsia="Calibri" w:hAnsi="Calibri" w:cs="Times New Roman"/>
          <w:i/>
        </w:rPr>
        <w:t xml:space="preserve">. </w:t>
      </w:r>
      <w:r w:rsidRPr="00E6060C">
        <w:rPr>
          <w:rFonts w:ascii="Calibri" w:eastAsia="Calibri" w:hAnsi="Calibri" w:cs="Times New Roman"/>
        </w:rPr>
        <w:t xml:space="preserve">For example, in this study, social support could be </w:t>
      </w:r>
      <w:r w:rsidRPr="00E6060C">
        <w:rPr>
          <w:rFonts w:ascii="Calibri" w:eastAsia="Calibri" w:hAnsi="Calibri" w:cs="Times New Roman"/>
          <w:i/>
        </w:rPr>
        <w:t xml:space="preserve">X, </w:t>
      </w:r>
      <w:r w:rsidRPr="00E6060C">
        <w:rPr>
          <w:rFonts w:ascii="Calibri" w:eastAsia="Calibri" w:hAnsi="Calibri" w:cs="Times New Roman"/>
        </w:rPr>
        <w:t xml:space="preserve">autonomy could be </w:t>
      </w:r>
      <w:r w:rsidRPr="00E6060C">
        <w:rPr>
          <w:rFonts w:ascii="Calibri" w:eastAsia="Calibri" w:hAnsi="Calibri" w:cs="Times New Roman"/>
          <w:i/>
        </w:rPr>
        <w:t xml:space="preserve">M, </w:t>
      </w:r>
      <w:r w:rsidRPr="00E6060C">
        <w:rPr>
          <w:rFonts w:ascii="Calibri" w:eastAsia="Calibri" w:hAnsi="Calibri" w:cs="Times New Roman"/>
        </w:rPr>
        <w:t xml:space="preserve">and work engagement could be </w:t>
      </w:r>
      <w:r w:rsidRPr="00E6060C">
        <w:rPr>
          <w:rFonts w:ascii="Calibri" w:eastAsia="Calibri" w:hAnsi="Calibri" w:cs="Times New Roman"/>
          <w:i/>
        </w:rPr>
        <w:t xml:space="preserve">Y. </w:t>
      </w:r>
      <w:r w:rsidRPr="00E6060C">
        <w:rPr>
          <w:rFonts w:ascii="Calibri" w:eastAsia="Calibri" w:hAnsi="Calibri" w:cs="Times New Roman"/>
        </w:rPr>
        <w:t xml:space="preserve">The path between the independent variable and the mediator is represented by </w:t>
      </w:r>
      <w:r w:rsidRPr="00E6060C">
        <w:rPr>
          <w:rFonts w:ascii="Calibri" w:eastAsia="Calibri" w:hAnsi="Calibri" w:cs="Times New Roman"/>
          <w:i/>
        </w:rPr>
        <w:t xml:space="preserve">a, </w:t>
      </w:r>
      <w:r w:rsidRPr="00E6060C">
        <w:rPr>
          <w:rFonts w:ascii="Calibri" w:eastAsia="Calibri" w:hAnsi="Calibri" w:cs="Times New Roman"/>
        </w:rPr>
        <w:t xml:space="preserve">and the path between the mediator and the dependent variable, controlling for the effect of the independent variable, is represented by </w:t>
      </w:r>
      <w:r w:rsidRPr="00E6060C">
        <w:rPr>
          <w:rFonts w:ascii="Calibri" w:eastAsia="Calibri" w:hAnsi="Calibri" w:cs="Times New Roman"/>
          <w:i/>
        </w:rPr>
        <w:t xml:space="preserve">b. </w:t>
      </w:r>
      <w:r w:rsidRPr="00E6060C">
        <w:rPr>
          <w:rFonts w:ascii="Calibri" w:eastAsia="Calibri" w:hAnsi="Calibri" w:cs="Times New Roman"/>
        </w:rPr>
        <w:t>The sum of these two paths represents the indirect effect. The direct path between the independent</w:t>
      </w:r>
      <w:r w:rsidRPr="00E6060C">
        <w:rPr>
          <w:rFonts w:ascii="Calibri" w:eastAsia="Calibri" w:hAnsi="Calibri" w:cs="Times New Roman"/>
          <w:i/>
        </w:rPr>
        <w:t xml:space="preserve"> </w:t>
      </w:r>
      <w:r w:rsidRPr="00E6060C">
        <w:rPr>
          <w:rFonts w:ascii="Calibri" w:eastAsia="Calibri" w:hAnsi="Calibri" w:cs="Times New Roman"/>
        </w:rPr>
        <w:t xml:space="preserve">and dependent variables, controlling for the indirect effect of the mediator, is represented by </w:t>
      </w:r>
      <w:r w:rsidRPr="00E6060C">
        <w:rPr>
          <w:rFonts w:ascii="Calibri" w:eastAsia="Calibri" w:hAnsi="Calibri" w:cs="Times New Roman"/>
          <w:i/>
        </w:rPr>
        <w:t>c’.</w:t>
      </w:r>
      <w:r w:rsidRPr="00E6060C">
        <w:rPr>
          <w:rFonts w:ascii="Calibri" w:eastAsia="Calibri" w:hAnsi="Calibri" w:cs="Times New Roman"/>
        </w:rPr>
        <w:t xml:space="preserve"> The total effect of the independent variable on the dependent variable is expressed by </w:t>
      </w:r>
      <w:r w:rsidRPr="00E6060C">
        <w:rPr>
          <w:rFonts w:ascii="Calibri" w:eastAsia="Calibri" w:hAnsi="Calibri" w:cs="Times New Roman"/>
          <w:i/>
        </w:rPr>
        <w:t xml:space="preserve">c </w:t>
      </w:r>
      <w:r w:rsidRPr="00E6060C">
        <w:rPr>
          <w:rFonts w:ascii="Calibri" w:eastAsia="Calibri" w:hAnsi="Calibri" w:cs="Times New Roman"/>
        </w:rPr>
        <w:t>and represents the sum of the direct and indirect effects (</w:t>
      </w:r>
      <w:r w:rsidRPr="00E6060C">
        <w:rPr>
          <w:rFonts w:ascii="Calibri" w:eastAsia="Calibri" w:hAnsi="Calibri" w:cs="Times New Roman"/>
          <w:i/>
        </w:rPr>
        <w:t>c=c’+ab</w:t>
      </w:r>
      <w:r w:rsidRPr="00E6060C">
        <w:rPr>
          <w:rFonts w:ascii="Calibri" w:eastAsia="Calibri" w:hAnsi="Calibri" w:cs="Times New Roman"/>
        </w:rPr>
        <w:t>)</w:t>
      </w:r>
      <w:r w:rsidRPr="00E6060C">
        <w:rPr>
          <w:rFonts w:ascii="Calibri" w:eastAsia="Calibri" w:hAnsi="Calibri" w:cs="Times New Roman"/>
          <w:i/>
        </w:rPr>
        <w:t>.</w:t>
      </w:r>
      <w:r w:rsidRPr="00E6060C">
        <w:rPr>
          <w:rFonts w:ascii="Calibri" w:eastAsia="Calibri" w:hAnsi="Calibri" w:cs="Times New Roman"/>
        </w:rPr>
        <w:t xml:space="preserve"> Changes are expressed in units, as follows: </w:t>
      </w:r>
      <w:r w:rsidRPr="00E6060C">
        <w:rPr>
          <w:rFonts w:ascii="Calibri" w:eastAsia="Calibri" w:hAnsi="Calibri" w:cs="Times New Roman"/>
          <w:i/>
        </w:rPr>
        <w:t>a</w:t>
      </w:r>
      <w:r w:rsidRPr="00E6060C">
        <w:rPr>
          <w:rFonts w:ascii="Calibri" w:eastAsia="Calibri" w:hAnsi="Calibri" w:cs="Times New Roman"/>
        </w:rPr>
        <w:t xml:space="preserve"> indicates the change in the mediator based on a one-unit change in the independent variable, </w:t>
      </w:r>
      <w:r w:rsidRPr="00E6060C">
        <w:rPr>
          <w:rFonts w:ascii="Calibri" w:eastAsia="Calibri" w:hAnsi="Calibri" w:cs="Times New Roman"/>
          <w:i/>
        </w:rPr>
        <w:t xml:space="preserve">b </w:t>
      </w:r>
      <w:r w:rsidRPr="00E6060C">
        <w:rPr>
          <w:rFonts w:ascii="Calibri" w:eastAsia="Calibri" w:hAnsi="Calibri" w:cs="Times New Roman"/>
        </w:rPr>
        <w:t xml:space="preserve">indicates the change in the dependent variable based on a one-unit change in the mediator, controlling for the independent variable, </w:t>
      </w:r>
      <w:r w:rsidRPr="00E6060C">
        <w:rPr>
          <w:rFonts w:ascii="Calibri" w:eastAsia="Calibri" w:hAnsi="Calibri" w:cs="Times New Roman"/>
          <w:i/>
        </w:rPr>
        <w:t>c’</w:t>
      </w:r>
      <w:r w:rsidRPr="00E6060C">
        <w:rPr>
          <w:rFonts w:ascii="Calibri" w:eastAsia="Calibri" w:hAnsi="Calibri" w:cs="Times New Roman"/>
        </w:rPr>
        <w:t xml:space="preserve"> represents the change in the dependent variable based on a one-unit change in the independent variable, controlling for the mediator, and </w:t>
      </w:r>
      <w:r w:rsidRPr="00E6060C">
        <w:rPr>
          <w:rFonts w:ascii="Calibri" w:eastAsia="Calibri" w:hAnsi="Calibri" w:cs="Times New Roman"/>
          <w:i/>
        </w:rPr>
        <w:t xml:space="preserve">c </w:t>
      </w:r>
      <w:r w:rsidRPr="00E6060C">
        <w:rPr>
          <w:rFonts w:ascii="Calibri" w:eastAsia="Calibri" w:hAnsi="Calibri" w:cs="Times New Roman"/>
        </w:rPr>
        <w:t xml:space="preserve">represents the change in the dependent variable following a one-unit change in the independent variable (Hayes, 2013). The presence of mediation is indicated by a total effect which is insignificant, suggesting that the effect of a predictor on an outcome variable is not independent of its effect through the mediator. The presence of a significant indirect effect, and </w:t>
      </w:r>
      <w:r w:rsidRPr="00E6060C">
        <w:rPr>
          <w:rFonts w:ascii="Calibri" w:eastAsia="Calibri" w:hAnsi="Calibri" w:cs="Times New Roman"/>
        </w:rPr>
        <w:lastRenderedPageBreak/>
        <w:t xml:space="preserve">/ or 95% confidence interval which does not include zero, also indicates mediation, and suggests that the effect of a predictor on an outcome variable occurs through the mediator variable. The presence of a significant indirect effect has been taken to indicate mediation in this thesis. The macro, ‘MEDIATE for SPSS’, computes both direct and indirect effects, providing </w:t>
      </w:r>
      <w:r w:rsidRPr="00E6060C">
        <w:rPr>
          <w:rFonts w:ascii="Calibri" w:eastAsia="Calibri" w:hAnsi="Calibri" w:cs="Times New Roman"/>
          <w:i/>
        </w:rPr>
        <w:t>p</w:t>
      </w:r>
      <w:r w:rsidRPr="00E6060C">
        <w:rPr>
          <w:rFonts w:ascii="Calibri" w:eastAsia="Calibri" w:hAnsi="Calibri" w:cs="Times New Roman"/>
        </w:rPr>
        <w:t>-values for the former (but not confidence intervals) and bootstrapped</w:t>
      </w:r>
      <w:r w:rsidRPr="00E6060C">
        <w:rPr>
          <w:rFonts w:ascii="Calibri" w:eastAsia="Calibri" w:hAnsi="Calibri" w:cs="Times New Roman"/>
          <w:vertAlign w:val="superscript"/>
        </w:rPr>
        <w:footnoteReference w:id="6"/>
      </w:r>
      <w:r w:rsidRPr="00E6060C">
        <w:rPr>
          <w:rFonts w:ascii="Calibri" w:eastAsia="Calibri" w:hAnsi="Calibri" w:cs="Times New Roman"/>
        </w:rPr>
        <w:t xml:space="preserve"> 95% confidence intervals for the latter (but not </w:t>
      </w:r>
      <w:r w:rsidRPr="00E6060C">
        <w:rPr>
          <w:rFonts w:ascii="Calibri" w:eastAsia="Calibri" w:hAnsi="Calibri" w:cs="Times New Roman"/>
          <w:i/>
        </w:rPr>
        <w:t>p</w:t>
      </w:r>
      <w:r w:rsidRPr="00E6060C">
        <w:rPr>
          <w:rFonts w:ascii="Calibri" w:eastAsia="Calibri" w:hAnsi="Calibri" w:cs="Times New Roman"/>
        </w:rPr>
        <w:t xml:space="preserve">-values). Total effects and effect sizes may be calculated from the results. By using this macro, the guidelines outlined by Mackinnon et al. (2012) are followed, which overcome the issues identified with Baron &amp; Kenny’s (1986) and Sobel’s </w:t>
      </w:r>
      <w:r w:rsidR="00E4393F">
        <w:rPr>
          <w:rFonts w:ascii="Calibri" w:eastAsia="Calibri" w:hAnsi="Calibri" w:cs="Times New Roman"/>
        </w:rPr>
        <w:t xml:space="preserve">(1982) </w:t>
      </w:r>
      <w:r w:rsidRPr="00E6060C">
        <w:rPr>
          <w:rFonts w:ascii="Calibri" w:eastAsia="Calibri" w:hAnsi="Calibri" w:cs="Times New Roman"/>
        </w:rPr>
        <w:t xml:space="preserve">earlier approaches, the former of which did not test for significance, allow for effect sizes to be computed or allow a causal hypothesis to be tested, and the latter of which did not allow the extent of mediation to be determined. </w:t>
      </w:r>
    </w:p>
    <w:p w14:paraId="22479CFC" w14:textId="77777777" w:rsidR="00E6060C" w:rsidRPr="00E6060C" w:rsidRDefault="00E6060C" w:rsidP="00E6060C">
      <w:pPr>
        <w:spacing w:after="200" w:line="360" w:lineRule="auto"/>
        <w:contextualSpacing/>
        <w:rPr>
          <w:rFonts w:ascii="Calibri" w:eastAsia="Calibri" w:hAnsi="Calibri" w:cs="Times New Roman"/>
        </w:rPr>
      </w:pPr>
    </w:p>
    <w:p w14:paraId="6FC77617" w14:textId="77777777" w:rsidR="00FD533A" w:rsidRDefault="00E6060C" w:rsidP="00FD533A">
      <w:pPr>
        <w:keepNext/>
        <w:spacing w:after="200" w:line="360" w:lineRule="auto"/>
        <w:contextualSpacing/>
      </w:pPr>
      <w:r w:rsidRPr="00E6060C">
        <w:rPr>
          <w:rFonts w:ascii="Calibri" w:eastAsia="Calibri" w:hAnsi="Calibri" w:cs="Times New Roman"/>
          <w:noProof/>
          <w:lang w:eastAsia="en-GB"/>
        </w:rPr>
        <w:drawing>
          <wp:inline distT="0" distB="0" distL="0" distR="0" wp14:anchorId="0DA99A1E" wp14:editId="3E8A3469">
            <wp:extent cx="5553075" cy="2609078"/>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0566" t="22540" r="57736" b="24516"/>
                    <a:stretch/>
                  </pic:blipFill>
                  <pic:spPr bwMode="auto">
                    <a:xfrm>
                      <a:off x="0" y="0"/>
                      <a:ext cx="5591099" cy="2626943"/>
                    </a:xfrm>
                    <a:prstGeom prst="rect">
                      <a:avLst/>
                    </a:prstGeom>
                    <a:ln>
                      <a:noFill/>
                    </a:ln>
                    <a:extLst>
                      <a:ext uri="{53640926-AAD7-44D8-BBD7-CCE9431645EC}">
                        <a14:shadowObscured xmlns:a14="http://schemas.microsoft.com/office/drawing/2010/main"/>
                      </a:ext>
                    </a:extLst>
                  </pic:spPr>
                </pic:pic>
              </a:graphicData>
            </a:graphic>
          </wp:inline>
        </w:drawing>
      </w:r>
    </w:p>
    <w:p w14:paraId="33235D7E" w14:textId="1BB67940" w:rsidR="00C23D06" w:rsidRPr="00C23D06" w:rsidRDefault="00FD533A" w:rsidP="005852AD">
      <w:pPr>
        <w:pStyle w:val="Figurestyle"/>
        <w:rPr>
          <w:rFonts w:ascii="Calibri" w:eastAsia="Calibri" w:hAnsi="Calibri" w:cs="Times New Roman"/>
          <w:i/>
          <w:vanish/>
          <w:specVanish/>
        </w:rPr>
      </w:pPr>
      <w:bookmarkStart w:id="379" w:name="_Ref453584934"/>
      <w:bookmarkStart w:id="380" w:name="_Toc453238919"/>
      <w:bookmarkStart w:id="381" w:name="_Toc468286109"/>
      <w:r>
        <w:t xml:space="preserve">Figure </w:t>
      </w:r>
      <w:r w:rsidR="00245D68">
        <w:fldChar w:fldCharType="begin"/>
      </w:r>
      <w:r w:rsidR="00245D68">
        <w:instrText xml:space="preserve"> STYLEREF 1 \s </w:instrText>
      </w:r>
      <w:r w:rsidR="00245D68">
        <w:fldChar w:fldCharType="separate"/>
      </w:r>
      <w:r w:rsidR="00152F6D">
        <w:rPr>
          <w:noProof/>
        </w:rPr>
        <w:t>7</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2</w:t>
      </w:r>
      <w:r w:rsidR="00245D68">
        <w:rPr>
          <w:noProof/>
        </w:rPr>
        <w:fldChar w:fldCharType="end"/>
      </w:r>
      <w:bookmarkEnd w:id="379"/>
      <w:r>
        <w:t xml:space="preserve"> </w:t>
      </w:r>
      <w:r w:rsidRPr="002F06E2">
        <w:t>A diagram demonstrating the simple mediation model</w:t>
      </w:r>
      <w:bookmarkEnd w:id="380"/>
      <w:bookmarkEnd w:id="381"/>
    </w:p>
    <w:p w14:paraId="1E3233A6" w14:textId="6375A40C" w:rsidR="00C23D06" w:rsidRDefault="00FD533A" w:rsidP="005852AD">
      <w:pPr>
        <w:pStyle w:val="Figurestyle"/>
      </w:pPr>
      <w:r w:rsidRPr="002F06E2">
        <w:t xml:space="preserve">. Notes: X=independent variable; Y=dependent variable; M=mediator variable; a=direct effect of X on M; b=direct effect of M on Y, controlling for X; c’=direct effect of X </w:t>
      </w:r>
      <w:r>
        <w:t>on Y, controlling for M; ab=</w:t>
      </w:r>
      <w:r w:rsidRPr="00E6060C">
        <w:rPr>
          <w:rFonts w:ascii="Calibri" w:eastAsia="Calibri" w:hAnsi="Calibri" w:cs="Times New Roman"/>
        </w:rPr>
        <w:t xml:space="preserve">indirect effect of </w:t>
      </w:r>
      <w:r w:rsidRPr="00E6060C">
        <w:rPr>
          <w:rFonts w:ascii="Calibri" w:eastAsia="Calibri" w:hAnsi="Calibri" w:cs="Times New Roman"/>
          <w:i/>
        </w:rPr>
        <w:t>X</w:t>
      </w:r>
      <w:r w:rsidRPr="00E6060C">
        <w:rPr>
          <w:rFonts w:ascii="Calibri" w:eastAsia="Calibri" w:hAnsi="Calibri" w:cs="Times New Roman"/>
        </w:rPr>
        <w:t xml:space="preserve"> on </w:t>
      </w:r>
      <w:r w:rsidRPr="00E6060C">
        <w:rPr>
          <w:rFonts w:ascii="Calibri" w:eastAsia="Calibri" w:hAnsi="Calibri" w:cs="Times New Roman"/>
          <w:i/>
        </w:rPr>
        <w:t>Y</w:t>
      </w:r>
      <w:r w:rsidRPr="00E6060C">
        <w:rPr>
          <w:rFonts w:ascii="Calibri" w:eastAsia="Calibri" w:hAnsi="Calibri" w:cs="Times New Roman"/>
        </w:rPr>
        <w:t xml:space="preserve">, mediated by </w:t>
      </w:r>
      <w:r w:rsidRPr="00E6060C">
        <w:rPr>
          <w:rFonts w:ascii="Calibri" w:eastAsia="Calibri" w:hAnsi="Calibri" w:cs="Times New Roman"/>
          <w:i/>
        </w:rPr>
        <w:t>M</w:t>
      </w:r>
      <w:r w:rsidRPr="00E6060C">
        <w:rPr>
          <w:rFonts w:ascii="Calibri" w:eastAsia="Calibri" w:hAnsi="Calibri" w:cs="Times New Roman"/>
        </w:rPr>
        <w:t xml:space="preserve">; </w:t>
      </w:r>
      <w:r w:rsidRPr="00E6060C">
        <w:rPr>
          <w:rFonts w:ascii="Calibri" w:eastAsia="Calibri" w:hAnsi="Calibri" w:cs="Times New Roman"/>
          <w:i/>
        </w:rPr>
        <w:t>c</w:t>
      </w:r>
      <w:r w:rsidRPr="00E6060C">
        <w:rPr>
          <w:rFonts w:ascii="Calibri" w:eastAsia="Calibri" w:hAnsi="Calibri" w:cs="Times New Roman"/>
        </w:rPr>
        <w:t xml:space="preserve">=total effect of </w:t>
      </w:r>
      <w:r w:rsidRPr="00E6060C">
        <w:rPr>
          <w:rFonts w:ascii="Calibri" w:eastAsia="Calibri" w:hAnsi="Calibri" w:cs="Times New Roman"/>
          <w:i/>
        </w:rPr>
        <w:t>X</w:t>
      </w:r>
      <w:r w:rsidRPr="00E6060C">
        <w:rPr>
          <w:rFonts w:ascii="Calibri" w:eastAsia="Calibri" w:hAnsi="Calibri" w:cs="Times New Roman"/>
        </w:rPr>
        <w:t xml:space="preserve"> on </w:t>
      </w:r>
      <w:r w:rsidRPr="00E6060C">
        <w:rPr>
          <w:rFonts w:ascii="Calibri" w:eastAsia="Calibri" w:hAnsi="Calibri" w:cs="Times New Roman"/>
          <w:i/>
        </w:rPr>
        <w:t>Y</w:t>
      </w:r>
      <w:r w:rsidR="00C23D06">
        <w:t xml:space="preserve"> </w:t>
      </w:r>
    </w:p>
    <w:p w14:paraId="27BFDFDA" w14:textId="77777777" w:rsidR="00E6060C" w:rsidRPr="00E6060C" w:rsidRDefault="00E6060C" w:rsidP="00E06480"/>
    <w:p w14:paraId="06FB75E8" w14:textId="77777777" w:rsidR="00E6060C" w:rsidRPr="00E06480" w:rsidRDefault="00E6060C" w:rsidP="00E06480">
      <w:pPr>
        <w:rPr>
          <w:b/>
        </w:rPr>
      </w:pPr>
      <w:bookmarkStart w:id="382" w:name="_Toc442369734"/>
      <w:r w:rsidRPr="00E06480">
        <w:rPr>
          <w:b/>
        </w:rPr>
        <w:t>Effect sizes for simple mediation</w:t>
      </w:r>
      <w:bookmarkEnd w:id="382"/>
    </w:p>
    <w:p w14:paraId="77E6F23C" w14:textId="77777777" w:rsidR="00E6060C" w:rsidRPr="00E6060C" w:rsidRDefault="00E6060C" w:rsidP="00E6060C">
      <w:pPr>
        <w:spacing w:after="200" w:line="276" w:lineRule="auto"/>
        <w:rPr>
          <w:rFonts w:ascii="Calibri" w:eastAsia="Calibri" w:hAnsi="Calibri" w:cs="Times New Roman"/>
        </w:rPr>
      </w:pPr>
    </w:p>
    <w:p w14:paraId="71E7E766"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Two effect sizes were calculated to determine the size of any mediation effects observed: 1) the absolute indirect effect size </w:t>
      </w:r>
      <m:oMath>
        <m:sSub>
          <m:sSubPr>
            <m:ctrlPr>
              <w:rPr>
                <w:rFonts w:ascii="Cambria Math" w:eastAsia="Calibri" w:hAnsi="Cambria Math" w:cs="Times New Roman"/>
                <w:i/>
                <w:iCs/>
              </w:rPr>
            </m:ctrlPr>
          </m:sSubPr>
          <m:e>
            <m:r>
              <w:rPr>
                <w:rFonts w:ascii="Cambria Math" w:eastAsia="Calibri" w:hAnsi="Cambria Math" w:cs="Times New Roman"/>
              </w:rPr>
              <m:t>(ab</m:t>
            </m:r>
          </m:e>
          <m:sub>
            <m:r>
              <w:rPr>
                <w:rFonts w:ascii="Cambria Math" w:eastAsia="Calibri" w:hAnsi="Cambria Math" w:cs="Times New Roman"/>
              </w:rPr>
              <m:t>cs</m:t>
            </m:r>
          </m:sub>
        </m:sSub>
      </m:oMath>
      <w:r w:rsidRPr="00E6060C">
        <w:rPr>
          <w:rFonts w:ascii="Calibri" w:eastAsia="Times New Roman" w:hAnsi="Calibri" w:cs="Times New Roman"/>
          <w:iCs/>
        </w:rPr>
        <w:t>)</w:t>
      </w:r>
      <w:r w:rsidRPr="00E6060C">
        <w:rPr>
          <w:rFonts w:ascii="Calibri" w:eastAsia="Calibri" w:hAnsi="Calibri" w:cs="Times New Roman"/>
        </w:rPr>
        <w:t>; and 2) the relative indirect effect size (</w:t>
      </w:r>
      <m:oMath>
        <m:sSub>
          <m:sSubPr>
            <m:ctrlPr>
              <w:rPr>
                <w:rFonts w:ascii="Cambria Math" w:eastAsia="Calibri" w:hAnsi="Cambria Math" w:cs="Times New Roman"/>
                <w:i/>
                <w:iCs/>
                <w:color w:val="000000"/>
                <w:kern w:val="24"/>
              </w:rPr>
            </m:ctrlPr>
          </m:sSubPr>
          <m:e>
            <m:r>
              <w:rPr>
                <w:rFonts w:ascii="Cambria Math" w:eastAsia="Calibri" w:hAnsi="Cambria Math" w:cs="Times New Roman"/>
                <w:color w:val="000000"/>
                <w:kern w:val="24"/>
              </w:rPr>
              <m:t>P</m:t>
            </m:r>
          </m:e>
          <m:sub>
            <m:r>
              <w:rPr>
                <w:rFonts w:ascii="Cambria Math" w:eastAsia="Calibri" w:hAnsi="Cambria Math" w:cs="Times New Roman"/>
                <w:color w:val="000000"/>
                <w:kern w:val="24"/>
              </w:rPr>
              <m:t>M</m:t>
            </m:r>
          </m:sub>
        </m:sSub>
        <m:r>
          <w:rPr>
            <w:rFonts w:ascii="Cambria Math" w:eastAsia="Calibri" w:hAnsi="Cambria Math" w:cs="Times New Roman"/>
            <w:color w:val="000000"/>
            <w:kern w:val="24"/>
          </w:rPr>
          <m:t>)</m:t>
        </m:r>
      </m:oMath>
      <w:r w:rsidRPr="00E6060C">
        <w:rPr>
          <w:rFonts w:ascii="Calibri" w:eastAsia="Calibri" w:hAnsi="Calibri" w:cs="Times New Roman"/>
        </w:rPr>
        <w:t xml:space="preserve">. The absolute indirect effect size is a standardised measure of the indirect effect size which allows the comparison of </w:t>
      </w:r>
      <w:r w:rsidRPr="00E6060C">
        <w:rPr>
          <w:rFonts w:ascii="Calibri" w:eastAsia="Calibri" w:hAnsi="Calibri" w:cs="Times New Roman"/>
        </w:rPr>
        <w:lastRenderedPageBreak/>
        <w:t xml:space="preserve">indirect effects across studies which have used different scales to measure results, and is measured according to the following formula (Preacher &amp; Kelley, 2011): </w:t>
      </w:r>
    </w:p>
    <w:p w14:paraId="68A51AC7" w14:textId="77777777" w:rsidR="00E6060C" w:rsidRPr="00E6060C" w:rsidRDefault="00E6060C" w:rsidP="00E6060C">
      <w:pPr>
        <w:spacing w:after="200" w:line="360" w:lineRule="auto"/>
        <w:contextualSpacing/>
        <w:rPr>
          <w:rFonts w:ascii="Calibri" w:eastAsia="Calibri" w:hAnsi="Calibri" w:cs="Times New Roman"/>
        </w:rPr>
      </w:pPr>
    </w:p>
    <w:p w14:paraId="210145B2" w14:textId="77777777" w:rsidR="00E6060C" w:rsidRPr="00E6060C" w:rsidRDefault="00245D68" w:rsidP="00E6060C">
      <w:pPr>
        <w:spacing w:after="200" w:line="360" w:lineRule="auto"/>
        <w:contextualSpacing/>
        <w:rPr>
          <w:rFonts w:ascii="Calibri" w:eastAsia="Calibri" w:hAnsi="Calibri" w:cs="Times New Roman"/>
        </w:rPr>
      </w:pPr>
      <m:oMathPara>
        <m:oMath>
          <m:sSub>
            <m:sSubPr>
              <m:ctrlPr>
                <w:rPr>
                  <w:rFonts w:ascii="Cambria Math" w:eastAsia="Calibri" w:hAnsi="Cambria Math" w:cs="Times New Roman"/>
                  <w:i/>
                  <w:iCs/>
                </w:rPr>
              </m:ctrlPr>
            </m:sSubPr>
            <m:e>
              <m:r>
                <w:rPr>
                  <w:rFonts w:ascii="Cambria Math" w:eastAsia="Calibri" w:hAnsi="Cambria Math" w:cs="Times New Roman"/>
                </w:rPr>
                <m:t>ab</m:t>
              </m:r>
            </m:e>
            <m:sub>
              <m:r>
                <w:rPr>
                  <w:rFonts w:ascii="Cambria Math" w:eastAsia="Calibri" w:hAnsi="Cambria Math" w:cs="Times New Roman"/>
                </w:rPr>
                <m:t>cs</m:t>
              </m:r>
            </m:sub>
          </m:sSub>
          <m:r>
            <w:rPr>
              <w:rFonts w:ascii="Cambria Math" w:eastAsia="Calibri" w:hAnsi="Cambria Math" w:cs="Times New Roman"/>
            </w:rPr>
            <m:t>=</m:t>
          </m:r>
          <m:f>
            <m:fPr>
              <m:ctrlPr>
                <w:rPr>
                  <w:rFonts w:ascii="Cambria Math" w:eastAsia="Calibri" w:hAnsi="Cambria Math" w:cs="Times New Roman"/>
                  <w:i/>
                  <w:iCs/>
                </w:rPr>
              </m:ctrlPr>
            </m:fPr>
            <m:num>
              <m:sSub>
                <m:sSubPr>
                  <m:ctrlPr>
                    <w:rPr>
                      <w:rFonts w:ascii="Cambria Math" w:eastAsia="Calibri" w:hAnsi="Cambria Math" w:cs="Times New Roman"/>
                      <w:i/>
                      <w:iCs/>
                    </w:rPr>
                  </m:ctrlPr>
                </m:sSubPr>
                <m:e>
                  <m:r>
                    <w:rPr>
                      <w:rFonts w:ascii="Cambria Math" w:eastAsia="Calibri" w:hAnsi="Cambria Math" w:cs="Times New Roman"/>
                    </w:rPr>
                    <m:t>SD</m:t>
                  </m:r>
                </m:e>
                <m:sub>
                  <m:r>
                    <w:rPr>
                      <w:rFonts w:ascii="Cambria Math" w:eastAsia="Calibri" w:hAnsi="Cambria Math" w:cs="Times New Roman"/>
                    </w:rPr>
                    <m:t>x</m:t>
                  </m:r>
                </m:sub>
              </m:sSub>
            </m:num>
            <m:den>
              <m:sSub>
                <m:sSubPr>
                  <m:ctrlPr>
                    <w:rPr>
                      <w:rFonts w:ascii="Cambria Math" w:eastAsia="Calibri" w:hAnsi="Cambria Math" w:cs="Times New Roman"/>
                      <w:i/>
                      <w:iCs/>
                    </w:rPr>
                  </m:ctrlPr>
                </m:sSubPr>
                <m:e>
                  <m:r>
                    <w:rPr>
                      <w:rFonts w:ascii="Cambria Math" w:eastAsia="Calibri" w:hAnsi="Cambria Math" w:cs="Times New Roman"/>
                    </w:rPr>
                    <m:t>SD</m:t>
                  </m:r>
                </m:e>
                <m:sub>
                  <m:r>
                    <w:rPr>
                      <w:rFonts w:ascii="Cambria Math" w:eastAsia="Calibri" w:hAnsi="Cambria Math" w:cs="Times New Roman"/>
                    </w:rPr>
                    <m:t>y</m:t>
                  </m:r>
                </m:sub>
              </m:sSub>
            </m:den>
          </m:f>
          <m:r>
            <w:rPr>
              <w:rFonts w:ascii="Cambria Math" w:eastAsia="Calibri" w:hAnsi="Cambria Math" w:cs="Times New Roman"/>
            </w:rPr>
            <m:t>ab</m:t>
          </m:r>
        </m:oMath>
      </m:oMathPara>
    </w:p>
    <w:p w14:paraId="48DB8BBD" w14:textId="77777777" w:rsidR="00E6060C" w:rsidRPr="00E6060C" w:rsidRDefault="00E6060C" w:rsidP="00E6060C">
      <w:pPr>
        <w:spacing w:after="200" w:line="360" w:lineRule="auto"/>
        <w:contextualSpacing/>
        <w:rPr>
          <w:rFonts w:ascii="Calibri" w:eastAsia="Calibri" w:hAnsi="Calibri" w:cs="Times New Roman"/>
        </w:rPr>
      </w:pPr>
    </w:p>
    <w:p w14:paraId="298CB5D7"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where: </w:t>
      </w:r>
      <w:r w:rsidRPr="00E6060C">
        <w:rPr>
          <w:rFonts w:ascii="Calibri" w:eastAsia="Calibri" w:hAnsi="Calibri" w:cs="Times New Roman"/>
          <w:i/>
        </w:rPr>
        <w:t>a</w:t>
      </w:r>
      <w:r w:rsidRPr="00E6060C">
        <w:rPr>
          <w:rFonts w:ascii="Calibri" w:eastAsia="Calibri" w:hAnsi="Calibri" w:cs="Times New Roman"/>
        </w:rPr>
        <w:t xml:space="preserve"> is the slope linking </w:t>
      </w:r>
      <w:r w:rsidRPr="00E6060C">
        <w:rPr>
          <w:rFonts w:ascii="Calibri" w:eastAsia="Calibri" w:hAnsi="Calibri" w:cs="Times New Roman"/>
          <w:i/>
        </w:rPr>
        <w:t>X</w:t>
      </w:r>
      <w:r w:rsidRPr="00E6060C">
        <w:rPr>
          <w:rFonts w:ascii="Calibri" w:eastAsia="Calibri" w:hAnsi="Calibri" w:cs="Times New Roman"/>
        </w:rPr>
        <w:t xml:space="preserve"> (the predictor) to </w:t>
      </w:r>
      <w:r w:rsidRPr="00E6060C">
        <w:rPr>
          <w:rFonts w:ascii="Calibri" w:eastAsia="Calibri" w:hAnsi="Calibri" w:cs="Times New Roman"/>
          <w:i/>
        </w:rPr>
        <w:t>M</w:t>
      </w:r>
      <w:r w:rsidRPr="00E6060C">
        <w:rPr>
          <w:rFonts w:ascii="Calibri" w:eastAsia="Calibri" w:hAnsi="Calibri" w:cs="Times New Roman"/>
        </w:rPr>
        <w:t xml:space="preserve"> (the mediator) </w:t>
      </w:r>
    </w:p>
    <w:p w14:paraId="1628CD54" w14:textId="77777777" w:rsidR="00E6060C" w:rsidRPr="00E6060C" w:rsidRDefault="00E6060C" w:rsidP="00E6060C">
      <w:pPr>
        <w:spacing w:after="200" w:line="360" w:lineRule="auto"/>
        <w:ind w:firstLine="720"/>
        <w:contextualSpacing/>
        <w:rPr>
          <w:rFonts w:ascii="Calibri" w:eastAsia="Calibri" w:hAnsi="Calibri" w:cs="Times New Roman"/>
        </w:rPr>
      </w:pPr>
      <w:r w:rsidRPr="00E6060C">
        <w:rPr>
          <w:rFonts w:ascii="Calibri" w:eastAsia="Calibri" w:hAnsi="Calibri" w:cs="Times New Roman"/>
          <w:i/>
        </w:rPr>
        <w:t>b</w:t>
      </w:r>
      <w:r w:rsidRPr="00E6060C">
        <w:rPr>
          <w:rFonts w:ascii="Calibri" w:eastAsia="Calibri" w:hAnsi="Calibri" w:cs="Times New Roman"/>
        </w:rPr>
        <w:t xml:space="preserve"> is the conditional slope linking </w:t>
      </w:r>
      <w:r w:rsidRPr="00E6060C">
        <w:rPr>
          <w:rFonts w:ascii="Calibri" w:eastAsia="Calibri" w:hAnsi="Calibri" w:cs="Times New Roman"/>
          <w:i/>
        </w:rPr>
        <w:t>M</w:t>
      </w:r>
      <w:r w:rsidRPr="00E6060C">
        <w:rPr>
          <w:rFonts w:ascii="Calibri" w:eastAsia="Calibri" w:hAnsi="Calibri" w:cs="Times New Roman"/>
        </w:rPr>
        <w:t xml:space="preserve"> to </w:t>
      </w:r>
      <w:r w:rsidRPr="00E6060C">
        <w:rPr>
          <w:rFonts w:ascii="Calibri" w:eastAsia="Calibri" w:hAnsi="Calibri" w:cs="Times New Roman"/>
          <w:i/>
        </w:rPr>
        <w:t>Y</w:t>
      </w:r>
      <w:r w:rsidRPr="00E6060C">
        <w:rPr>
          <w:rFonts w:ascii="Calibri" w:eastAsia="Calibri" w:hAnsi="Calibri" w:cs="Times New Roman"/>
        </w:rPr>
        <w:t xml:space="preserve"> (the dependent variable)</w:t>
      </w:r>
    </w:p>
    <w:p w14:paraId="3659C949" w14:textId="77777777" w:rsidR="00E6060C" w:rsidRPr="00E6060C" w:rsidRDefault="00E6060C" w:rsidP="00E6060C">
      <w:pPr>
        <w:spacing w:after="200" w:line="360" w:lineRule="auto"/>
        <w:ind w:firstLine="720"/>
        <w:contextualSpacing/>
        <w:rPr>
          <w:rFonts w:ascii="Calibri" w:eastAsia="Calibri" w:hAnsi="Calibri" w:cs="Times New Roman"/>
        </w:rPr>
      </w:pPr>
      <w:r w:rsidRPr="00E6060C">
        <w:rPr>
          <w:rFonts w:ascii="Calibri" w:eastAsia="Calibri" w:hAnsi="Calibri" w:cs="Times New Roman"/>
          <w:i/>
        </w:rPr>
        <w:t>SD</w:t>
      </w:r>
      <w:r w:rsidRPr="00E6060C">
        <w:rPr>
          <w:rFonts w:ascii="Calibri" w:eastAsia="Calibri" w:hAnsi="Calibri" w:cs="Times New Roman"/>
          <w:i/>
          <w:vertAlign w:val="subscript"/>
        </w:rPr>
        <w:t>x</w:t>
      </w:r>
      <w:r w:rsidRPr="00E6060C">
        <w:rPr>
          <w:rFonts w:ascii="Calibri" w:eastAsia="Calibri" w:hAnsi="Calibri" w:cs="Times New Roman"/>
        </w:rPr>
        <w:t xml:space="preserve"> is the standard deviation of the independent variable</w:t>
      </w:r>
    </w:p>
    <w:p w14:paraId="2D8BD115" w14:textId="77777777" w:rsidR="00E6060C" w:rsidRPr="00E6060C" w:rsidRDefault="00E6060C" w:rsidP="00E6060C">
      <w:pPr>
        <w:spacing w:after="200" w:line="360" w:lineRule="auto"/>
        <w:ind w:firstLine="720"/>
        <w:contextualSpacing/>
        <w:rPr>
          <w:rFonts w:ascii="Calibri" w:eastAsia="Calibri" w:hAnsi="Calibri" w:cs="Times New Roman"/>
        </w:rPr>
      </w:pPr>
      <w:r w:rsidRPr="00E6060C">
        <w:rPr>
          <w:rFonts w:ascii="Calibri" w:eastAsia="Calibri" w:hAnsi="Calibri" w:cs="Times New Roman"/>
          <w:i/>
        </w:rPr>
        <w:t>SD</w:t>
      </w:r>
      <w:r w:rsidRPr="00E6060C">
        <w:rPr>
          <w:rFonts w:ascii="Calibri" w:eastAsia="Calibri" w:hAnsi="Calibri" w:cs="Times New Roman"/>
          <w:i/>
          <w:vertAlign w:val="subscript"/>
        </w:rPr>
        <w:t>y</w:t>
      </w:r>
      <w:r w:rsidRPr="00E6060C">
        <w:rPr>
          <w:rFonts w:ascii="Calibri" w:eastAsia="Calibri" w:hAnsi="Calibri" w:cs="Times New Roman"/>
        </w:rPr>
        <w:t xml:space="preserve"> is the standard deviation of the dependent variable</w:t>
      </w:r>
    </w:p>
    <w:p w14:paraId="67E0EB1E" w14:textId="77777777" w:rsidR="00E6060C" w:rsidRPr="00E6060C" w:rsidRDefault="00E6060C" w:rsidP="00E6060C">
      <w:pPr>
        <w:spacing w:after="200" w:line="360" w:lineRule="auto"/>
        <w:contextualSpacing/>
        <w:rPr>
          <w:rFonts w:ascii="Calibri" w:eastAsia="Calibri" w:hAnsi="Calibri" w:cs="Times New Roman"/>
        </w:rPr>
      </w:pPr>
    </w:p>
    <w:p w14:paraId="3AA8CB98"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relative indirect effect size is an unstandardized measure which assesses the ratio of the indirect effect to the total effect, (Preacher &amp; Kelley, 2011). It is measured according to the following formula: </w:t>
      </w:r>
    </w:p>
    <w:p w14:paraId="78975D0F" w14:textId="77777777" w:rsidR="00E6060C" w:rsidRPr="00E6060C" w:rsidRDefault="00E6060C" w:rsidP="00E6060C">
      <w:pPr>
        <w:spacing w:after="200" w:line="360" w:lineRule="auto"/>
        <w:contextualSpacing/>
        <w:rPr>
          <w:rFonts w:ascii="Calibri" w:eastAsia="Calibri" w:hAnsi="Calibri" w:cs="Times New Roman"/>
        </w:rPr>
      </w:pPr>
    </w:p>
    <w:p w14:paraId="61D9F64B" w14:textId="77777777" w:rsidR="00E6060C" w:rsidRPr="00E6060C" w:rsidRDefault="00245D68" w:rsidP="00E6060C">
      <w:pPr>
        <w:spacing w:after="200" w:line="360" w:lineRule="auto"/>
        <w:contextualSpacing/>
        <w:rPr>
          <w:rFonts w:ascii="Calibri" w:eastAsia="Calibri" w:hAnsi="Calibri" w:cs="Times New Roman"/>
        </w:rPr>
      </w:pPr>
      <m:oMathPara>
        <m:oMath>
          <m:sSub>
            <m:sSubPr>
              <m:ctrlPr>
                <w:rPr>
                  <w:rFonts w:ascii="Cambria Math" w:eastAsia="Calibri" w:hAnsi="Cambria Math" w:cs="Times New Roman"/>
                  <w:i/>
                  <w:iCs/>
                  <w:color w:val="000000"/>
                  <w:kern w:val="24"/>
                </w:rPr>
              </m:ctrlPr>
            </m:sSubPr>
            <m:e>
              <m:r>
                <w:rPr>
                  <w:rFonts w:ascii="Cambria Math" w:eastAsia="Calibri" w:hAnsi="Cambria Math" w:cs="Times New Roman"/>
                  <w:color w:val="000000"/>
                  <w:kern w:val="24"/>
                </w:rPr>
                <m:t>P</m:t>
              </m:r>
            </m:e>
            <m:sub>
              <m:r>
                <w:rPr>
                  <w:rFonts w:ascii="Cambria Math" w:eastAsia="Calibri" w:hAnsi="Cambria Math" w:cs="Times New Roman"/>
                  <w:color w:val="000000"/>
                  <w:kern w:val="24"/>
                </w:rPr>
                <m:t>M</m:t>
              </m:r>
            </m:sub>
          </m:sSub>
          <m:r>
            <w:rPr>
              <w:rFonts w:ascii="Cambria Math" w:eastAsia="Calibri" w:hAnsi="Cambria Math" w:cs="Times New Roman"/>
              <w:color w:val="000000"/>
              <w:kern w:val="24"/>
            </w:rPr>
            <m:t>=</m:t>
          </m:r>
          <m:f>
            <m:fPr>
              <m:ctrlPr>
                <w:rPr>
                  <w:rFonts w:ascii="Cambria Math" w:eastAsia="Calibri" w:hAnsi="Cambria Math" w:cs="Times New Roman"/>
                  <w:i/>
                  <w:iCs/>
                  <w:color w:val="000000"/>
                  <w:kern w:val="24"/>
                </w:rPr>
              </m:ctrlPr>
            </m:fPr>
            <m:num>
              <m:r>
                <w:rPr>
                  <w:rFonts w:ascii="Cambria Math" w:eastAsia="Calibri" w:hAnsi="Cambria Math" w:cs="Times New Roman"/>
                  <w:color w:val="000000"/>
                  <w:kern w:val="24"/>
                </w:rPr>
                <m:t>ab</m:t>
              </m:r>
            </m:num>
            <m:den>
              <m:r>
                <w:rPr>
                  <w:rFonts w:ascii="Cambria Math" w:eastAsia="Calibri" w:hAnsi="Cambria Math" w:cs="Times New Roman"/>
                  <w:color w:val="000000"/>
                  <w:kern w:val="24"/>
                </w:rPr>
                <m:t>c</m:t>
              </m:r>
            </m:den>
          </m:f>
          <m:r>
            <w:rPr>
              <w:rFonts w:ascii="Cambria Math" w:eastAsia="Calibri" w:hAnsi="Cambria Math" w:cs="Times New Roman"/>
              <w:color w:val="000000"/>
              <w:kern w:val="24"/>
            </w:rPr>
            <m:t>=</m:t>
          </m:r>
          <m:f>
            <m:fPr>
              <m:ctrlPr>
                <w:rPr>
                  <w:rFonts w:ascii="Cambria Math" w:eastAsia="Calibri" w:hAnsi="Cambria Math" w:cs="Times New Roman"/>
                  <w:i/>
                  <w:iCs/>
                  <w:color w:val="000000"/>
                  <w:kern w:val="24"/>
                </w:rPr>
              </m:ctrlPr>
            </m:fPr>
            <m:num>
              <m:r>
                <w:rPr>
                  <w:rFonts w:ascii="Cambria Math" w:eastAsia="Calibri" w:hAnsi="Cambria Math" w:cs="Times New Roman"/>
                  <w:color w:val="000000"/>
                  <w:kern w:val="24"/>
                </w:rPr>
                <m:t>ab</m:t>
              </m:r>
            </m:num>
            <m:den>
              <m:r>
                <w:rPr>
                  <w:rFonts w:ascii="Cambria Math" w:eastAsia="Calibri" w:hAnsi="Cambria Math" w:cs="Times New Roman"/>
                  <w:color w:val="000000"/>
                  <w:kern w:val="24"/>
                </w:rPr>
                <m:t>ab+c'</m:t>
              </m:r>
            </m:den>
          </m:f>
        </m:oMath>
      </m:oMathPara>
    </w:p>
    <w:p w14:paraId="01CA802E" w14:textId="77777777" w:rsidR="00E6060C" w:rsidRPr="00E6060C" w:rsidRDefault="00E6060C" w:rsidP="00E6060C">
      <w:pPr>
        <w:spacing w:after="200" w:line="360" w:lineRule="auto"/>
        <w:contextualSpacing/>
        <w:rPr>
          <w:rFonts w:ascii="Calibri" w:eastAsia="Calibri" w:hAnsi="Calibri" w:cs="Times New Roman"/>
        </w:rPr>
      </w:pPr>
    </w:p>
    <w:p w14:paraId="50A40B86" w14:textId="77777777" w:rsidR="00E6060C" w:rsidRPr="00E6060C" w:rsidRDefault="00E6060C" w:rsidP="00E6060C">
      <w:pPr>
        <w:spacing w:after="200" w:line="360" w:lineRule="auto"/>
        <w:contextualSpacing/>
        <w:rPr>
          <w:rFonts w:ascii="Calibri" w:eastAsia="Calibri" w:hAnsi="Calibri" w:cs="Times New Roman"/>
        </w:rPr>
      </w:pPr>
    </w:p>
    <w:p w14:paraId="405AF0F8"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where:  </w:t>
      </w:r>
      <w:r w:rsidRPr="00E6060C">
        <w:rPr>
          <w:rFonts w:ascii="Calibri" w:eastAsia="Calibri" w:hAnsi="Calibri" w:cs="Times New Roman"/>
          <w:i/>
        </w:rPr>
        <w:t>a</w:t>
      </w:r>
      <w:r w:rsidRPr="00E6060C">
        <w:rPr>
          <w:rFonts w:ascii="Calibri" w:eastAsia="Calibri" w:hAnsi="Calibri" w:cs="Times New Roman"/>
        </w:rPr>
        <w:t xml:space="preserve"> is the slope linking </w:t>
      </w:r>
      <w:r w:rsidRPr="00E6060C">
        <w:rPr>
          <w:rFonts w:ascii="Calibri" w:eastAsia="Calibri" w:hAnsi="Calibri" w:cs="Times New Roman"/>
          <w:i/>
        </w:rPr>
        <w:t>X</w:t>
      </w:r>
      <w:r w:rsidRPr="00E6060C">
        <w:rPr>
          <w:rFonts w:ascii="Calibri" w:eastAsia="Calibri" w:hAnsi="Calibri" w:cs="Times New Roman"/>
        </w:rPr>
        <w:t xml:space="preserve"> to </w:t>
      </w:r>
      <w:r w:rsidRPr="00E6060C">
        <w:rPr>
          <w:rFonts w:ascii="Calibri" w:eastAsia="Calibri" w:hAnsi="Calibri" w:cs="Times New Roman"/>
          <w:i/>
        </w:rPr>
        <w:t>M</w:t>
      </w:r>
      <w:r w:rsidRPr="00E6060C">
        <w:rPr>
          <w:rFonts w:ascii="Calibri" w:eastAsia="Calibri" w:hAnsi="Calibri" w:cs="Times New Roman"/>
        </w:rPr>
        <w:t xml:space="preserve">  </w:t>
      </w:r>
    </w:p>
    <w:p w14:paraId="7BDB2A0A" w14:textId="77777777" w:rsidR="00E6060C" w:rsidRPr="00E6060C" w:rsidRDefault="00E6060C" w:rsidP="00E6060C">
      <w:pPr>
        <w:spacing w:after="200" w:line="360" w:lineRule="auto"/>
        <w:ind w:firstLine="720"/>
        <w:contextualSpacing/>
        <w:rPr>
          <w:rFonts w:ascii="Calibri" w:eastAsia="Calibri" w:hAnsi="Calibri" w:cs="Times New Roman"/>
        </w:rPr>
      </w:pPr>
      <w:r w:rsidRPr="00E6060C">
        <w:rPr>
          <w:rFonts w:ascii="Calibri" w:eastAsia="Calibri" w:hAnsi="Calibri" w:cs="Times New Roman"/>
          <w:i/>
        </w:rPr>
        <w:t>b</w:t>
      </w:r>
      <w:r w:rsidRPr="00E6060C">
        <w:rPr>
          <w:rFonts w:ascii="Calibri" w:eastAsia="Calibri" w:hAnsi="Calibri" w:cs="Times New Roman"/>
        </w:rPr>
        <w:t xml:space="preserve"> is the conditional slope linking </w:t>
      </w:r>
      <w:r w:rsidRPr="00E6060C">
        <w:rPr>
          <w:rFonts w:ascii="Calibri" w:eastAsia="Calibri" w:hAnsi="Calibri" w:cs="Times New Roman"/>
          <w:i/>
        </w:rPr>
        <w:t>M</w:t>
      </w:r>
      <w:r w:rsidRPr="00E6060C">
        <w:rPr>
          <w:rFonts w:ascii="Calibri" w:eastAsia="Calibri" w:hAnsi="Calibri" w:cs="Times New Roman"/>
        </w:rPr>
        <w:t xml:space="preserve"> to </w:t>
      </w:r>
      <w:r w:rsidRPr="00E6060C">
        <w:rPr>
          <w:rFonts w:ascii="Calibri" w:eastAsia="Calibri" w:hAnsi="Calibri" w:cs="Times New Roman"/>
          <w:i/>
        </w:rPr>
        <w:t>Y</w:t>
      </w:r>
      <w:r w:rsidRPr="00E6060C">
        <w:rPr>
          <w:rFonts w:ascii="Calibri" w:eastAsia="Calibri" w:hAnsi="Calibri" w:cs="Times New Roman"/>
        </w:rPr>
        <w:t xml:space="preserve"> </w:t>
      </w:r>
    </w:p>
    <w:p w14:paraId="21E8BA92" w14:textId="77777777" w:rsidR="00E6060C" w:rsidRPr="00E6060C" w:rsidRDefault="00E6060C" w:rsidP="00E6060C">
      <w:pPr>
        <w:spacing w:after="200" w:line="360" w:lineRule="auto"/>
        <w:ind w:firstLine="720"/>
        <w:contextualSpacing/>
        <w:rPr>
          <w:rFonts w:ascii="Calibri" w:eastAsia="Calibri" w:hAnsi="Calibri" w:cs="Times New Roman"/>
        </w:rPr>
      </w:pPr>
      <w:r w:rsidRPr="00E6060C">
        <w:rPr>
          <w:rFonts w:ascii="Calibri" w:eastAsia="Calibri" w:hAnsi="Calibri" w:cs="Times New Roman"/>
          <w:i/>
        </w:rPr>
        <w:t>c</w:t>
      </w:r>
      <w:r w:rsidRPr="00E6060C">
        <w:rPr>
          <w:rFonts w:ascii="Calibri" w:eastAsia="Calibri" w:hAnsi="Calibri" w:cs="Times New Roman"/>
        </w:rPr>
        <w:t xml:space="preserve"> is the total effect of </w:t>
      </w:r>
      <w:r w:rsidRPr="00E6060C">
        <w:rPr>
          <w:rFonts w:ascii="Calibri" w:eastAsia="Calibri" w:hAnsi="Calibri" w:cs="Times New Roman"/>
          <w:i/>
        </w:rPr>
        <w:t>X</w:t>
      </w:r>
      <w:r w:rsidRPr="00E6060C">
        <w:rPr>
          <w:rFonts w:ascii="Calibri" w:eastAsia="Calibri" w:hAnsi="Calibri" w:cs="Times New Roman"/>
        </w:rPr>
        <w:t xml:space="preserve"> on </w:t>
      </w:r>
      <w:r w:rsidRPr="00E6060C">
        <w:rPr>
          <w:rFonts w:ascii="Calibri" w:eastAsia="Calibri" w:hAnsi="Calibri" w:cs="Times New Roman"/>
          <w:i/>
        </w:rPr>
        <w:t xml:space="preserve">Y </w:t>
      </w:r>
    </w:p>
    <w:p w14:paraId="784A2D1B" w14:textId="77777777" w:rsidR="00E6060C" w:rsidRPr="00E6060C" w:rsidRDefault="00E6060C" w:rsidP="00E6060C">
      <w:pPr>
        <w:spacing w:after="200" w:line="360" w:lineRule="auto"/>
        <w:ind w:firstLine="720"/>
        <w:contextualSpacing/>
        <w:rPr>
          <w:rFonts w:ascii="Calibri" w:eastAsia="Calibri" w:hAnsi="Calibri" w:cs="Times New Roman"/>
        </w:rPr>
      </w:pPr>
      <w:r w:rsidRPr="00E6060C">
        <w:rPr>
          <w:rFonts w:ascii="Calibri" w:eastAsia="Calibri" w:hAnsi="Calibri" w:cs="Times New Roman"/>
          <w:i/>
        </w:rPr>
        <w:t>c’</w:t>
      </w:r>
      <w:r w:rsidRPr="00E6060C">
        <w:rPr>
          <w:rFonts w:ascii="Calibri" w:eastAsia="Calibri" w:hAnsi="Calibri" w:cs="Times New Roman"/>
        </w:rPr>
        <w:t xml:space="preserve"> is the conditional slope linking </w:t>
      </w:r>
      <w:r w:rsidRPr="00E6060C">
        <w:rPr>
          <w:rFonts w:ascii="Calibri" w:eastAsia="Calibri" w:hAnsi="Calibri" w:cs="Times New Roman"/>
          <w:i/>
        </w:rPr>
        <w:t>X</w:t>
      </w:r>
      <w:r w:rsidRPr="00E6060C">
        <w:rPr>
          <w:rFonts w:ascii="Calibri" w:eastAsia="Calibri" w:hAnsi="Calibri" w:cs="Times New Roman"/>
        </w:rPr>
        <w:t xml:space="preserve"> to </w:t>
      </w:r>
      <w:r w:rsidRPr="00E6060C">
        <w:rPr>
          <w:rFonts w:ascii="Calibri" w:eastAsia="Calibri" w:hAnsi="Calibri" w:cs="Times New Roman"/>
          <w:i/>
        </w:rPr>
        <w:t>Y</w:t>
      </w:r>
    </w:p>
    <w:p w14:paraId="50B15C3E" w14:textId="77777777" w:rsidR="00E6060C" w:rsidRPr="00E6060C" w:rsidRDefault="00E6060C" w:rsidP="00E6060C">
      <w:pPr>
        <w:spacing w:after="200" w:line="360" w:lineRule="auto"/>
        <w:contextualSpacing/>
        <w:rPr>
          <w:rFonts w:ascii="Calibri" w:eastAsia="Calibri" w:hAnsi="Calibri" w:cs="Times New Roman"/>
        </w:rPr>
      </w:pPr>
    </w:p>
    <w:p w14:paraId="3F2CA50B"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Although the relative indirect size measure has been criticised (see Preacher &amp; Kelley, 2011, for a good discussion), it is one of the most widely used measures of effect size as it is largely unaffected by sample size, enables comparison of effect sizes across samples even when different scales are used to measure variables, and allows the construction of confidence intervals. It can also be argued that no better effect size measures have been proposed, hence its popularity (Preacher &amp; Kelley, 2011). For both the absolute indirect effect size and the relative indirect effect size, the larger the effect size, the stronger the effect, and the latter may have positive values greater than 1 or be negative. No benchmarks indicating ‘small’, ‘medium’ or ‘large’ effects are available for either of the measures, hence they have not been interpreted in this way. Calculating both effect sizes allows a better understanding of the relationship between the variables to be gained than calculating only one effect size would allow. </w:t>
      </w:r>
    </w:p>
    <w:p w14:paraId="2EC46DC4" w14:textId="33DF7657" w:rsidR="00E6060C" w:rsidRPr="00E6060C" w:rsidRDefault="00E6060C" w:rsidP="00B7614E">
      <w:pPr>
        <w:pStyle w:val="Thesisheading2"/>
      </w:pPr>
      <w:bookmarkStart w:id="383" w:name="_Toc397071012"/>
      <w:bookmarkStart w:id="384" w:name="_Toc445389264"/>
      <w:bookmarkStart w:id="385" w:name="_Toc468286006"/>
      <w:r w:rsidRPr="00E6060C">
        <w:lastRenderedPageBreak/>
        <w:t>Ethics</w:t>
      </w:r>
      <w:bookmarkEnd w:id="383"/>
      <w:bookmarkEnd w:id="384"/>
      <w:bookmarkEnd w:id="385"/>
    </w:p>
    <w:p w14:paraId="40B3B8B7" w14:textId="77777777" w:rsidR="00E6060C" w:rsidRPr="00E6060C" w:rsidRDefault="00E6060C" w:rsidP="00E6060C">
      <w:pPr>
        <w:spacing w:after="200" w:line="360" w:lineRule="auto"/>
        <w:contextualSpacing/>
        <w:rPr>
          <w:rFonts w:ascii="Calibri" w:eastAsia="Calibri" w:hAnsi="Calibri" w:cs="Times New Roman"/>
        </w:rPr>
      </w:pPr>
    </w:p>
    <w:p w14:paraId="49C22D61"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National Research Ethics Service (NRES) approval from the Trust in which the study took place was required. This was applied for by the research team and successfully received in May 2014. In accordance with The University of Sheffield’s Research Ethics Policy (Note 5), this negated the need to apply for ethical approval from the University and thus an application for exemption from ethical approval by the University was submitted by myself. The Data Protection Act (1998) concerning the confidentiality and anonymity of research participants was strictly adhered to throughout the study; for example, paper copies of questionnaires were stored in a locked filing cabinet and data transferred to a computer file for analysis was stored within a password protected computer. Informed consent was obtained from all participants and they were made aware of their right to withdraw at any point. It was intended that if the intervention was successful, it would be rolled out to the non-experimental wards, overcoming the issue of attempting to improve standards of care on some wards and not others. Anonymity of the participants was guaranteed by the self-completion of anonymous questionnaires and the return of these questionnaires by post to the researchers. Ethical approval was specifically sought to allow the research team to assign a unique identification number to participants in order to anonymously track individuals’ responses across both time points. The intention was to allow a more powerful statistical analysis to be computed, providing more robust results and a greater ability to draw conclusions, whilst still protecting the anonymity of participants. </w:t>
      </w:r>
    </w:p>
    <w:p w14:paraId="0E5C104A" w14:textId="77777777" w:rsidR="005077F1" w:rsidRDefault="005077F1">
      <w:pPr>
        <w:pStyle w:val="Thesisheading1"/>
        <w:sectPr w:rsidR="005077F1" w:rsidSect="00E6060C">
          <w:footerReference w:type="default" r:id="rId34"/>
          <w:footerReference w:type="first" r:id="rId35"/>
          <w:pgSz w:w="11906" w:h="16838"/>
          <w:pgMar w:top="1440" w:right="1440" w:bottom="1440" w:left="1440" w:header="709" w:footer="709" w:gutter="0"/>
          <w:cols w:space="708"/>
          <w:titlePg/>
          <w:docGrid w:linePitch="360"/>
        </w:sectPr>
      </w:pPr>
    </w:p>
    <w:p w14:paraId="5E180947" w14:textId="62EF1327" w:rsidR="00E6060C" w:rsidRPr="00E6060C" w:rsidRDefault="00E6060C" w:rsidP="002D3426">
      <w:pPr>
        <w:pStyle w:val="Heading1"/>
      </w:pPr>
      <w:bookmarkStart w:id="386" w:name="_Toc468286007"/>
      <w:r w:rsidRPr="00E6060C">
        <w:lastRenderedPageBreak/>
        <w:t xml:space="preserve">Results of the participatory action intervention to increase work engagement in </w:t>
      </w:r>
      <w:r w:rsidR="00334496">
        <w:t>nursing staff</w:t>
      </w:r>
      <w:r w:rsidRPr="00E6060C">
        <w:t xml:space="preserve"> on acute elderly NHS wards</w:t>
      </w:r>
      <w:bookmarkEnd w:id="386"/>
    </w:p>
    <w:p w14:paraId="5B28DBF5" w14:textId="77777777" w:rsidR="00E6060C" w:rsidRPr="00E6060C" w:rsidRDefault="00E6060C" w:rsidP="00E6060C">
      <w:pPr>
        <w:spacing w:after="200" w:line="360" w:lineRule="auto"/>
        <w:contextualSpacing/>
        <w:rPr>
          <w:rFonts w:ascii="Calibri" w:eastAsia="Calibri" w:hAnsi="Calibri" w:cs="Times New Roman"/>
        </w:rPr>
      </w:pPr>
    </w:p>
    <w:p w14:paraId="498B26D0" w14:textId="77777777" w:rsidR="00E6060C" w:rsidRPr="00E6060C" w:rsidRDefault="00E6060C" w:rsidP="00E6060C">
      <w:pPr>
        <w:spacing w:after="200" w:line="360" w:lineRule="auto"/>
        <w:contextualSpacing/>
        <w:rPr>
          <w:rFonts w:ascii="Calibri" w:eastAsia="Calibri" w:hAnsi="Calibri" w:cs="Times New Roman"/>
          <w:b/>
        </w:rPr>
      </w:pPr>
    </w:p>
    <w:p w14:paraId="7A5CC71C" w14:textId="7B5425A9"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first aim of the intervention study with nursing staff on acute elderly wards in the NHS was to evaluate the effectiveness of th</w:t>
      </w:r>
      <w:r w:rsidR="00A53300">
        <w:rPr>
          <w:rFonts w:ascii="Calibri" w:eastAsia="Calibri" w:hAnsi="Calibri" w:cs="Times New Roman"/>
        </w:rPr>
        <w:t>e</w:t>
      </w:r>
      <w:r w:rsidRPr="00E6060C">
        <w:rPr>
          <w:rFonts w:ascii="Calibri" w:eastAsia="Calibri" w:hAnsi="Calibri" w:cs="Times New Roman"/>
        </w:rPr>
        <w:t xml:space="preserve"> intervention for increasing work engagement and </w:t>
      </w:r>
      <w:r w:rsidR="001D6140">
        <w:rPr>
          <w:rFonts w:ascii="Calibri" w:eastAsia="Calibri" w:hAnsi="Calibri" w:cs="Times New Roman"/>
        </w:rPr>
        <w:t>well-being</w:t>
      </w:r>
      <w:r w:rsidRPr="00E6060C">
        <w:rPr>
          <w:rFonts w:ascii="Calibri" w:eastAsia="Calibri" w:hAnsi="Calibri" w:cs="Times New Roman"/>
        </w:rPr>
        <w:t>. This chapter presents the analysis and results of this intervention in relation to this aim. Results pertaining to the second aim of the intervention study, to evaluate whether satisfaction of the three core needs of SDT mediate between antecedents of engagement and work engagement it</w:t>
      </w:r>
      <w:r w:rsidR="00233642">
        <w:rPr>
          <w:rFonts w:ascii="Calibri" w:eastAsia="Calibri" w:hAnsi="Calibri" w:cs="Times New Roman"/>
        </w:rPr>
        <w:t>self, are presented in Chapter 9</w:t>
      </w:r>
      <w:r w:rsidRPr="00E6060C">
        <w:rPr>
          <w:rFonts w:ascii="Calibri" w:eastAsia="Calibri" w:hAnsi="Calibri" w:cs="Times New Roman"/>
        </w:rPr>
        <w:t xml:space="preserve">. The current chapter begins by detailing some of the problems which were encountered with implementing the intervention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_Ref453588796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8.1</w:t>
      </w:r>
      <w:r w:rsidR="00233642">
        <w:rPr>
          <w:rFonts w:ascii="Calibri" w:eastAsia="Calibri" w:hAnsi="Calibri" w:cs="Times New Roman"/>
        </w:rPr>
        <w:fldChar w:fldCharType="end"/>
      </w:r>
      <w:r w:rsidRPr="00E6060C">
        <w:rPr>
          <w:rFonts w:ascii="Calibri" w:eastAsia="Calibri" w:hAnsi="Calibri" w:cs="Times New Roman"/>
        </w:rPr>
        <w:t xml:space="preserve">), and which are likely to have had an effect on the results. It continues by describing descriptive statistics and correlations between the research variables for </w:t>
      </w:r>
      <w:r w:rsidR="00A53300">
        <w:rPr>
          <w:rFonts w:ascii="Calibri" w:eastAsia="Calibri" w:hAnsi="Calibri" w:cs="Times New Roman"/>
        </w:rPr>
        <w:t>the complete samples at T</w:t>
      </w:r>
      <w:r w:rsidRPr="00E6060C">
        <w:rPr>
          <w:rFonts w:ascii="Calibri" w:eastAsia="Calibri" w:hAnsi="Calibri" w:cs="Times New Roman"/>
        </w:rPr>
        <w:t xml:space="preserve">ime 1 and 2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_Ref453588837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8.2</w:t>
      </w:r>
      <w:r w:rsidR="00233642">
        <w:rPr>
          <w:rFonts w:ascii="Calibri" w:eastAsia="Calibri" w:hAnsi="Calibri" w:cs="Times New Roman"/>
        </w:rPr>
        <w:fldChar w:fldCharType="end"/>
      </w:r>
      <w:r w:rsidRPr="00E6060C">
        <w:rPr>
          <w:rFonts w:ascii="Calibri" w:eastAsia="Calibri" w:hAnsi="Calibri" w:cs="Times New Roman"/>
        </w:rPr>
        <w:t xml:space="preserve">), followed by descriptive statistics and correlations between the research variables for the matched sample (those who responded at both time points,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_Ref453588862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8.3</w:t>
      </w:r>
      <w:r w:rsidR="00233642">
        <w:rPr>
          <w:rFonts w:ascii="Calibri" w:eastAsia="Calibri" w:hAnsi="Calibri" w:cs="Times New Roman"/>
        </w:rPr>
        <w:fldChar w:fldCharType="end"/>
      </w:r>
      <w:r w:rsidRPr="00E6060C">
        <w:rPr>
          <w:rFonts w:ascii="Calibri" w:eastAsia="Calibri" w:hAnsi="Calibri" w:cs="Times New Roman"/>
        </w:rPr>
        <w:t xml:space="preserve">). The results of repeated measures ANOVA to test for significant differences between control and intervention groups across time in the matched sample are then presented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_Ref453588888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8.4</w:t>
      </w:r>
      <w:r w:rsidR="00233642">
        <w:rPr>
          <w:rFonts w:ascii="Calibri" w:eastAsia="Calibri" w:hAnsi="Calibri" w:cs="Times New Roman"/>
        </w:rPr>
        <w:fldChar w:fldCharType="end"/>
      </w:r>
      <w:r w:rsidRPr="00E6060C">
        <w:rPr>
          <w:rFonts w:ascii="Calibri" w:eastAsia="Calibri" w:hAnsi="Calibri" w:cs="Times New Roman"/>
        </w:rPr>
        <w:t xml:space="preserve">), before presenting the rationale for conducting, and the results of, multilevel analysis to test for these significant differences using the combined Time 1 and Time 2 samples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_Ref453588905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8.5</w:t>
      </w:r>
      <w:r w:rsidR="00233642">
        <w:rPr>
          <w:rFonts w:ascii="Calibri" w:eastAsia="Calibri" w:hAnsi="Calibri" w:cs="Times New Roman"/>
        </w:rPr>
        <w:fldChar w:fldCharType="end"/>
      </w:r>
      <w:r w:rsidRPr="00E6060C">
        <w:rPr>
          <w:rFonts w:ascii="Calibri" w:eastAsia="Calibri" w:hAnsi="Calibri" w:cs="Times New Roman"/>
        </w:rPr>
        <w:t xml:space="preserve">). The </w:t>
      </w:r>
      <w:r w:rsidR="00233642">
        <w:rPr>
          <w:rFonts w:ascii="Calibri" w:eastAsia="Calibri" w:hAnsi="Calibri" w:cs="Times New Roman"/>
        </w:rPr>
        <w:t xml:space="preserve">results of the evaluation questions follow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_Ref453588986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8.6</w:t>
      </w:r>
      <w:r w:rsidR="00233642">
        <w:rPr>
          <w:rFonts w:ascii="Calibri" w:eastAsia="Calibri" w:hAnsi="Calibri" w:cs="Times New Roman"/>
        </w:rPr>
        <w:fldChar w:fldCharType="end"/>
      </w:r>
      <w:r w:rsidR="00233642">
        <w:rPr>
          <w:rFonts w:ascii="Calibri" w:eastAsia="Calibri" w:hAnsi="Calibri" w:cs="Times New Roman"/>
        </w:rPr>
        <w:t>)</w:t>
      </w:r>
      <w:r w:rsidR="00A53300">
        <w:rPr>
          <w:rFonts w:ascii="Calibri" w:eastAsia="Calibri" w:hAnsi="Calibri" w:cs="Times New Roman"/>
        </w:rPr>
        <w:t>,</w:t>
      </w:r>
      <w:r w:rsidR="00233642">
        <w:rPr>
          <w:rFonts w:ascii="Calibri" w:eastAsia="Calibri" w:hAnsi="Calibri" w:cs="Times New Roman"/>
        </w:rPr>
        <w:t xml:space="preserve"> and the </w:t>
      </w:r>
      <w:r w:rsidRPr="00E6060C">
        <w:rPr>
          <w:rFonts w:ascii="Calibri" w:eastAsia="Calibri" w:hAnsi="Calibri" w:cs="Times New Roman"/>
        </w:rPr>
        <w:t xml:space="preserve">chapter concludes with a summary of the results. </w:t>
      </w:r>
    </w:p>
    <w:p w14:paraId="544F7D4C" w14:textId="77777777" w:rsidR="00E6060C" w:rsidRPr="00E6060C" w:rsidRDefault="00E6060C" w:rsidP="00E6060C">
      <w:pPr>
        <w:spacing w:after="200" w:line="360" w:lineRule="auto"/>
        <w:contextualSpacing/>
        <w:rPr>
          <w:rFonts w:ascii="Calibri" w:eastAsia="Calibri" w:hAnsi="Calibri" w:cs="Times New Roman"/>
          <w:b/>
        </w:rPr>
      </w:pPr>
    </w:p>
    <w:p w14:paraId="0886BDD4" w14:textId="77777777" w:rsidR="00E6060C" w:rsidRPr="00E6060C" w:rsidRDefault="00E6060C" w:rsidP="00B7614E">
      <w:pPr>
        <w:pStyle w:val="Thesisheading2"/>
      </w:pPr>
      <w:bookmarkStart w:id="387" w:name="_Ref453588796"/>
      <w:bookmarkStart w:id="388" w:name="_Toc468286008"/>
      <w:r w:rsidRPr="00E6060C">
        <w:t>Implementing the intervention</w:t>
      </w:r>
      <w:bookmarkEnd w:id="387"/>
      <w:bookmarkEnd w:id="388"/>
    </w:p>
    <w:p w14:paraId="342D331A" w14:textId="77777777" w:rsidR="00E6060C" w:rsidRPr="00E6060C" w:rsidRDefault="00E6060C" w:rsidP="00E6060C">
      <w:pPr>
        <w:spacing w:after="200" w:line="276" w:lineRule="auto"/>
        <w:rPr>
          <w:rFonts w:ascii="Calibri" w:eastAsia="Calibri" w:hAnsi="Calibri" w:cs="Times New Roman"/>
        </w:rPr>
      </w:pPr>
    </w:p>
    <w:p w14:paraId="450E320E" w14:textId="6EE59B82"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As detailed in the </w:t>
      </w:r>
      <w:r w:rsidR="00233642">
        <w:rPr>
          <w:rFonts w:ascii="Calibri" w:eastAsia="Calibri" w:hAnsi="Calibri" w:cs="Times New Roman"/>
        </w:rPr>
        <w:t xml:space="preserve">narrative </w:t>
      </w:r>
      <w:r w:rsidRPr="00E6060C">
        <w:rPr>
          <w:rFonts w:ascii="Calibri" w:eastAsia="Calibri" w:hAnsi="Calibri" w:cs="Times New Roman"/>
        </w:rPr>
        <w:t>systematic review of the effectiveness of interventions to increase wo</w:t>
      </w:r>
      <w:r w:rsidR="00233642">
        <w:rPr>
          <w:rFonts w:ascii="Calibri" w:eastAsia="Calibri" w:hAnsi="Calibri" w:cs="Times New Roman"/>
        </w:rPr>
        <w:t>rk engagement (Chapter 5</w:t>
      </w:r>
      <w:r w:rsidRPr="00E6060C">
        <w:rPr>
          <w:rFonts w:ascii="Calibri" w:eastAsia="Calibri" w:hAnsi="Calibri" w:cs="Times New Roman"/>
        </w:rPr>
        <w:t>), implementing interventions successfully is very difficult. In particular, it is rare that interventions are able to be rolled out exactly as designed, with all components being conducted at the planned times and all participants attending and participating in every session and completing all before and after measures. Given the effect that problems with implementing interventions may have on the results due to attrition, missing data, being unable to run certain parts of the inter</w:t>
      </w:r>
      <w:r w:rsidR="00233642">
        <w:rPr>
          <w:rFonts w:ascii="Calibri" w:eastAsia="Calibri" w:hAnsi="Calibri" w:cs="Times New Roman"/>
        </w:rPr>
        <w:t>vention, etc., (see Chapters 4 &amp; 5</w:t>
      </w:r>
      <w:r w:rsidRPr="00E6060C">
        <w:rPr>
          <w:rFonts w:ascii="Calibri" w:eastAsia="Calibri" w:hAnsi="Calibri" w:cs="Times New Roman"/>
        </w:rPr>
        <w:t xml:space="preserve"> for a more detailed discussion of these), it is important to discuss those which emerged during the current intervention. The results which are presented in this chapter should be interpreted with these issues in mind.</w:t>
      </w:r>
    </w:p>
    <w:p w14:paraId="4CA3131C" w14:textId="77777777" w:rsidR="00E6060C" w:rsidRPr="00E6060C" w:rsidRDefault="00E6060C" w:rsidP="00E6060C">
      <w:pPr>
        <w:spacing w:after="200" w:line="360" w:lineRule="auto"/>
        <w:contextualSpacing/>
        <w:rPr>
          <w:rFonts w:ascii="Calibri" w:eastAsia="Calibri" w:hAnsi="Calibri" w:cs="Times New Roman"/>
        </w:rPr>
      </w:pPr>
    </w:p>
    <w:p w14:paraId="2720F2B7" w14:textId="03780C60"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lastRenderedPageBreak/>
        <w:t>Over the course of the intervention, several issues emerged. One of these was that other projects were ongoing at the same time and staff reported feeling overwhelmed by the competing demands on their time. Moreover, they felt that projects being promoted by the NHS, rather than our project team, were a priority. There was limited management support for our project during this time, which may have had an effect on staff motivation and ability to participate in this intervention. Indeed, some staff reported feeling that managers were not supporting them to take part in the intervention. Management support waned throughout the intervention, with the ward manager only attending the first core workshop. This is likely to have had an effect on the success of delivering the intervention, and the effectiveness of it. Furthermore, it highlights the necessity for strong management support to drive interventions, and thus the need for strong researcher-management relationships throughout the intervention, reflecting the findings of previo</w:t>
      </w:r>
      <w:r w:rsidR="00233642">
        <w:rPr>
          <w:rFonts w:ascii="Calibri" w:eastAsia="Calibri" w:hAnsi="Calibri" w:cs="Times New Roman"/>
        </w:rPr>
        <w:t xml:space="preserve">us interventions (see Chapters, 3, </w:t>
      </w:r>
      <w:r w:rsidRPr="00E6060C">
        <w:rPr>
          <w:rFonts w:ascii="Calibri" w:eastAsia="Calibri" w:hAnsi="Calibri" w:cs="Times New Roman"/>
        </w:rPr>
        <w:t>4</w:t>
      </w:r>
      <w:r w:rsidR="00233642">
        <w:rPr>
          <w:rFonts w:ascii="Calibri" w:eastAsia="Calibri" w:hAnsi="Calibri" w:cs="Times New Roman"/>
        </w:rPr>
        <w:t xml:space="preserve"> and 5</w:t>
      </w:r>
      <w:r w:rsidRPr="00E6060C">
        <w:rPr>
          <w:rFonts w:ascii="Calibri" w:eastAsia="Calibri" w:hAnsi="Calibri" w:cs="Times New Roman"/>
        </w:rPr>
        <w:t xml:space="preserve"> for an in-depth discussion). The existence of other projects which were being conducted at the same time as our intervention also meant that it would be difficult to ascertain cause and effect, as the results of our intervention could, at least in part, be caused by changes occurring as a result of these other projects. </w:t>
      </w:r>
    </w:p>
    <w:p w14:paraId="2F7F7772" w14:textId="77777777" w:rsidR="00782CF7" w:rsidRPr="00E6060C" w:rsidRDefault="00782CF7" w:rsidP="00E6060C">
      <w:pPr>
        <w:spacing w:after="200" w:line="360" w:lineRule="auto"/>
        <w:contextualSpacing/>
        <w:rPr>
          <w:rFonts w:ascii="Calibri" w:eastAsia="Calibri" w:hAnsi="Calibri" w:cs="Times New Roman"/>
        </w:rPr>
      </w:pPr>
    </w:p>
    <w:p w14:paraId="073FE9AC" w14:textId="77777777" w:rsidR="00E6060C" w:rsidRPr="00E6060C" w:rsidRDefault="00E6060C" w:rsidP="00E6060C">
      <w:pPr>
        <w:spacing w:after="200" w:line="360" w:lineRule="auto"/>
        <w:contextualSpacing/>
        <w:rPr>
          <w:rFonts w:ascii="Calibri" w:eastAsia="Calibri" w:hAnsi="Calibri" w:cs="Times New Roman"/>
          <w:b/>
        </w:rPr>
      </w:pPr>
      <w:r w:rsidRPr="00E6060C">
        <w:rPr>
          <w:rFonts w:ascii="Calibri" w:eastAsia="Calibri" w:hAnsi="Calibri" w:cs="Times New Roman"/>
        </w:rPr>
        <w:t xml:space="preserve">Another key issue was that two wards dropped out in November 2014, one control and one intervention ward, four months after baseline data collection began and two months after the first workshop. A second intervention ward dropped out at the end of February 2015, and the closure of a third intervention ward coincided with the end of the intervention. The staff on this ward were redistributed to other wards and it was not considered appropriate or possible to obtain Time 2 data from them, given the climate of the hospital at that point, and the demands on staff time. This meant that we no longer had matched control and comparison wards as intended, and that the sample size was substantially reduced, with the number of intervention wards being reduced from six to three, and the number of control wards being reduced from six to five. If the number of respondents from the remaining wards was not sufficient, this could reduce the statistical power of analyses, which is indeed what emerged, as our matched sample size was only 45. In addition, we were not able to discern whether those who responded had actually participated in the intervention workshops or rolling out the intervention on the wards. It is possible that those who had would report systematically different scores to those who had not. Nevertheless, given the intention for the intervention to positively affect others on the ward, it was hoped that all respondents would report higher scores at Time 2 than at Time 1.  </w:t>
      </w:r>
    </w:p>
    <w:p w14:paraId="39F411D9" w14:textId="77777777" w:rsidR="00E6060C" w:rsidRPr="00E6060C" w:rsidRDefault="00E6060C" w:rsidP="00E6060C">
      <w:pPr>
        <w:spacing w:after="200" w:line="360" w:lineRule="auto"/>
        <w:contextualSpacing/>
        <w:rPr>
          <w:rFonts w:ascii="Calibri" w:eastAsia="Calibri" w:hAnsi="Calibri" w:cs="Times New Roman"/>
        </w:rPr>
      </w:pPr>
    </w:p>
    <w:p w14:paraId="635D8BAB" w14:textId="1C2ECC9A"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lastRenderedPageBreak/>
        <w:t>A further key factor which is likely to have affected the effectiveness of the intervention is that ward nurses and sisters requested that their Communities of Practice workshops were stopped due to attendance being unfeasible. They reported needing to stay on the wards to carry out their job and were not able to obtain cover in order to attend the workshops. One-to-one coaching was offered instead, however, few accepted this offer. In addition, only one staff member attended the Communities of Practice workshops for the healthcare workers, though this one member was very engaged in the intervention and produced an information leaflet for patients and carers which was circulated on the wards. Though the core workshops, which were for nurses, sisters and healthcare workers alike, were better attended, at least by senior nurses and healthcare workers, attendance progressively deteriorated throughout the intervention. Indeed, attendance records demonstrate that while 12 of 16 invited participants attended the first</w:t>
      </w:r>
      <w:r w:rsidR="00B17B1D">
        <w:rPr>
          <w:rFonts w:ascii="Calibri" w:eastAsia="Calibri" w:hAnsi="Calibri" w:cs="Times New Roman"/>
        </w:rPr>
        <w:t>,</w:t>
      </w:r>
      <w:r w:rsidRPr="00E6060C">
        <w:rPr>
          <w:rFonts w:ascii="Calibri" w:eastAsia="Calibri" w:hAnsi="Calibri" w:cs="Times New Roman"/>
        </w:rPr>
        <w:t xml:space="preserve"> three day workshop in the </w:t>
      </w:r>
      <w:r w:rsidR="00B17B1D">
        <w:rPr>
          <w:rFonts w:ascii="Calibri" w:eastAsia="Calibri" w:hAnsi="Calibri" w:cs="Times New Roman"/>
        </w:rPr>
        <w:t>September, only 3</w:t>
      </w:r>
      <w:r w:rsidRPr="00E6060C">
        <w:rPr>
          <w:rFonts w:ascii="Calibri" w:eastAsia="Calibri" w:hAnsi="Calibri" w:cs="Times New Roman"/>
        </w:rPr>
        <w:t xml:space="preserve"> of 14 (a ward left the study hence the decreased number of invitees) attended the fourth </w:t>
      </w:r>
      <w:r w:rsidR="00B17B1D">
        <w:rPr>
          <w:rFonts w:ascii="Calibri" w:eastAsia="Calibri" w:hAnsi="Calibri" w:cs="Times New Roman"/>
        </w:rPr>
        <w:t>the following February, and 5</w:t>
      </w:r>
      <w:r w:rsidRPr="00E6060C">
        <w:rPr>
          <w:rFonts w:ascii="Calibri" w:eastAsia="Calibri" w:hAnsi="Calibri" w:cs="Times New Roman"/>
        </w:rPr>
        <w:t xml:space="preserve"> of 13 (a further ward left the study) attended the fifth in the May (see Appendix 6). No one attended every </w:t>
      </w:r>
      <w:r w:rsidR="00B17B1D">
        <w:rPr>
          <w:rFonts w:ascii="Calibri" w:eastAsia="Calibri" w:hAnsi="Calibri" w:cs="Times New Roman"/>
        </w:rPr>
        <w:t>single day</w:t>
      </w:r>
      <w:r w:rsidRPr="00E6060C">
        <w:rPr>
          <w:rFonts w:ascii="Calibri" w:eastAsia="Calibri" w:hAnsi="Calibri" w:cs="Times New Roman"/>
        </w:rPr>
        <w:t xml:space="preserve"> of all five workshops, although one senior nurse attended 9 of the 11 possible days, and two other senior nurses</w:t>
      </w:r>
      <w:r w:rsidR="00B17B1D">
        <w:rPr>
          <w:rFonts w:ascii="Calibri" w:eastAsia="Calibri" w:hAnsi="Calibri" w:cs="Times New Roman"/>
        </w:rPr>
        <w:t>,</w:t>
      </w:r>
      <w:r w:rsidRPr="00E6060C">
        <w:rPr>
          <w:rFonts w:ascii="Calibri" w:eastAsia="Calibri" w:hAnsi="Calibri" w:cs="Times New Roman"/>
        </w:rPr>
        <w:t xml:space="preserve"> and one healthcare worker attended on 8 of the 11 possible days. The inconsistent numbers of staff attending is likely to have had implications for maintaining the momentum of the intervention on the wards. Some staff members also indicated that the workshops were too far apart for momentum to be maintained, which is a consideration for the design of future interventions. </w:t>
      </w:r>
    </w:p>
    <w:p w14:paraId="16C41729" w14:textId="77777777" w:rsidR="00E6060C" w:rsidRPr="00E6060C" w:rsidRDefault="00E6060C" w:rsidP="00E6060C">
      <w:pPr>
        <w:spacing w:after="200" w:line="360" w:lineRule="auto"/>
        <w:contextualSpacing/>
        <w:rPr>
          <w:rFonts w:ascii="Calibri" w:eastAsia="Calibri" w:hAnsi="Calibri" w:cs="Times New Roman"/>
        </w:rPr>
      </w:pPr>
    </w:p>
    <w:p w14:paraId="7BB932EB" w14:textId="1430A91F"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background context to the above issues is also important. During our intervention, the hospital attracted the attention of the news media and was placed on special measures. Understandably, staff reported feeling under much stress and strain and that we were asking them to add to their already difficult workload. Set against this context, it is perhaps not surprising that we encountered the issues with attrition, poor attendance</w:t>
      </w:r>
      <w:r w:rsidR="00B17B1D">
        <w:rPr>
          <w:rFonts w:ascii="Calibri" w:eastAsia="Calibri" w:hAnsi="Calibri" w:cs="Times New Roman"/>
        </w:rPr>
        <w:t>,</w:t>
      </w:r>
      <w:r w:rsidRPr="00E6060C">
        <w:rPr>
          <w:rFonts w:ascii="Calibri" w:eastAsia="Calibri" w:hAnsi="Calibri" w:cs="Times New Roman"/>
        </w:rPr>
        <w:t xml:space="preserve"> and poor management support that we did. Nevertheless, some of the staff who did attend the workshops were highly motivated, and created posters for their respective wards detailing those aspects which the Time 1 resul</w:t>
      </w:r>
      <w:r w:rsidR="00B17B1D">
        <w:rPr>
          <w:rFonts w:ascii="Calibri" w:eastAsia="Calibri" w:hAnsi="Calibri" w:cs="Times New Roman"/>
        </w:rPr>
        <w:t>ts showed they performed well,</w:t>
      </w:r>
      <w:r w:rsidRPr="00E6060C">
        <w:rPr>
          <w:rFonts w:ascii="Calibri" w:eastAsia="Calibri" w:hAnsi="Calibri" w:cs="Times New Roman"/>
        </w:rPr>
        <w:t xml:space="preserve"> and how they would improve those things w</w:t>
      </w:r>
      <w:r w:rsidR="00B17B1D">
        <w:rPr>
          <w:rFonts w:ascii="Calibri" w:eastAsia="Calibri" w:hAnsi="Calibri" w:cs="Times New Roman"/>
        </w:rPr>
        <w:t>hich they performed less well</w:t>
      </w:r>
      <w:r w:rsidRPr="00E6060C">
        <w:rPr>
          <w:rFonts w:ascii="Calibri" w:eastAsia="Calibri" w:hAnsi="Calibri" w:cs="Times New Roman"/>
        </w:rPr>
        <w:t>.</w:t>
      </w:r>
    </w:p>
    <w:p w14:paraId="0AE355F7" w14:textId="77777777" w:rsidR="00E6060C" w:rsidRPr="00E6060C" w:rsidRDefault="00E6060C" w:rsidP="00E6060C">
      <w:pPr>
        <w:spacing w:after="200" w:line="360" w:lineRule="auto"/>
        <w:contextualSpacing/>
        <w:rPr>
          <w:rFonts w:ascii="Calibri" w:eastAsia="Calibri" w:hAnsi="Calibri" w:cs="Times New Roman"/>
        </w:rPr>
      </w:pPr>
    </w:p>
    <w:p w14:paraId="4E658A1E" w14:textId="43ED219A"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Although staff were asked informally by members of the research team about their experience of taking part in the intervention, and these informal discussions have informed the discussion above, it was not possible to collect in-depth evaluation information due to the extra demands on staff time that this would have caused. Instead, nursing staff on the intervention wards were asked a limited number of brief evaluation question</w:t>
      </w:r>
      <w:r w:rsidR="00233642">
        <w:rPr>
          <w:rFonts w:ascii="Calibri" w:eastAsia="Calibri" w:hAnsi="Calibri" w:cs="Times New Roman"/>
        </w:rPr>
        <w:t>s, as described in the method (C</w:t>
      </w:r>
      <w:r w:rsidRPr="00E6060C">
        <w:rPr>
          <w:rFonts w:ascii="Calibri" w:eastAsia="Calibri" w:hAnsi="Calibri" w:cs="Times New Roman"/>
        </w:rPr>
        <w:t xml:space="preserve">hapter </w:t>
      </w:r>
      <w:r w:rsidRPr="00233642">
        <w:rPr>
          <w:rFonts w:ascii="Calibri" w:eastAsia="Calibri" w:hAnsi="Calibri" w:cs="Times New Roman"/>
        </w:rPr>
        <w:t xml:space="preserve">7, </w:t>
      </w:r>
      <w:r w:rsidR="00233642" w:rsidRPr="00233642">
        <w:rPr>
          <w:rFonts w:ascii="Calibri" w:eastAsia="Calibri" w:hAnsi="Calibri" w:cs="Times New Roman"/>
        </w:rPr>
        <w:t xml:space="preserve">section </w:t>
      </w:r>
      <w:r w:rsidR="00233642" w:rsidRPr="00233642">
        <w:rPr>
          <w:rFonts w:ascii="Calibri" w:eastAsia="Calibri" w:hAnsi="Calibri" w:cs="Times New Roman"/>
        </w:rPr>
        <w:fldChar w:fldCharType="begin"/>
      </w:r>
      <w:r w:rsidR="00233642" w:rsidRPr="00233642">
        <w:rPr>
          <w:rFonts w:ascii="Calibri" w:eastAsia="Calibri" w:hAnsi="Calibri" w:cs="Times New Roman"/>
        </w:rPr>
        <w:instrText xml:space="preserve"> REF _Ref453589240 \r \h </w:instrText>
      </w:r>
      <w:r w:rsidR="00233642">
        <w:rPr>
          <w:rFonts w:ascii="Calibri" w:eastAsia="Calibri" w:hAnsi="Calibri" w:cs="Times New Roman"/>
        </w:rPr>
        <w:instrText xml:space="preserve"> \* MERGEFORMAT </w:instrText>
      </w:r>
      <w:r w:rsidR="00233642" w:rsidRPr="00233642">
        <w:rPr>
          <w:rFonts w:ascii="Calibri" w:eastAsia="Calibri" w:hAnsi="Calibri" w:cs="Times New Roman"/>
        </w:rPr>
      </w:r>
      <w:r w:rsidR="00233642" w:rsidRPr="00233642">
        <w:rPr>
          <w:rFonts w:ascii="Calibri" w:eastAsia="Calibri" w:hAnsi="Calibri" w:cs="Times New Roman"/>
        </w:rPr>
        <w:fldChar w:fldCharType="separate"/>
      </w:r>
      <w:r w:rsidR="00152F6D">
        <w:rPr>
          <w:rFonts w:ascii="Calibri" w:eastAsia="Calibri" w:hAnsi="Calibri" w:cs="Times New Roman"/>
        </w:rPr>
        <w:t>7.7.2</w:t>
      </w:r>
      <w:r w:rsidR="00233642" w:rsidRPr="00233642">
        <w:rPr>
          <w:rFonts w:ascii="Calibri" w:eastAsia="Calibri" w:hAnsi="Calibri" w:cs="Times New Roman"/>
        </w:rPr>
        <w:fldChar w:fldCharType="end"/>
      </w:r>
      <w:r w:rsidRPr="00233642">
        <w:rPr>
          <w:rFonts w:ascii="Calibri" w:eastAsia="Calibri" w:hAnsi="Calibri" w:cs="Times New Roman"/>
        </w:rPr>
        <w:t>). The</w:t>
      </w:r>
      <w:r w:rsidRPr="00E6060C">
        <w:rPr>
          <w:rFonts w:ascii="Calibri" w:eastAsia="Calibri" w:hAnsi="Calibri" w:cs="Times New Roman"/>
        </w:rPr>
        <w:t xml:space="preserve"> </w:t>
      </w:r>
      <w:r w:rsidRPr="00E6060C">
        <w:rPr>
          <w:rFonts w:ascii="Calibri" w:eastAsia="Calibri" w:hAnsi="Calibri" w:cs="Times New Roman"/>
        </w:rPr>
        <w:lastRenderedPageBreak/>
        <w:t xml:space="preserve">results of these are presented in section </w:t>
      </w:r>
      <w:r w:rsidR="00233642">
        <w:rPr>
          <w:rFonts w:ascii="Calibri" w:eastAsia="Calibri" w:hAnsi="Calibri" w:cs="Times New Roman"/>
        </w:rPr>
        <w:fldChar w:fldCharType="begin"/>
      </w:r>
      <w:r w:rsidR="00233642">
        <w:rPr>
          <w:rFonts w:ascii="Calibri" w:eastAsia="Calibri" w:hAnsi="Calibri" w:cs="Times New Roman"/>
        </w:rPr>
        <w:instrText xml:space="preserve"> REF _Ref453589270 \r \h </w:instrText>
      </w:r>
      <w:r w:rsidR="00233642">
        <w:rPr>
          <w:rFonts w:ascii="Calibri" w:eastAsia="Calibri" w:hAnsi="Calibri" w:cs="Times New Roman"/>
        </w:rPr>
      </w:r>
      <w:r w:rsidR="00233642">
        <w:rPr>
          <w:rFonts w:ascii="Calibri" w:eastAsia="Calibri" w:hAnsi="Calibri" w:cs="Times New Roman"/>
        </w:rPr>
        <w:fldChar w:fldCharType="separate"/>
      </w:r>
      <w:r w:rsidR="00152F6D">
        <w:rPr>
          <w:rFonts w:ascii="Calibri" w:eastAsia="Calibri" w:hAnsi="Calibri" w:cs="Times New Roman"/>
        </w:rPr>
        <w:t>8.6</w:t>
      </w:r>
      <w:r w:rsidR="00233642">
        <w:rPr>
          <w:rFonts w:ascii="Calibri" w:eastAsia="Calibri" w:hAnsi="Calibri" w:cs="Times New Roman"/>
        </w:rPr>
        <w:fldChar w:fldCharType="end"/>
      </w:r>
      <w:r w:rsidRPr="00E6060C">
        <w:rPr>
          <w:rFonts w:ascii="Calibri" w:eastAsia="Calibri" w:hAnsi="Calibri" w:cs="Times New Roman"/>
        </w:rPr>
        <w:t>. The collective reasons for non-attendance and non-participation are therefore not known, and it is possible that the views of staff presented here are thus biased. Nevertheless, one of the research team members developed close relationships with all of the intervention wards</w:t>
      </w:r>
      <w:r w:rsidR="00B17B1D">
        <w:rPr>
          <w:rFonts w:ascii="Calibri" w:eastAsia="Calibri" w:hAnsi="Calibri" w:cs="Times New Roman"/>
        </w:rPr>
        <w:t>,</w:t>
      </w:r>
      <w:r w:rsidRPr="00E6060C">
        <w:rPr>
          <w:rFonts w:ascii="Calibri" w:eastAsia="Calibri" w:hAnsi="Calibri" w:cs="Times New Roman"/>
        </w:rPr>
        <w:t xml:space="preserve"> and consistently spent much time on them talking to a range of staff members over the course of the intervention. It is therefore likely that the views presented here accurately reflect the feelings of the majority of ward staff during this period. Future intervention studies would benefit from administering a more in-depth evaluation questionnaire post-intervention than it was possible to administer following this intervention, to allow a more formal process evaluation to be conducted</w:t>
      </w:r>
      <w:r w:rsidR="00B17B1D">
        <w:rPr>
          <w:rFonts w:ascii="Calibri" w:eastAsia="Calibri" w:hAnsi="Calibri" w:cs="Times New Roman"/>
        </w:rPr>
        <w:t>,</w:t>
      </w:r>
      <w:r w:rsidRPr="00E6060C">
        <w:rPr>
          <w:rFonts w:ascii="Calibri" w:eastAsia="Calibri" w:hAnsi="Calibri" w:cs="Times New Roman"/>
        </w:rPr>
        <w:t xml:space="preserve"> and gain a deeper insight into the success of implementing</w:t>
      </w:r>
      <w:r w:rsidR="00F74B0D">
        <w:rPr>
          <w:rFonts w:ascii="Calibri" w:eastAsia="Calibri" w:hAnsi="Calibri" w:cs="Times New Roman"/>
        </w:rPr>
        <w:t xml:space="preserve"> the intervention (see Chapter 4</w:t>
      </w:r>
      <w:r w:rsidRPr="00E6060C">
        <w:rPr>
          <w:rFonts w:ascii="Calibri" w:eastAsia="Calibri" w:hAnsi="Calibri" w:cs="Times New Roman"/>
        </w:rPr>
        <w:t xml:space="preserve"> for a deeper discussion of process evaluations and their benefits).   </w:t>
      </w:r>
    </w:p>
    <w:p w14:paraId="2870933E" w14:textId="77777777" w:rsidR="00E6060C" w:rsidRPr="00E6060C" w:rsidRDefault="00E6060C" w:rsidP="00E6060C">
      <w:pPr>
        <w:spacing w:after="200" w:line="360" w:lineRule="auto"/>
        <w:contextualSpacing/>
        <w:rPr>
          <w:rFonts w:ascii="Calibri" w:eastAsia="Calibri" w:hAnsi="Calibri" w:cs="Times New Roman"/>
        </w:rPr>
      </w:pPr>
    </w:p>
    <w:p w14:paraId="01CD6C0C" w14:textId="4280D16C"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summary, the issues encountered throughout this intervention are not dissimilar to those reported by previous interventions (see Chapter</w:t>
      </w:r>
      <w:r w:rsidR="00F74B0D">
        <w:rPr>
          <w:rFonts w:ascii="Calibri" w:eastAsia="Calibri" w:hAnsi="Calibri" w:cs="Times New Roman"/>
        </w:rPr>
        <w:t>s</w:t>
      </w:r>
      <w:r w:rsidRPr="00E6060C">
        <w:rPr>
          <w:rFonts w:ascii="Calibri" w:eastAsia="Calibri" w:hAnsi="Calibri" w:cs="Times New Roman"/>
        </w:rPr>
        <w:t xml:space="preserve"> 2</w:t>
      </w:r>
      <w:r w:rsidR="00F74B0D">
        <w:rPr>
          <w:rFonts w:ascii="Calibri" w:eastAsia="Calibri" w:hAnsi="Calibri" w:cs="Times New Roman"/>
        </w:rPr>
        <w:t xml:space="preserve"> &amp; 5</w:t>
      </w:r>
      <w:r w:rsidRPr="00E6060C">
        <w:rPr>
          <w:rFonts w:ascii="Calibri" w:eastAsia="Calibri" w:hAnsi="Calibri" w:cs="Times New Roman"/>
        </w:rPr>
        <w:t xml:space="preserve">), and highlight the need for strong management support and researcher-management relationships throughout. Unfortunately, even with this support, the wider social and political context of the organisation in which an intervention occurs is impossible to control and is liable to have a strong impact on the success of implementing any intervention, as observed in this case. </w:t>
      </w:r>
    </w:p>
    <w:p w14:paraId="40B6B684" w14:textId="77777777" w:rsidR="00E6060C" w:rsidRPr="00E6060C" w:rsidRDefault="00E6060C" w:rsidP="00E6060C">
      <w:pPr>
        <w:spacing w:after="200" w:line="360" w:lineRule="auto"/>
        <w:rPr>
          <w:rFonts w:ascii="Calibri" w:eastAsia="Calibri" w:hAnsi="Calibri" w:cs="Times New Roman"/>
        </w:rPr>
      </w:pPr>
    </w:p>
    <w:p w14:paraId="3C84BB99" w14:textId="3789BCA0" w:rsidR="00E6060C" w:rsidRPr="00E6060C" w:rsidRDefault="00E6060C" w:rsidP="00B7614E">
      <w:pPr>
        <w:pStyle w:val="Thesisheading2"/>
      </w:pPr>
      <w:bookmarkStart w:id="389" w:name="_Ref453580823"/>
      <w:bookmarkStart w:id="390" w:name="_Ref453588837"/>
      <w:bookmarkStart w:id="391" w:name="_Toc468286009"/>
      <w:r w:rsidRPr="00E6060C">
        <w:t xml:space="preserve">Descriptive statistics of the demographic and research variables for the </w:t>
      </w:r>
      <w:r w:rsidR="007A253F">
        <w:t>complete sample at Time 1 and 2</w:t>
      </w:r>
      <w:bookmarkEnd w:id="389"/>
      <w:bookmarkEnd w:id="390"/>
      <w:bookmarkEnd w:id="391"/>
    </w:p>
    <w:p w14:paraId="4B1DBEAA" w14:textId="77777777" w:rsidR="00E6060C" w:rsidRPr="00E6060C" w:rsidRDefault="00E6060C" w:rsidP="00E6060C">
      <w:pPr>
        <w:spacing w:after="200" w:line="276" w:lineRule="auto"/>
        <w:rPr>
          <w:rFonts w:ascii="Calibri" w:eastAsia="Calibri" w:hAnsi="Calibri" w:cs="Times New Roman"/>
        </w:rPr>
      </w:pPr>
    </w:p>
    <w:p w14:paraId="4F2850AE" w14:textId="510232F2" w:rsidR="00E6060C" w:rsidRPr="00E6060C" w:rsidRDefault="00E6060C" w:rsidP="0009618B">
      <w:pPr>
        <w:pStyle w:val="Heading3"/>
      </w:pPr>
      <w:bookmarkStart w:id="392" w:name="_Ref453581612"/>
      <w:bookmarkStart w:id="393" w:name="_Toc468286010"/>
      <w:r w:rsidRPr="00E6060C">
        <w:t>Descriptive statistics of the demographic variables for the complete sample</w:t>
      </w:r>
      <w:bookmarkEnd w:id="392"/>
      <w:bookmarkEnd w:id="393"/>
    </w:p>
    <w:p w14:paraId="58AC03A4" w14:textId="77777777" w:rsidR="00E6060C" w:rsidRPr="00E6060C" w:rsidRDefault="00E6060C" w:rsidP="00E6060C">
      <w:pPr>
        <w:spacing w:after="200" w:line="360" w:lineRule="auto"/>
        <w:contextualSpacing/>
        <w:rPr>
          <w:rFonts w:ascii="Calibri" w:eastAsia="Calibri" w:hAnsi="Calibri" w:cs="Times New Roman"/>
        </w:rPr>
      </w:pPr>
    </w:p>
    <w:p w14:paraId="6FC5CA32" w14:textId="1C40C722" w:rsidR="00BE080C" w:rsidRDefault="00E6060C" w:rsidP="00BE080C">
      <w:pPr>
        <w:spacing w:after="200" w:line="360" w:lineRule="auto"/>
        <w:contextualSpacing/>
        <w:rPr>
          <w:rFonts w:ascii="Calibri" w:eastAsia="Calibri" w:hAnsi="Calibri" w:cs="Times New Roman"/>
        </w:rPr>
      </w:pPr>
      <w:r w:rsidRPr="00E6060C">
        <w:rPr>
          <w:rFonts w:ascii="Calibri" w:eastAsia="Calibri" w:hAnsi="Calibri" w:cs="Times New Roman"/>
        </w:rPr>
        <w:t>Descriptive statistics of the demographic variables revealed that 179 people responded to the questionnaire at Time 1</w:t>
      </w:r>
      <w:r w:rsidR="00B17B1D">
        <w:rPr>
          <w:rFonts w:ascii="Calibri" w:eastAsia="Calibri" w:hAnsi="Calibri" w:cs="Times New Roman"/>
        </w:rPr>
        <w:t>,</w:t>
      </w:r>
      <w:r w:rsidRPr="00E6060C">
        <w:rPr>
          <w:rFonts w:ascii="Calibri" w:eastAsia="Calibri" w:hAnsi="Calibri" w:cs="Times New Roman"/>
        </w:rPr>
        <w:t xml:space="preserve"> a</w:t>
      </w:r>
      <w:r w:rsidR="00375633">
        <w:rPr>
          <w:rFonts w:ascii="Calibri" w:eastAsia="Calibri" w:hAnsi="Calibri" w:cs="Times New Roman"/>
        </w:rPr>
        <w:t>nd 83 responded at Time 2 (</w:t>
      </w:r>
      <w:r w:rsidR="00F74B0D">
        <w:rPr>
          <w:rFonts w:ascii="Calibri" w:eastAsia="Calibri" w:hAnsi="Calibri" w:cs="Times New Roman"/>
        </w:rPr>
        <w:fldChar w:fldCharType="begin"/>
      </w:r>
      <w:r w:rsidR="00F74B0D">
        <w:rPr>
          <w:rFonts w:ascii="Calibri" w:eastAsia="Calibri" w:hAnsi="Calibri" w:cs="Times New Roman"/>
        </w:rPr>
        <w:instrText xml:space="preserve"> REF _Ref453580555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1</w:t>
      </w:r>
      <w:r w:rsidR="00F74B0D">
        <w:rPr>
          <w:rFonts w:ascii="Calibri" w:eastAsia="Calibri" w:hAnsi="Calibri" w:cs="Times New Roman"/>
        </w:rPr>
        <w:fldChar w:fldCharType="end"/>
      </w:r>
      <w:r w:rsidRPr="00E6060C">
        <w:rPr>
          <w:rFonts w:ascii="Calibri" w:eastAsia="Calibri" w:hAnsi="Calibri" w:cs="Times New Roman"/>
        </w:rPr>
        <w:t>). Forty-five of these respondents completed the questionnaire at both time points</w:t>
      </w:r>
      <w:r w:rsidR="00B17B1D">
        <w:rPr>
          <w:rFonts w:ascii="Calibri" w:eastAsia="Calibri" w:hAnsi="Calibri" w:cs="Times New Roman"/>
        </w:rPr>
        <w:t>,</w:t>
      </w:r>
      <w:r w:rsidRPr="00E6060C">
        <w:rPr>
          <w:rFonts w:ascii="Calibri" w:eastAsia="Calibri" w:hAnsi="Calibri" w:cs="Times New Roman"/>
        </w:rPr>
        <w:t xml:space="preserve"> and formed the matched sample. The descriptive statistics of the demographics for this particular sample are discussed in section </w:t>
      </w:r>
      <w:r w:rsidR="00F74B0D">
        <w:rPr>
          <w:rFonts w:ascii="Calibri" w:eastAsia="Calibri" w:hAnsi="Calibri" w:cs="Times New Roman"/>
        </w:rPr>
        <w:fldChar w:fldCharType="begin"/>
      </w:r>
      <w:r w:rsidR="00F74B0D">
        <w:rPr>
          <w:rFonts w:ascii="Calibri" w:eastAsia="Calibri" w:hAnsi="Calibri" w:cs="Times New Roman"/>
        </w:rPr>
        <w:instrText xml:space="preserve"> REF _Ref453589365 \r \h </w:instrText>
      </w:r>
      <w:r w:rsidR="00F74B0D">
        <w:rPr>
          <w:rFonts w:ascii="Calibri" w:eastAsia="Calibri" w:hAnsi="Calibri" w:cs="Times New Roman"/>
        </w:rPr>
      </w:r>
      <w:r w:rsidR="00F74B0D">
        <w:rPr>
          <w:rFonts w:ascii="Calibri" w:eastAsia="Calibri" w:hAnsi="Calibri" w:cs="Times New Roman"/>
        </w:rPr>
        <w:fldChar w:fldCharType="separate"/>
      </w:r>
      <w:r w:rsidR="00152F6D">
        <w:rPr>
          <w:rFonts w:ascii="Calibri" w:eastAsia="Calibri" w:hAnsi="Calibri" w:cs="Times New Roman"/>
        </w:rPr>
        <w:t>8.3.1</w:t>
      </w:r>
      <w:r w:rsidR="00F74B0D">
        <w:rPr>
          <w:rFonts w:ascii="Calibri" w:eastAsia="Calibri" w:hAnsi="Calibri" w:cs="Times New Roman"/>
        </w:rPr>
        <w:fldChar w:fldCharType="end"/>
      </w:r>
      <w:r w:rsidR="00387F40">
        <w:rPr>
          <w:rFonts w:ascii="Calibri" w:eastAsia="Calibri" w:hAnsi="Calibri" w:cs="Times New Roman"/>
        </w:rPr>
        <w:t xml:space="preserve"> </w:t>
      </w:r>
      <w:r w:rsidRPr="00E6060C">
        <w:rPr>
          <w:rFonts w:ascii="Calibri" w:eastAsia="Calibri" w:hAnsi="Calibri" w:cs="Times New Roman"/>
        </w:rPr>
        <w:t>and will not be considered further here. The full sample comprising 179 respondents were 88.3% (n=158) female. The mean age of this sample, including both males and females, was 37.8 years (</w:t>
      </w:r>
      <w:r w:rsidRPr="00E6060C">
        <w:rPr>
          <w:rFonts w:ascii="Calibri" w:eastAsia="Calibri" w:hAnsi="Calibri" w:cs="Times New Roman"/>
          <w:i/>
        </w:rPr>
        <w:t>SD=</w:t>
      </w:r>
      <w:r w:rsidRPr="00E6060C">
        <w:rPr>
          <w:rFonts w:ascii="Calibri" w:eastAsia="Calibri" w:hAnsi="Calibri" w:cs="Times New Roman"/>
        </w:rPr>
        <w:t>11.28). This was similar to the median age, 37 years. Overall, the ages spanned between 21 and 65 years. At Time 2, a similar percentage of the sample were female (90.4%, n=75), and the mean age was also similar, 38.4 years (</w:t>
      </w:r>
      <w:r w:rsidRPr="00E6060C">
        <w:rPr>
          <w:rFonts w:ascii="Calibri" w:eastAsia="Calibri" w:hAnsi="Calibri" w:cs="Times New Roman"/>
          <w:i/>
        </w:rPr>
        <w:t>SD=</w:t>
      </w:r>
      <w:r w:rsidRPr="00E6060C">
        <w:rPr>
          <w:rFonts w:ascii="Calibri" w:eastAsia="Calibri" w:hAnsi="Calibri" w:cs="Times New Roman"/>
        </w:rPr>
        <w:t>11.17). The median age was again 37 years and overall the ages spanned between 20 and 65 years. At Time 1, the respondents worked full time on average (</w:t>
      </w:r>
      <w:r w:rsidR="000E0219">
        <w:rPr>
          <w:rFonts w:ascii="Calibri" w:eastAsia="Calibri" w:hAnsi="Calibri" w:cs="Times New Roman"/>
        </w:rPr>
        <w:t>Mean</w:t>
      </w:r>
      <w:r w:rsidRPr="00E6060C">
        <w:rPr>
          <w:rFonts w:ascii="Calibri" w:eastAsia="Calibri" w:hAnsi="Calibri" w:cs="Times New Roman"/>
        </w:rPr>
        <w:t xml:space="preserve">=.74, </w:t>
      </w:r>
      <w:r w:rsidRPr="00E6060C">
        <w:rPr>
          <w:rFonts w:ascii="Calibri" w:eastAsia="Calibri" w:hAnsi="Calibri" w:cs="Times New Roman"/>
          <w:i/>
        </w:rPr>
        <w:t>SD</w:t>
      </w:r>
      <w:r w:rsidRPr="00E6060C">
        <w:rPr>
          <w:rFonts w:ascii="Calibri" w:eastAsia="Calibri" w:hAnsi="Calibri" w:cs="Times New Roman"/>
        </w:rPr>
        <w:t>=.44), had been working on their respective wards for 3.1 years (</w:t>
      </w:r>
      <w:r w:rsidRPr="00E6060C">
        <w:rPr>
          <w:rFonts w:ascii="Calibri" w:eastAsia="Calibri" w:hAnsi="Calibri" w:cs="Times New Roman"/>
          <w:i/>
        </w:rPr>
        <w:t>SD</w:t>
      </w:r>
      <w:r w:rsidRPr="00E6060C">
        <w:rPr>
          <w:rFonts w:ascii="Calibri" w:eastAsia="Calibri" w:hAnsi="Calibri" w:cs="Times New Roman"/>
        </w:rPr>
        <w:t xml:space="preserve">=3.06), and within the hospital for over 5 years </w:t>
      </w:r>
      <w:r w:rsidRPr="00E6060C">
        <w:rPr>
          <w:rFonts w:ascii="Calibri" w:eastAsia="Calibri" w:hAnsi="Calibri" w:cs="Times New Roman"/>
        </w:rPr>
        <w:lastRenderedPageBreak/>
        <w:t>(</w:t>
      </w:r>
      <w:r w:rsidR="000E0219">
        <w:rPr>
          <w:rFonts w:ascii="Calibri" w:eastAsia="Calibri" w:hAnsi="Calibri" w:cs="Times New Roman"/>
        </w:rPr>
        <w:t>Mean</w:t>
      </w:r>
      <w:r w:rsidRPr="00E6060C">
        <w:rPr>
          <w:rFonts w:ascii="Calibri" w:eastAsia="Calibri" w:hAnsi="Calibri" w:cs="Times New Roman"/>
        </w:rPr>
        <w:t xml:space="preserve">=5.5, </w:t>
      </w:r>
      <w:r w:rsidRPr="00E6060C">
        <w:rPr>
          <w:rFonts w:ascii="Calibri" w:eastAsia="Calibri" w:hAnsi="Calibri" w:cs="Times New Roman"/>
          <w:i/>
        </w:rPr>
        <w:t>SD</w:t>
      </w:r>
      <w:r w:rsidRPr="00E6060C">
        <w:rPr>
          <w:rFonts w:ascii="Calibri" w:eastAsia="Calibri" w:hAnsi="Calibri" w:cs="Times New Roman"/>
        </w:rPr>
        <w:t>=6.21). They were either qualified nurses or healthcare assistants (</w:t>
      </w:r>
      <w:r w:rsidR="000E0219">
        <w:rPr>
          <w:rFonts w:ascii="Calibri" w:eastAsia="Calibri" w:hAnsi="Calibri" w:cs="Times New Roman"/>
        </w:rPr>
        <w:t>Mean</w:t>
      </w:r>
      <w:r w:rsidR="000E0219" w:rsidRPr="00E6060C">
        <w:rPr>
          <w:rFonts w:ascii="Calibri" w:eastAsia="Calibri" w:hAnsi="Calibri" w:cs="Times New Roman"/>
        </w:rPr>
        <w:t xml:space="preserve"> </w:t>
      </w:r>
      <w:r w:rsidRPr="00E6060C">
        <w:rPr>
          <w:rFonts w:ascii="Calibri" w:eastAsia="Calibri" w:hAnsi="Calibri" w:cs="Times New Roman"/>
        </w:rPr>
        <w:t xml:space="preserve">=2.4, </w:t>
      </w:r>
      <w:r w:rsidRPr="00E6060C">
        <w:rPr>
          <w:rFonts w:ascii="Calibri" w:eastAsia="Calibri" w:hAnsi="Calibri" w:cs="Times New Roman"/>
          <w:i/>
        </w:rPr>
        <w:t>SD=</w:t>
      </w:r>
      <w:r w:rsidRPr="00E6060C">
        <w:rPr>
          <w:rFonts w:ascii="Calibri" w:eastAsia="Calibri" w:hAnsi="Calibri" w:cs="Times New Roman"/>
        </w:rPr>
        <w:t>.77)</w:t>
      </w:r>
      <w:r w:rsidR="00B17B1D">
        <w:rPr>
          <w:rFonts w:ascii="Calibri" w:eastAsia="Calibri" w:hAnsi="Calibri" w:cs="Times New Roman"/>
        </w:rPr>
        <w:t>,</w:t>
      </w:r>
      <w:r w:rsidRPr="00E6060C">
        <w:rPr>
          <w:rFonts w:ascii="Calibri" w:eastAsia="Calibri" w:hAnsi="Calibri" w:cs="Times New Roman"/>
        </w:rPr>
        <w:t xml:space="preserve"> with a corresponding average hierarchical level of 3.9, which suggests that the average respondent was a ‘band’ 4 out of 8, according to the NHS band system, and thus approximated the level of an entry level nurse. Accordingly, the respondents’ were educated, on average, to diploma level (</w:t>
      </w:r>
      <w:r w:rsidR="000E0219">
        <w:rPr>
          <w:rFonts w:ascii="Calibri" w:eastAsia="Calibri" w:hAnsi="Calibri" w:cs="Times New Roman"/>
        </w:rPr>
        <w:t>Mean</w:t>
      </w:r>
      <w:r w:rsidR="000E0219" w:rsidRPr="00E6060C">
        <w:rPr>
          <w:rFonts w:ascii="Calibri" w:eastAsia="Calibri" w:hAnsi="Calibri" w:cs="Times New Roman"/>
        </w:rPr>
        <w:t xml:space="preserve"> </w:t>
      </w:r>
      <w:r w:rsidRPr="00E6060C">
        <w:rPr>
          <w:rFonts w:ascii="Calibri" w:eastAsia="Calibri" w:hAnsi="Calibri" w:cs="Times New Roman"/>
        </w:rPr>
        <w:t>=4.1,</w:t>
      </w:r>
      <w:r w:rsidRPr="00E6060C">
        <w:rPr>
          <w:rFonts w:ascii="Calibri" w:eastAsia="Calibri" w:hAnsi="Calibri" w:cs="Times New Roman"/>
          <w:i/>
        </w:rPr>
        <w:t xml:space="preserve"> SD</w:t>
      </w:r>
      <w:r w:rsidRPr="00E6060C">
        <w:rPr>
          <w:rFonts w:ascii="Calibri" w:eastAsia="Calibri" w:hAnsi="Calibri" w:cs="Times New Roman"/>
        </w:rPr>
        <w:t>=1.29). At Time 2, the results were very similar. Most respondents worked full-time, had worked on their ward for around three years, within the hospital for over 5 years, were either healthcare assistants or qualified nurses</w:t>
      </w:r>
      <w:r w:rsidR="00B17B1D">
        <w:rPr>
          <w:rFonts w:ascii="Calibri" w:eastAsia="Calibri" w:hAnsi="Calibri" w:cs="Times New Roman"/>
        </w:rPr>
        <w:t>,</w:t>
      </w:r>
      <w:r w:rsidRPr="00E6060C">
        <w:rPr>
          <w:rFonts w:ascii="Calibri" w:eastAsia="Calibri" w:hAnsi="Calibri" w:cs="Times New Roman"/>
        </w:rPr>
        <w:t xml:space="preserve"> on average, and were qualified</w:t>
      </w:r>
      <w:r w:rsidR="00B17B1D">
        <w:rPr>
          <w:rFonts w:ascii="Calibri" w:eastAsia="Calibri" w:hAnsi="Calibri" w:cs="Times New Roman"/>
        </w:rPr>
        <w:t xml:space="preserve"> to diploma level (see</w:t>
      </w:r>
      <w:r w:rsidRPr="00E6060C">
        <w:rPr>
          <w:rFonts w:ascii="Calibri" w:eastAsia="Calibri" w:hAnsi="Calibri" w:cs="Times New Roman"/>
        </w:rPr>
        <w:t xml:space="preserve"> </w:t>
      </w:r>
      <w:r w:rsidR="00F74B0D">
        <w:rPr>
          <w:rFonts w:ascii="Calibri" w:eastAsia="Calibri" w:hAnsi="Calibri" w:cs="Times New Roman"/>
        </w:rPr>
        <w:fldChar w:fldCharType="begin"/>
      </w:r>
      <w:r w:rsidR="00F74B0D">
        <w:rPr>
          <w:rFonts w:ascii="Calibri" w:eastAsia="Calibri" w:hAnsi="Calibri" w:cs="Times New Roman"/>
        </w:rPr>
        <w:instrText xml:space="preserve"> REF _Ref453580555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1</w:t>
      </w:r>
      <w:r w:rsidR="00F74B0D">
        <w:rPr>
          <w:rFonts w:ascii="Calibri" w:eastAsia="Calibri" w:hAnsi="Calibri" w:cs="Times New Roman"/>
        </w:rPr>
        <w:fldChar w:fldCharType="end"/>
      </w:r>
      <w:r w:rsidR="00BE080C">
        <w:rPr>
          <w:rFonts w:ascii="Calibri" w:eastAsia="Calibri" w:hAnsi="Calibri" w:cs="Times New Roman"/>
        </w:rPr>
        <w:t xml:space="preserve">). </w:t>
      </w:r>
    </w:p>
    <w:p w14:paraId="5EEFF4C7" w14:textId="77777777" w:rsidR="00BE080C" w:rsidRDefault="00BE080C" w:rsidP="00BE080C">
      <w:pPr>
        <w:spacing w:after="200" w:line="360" w:lineRule="auto"/>
        <w:contextualSpacing/>
        <w:rPr>
          <w:rFonts w:ascii="Calibri" w:eastAsia="Calibri" w:hAnsi="Calibri" w:cs="Times New Roman"/>
        </w:rPr>
      </w:pPr>
    </w:p>
    <w:p w14:paraId="78DB165A" w14:textId="64988395" w:rsidR="00E6753F" w:rsidRDefault="00E6060C" w:rsidP="00E6753F">
      <w:pPr>
        <w:spacing w:after="200" w:line="360" w:lineRule="auto"/>
        <w:contextualSpacing/>
      </w:pPr>
      <w:r w:rsidRPr="00E6060C">
        <w:t>The distributions of the variables were indicated by skewness and kurtosis statistics. Skewness measures the degree to which scores fall on one side of a normal distribution, with negative scores indicating a negatively skewed distribution, and positive scores indicating a positively skewed distribution (Vogt and Johnson, 2011). Kurtosis measures the degree to which scores depart from the normal distribution by either being more peaked (leptokurtosis), indicated by positive values, or flatter (platykurtosis), indicated by negative values. For both skewness and kurtosis, the value for a normal dis</w:t>
      </w:r>
      <w:r w:rsidR="00B17B1D">
        <w:t xml:space="preserve">tribution is zero. The results </w:t>
      </w:r>
      <w:r w:rsidRPr="00E6060C">
        <w:t>revealed that the most substantial skewness and kurtosis was observed for ‘gender’ at both time points (</w:t>
      </w:r>
      <w:r w:rsidR="00BC34D0">
        <w:t xml:space="preserve">Time 1: </w:t>
      </w:r>
      <w:r w:rsidRPr="00E6060C">
        <w:rPr>
          <w:i/>
        </w:rPr>
        <w:t>skewness</w:t>
      </w:r>
      <w:r w:rsidR="00BC34D0">
        <w:t>=2.65;</w:t>
      </w:r>
      <w:r w:rsidRPr="00E6060C">
        <w:t xml:space="preserve"> </w:t>
      </w:r>
      <w:r w:rsidRPr="00E6060C">
        <w:rPr>
          <w:i/>
        </w:rPr>
        <w:t>kurtosis</w:t>
      </w:r>
      <w:r w:rsidR="00BC34D0">
        <w:t>=5.07;</w:t>
      </w:r>
      <w:r w:rsidR="00F74B0D">
        <w:t xml:space="preserve"> T</w:t>
      </w:r>
      <w:r w:rsidR="00BC34D0">
        <w:t>ime 2:</w:t>
      </w:r>
      <w:r w:rsidRPr="00E6060C">
        <w:t xml:space="preserve"> </w:t>
      </w:r>
      <w:r w:rsidRPr="00E6060C">
        <w:rPr>
          <w:i/>
        </w:rPr>
        <w:t>skewness</w:t>
      </w:r>
      <w:r w:rsidR="00BC34D0">
        <w:t>=3.68;</w:t>
      </w:r>
      <w:r w:rsidRPr="00E6060C">
        <w:t xml:space="preserve"> </w:t>
      </w:r>
      <w:r w:rsidRPr="00E6060C">
        <w:rPr>
          <w:i/>
        </w:rPr>
        <w:t>kurtosis</w:t>
      </w:r>
      <w:r w:rsidRPr="00E6060C">
        <w:t>=11.87), however, given the dichotomous nature of the response options for ‘gender’, it does not make sense to interpret these results in terms of the normal distribution. Nevertheless, the potential bias caused by a majority female sample should be taken into account when interpreting the results. The only other variables which demonstrated substantial deviation from the normal distribution were ward tenure (</w:t>
      </w:r>
      <w:r w:rsidRPr="00E6060C">
        <w:rPr>
          <w:i/>
        </w:rPr>
        <w:t>kurtosis</w:t>
      </w:r>
      <w:r w:rsidRPr="00E6060C">
        <w:t>=5.15), and hospital tenure (</w:t>
      </w:r>
      <w:r w:rsidRPr="00E6060C">
        <w:rPr>
          <w:i/>
        </w:rPr>
        <w:t>kurtosis</w:t>
      </w:r>
      <w:r w:rsidR="00BE080C">
        <w:t>=4.03), both at Time 1 only</w:t>
      </w:r>
      <w:r w:rsidR="00E6753F">
        <w:t xml:space="preserve">. </w:t>
      </w:r>
    </w:p>
    <w:p w14:paraId="49FCCD36" w14:textId="77777777" w:rsidR="00E6753F" w:rsidRPr="00E6753F" w:rsidRDefault="00E6753F" w:rsidP="00E6753F">
      <w:pPr>
        <w:spacing w:after="200" w:line="360" w:lineRule="auto"/>
        <w:contextualSpacing/>
      </w:pPr>
    </w:p>
    <w:p w14:paraId="351C5C1C" w14:textId="0D5F2C12" w:rsidR="00E6060C" w:rsidRPr="00BC2D9F" w:rsidRDefault="00E6753F" w:rsidP="00BC2D9F">
      <w:pPr>
        <w:spacing w:after="200" w:line="360" w:lineRule="auto"/>
        <w:contextualSpacing/>
      </w:pPr>
      <w:r>
        <w:rPr>
          <w:rFonts w:ascii="Calibri" w:eastAsia="Calibri" w:hAnsi="Calibri" w:cs="Times New Roman"/>
        </w:rPr>
        <w:fldChar w:fldCharType="begin"/>
      </w:r>
      <w:r>
        <w:rPr>
          <w:rFonts w:ascii="Calibri" w:eastAsia="Calibri" w:hAnsi="Calibri" w:cs="Times New Roman"/>
        </w:rPr>
        <w:instrText xml:space="preserve"> REF _Ref458090198 \h </w:instrText>
      </w:r>
      <w:r>
        <w:rPr>
          <w:rFonts w:ascii="Calibri" w:eastAsia="Calibri" w:hAnsi="Calibri" w:cs="Times New Roman"/>
        </w:rPr>
      </w:r>
      <w:r>
        <w:rPr>
          <w:rFonts w:ascii="Calibri" w:eastAsia="Calibri" w:hAnsi="Calibri" w:cs="Times New Roman"/>
        </w:rPr>
        <w:fldChar w:fldCharType="separate"/>
      </w:r>
      <w:r w:rsidR="00152F6D">
        <w:t xml:space="preserve">Table </w:t>
      </w:r>
      <w:r w:rsidR="00152F6D">
        <w:rPr>
          <w:noProof/>
        </w:rPr>
        <w:t>8</w:t>
      </w:r>
      <w:r w:rsidR="00152F6D">
        <w:t>.</w:t>
      </w:r>
      <w:r w:rsidR="00152F6D">
        <w:rPr>
          <w:noProof/>
        </w:rPr>
        <w:t>2</w:t>
      </w:r>
      <w:r>
        <w:rPr>
          <w:rFonts w:ascii="Calibri" w:eastAsia="Calibri" w:hAnsi="Calibri" w:cs="Times New Roman"/>
        </w:rPr>
        <w:fldChar w:fldCharType="end"/>
      </w:r>
      <w:r>
        <w:rPr>
          <w:rFonts w:ascii="Calibri" w:eastAsia="Calibri" w:hAnsi="Calibri" w:cs="Times New Roman"/>
        </w:rPr>
        <w:t xml:space="preserve"> and</w:t>
      </w:r>
      <w:r w:rsidR="00BC34D0">
        <w:rPr>
          <w:rFonts w:ascii="Calibri" w:eastAsia="Calibri" w:hAnsi="Calibri" w:cs="Times New Roman"/>
        </w:rPr>
        <w:t xml:space="preserve"> </w:t>
      </w:r>
      <w:r w:rsidR="00F74B0D">
        <w:rPr>
          <w:rFonts w:ascii="Calibri" w:eastAsia="Calibri" w:hAnsi="Calibri" w:cs="Times New Roman"/>
        </w:rPr>
        <w:fldChar w:fldCharType="begin"/>
      </w:r>
      <w:r w:rsidR="00F74B0D">
        <w:rPr>
          <w:rFonts w:ascii="Calibri" w:eastAsia="Calibri" w:hAnsi="Calibri" w:cs="Times New Roman"/>
        </w:rPr>
        <w:instrText xml:space="preserve"> REF _Ref453580772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3</w:t>
      </w:r>
      <w:r w:rsidR="00F74B0D">
        <w:rPr>
          <w:rFonts w:ascii="Calibri" w:eastAsia="Calibri" w:hAnsi="Calibri" w:cs="Times New Roman"/>
        </w:rPr>
        <w:fldChar w:fldCharType="end"/>
      </w:r>
      <w:r w:rsidR="00F74B0D">
        <w:rPr>
          <w:rFonts w:ascii="Calibri" w:eastAsia="Calibri" w:hAnsi="Calibri" w:cs="Times New Roman"/>
        </w:rPr>
        <w:t xml:space="preserve"> </w:t>
      </w:r>
      <w:r w:rsidR="00E6060C" w:rsidRPr="00E6060C">
        <w:rPr>
          <w:rFonts w:ascii="Calibri" w:eastAsia="Calibri" w:hAnsi="Calibri" w:cs="Times New Roman"/>
        </w:rPr>
        <w:t xml:space="preserve">display the descriptive statistics for the control and intervention groups at Time 1 and Time 2. At Time 1, 64 people responded from the control wards (35.8% of the sample) and 115 responded from the intervention wards (64.2% of the sample). The characteristics of both of these groups were very similar to those of the sample as a whole, and also similar to each other. Thus, both groups comprised majority females, were aged in their mid-thirties, worked full-time, were either healthcare assistants or nurses on average, and were qualified to diploma level. </w:t>
      </w:r>
      <w:r w:rsidR="00F74B0D">
        <w:rPr>
          <w:rFonts w:ascii="Calibri" w:eastAsia="Calibri" w:hAnsi="Calibri" w:cs="Times New Roman"/>
        </w:rPr>
        <w:t>A d</w:t>
      </w:r>
      <w:r w:rsidR="00E6060C" w:rsidRPr="00E6060C">
        <w:rPr>
          <w:rFonts w:ascii="Calibri" w:eastAsia="Calibri" w:hAnsi="Calibri" w:cs="Times New Roman"/>
        </w:rPr>
        <w:t>ifference existed between the mean length of time that each group had been on the ward, with the control group reporting 4.1 years (</w:t>
      </w:r>
      <w:r w:rsidR="00E6060C" w:rsidRPr="00E6060C">
        <w:rPr>
          <w:rFonts w:ascii="Calibri" w:eastAsia="Calibri" w:hAnsi="Calibri" w:cs="Times New Roman"/>
          <w:i/>
        </w:rPr>
        <w:t>SD</w:t>
      </w:r>
      <w:r w:rsidR="00E6060C" w:rsidRPr="00E6060C">
        <w:rPr>
          <w:rFonts w:ascii="Calibri" w:eastAsia="Calibri" w:hAnsi="Calibri" w:cs="Times New Roman"/>
        </w:rPr>
        <w:t>=4.62), and the intervention group reporting 2.6 (</w:t>
      </w:r>
      <w:r w:rsidR="00E6060C" w:rsidRPr="00E6060C">
        <w:rPr>
          <w:rFonts w:ascii="Calibri" w:eastAsia="Calibri" w:hAnsi="Calibri" w:cs="Times New Roman"/>
          <w:i/>
        </w:rPr>
        <w:t>SD</w:t>
      </w:r>
      <w:r w:rsidR="00E6060C" w:rsidRPr="00E6060C">
        <w:rPr>
          <w:rFonts w:ascii="Calibri" w:eastAsia="Calibri" w:hAnsi="Calibri" w:cs="Times New Roman"/>
        </w:rPr>
        <w:t xml:space="preserve">=2.96) years. However, the median at both time points was 2 years, suggesting that outliers may have caused the discrepancy between the means, which is supported by the large standard deviation at </w:t>
      </w:r>
      <w:r w:rsidR="00E6060C" w:rsidRPr="00E6060C">
        <w:rPr>
          <w:rFonts w:ascii="Calibri" w:eastAsia="Calibri" w:hAnsi="Calibri" w:cs="Times New Roman"/>
        </w:rPr>
        <w:lastRenderedPageBreak/>
        <w:t>Time 1. Hospital tenure also differed between the groups at Time 1, with the control group reporting 7 years (</w:t>
      </w:r>
      <w:r w:rsidR="00E6060C" w:rsidRPr="00E6060C">
        <w:rPr>
          <w:rFonts w:ascii="Calibri" w:eastAsia="Calibri" w:hAnsi="Calibri" w:cs="Times New Roman"/>
          <w:i/>
        </w:rPr>
        <w:t>SD</w:t>
      </w:r>
      <w:r w:rsidR="00E6060C" w:rsidRPr="00E6060C">
        <w:rPr>
          <w:rFonts w:ascii="Calibri" w:eastAsia="Calibri" w:hAnsi="Calibri" w:cs="Times New Roman"/>
        </w:rPr>
        <w:t>=6.77) and the intervention group reporting 4.6 years (</w:t>
      </w:r>
      <w:r w:rsidR="00E6060C" w:rsidRPr="00E6060C">
        <w:rPr>
          <w:rFonts w:ascii="Calibri" w:eastAsia="Calibri" w:hAnsi="Calibri" w:cs="Times New Roman"/>
          <w:i/>
        </w:rPr>
        <w:t>SD</w:t>
      </w:r>
      <w:r w:rsidR="00E6060C" w:rsidRPr="00E6060C">
        <w:rPr>
          <w:rFonts w:ascii="Calibri" w:eastAsia="Calibri" w:hAnsi="Calibri" w:cs="Times New Roman"/>
        </w:rPr>
        <w:t>=5.72). Again, these means differed from the medians, which were 4.1 and 2.2 respectively. Aside from gender, th</w:t>
      </w:r>
      <w:r w:rsidR="00BC34D0">
        <w:rPr>
          <w:rFonts w:ascii="Calibri" w:eastAsia="Calibri" w:hAnsi="Calibri" w:cs="Times New Roman"/>
        </w:rPr>
        <w:t>ere was considerable kurtosis for</w:t>
      </w:r>
      <w:r w:rsidR="00E6060C" w:rsidRPr="00E6060C">
        <w:rPr>
          <w:rFonts w:ascii="Calibri" w:eastAsia="Calibri" w:hAnsi="Calibri" w:cs="Times New Roman"/>
        </w:rPr>
        <w:t xml:space="preserve"> the distributions of ward tenure (</w:t>
      </w:r>
      <w:r w:rsidR="00E6060C" w:rsidRPr="00E6060C">
        <w:rPr>
          <w:rFonts w:ascii="Calibri" w:eastAsia="Calibri" w:hAnsi="Calibri" w:cs="Times New Roman"/>
          <w:i/>
        </w:rPr>
        <w:t>kurtosis</w:t>
      </w:r>
      <w:r w:rsidR="00E6060C" w:rsidRPr="00E6060C">
        <w:rPr>
          <w:rFonts w:ascii="Calibri" w:eastAsia="Calibri" w:hAnsi="Calibri" w:cs="Times New Roman"/>
        </w:rPr>
        <w:t>=9.10) and hospital tenure (</w:t>
      </w:r>
      <w:r w:rsidR="00E6060C" w:rsidRPr="00E6060C">
        <w:rPr>
          <w:rFonts w:ascii="Calibri" w:eastAsia="Calibri" w:hAnsi="Calibri" w:cs="Times New Roman"/>
          <w:i/>
        </w:rPr>
        <w:t>kurtosis</w:t>
      </w:r>
      <w:r w:rsidR="00E6060C" w:rsidRPr="00E6060C">
        <w:rPr>
          <w:rFonts w:ascii="Calibri" w:eastAsia="Calibri" w:hAnsi="Calibri" w:cs="Times New Roman"/>
        </w:rPr>
        <w:t>=9.77) for the intervention group</w:t>
      </w:r>
      <w:r w:rsidR="00BC34D0">
        <w:rPr>
          <w:rFonts w:ascii="Calibri" w:eastAsia="Calibri" w:hAnsi="Calibri" w:cs="Times New Roman"/>
        </w:rPr>
        <w:t>,</w:t>
      </w:r>
      <w:r w:rsidR="00E6060C" w:rsidRPr="00E6060C">
        <w:rPr>
          <w:rFonts w:ascii="Calibri" w:eastAsia="Calibri" w:hAnsi="Calibri" w:cs="Times New Roman"/>
        </w:rPr>
        <w:t xml:space="preserve"> suggesting a large departure from the normal distribution. No considerable skewness or kurtosis was observed for any of the other demographic variables, suggesting they deviated little from the normal distribution. At Time 2, a very similar pattern of results emerged, with a similar discrepancy observed between control and intervention groups for both ward tenure and hospital tenure (Table 8.3). However, the kurtosis of the distributions of these variables for the intervention group was less severe (</w:t>
      </w:r>
      <w:r w:rsidR="00BC34D0">
        <w:rPr>
          <w:rFonts w:ascii="Calibri" w:eastAsia="Calibri" w:hAnsi="Calibri" w:cs="Times New Roman"/>
        </w:rPr>
        <w:t xml:space="preserve">Ward tenure: </w:t>
      </w:r>
      <w:r w:rsidR="00E6060C" w:rsidRPr="00E6060C">
        <w:rPr>
          <w:rFonts w:ascii="Calibri" w:eastAsia="Calibri" w:hAnsi="Calibri" w:cs="Times New Roman"/>
          <w:i/>
        </w:rPr>
        <w:t>kurtosis</w:t>
      </w:r>
      <w:r w:rsidR="00BC34D0">
        <w:rPr>
          <w:rFonts w:ascii="Calibri" w:eastAsia="Calibri" w:hAnsi="Calibri" w:cs="Times New Roman"/>
        </w:rPr>
        <w:t>=3.63; hospital tenure:</w:t>
      </w:r>
      <w:r w:rsidR="00E6060C" w:rsidRPr="00E6060C">
        <w:rPr>
          <w:rFonts w:ascii="Calibri" w:eastAsia="Calibri" w:hAnsi="Calibri" w:cs="Times New Roman"/>
        </w:rPr>
        <w:t xml:space="preserve"> </w:t>
      </w:r>
      <w:r w:rsidR="00E6060C" w:rsidRPr="00E6060C">
        <w:rPr>
          <w:rFonts w:ascii="Calibri" w:eastAsia="Calibri" w:hAnsi="Calibri" w:cs="Times New Roman"/>
          <w:i/>
        </w:rPr>
        <w:t>kurtosis</w:t>
      </w:r>
      <w:r w:rsidR="00E6060C" w:rsidRPr="00E6060C">
        <w:rPr>
          <w:rFonts w:ascii="Calibri" w:eastAsia="Calibri" w:hAnsi="Calibri" w:cs="Times New Roman"/>
        </w:rPr>
        <w:t xml:space="preserve">=2.56). </w:t>
      </w:r>
    </w:p>
    <w:p w14:paraId="1C0663C8" w14:textId="77777777" w:rsidR="00E6060C" w:rsidRPr="00E6060C" w:rsidRDefault="00E6060C" w:rsidP="00E6060C">
      <w:pPr>
        <w:spacing w:after="200" w:line="276" w:lineRule="auto"/>
        <w:rPr>
          <w:rFonts w:ascii="Calibri" w:eastAsia="Calibri" w:hAnsi="Calibri" w:cs="Times New Roman"/>
        </w:rPr>
        <w:sectPr w:rsidR="00E6060C" w:rsidRPr="00E6060C" w:rsidSect="00E6060C">
          <w:pgSz w:w="11906" w:h="16838"/>
          <w:pgMar w:top="1440" w:right="1440" w:bottom="1440" w:left="1440" w:header="709" w:footer="709" w:gutter="0"/>
          <w:cols w:space="708"/>
          <w:titlePg/>
          <w:docGrid w:linePitch="360"/>
        </w:sectPr>
      </w:pPr>
    </w:p>
    <w:p w14:paraId="4BFC31AF" w14:textId="5689ECAF" w:rsidR="0035035C" w:rsidRDefault="0035035C" w:rsidP="005852AD">
      <w:pPr>
        <w:pStyle w:val="Figurestyle"/>
      </w:pPr>
      <w:bookmarkStart w:id="394" w:name="_Ref453580555"/>
      <w:bookmarkStart w:id="395" w:name="_Toc468286075"/>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w:t>
      </w:r>
      <w:r w:rsidR="00245D68">
        <w:rPr>
          <w:noProof/>
        </w:rPr>
        <w:fldChar w:fldCharType="end"/>
      </w:r>
      <w:bookmarkEnd w:id="394"/>
      <w:r>
        <w:t xml:space="preserve"> </w:t>
      </w:r>
      <w:r w:rsidRPr="00AE13E3">
        <w:t>Descriptive statistics of the demographic variables for the whole sample (intervention &amp; control group) who responded to the questionnaire at Time 1 (N=179)</w:t>
      </w:r>
      <w:r w:rsidR="00BC34D0">
        <w:t>,</w:t>
      </w:r>
      <w:r w:rsidRPr="00AE13E3">
        <w:t xml:space="preserve"> and the whole sample who responded at Time 2 (N=83)</w:t>
      </w:r>
      <w:bookmarkEnd w:id="395"/>
    </w:p>
    <w:p w14:paraId="0B9E5B96" w14:textId="77777777" w:rsidR="0035035C" w:rsidRDefault="0035035C" w:rsidP="005852AD">
      <w:pPr>
        <w:pStyle w:val="Figurestyle"/>
      </w:pPr>
    </w:p>
    <w:tbl>
      <w:tblPr>
        <w:tblW w:w="14537" w:type="dxa"/>
        <w:tblBorders>
          <w:top w:val="single" w:sz="4" w:space="0" w:color="auto"/>
          <w:bottom w:val="single" w:sz="4" w:space="0" w:color="auto"/>
        </w:tblBorders>
        <w:tblLayout w:type="fixed"/>
        <w:tblLook w:val="04A0" w:firstRow="1" w:lastRow="0" w:firstColumn="1" w:lastColumn="0" w:noHBand="0" w:noVBand="1"/>
      </w:tblPr>
      <w:tblGrid>
        <w:gridCol w:w="1560"/>
        <w:gridCol w:w="720"/>
        <w:gridCol w:w="346"/>
        <w:gridCol w:w="375"/>
        <w:gridCol w:w="721"/>
        <w:gridCol w:w="398"/>
        <w:gridCol w:w="323"/>
        <w:gridCol w:w="721"/>
        <w:gridCol w:w="392"/>
        <w:gridCol w:w="329"/>
        <w:gridCol w:w="721"/>
        <w:gridCol w:w="290"/>
        <w:gridCol w:w="431"/>
        <w:gridCol w:w="721"/>
        <w:gridCol w:w="457"/>
        <w:gridCol w:w="264"/>
        <w:gridCol w:w="721"/>
        <w:gridCol w:w="600"/>
        <w:gridCol w:w="121"/>
        <w:gridCol w:w="721"/>
        <w:gridCol w:w="701"/>
        <w:gridCol w:w="20"/>
        <w:gridCol w:w="721"/>
        <w:gridCol w:w="721"/>
        <w:gridCol w:w="6"/>
        <w:gridCol w:w="715"/>
        <w:gridCol w:w="721"/>
      </w:tblGrid>
      <w:tr w:rsidR="00E6060C" w:rsidRPr="00E6060C" w14:paraId="78971E54" w14:textId="77777777" w:rsidTr="00E6060C">
        <w:trPr>
          <w:trHeight w:val="286"/>
        </w:trPr>
        <w:tc>
          <w:tcPr>
            <w:tcW w:w="1560" w:type="dxa"/>
            <w:vMerge w:val="restart"/>
            <w:tcBorders>
              <w:top w:val="single" w:sz="4" w:space="0" w:color="auto"/>
              <w:bottom w:val="single" w:sz="4" w:space="0" w:color="auto"/>
            </w:tcBorders>
            <w:shd w:val="clear" w:color="auto" w:fill="auto"/>
            <w:hideMark/>
          </w:tcPr>
          <w:p w14:paraId="040C54EA"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066" w:type="dxa"/>
            <w:gridSpan w:val="2"/>
            <w:tcBorders>
              <w:top w:val="single" w:sz="4" w:space="0" w:color="auto"/>
              <w:bottom w:val="single" w:sz="4" w:space="0" w:color="auto"/>
            </w:tcBorders>
            <w:shd w:val="clear" w:color="auto" w:fill="auto"/>
            <w:vAlign w:val="center"/>
            <w:hideMark/>
          </w:tcPr>
          <w:p w14:paraId="6822588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494" w:type="dxa"/>
            <w:gridSpan w:val="3"/>
            <w:tcBorders>
              <w:top w:val="single" w:sz="4" w:space="0" w:color="auto"/>
              <w:bottom w:val="single" w:sz="4" w:space="0" w:color="auto"/>
            </w:tcBorders>
            <w:shd w:val="clear" w:color="auto" w:fill="auto"/>
            <w:vAlign w:val="center"/>
            <w:hideMark/>
          </w:tcPr>
          <w:p w14:paraId="08AAB30C" w14:textId="77777777" w:rsidR="00E6060C" w:rsidRPr="00E6060C" w:rsidRDefault="00E6060C" w:rsidP="00E6060C">
            <w:pPr>
              <w:spacing w:line="240" w:lineRule="auto"/>
              <w:jc w:val="center"/>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Mean</w:t>
            </w:r>
          </w:p>
        </w:tc>
        <w:tc>
          <w:tcPr>
            <w:tcW w:w="1436" w:type="dxa"/>
            <w:gridSpan w:val="3"/>
            <w:tcBorders>
              <w:top w:val="single" w:sz="4" w:space="0" w:color="auto"/>
              <w:bottom w:val="single" w:sz="4" w:space="0" w:color="auto"/>
            </w:tcBorders>
            <w:shd w:val="clear" w:color="auto" w:fill="auto"/>
            <w:vAlign w:val="center"/>
            <w:hideMark/>
          </w:tcPr>
          <w:p w14:paraId="17A386D7"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3"/>
            <w:tcBorders>
              <w:top w:val="single" w:sz="4" w:space="0" w:color="auto"/>
              <w:bottom w:val="single" w:sz="4" w:space="0" w:color="auto"/>
            </w:tcBorders>
            <w:shd w:val="clear" w:color="auto" w:fill="auto"/>
            <w:vAlign w:val="center"/>
            <w:hideMark/>
          </w:tcPr>
          <w:p w14:paraId="77789169"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609" w:type="dxa"/>
            <w:gridSpan w:val="3"/>
            <w:tcBorders>
              <w:top w:val="single" w:sz="4" w:space="0" w:color="auto"/>
              <w:bottom w:val="single" w:sz="4" w:space="0" w:color="auto"/>
            </w:tcBorders>
          </w:tcPr>
          <w:p w14:paraId="676F68E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1585" w:type="dxa"/>
            <w:gridSpan w:val="3"/>
            <w:tcBorders>
              <w:top w:val="single" w:sz="4" w:space="0" w:color="auto"/>
              <w:bottom w:val="single" w:sz="4" w:space="0" w:color="auto"/>
            </w:tcBorders>
            <w:shd w:val="clear" w:color="auto" w:fill="auto"/>
            <w:vAlign w:val="center"/>
            <w:hideMark/>
          </w:tcPr>
          <w:p w14:paraId="38180DD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43" w:type="dxa"/>
            <w:gridSpan w:val="3"/>
            <w:tcBorders>
              <w:top w:val="single" w:sz="4" w:space="0" w:color="auto"/>
              <w:bottom w:val="single" w:sz="4" w:space="0" w:color="auto"/>
            </w:tcBorders>
            <w:shd w:val="clear" w:color="auto" w:fill="auto"/>
            <w:vAlign w:val="center"/>
            <w:hideMark/>
          </w:tcPr>
          <w:p w14:paraId="0DD85D4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8" w:type="dxa"/>
            <w:gridSpan w:val="4"/>
            <w:tcBorders>
              <w:top w:val="single" w:sz="4" w:space="0" w:color="auto"/>
              <w:bottom w:val="single" w:sz="4" w:space="0" w:color="auto"/>
            </w:tcBorders>
            <w:shd w:val="clear" w:color="auto" w:fill="auto"/>
            <w:vAlign w:val="center"/>
            <w:hideMark/>
          </w:tcPr>
          <w:p w14:paraId="407F5B0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436" w:type="dxa"/>
            <w:gridSpan w:val="2"/>
            <w:tcBorders>
              <w:top w:val="single" w:sz="4" w:space="0" w:color="auto"/>
              <w:bottom w:val="single" w:sz="4" w:space="0" w:color="auto"/>
            </w:tcBorders>
            <w:shd w:val="clear" w:color="auto" w:fill="auto"/>
            <w:vAlign w:val="center"/>
            <w:hideMark/>
          </w:tcPr>
          <w:p w14:paraId="70D3635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7905A5AA" w14:textId="77777777" w:rsidTr="00E6060C">
        <w:trPr>
          <w:trHeight w:val="286"/>
        </w:trPr>
        <w:tc>
          <w:tcPr>
            <w:tcW w:w="1560" w:type="dxa"/>
            <w:vMerge/>
            <w:tcBorders>
              <w:top w:val="single" w:sz="4" w:space="0" w:color="auto"/>
              <w:bottom w:val="single" w:sz="4" w:space="0" w:color="auto"/>
            </w:tcBorders>
            <w:shd w:val="clear" w:color="auto" w:fill="auto"/>
            <w:vAlign w:val="center"/>
            <w:hideMark/>
          </w:tcPr>
          <w:p w14:paraId="587363F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720" w:type="dxa"/>
            <w:tcBorders>
              <w:top w:val="single" w:sz="4" w:space="0" w:color="auto"/>
              <w:bottom w:val="single" w:sz="4" w:space="0" w:color="auto"/>
            </w:tcBorders>
            <w:shd w:val="clear" w:color="auto" w:fill="auto"/>
            <w:vAlign w:val="center"/>
            <w:hideMark/>
          </w:tcPr>
          <w:p w14:paraId="5DCFDB4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0A1BB14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shd w:val="clear" w:color="auto" w:fill="auto"/>
            <w:vAlign w:val="center"/>
            <w:hideMark/>
          </w:tcPr>
          <w:p w14:paraId="636D722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78C1D95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shd w:val="clear" w:color="auto" w:fill="auto"/>
            <w:vAlign w:val="center"/>
            <w:hideMark/>
          </w:tcPr>
          <w:p w14:paraId="3FBC239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2FAE463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shd w:val="clear" w:color="auto" w:fill="auto"/>
            <w:vAlign w:val="center"/>
            <w:hideMark/>
          </w:tcPr>
          <w:p w14:paraId="4BC8E7E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757551A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vAlign w:val="center"/>
          </w:tcPr>
          <w:p w14:paraId="30CB1BA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7AF0024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shd w:val="clear" w:color="auto" w:fill="auto"/>
            <w:vAlign w:val="center"/>
            <w:hideMark/>
          </w:tcPr>
          <w:p w14:paraId="64940AE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1E7300E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shd w:val="clear" w:color="auto" w:fill="auto"/>
            <w:vAlign w:val="center"/>
            <w:hideMark/>
          </w:tcPr>
          <w:p w14:paraId="3CF5A41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gridSpan w:val="2"/>
            <w:tcBorders>
              <w:top w:val="single" w:sz="4" w:space="0" w:color="auto"/>
              <w:bottom w:val="single" w:sz="4" w:space="0" w:color="auto"/>
            </w:tcBorders>
            <w:shd w:val="clear" w:color="auto" w:fill="D9D9D9"/>
            <w:vAlign w:val="center"/>
          </w:tcPr>
          <w:p w14:paraId="36A4AC7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tcBorders>
              <w:top w:val="single" w:sz="4" w:space="0" w:color="auto"/>
              <w:bottom w:val="single" w:sz="4" w:space="0" w:color="auto"/>
            </w:tcBorders>
            <w:shd w:val="clear" w:color="auto" w:fill="auto"/>
            <w:vAlign w:val="center"/>
            <w:hideMark/>
          </w:tcPr>
          <w:p w14:paraId="667A491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tcBorders>
              <w:top w:val="single" w:sz="4" w:space="0" w:color="auto"/>
              <w:bottom w:val="single" w:sz="4" w:space="0" w:color="auto"/>
            </w:tcBorders>
            <w:shd w:val="clear" w:color="auto" w:fill="D9D9D9"/>
            <w:vAlign w:val="center"/>
          </w:tcPr>
          <w:p w14:paraId="7C52159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1" w:type="dxa"/>
            <w:gridSpan w:val="2"/>
            <w:tcBorders>
              <w:top w:val="single" w:sz="4" w:space="0" w:color="auto"/>
              <w:bottom w:val="single" w:sz="4" w:space="0" w:color="auto"/>
            </w:tcBorders>
            <w:shd w:val="clear" w:color="auto" w:fill="auto"/>
            <w:vAlign w:val="center"/>
            <w:hideMark/>
          </w:tcPr>
          <w:p w14:paraId="741280A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1" w:type="dxa"/>
            <w:tcBorders>
              <w:top w:val="single" w:sz="4" w:space="0" w:color="auto"/>
              <w:bottom w:val="single" w:sz="4" w:space="0" w:color="auto"/>
            </w:tcBorders>
            <w:shd w:val="clear" w:color="auto" w:fill="D9D9D9"/>
            <w:vAlign w:val="center"/>
          </w:tcPr>
          <w:p w14:paraId="04DEF91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r>
      <w:tr w:rsidR="00E6060C" w:rsidRPr="00E6060C" w14:paraId="0F11C968" w14:textId="77777777" w:rsidTr="00E6060C">
        <w:trPr>
          <w:trHeight w:val="482"/>
        </w:trPr>
        <w:tc>
          <w:tcPr>
            <w:tcW w:w="1560" w:type="dxa"/>
            <w:shd w:val="clear" w:color="auto" w:fill="auto"/>
            <w:vAlign w:val="center"/>
          </w:tcPr>
          <w:p w14:paraId="68B1563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Gender</w:t>
            </w:r>
          </w:p>
        </w:tc>
        <w:tc>
          <w:tcPr>
            <w:tcW w:w="720" w:type="dxa"/>
            <w:shd w:val="clear" w:color="auto" w:fill="auto"/>
            <w:noWrap/>
            <w:vAlign w:val="center"/>
          </w:tcPr>
          <w:p w14:paraId="7644F5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176</w:t>
            </w:r>
          </w:p>
        </w:tc>
        <w:tc>
          <w:tcPr>
            <w:tcW w:w="721" w:type="dxa"/>
            <w:gridSpan w:val="2"/>
            <w:shd w:val="clear" w:color="auto" w:fill="D9D9D9"/>
            <w:vAlign w:val="center"/>
          </w:tcPr>
          <w:p w14:paraId="4E78520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21" w:type="dxa"/>
            <w:shd w:val="clear" w:color="auto" w:fill="auto"/>
            <w:noWrap/>
            <w:vAlign w:val="center"/>
          </w:tcPr>
          <w:p w14:paraId="78F08E2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0.10</w:t>
            </w:r>
          </w:p>
        </w:tc>
        <w:tc>
          <w:tcPr>
            <w:tcW w:w="721" w:type="dxa"/>
            <w:gridSpan w:val="2"/>
            <w:shd w:val="clear" w:color="auto" w:fill="D9D9D9"/>
            <w:vAlign w:val="center"/>
          </w:tcPr>
          <w:p w14:paraId="3F8AF27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0.06</w:t>
            </w:r>
          </w:p>
        </w:tc>
        <w:tc>
          <w:tcPr>
            <w:tcW w:w="721" w:type="dxa"/>
            <w:shd w:val="clear" w:color="auto" w:fill="auto"/>
            <w:noWrap/>
            <w:vAlign w:val="center"/>
          </w:tcPr>
          <w:p w14:paraId="5084C0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0.30</w:t>
            </w:r>
          </w:p>
        </w:tc>
        <w:tc>
          <w:tcPr>
            <w:tcW w:w="721" w:type="dxa"/>
            <w:gridSpan w:val="2"/>
            <w:shd w:val="clear" w:color="auto" w:fill="D9D9D9"/>
            <w:vAlign w:val="center"/>
          </w:tcPr>
          <w:p w14:paraId="0FD3557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0.24</w:t>
            </w:r>
          </w:p>
        </w:tc>
        <w:tc>
          <w:tcPr>
            <w:tcW w:w="721" w:type="dxa"/>
            <w:shd w:val="clear" w:color="auto" w:fill="auto"/>
            <w:noWrap/>
            <w:vAlign w:val="center"/>
          </w:tcPr>
          <w:p w14:paraId="3981C4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.02</w:t>
            </w:r>
          </w:p>
        </w:tc>
        <w:tc>
          <w:tcPr>
            <w:tcW w:w="721" w:type="dxa"/>
            <w:gridSpan w:val="2"/>
            <w:shd w:val="clear" w:color="auto" w:fill="D9D9D9"/>
            <w:vAlign w:val="center"/>
          </w:tcPr>
          <w:p w14:paraId="4264733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0.03</w:t>
            </w:r>
          </w:p>
        </w:tc>
        <w:tc>
          <w:tcPr>
            <w:tcW w:w="721" w:type="dxa"/>
            <w:tcBorders>
              <w:top w:val="nil"/>
              <w:left w:val="nil"/>
              <w:bottom w:val="nil"/>
              <w:right w:val="nil"/>
            </w:tcBorders>
            <w:shd w:val="clear" w:color="auto" w:fill="auto"/>
            <w:vAlign w:val="center"/>
          </w:tcPr>
          <w:p w14:paraId="22A459C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w:t>
            </w:r>
          </w:p>
        </w:tc>
        <w:tc>
          <w:tcPr>
            <w:tcW w:w="721" w:type="dxa"/>
            <w:gridSpan w:val="2"/>
            <w:tcBorders>
              <w:top w:val="single" w:sz="4" w:space="0" w:color="auto"/>
              <w:left w:val="nil"/>
              <w:bottom w:val="nil"/>
              <w:right w:val="nil"/>
            </w:tcBorders>
            <w:shd w:val="clear" w:color="auto" w:fill="D9D9D9"/>
            <w:vAlign w:val="center"/>
          </w:tcPr>
          <w:p w14:paraId="1613D5A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w:t>
            </w:r>
          </w:p>
        </w:tc>
        <w:tc>
          <w:tcPr>
            <w:tcW w:w="721" w:type="dxa"/>
            <w:shd w:val="clear" w:color="auto" w:fill="auto"/>
            <w:noWrap/>
            <w:vAlign w:val="center"/>
          </w:tcPr>
          <w:p w14:paraId="11F7EBF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1" w:type="dxa"/>
            <w:gridSpan w:val="2"/>
            <w:shd w:val="clear" w:color="auto" w:fill="D9D9D9"/>
            <w:vAlign w:val="center"/>
          </w:tcPr>
          <w:p w14:paraId="6F233D9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1" w:type="dxa"/>
            <w:shd w:val="clear" w:color="auto" w:fill="auto"/>
            <w:noWrap/>
            <w:vAlign w:val="center"/>
          </w:tcPr>
          <w:p w14:paraId="35FE96C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02EC4BA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1" w:type="dxa"/>
            <w:shd w:val="clear" w:color="auto" w:fill="auto"/>
            <w:vAlign w:val="center"/>
          </w:tcPr>
          <w:p w14:paraId="3E1F38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2.65</w:t>
            </w:r>
          </w:p>
        </w:tc>
        <w:tc>
          <w:tcPr>
            <w:tcW w:w="721" w:type="dxa"/>
            <w:shd w:val="clear" w:color="auto" w:fill="D9D9D9"/>
            <w:vAlign w:val="center"/>
          </w:tcPr>
          <w:p w14:paraId="4EC0051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3.68</w:t>
            </w:r>
          </w:p>
        </w:tc>
        <w:tc>
          <w:tcPr>
            <w:tcW w:w="721" w:type="dxa"/>
            <w:gridSpan w:val="2"/>
            <w:shd w:val="clear" w:color="auto" w:fill="auto"/>
            <w:vAlign w:val="center"/>
          </w:tcPr>
          <w:p w14:paraId="379044C2" w14:textId="77777777" w:rsidR="00E6060C" w:rsidRPr="00E6060C" w:rsidRDefault="00E6060C" w:rsidP="00E6060C">
            <w:pPr>
              <w:spacing w:line="240" w:lineRule="auto"/>
              <w:jc w:val="center"/>
              <w:rPr>
                <w:rFonts w:ascii="Times New Roman" w:eastAsia="Times New Roman" w:hAnsi="Times New Roman" w:cs="Times New Roman"/>
                <w:sz w:val="20"/>
                <w:szCs w:val="20"/>
                <w:lang w:eastAsia="en-GB"/>
              </w:rPr>
            </w:pPr>
            <w:r w:rsidRPr="00E6060C">
              <w:rPr>
                <w:rFonts w:ascii="Calibri" w:eastAsia="Calibri" w:hAnsi="Calibri" w:cs="Times New Roman"/>
                <w:color w:val="000000"/>
              </w:rPr>
              <w:t>5.07</w:t>
            </w:r>
          </w:p>
        </w:tc>
        <w:tc>
          <w:tcPr>
            <w:tcW w:w="721" w:type="dxa"/>
            <w:shd w:val="clear" w:color="auto" w:fill="D9D9D9"/>
            <w:vAlign w:val="center"/>
          </w:tcPr>
          <w:p w14:paraId="34AA948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11.87</w:t>
            </w:r>
          </w:p>
        </w:tc>
      </w:tr>
      <w:tr w:rsidR="00E6060C" w:rsidRPr="00E6060C" w14:paraId="6A10AF76" w14:textId="77777777" w:rsidTr="00E6060C">
        <w:trPr>
          <w:trHeight w:val="482"/>
        </w:trPr>
        <w:tc>
          <w:tcPr>
            <w:tcW w:w="1560" w:type="dxa"/>
            <w:shd w:val="clear" w:color="auto" w:fill="auto"/>
            <w:vAlign w:val="center"/>
          </w:tcPr>
          <w:p w14:paraId="386848A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Age (yrs)</w:t>
            </w:r>
          </w:p>
        </w:tc>
        <w:tc>
          <w:tcPr>
            <w:tcW w:w="720" w:type="dxa"/>
            <w:shd w:val="clear" w:color="auto" w:fill="auto"/>
            <w:noWrap/>
            <w:vAlign w:val="center"/>
          </w:tcPr>
          <w:p w14:paraId="13B775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164</w:t>
            </w:r>
          </w:p>
        </w:tc>
        <w:tc>
          <w:tcPr>
            <w:tcW w:w="721" w:type="dxa"/>
            <w:gridSpan w:val="2"/>
            <w:shd w:val="clear" w:color="auto" w:fill="D9D9D9"/>
            <w:vAlign w:val="center"/>
          </w:tcPr>
          <w:p w14:paraId="001DB2E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77</w:t>
            </w:r>
          </w:p>
        </w:tc>
        <w:tc>
          <w:tcPr>
            <w:tcW w:w="721" w:type="dxa"/>
            <w:shd w:val="clear" w:color="auto" w:fill="auto"/>
            <w:noWrap/>
            <w:vAlign w:val="center"/>
          </w:tcPr>
          <w:p w14:paraId="0E64D3A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37.77</w:t>
            </w:r>
          </w:p>
        </w:tc>
        <w:tc>
          <w:tcPr>
            <w:tcW w:w="721" w:type="dxa"/>
            <w:gridSpan w:val="2"/>
            <w:shd w:val="clear" w:color="auto" w:fill="D9D9D9"/>
            <w:vAlign w:val="center"/>
          </w:tcPr>
          <w:p w14:paraId="4D19A7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38.35</w:t>
            </w:r>
          </w:p>
        </w:tc>
        <w:tc>
          <w:tcPr>
            <w:tcW w:w="721" w:type="dxa"/>
            <w:shd w:val="clear" w:color="auto" w:fill="auto"/>
            <w:noWrap/>
            <w:vAlign w:val="center"/>
          </w:tcPr>
          <w:p w14:paraId="6C4B547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11.28</w:t>
            </w:r>
          </w:p>
        </w:tc>
        <w:tc>
          <w:tcPr>
            <w:tcW w:w="721" w:type="dxa"/>
            <w:gridSpan w:val="2"/>
            <w:shd w:val="clear" w:color="auto" w:fill="D9D9D9"/>
            <w:vAlign w:val="center"/>
          </w:tcPr>
          <w:p w14:paraId="20F5305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11.17</w:t>
            </w:r>
          </w:p>
        </w:tc>
        <w:tc>
          <w:tcPr>
            <w:tcW w:w="721" w:type="dxa"/>
            <w:shd w:val="clear" w:color="auto" w:fill="auto"/>
            <w:noWrap/>
            <w:vAlign w:val="center"/>
          </w:tcPr>
          <w:p w14:paraId="794BD6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.88</w:t>
            </w:r>
          </w:p>
        </w:tc>
        <w:tc>
          <w:tcPr>
            <w:tcW w:w="721" w:type="dxa"/>
            <w:gridSpan w:val="2"/>
            <w:shd w:val="clear" w:color="auto" w:fill="D9D9D9"/>
            <w:vAlign w:val="center"/>
          </w:tcPr>
          <w:p w14:paraId="6D63E65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1.27</w:t>
            </w:r>
          </w:p>
        </w:tc>
        <w:tc>
          <w:tcPr>
            <w:tcW w:w="721" w:type="dxa"/>
            <w:tcBorders>
              <w:top w:val="nil"/>
              <w:left w:val="nil"/>
              <w:bottom w:val="nil"/>
              <w:right w:val="nil"/>
            </w:tcBorders>
            <w:shd w:val="clear" w:color="auto" w:fill="auto"/>
            <w:vAlign w:val="center"/>
          </w:tcPr>
          <w:p w14:paraId="2C87A25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37.00</w:t>
            </w:r>
          </w:p>
        </w:tc>
        <w:tc>
          <w:tcPr>
            <w:tcW w:w="721" w:type="dxa"/>
            <w:gridSpan w:val="2"/>
            <w:tcBorders>
              <w:top w:val="nil"/>
              <w:left w:val="nil"/>
              <w:bottom w:val="nil"/>
              <w:right w:val="nil"/>
            </w:tcBorders>
            <w:shd w:val="clear" w:color="auto" w:fill="D9D9D9"/>
            <w:vAlign w:val="center"/>
          </w:tcPr>
          <w:p w14:paraId="6A6BD99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37.00</w:t>
            </w:r>
          </w:p>
        </w:tc>
        <w:tc>
          <w:tcPr>
            <w:tcW w:w="721" w:type="dxa"/>
            <w:shd w:val="clear" w:color="auto" w:fill="auto"/>
            <w:noWrap/>
            <w:vAlign w:val="center"/>
          </w:tcPr>
          <w:p w14:paraId="46885F7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21.00</w:t>
            </w:r>
          </w:p>
        </w:tc>
        <w:tc>
          <w:tcPr>
            <w:tcW w:w="721" w:type="dxa"/>
            <w:gridSpan w:val="2"/>
            <w:shd w:val="clear" w:color="auto" w:fill="D9D9D9"/>
            <w:vAlign w:val="center"/>
          </w:tcPr>
          <w:p w14:paraId="78C2FC4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20.00</w:t>
            </w:r>
          </w:p>
        </w:tc>
        <w:tc>
          <w:tcPr>
            <w:tcW w:w="721" w:type="dxa"/>
            <w:shd w:val="clear" w:color="auto" w:fill="auto"/>
            <w:noWrap/>
            <w:vAlign w:val="center"/>
          </w:tcPr>
          <w:p w14:paraId="6B54CB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65.00</w:t>
            </w:r>
          </w:p>
        </w:tc>
        <w:tc>
          <w:tcPr>
            <w:tcW w:w="721" w:type="dxa"/>
            <w:gridSpan w:val="2"/>
            <w:shd w:val="clear" w:color="auto" w:fill="D9D9D9"/>
            <w:vAlign w:val="center"/>
          </w:tcPr>
          <w:p w14:paraId="2EFF298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65.00</w:t>
            </w:r>
          </w:p>
        </w:tc>
        <w:tc>
          <w:tcPr>
            <w:tcW w:w="721" w:type="dxa"/>
            <w:shd w:val="clear" w:color="auto" w:fill="auto"/>
            <w:noWrap/>
            <w:vAlign w:val="center"/>
          </w:tcPr>
          <w:p w14:paraId="0DE8547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0.32</w:t>
            </w:r>
          </w:p>
        </w:tc>
        <w:tc>
          <w:tcPr>
            <w:tcW w:w="721" w:type="dxa"/>
            <w:shd w:val="clear" w:color="auto" w:fill="D9D9D9"/>
            <w:vAlign w:val="center"/>
          </w:tcPr>
          <w:p w14:paraId="24FC425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0.28</w:t>
            </w:r>
          </w:p>
        </w:tc>
        <w:tc>
          <w:tcPr>
            <w:tcW w:w="721" w:type="dxa"/>
            <w:gridSpan w:val="2"/>
            <w:shd w:val="clear" w:color="auto" w:fill="auto"/>
            <w:noWrap/>
            <w:vAlign w:val="center"/>
          </w:tcPr>
          <w:p w14:paraId="7C894AB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-0.95</w:t>
            </w:r>
          </w:p>
        </w:tc>
        <w:tc>
          <w:tcPr>
            <w:tcW w:w="721" w:type="dxa"/>
            <w:shd w:val="clear" w:color="auto" w:fill="D9D9D9"/>
            <w:vAlign w:val="center"/>
          </w:tcPr>
          <w:p w14:paraId="3A04ED4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-0.79</w:t>
            </w:r>
          </w:p>
        </w:tc>
      </w:tr>
      <w:tr w:rsidR="00E6060C" w:rsidRPr="00E6060C" w14:paraId="2F799885" w14:textId="77777777" w:rsidTr="00E6060C">
        <w:trPr>
          <w:trHeight w:val="482"/>
        </w:trPr>
        <w:tc>
          <w:tcPr>
            <w:tcW w:w="1560" w:type="dxa"/>
            <w:shd w:val="clear" w:color="auto" w:fill="auto"/>
            <w:vAlign w:val="center"/>
          </w:tcPr>
          <w:p w14:paraId="1D2831D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Ward tenure (yrs)</w:t>
            </w:r>
          </w:p>
        </w:tc>
        <w:tc>
          <w:tcPr>
            <w:tcW w:w="720" w:type="dxa"/>
            <w:shd w:val="clear" w:color="auto" w:fill="auto"/>
            <w:noWrap/>
            <w:vAlign w:val="center"/>
          </w:tcPr>
          <w:p w14:paraId="2A0BBA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172</w:t>
            </w:r>
          </w:p>
        </w:tc>
        <w:tc>
          <w:tcPr>
            <w:tcW w:w="721" w:type="dxa"/>
            <w:gridSpan w:val="2"/>
            <w:shd w:val="clear" w:color="auto" w:fill="D9D9D9"/>
            <w:vAlign w:val="center"/>
          </w:tcPr>
          <w:p w14:paraId="1EF5F4B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79</w:t>
            </w:r>
          </w:p>
        </w:tc>
        <w:tc>
          <w:tcPr>
            <w:tcW w:w="721" w:type="dxa"/>
            <w:shd w:val="clear" w:color="auto" w:fill="auto"/>
            <w:noWrap/>
            <w:vAlign w:val="center"/>
          </w:tcPr>
          <w:p w14:paraId="5CBA99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3.12</w:t>
            </w:r>
          </w:p>
        </w:tc>
        <w:tc>
          <w:tcPr>
            <w:tcW w:w="721" w:type="dxa"/>
            <w:gridSpan w:val="2"/>
            <w:shd w:val="clear" w:color="auto" w:fill="D9D9D9"/>
            <w:vAlign w:val="center"/>
          </w:tcPr>
          <w:p w14:paraId="7DB0EE5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3.06</w:t>
            </w:r>
          </w:p>
        </w:tc>
        <w:tc>
          <w:tcPr>
            <w:tcW w:w="721" w:type="dxa"/>
            <w:shd w:val="clear" w:color="auto" w:fill="auto"/>
            <w:noWrap/>
            <w:vAlign w:val="center"/>
          </w:tcPr>
          <w:p w14:paraId="07B3A0F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3.70</w:t>
            </w:r>
          </w:p>
        </w:tc>
        <w:tc>
          <w:tcPr>
            <w:tcW w:w="721" w:type="dxa"/>
            <w:gridSpan w:val="2"/>
            <w:shd w:val="clear" w:color="auto" w:fill="D9D9D9"/>
            <w:vAlign w:val="center"/>
          </w:tcPr>
          <w:p w14:paraId="11333A9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3.35</w:t>
            </w:r>
          </w:p>
        </w:tc>
        <w:tc>
          <w:tcPr>
            <w:tcW w:w="721" w:type="dxa"/>
            <w:shd w:val="clear" w:color="auto" w:fill="auto"/>
            <w:noWrap/>
            <w:vAlign w:val="center"/>
          </w:tcPr>
          <w:p w14:paraId="755A727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.28</w:t>
            </w:r>
          </w:p>
        </w:tc>
        <w:tc>
          <w:tcPr>
            <w:tcW w:w="721" w:type="dxa"/>
            <w:gridSpan w:val="2"/>
            <w:shd w:val="clear" w:color="auto" w:fill="D9D9D9"/>
            <w:vAlign w:val="center"/>
          </w:tcPr>
          <w:p w14:paraId="29E5218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0.38</w:t>
            </w:r>
          </w:p>
        </w:tc>
        <w:tc>
          <w:tcPr>
            <w:tcW w:w="721" w:type="dxa"/>
            <w:tcBorders>
              <w:top w:val="nil"/>
              <w:left w:val="nil"/>
              <w:bottom w:val="nil"/>
              <w:right w:val="nil"/>
            </w:tcBorders>
            <w:shd w:val="clear" w:color="auto" w:fill="auto"/>
            <w:vAlign w:val="center"/>
          </w:tcPr>
          <w:p w14:paraId="5643449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1" w:type="dxa"/>
            <w:gridSpan w:val="2"/>
            <w:tcBorders>
              <w:top w:val="nil"/>
              <w:left w:val="nil"/>
              <w:bottom w:val="nil"/>
              <w:right w:val="nil"/>
            </w:tcBorders>
            <w:shd w:val="clear" w:color="auto" w:fill="D9D9D9"/>
            <w:vAlign w:val="center"/>
          </w:tcPr>
          <w:p w14:paraId="6DAABF2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1.58</w:t>
            </w:r>
          </w:p>
        </w:tc>
        <w:tc>
          <w:tcPr>
            <w:tcW w:w="721" w:type="dxa"/>
            <w:shd w:val="clear" w:color="auto" w:fill="auto"/>
            <w:noWrap/>
            <w:vAlign w:val="center"/>
          </w:tcPr>
          <w:p w14:paraId="4A7314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1" w:type="dxa"/>
            <w:gridSpan w:val="2"/>
            <w:shd w:val="clear" w:color="auto" w:fill="D9D9D9"/>
            <w:vAlign w:val="center"/>
          </w:tcPr>
          <w:p w14:paraId="3BF5B98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1" w:type="dxa"/>
            <w:shd w:val="clear" w:color="auto" w:fill="auto"/>
            <w:noWrap/>
            <w:vAlign w:val="center"/>
          </w:tcPr>
          <w:p w14:paraId="5CDA970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20.00</w:t>
            </w:r>
          </w:p>
        </w:tc>
        <w:tc>
          <w:tcPr>
            <w:tcW w:w="721" w:type="dxa"/>
            <w:gridSpan w:val="2"/>
            <w:shd w:val="clear" w:color="auto" w:fill="D9D9D9"/>
            <w:vAlign w:val="center"/>
          </w:tcPr>
          <w:p w14:paraId="48E0C97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12.00</w:t>
            </w:r>
          </w:p>
        </w:tc>
        <w:tc>
          <w:tcPr>
            <w:tcW w:w="721" w:type="dxa"/>
            <w:shd w:val="clear" w:color="auto" w:fill="auto"/>
            <w:noWrap/>
            <w:vAlign w:val="center"/>
          </w:tcPr>
          <w:p w14:paraId="729E104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2.22</w:t>
            </w:r>
          </w:p>
        </w:tc>
        <w:tc>
          <w:tcPr>
            <w:tcW w:w="721" w:type="dxa"/>
            <w:shd w:val="clear" w:color="auto" w:fill="D9D9D9"/>
            <w:vAlign w:val="center"/>
          </w:tcPr>
          <w:p w14:paraId="34E4690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1.27</w:t>
            </w:r>
          </w:p>
        </w:tc>
        <w:tc>
          <w:tcPr>
            <w:tcW w:w="721" w:type="dxa"/>
            <w:gridSpan w:val="2"/>
            <w:shd w:val="clear" w:color="auto" w:fill="auto"/>
            <w:noWrap/>
            <w:vAlign w:val="center"/>
          </w:tcPr>
          <w:p w14:paraId="399D687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5.15</w:t>
            </w:r>
          </w:p>
        </w:tc>
        <w:tc>
          <w:tcPr>
            <w:tcW w:w="721" w:type="dxa"/>
            <w:shd w:val="clear" w:color="auto" w:fill="D9D9D9"/>
            <w:vAlign w:val="center"/>
          </w:tcPr>
          <w:p w14:paraId="66BE596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0.39</w:t>
            </w:r>
          </w:p>
        </w:tc>
      </w:tr>
      <w:tr w:rsidR="00E6060C" w:rsidRPr="00E6060C" w14:paraId="4DA0273D" w14:textId="77777777" w:rsidTr="00E6060C">
        <w:trPr>
          <w:trHeight w:val="482"/>
        </w:trPr>
        <w:tc>
          <w:tcPr>
            <w:tcW w:w="1560" w:type="dxa"/>
            <w:shd w:val="clear" w:color="auto" w:fill="auto"/>
            <w:vAlign w:val="center"/>
          </w:tcPr>
          <w:p w14:paraId="66DCEBB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Hospital tenure (yrs)</w:t>
            </w:r>
          </w:p>
        </w:tc>
        <w:tc>
          <w:tcPr>
            <w:tcW w:w="720" w:type="dxa"/>
            <w:shd w:val="clear" w:color="auto" w:fill="auto"/>
            <w:noWrap/>
            <w:vAlign w:val="center"/>
          </w:tcPr>
          <w:p w14:paraId="444B138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170</w:t>
            </w:r>
          </w:p>
        </w:tc>
        <w:tc>
          <w:tcPr>
            <w:tcW w:w="721" w:type="dxa"/>
            <w:gridSpan w:val="2"/>
            <w:shd w:val="clear" w:color="auto" w:fill="D9D9D9"/>
            <w:vAlign w:val="center"/>
          </w:tcPr>
          <w:p w14:paraId="0F38482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78</w:t>
            </w:r>
          </w:p>
        </w:tc>
        <w:tc>
          <w:tcPr>
            <w:tcW w:w="721" w:type="dxa"/>
            <w:shd w:val="clear" w:color="auto" w:fill="auto"/>
            <w:noWrap/>
            <w:vAlign w:val="center"/>
          </w:tcPr>
          <w:p w14:paraId="7D33F50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5.49</w:t>
            </w:r>
          </w:p>
        </w:tc>
        <w:tc>
          <w:tcPr>
            <w:tcW w:w="721" w:type="dxa"/>
            <w:gridSpan w:val="2"/>
            <w:shd w:val="clear" w:color="auto" w:fill="D9D9D9"/>
            <w:vAlign w:val="center"/>
          </w:tcPr>
          <w:p w14:paraId="4D4BDB9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5.31</w:t>
            </w:r>
          </w:p>
        </w:tc>
        <w:tc>
          <w:tcPr>
            <w:tcW w:w="721" w:type="dxa"/>
            <w:shd w:val="clear" w:color="auto" w:fill="auto"/>
            <w:noWrap/>
            <w:vAlign w:val="center"/>
          </w:tcPr>
          <w:p w14:paraId="723520B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6.21</w:t>
            </w:r>
          </w:p>
        </w:tc>
        <w:tc>
          <w:tcPr>
            <w:tcW w:w="721" w:type="dxa"/>
            <w:gridSpan w:val="2"/>
            <w:shd w:val="clear" w:color="auto" w:fill="D9D9D9"/>
            <w:vAlign w:val="center"/>
          </w:tcPr>
          <w:p w14:paraId="7B3561B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5.69</w:t>
            </w:r>
          </w:p>
        </w:tc>
        <w:tc>
          <w:tcPr>
            <w:tcW w:w="721" w:type="dxa"/>
            <w:shd w:val="clear" w:color="auto" w:fill="auto"/>
            <w:noWrap/>
            <w:vAlign w:val="center"/>
          </w:tcPr>
          <w:p w14:paraId="49F2F49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.48</w:t>
            </w:r>
          </w:p>
        </w:tc>
        <w:tc>
          <w:tcPr>
            <w:tcW w:w="721" w:type="dxa"/>
            <w:gridSpan w:val="2"/>
            <w:shd w:val="clear" w:color="auto" w:fill="D9D9D9"/>
            <w:vAlign w:val="center"/>
          </w:tcPr>
          <w:p w14:paraId="089EEF0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0.64</w:t>
            </w:r>
          </w:p>
        </w:tc>
        <w:tc>
          <w:tcPr>
            <w:tcW w:w="721" w:type="dxa"/>
            <w:tcBorders>
              <w:top w:val="nil"/>
              <w:left w:val="nil"/>
              <w:bottom w:val="nil"/>
              <w:right w:val="nil"/>
            </w:tcBorders>
            <w:shd w:val="clear" w:color="auto" w:fill="auto"/>
            <w:vAlign w:val="center"/>
          </w:tcPr>
          <w:p w14:paraId="54437CC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2.96</w:t>
            </w:r>
          </w:p>
        </w:tc>
        <w:tc>
          <w:tcPr>
            <w:tcW w:w="721" w:type="dxa"/>
            <w:gridSpan w:val="2"/>
            <w:tcBorders>
              <w:top w:val="nil"/>
              <w:left w:val="nil"/>
              <w:bottom w:val="nil"/>
              <w:right w:val="nil"/>
            </w:tcBorders>
            <w:shd w:val="clear" w:color="auto" w:fill="D9D9D9"/>
            <w:vAlign w:val="center"/>
          </w:tcPr>
          <w:p w14:paraId="3C17F8A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1" w:type="dxa"/>
            <w:shd w:val="clear" w:color="auto" w:fill="auto"/>
            <w:noWrap/>
            <w:vAlign w:val="center"/>
          </w:tcPr>
          <w:p w14:paraId="7EABD8C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1" w:type="dxa"/>
            <w:gridSpan w:val="2"/>
            <w:shd w:val="clear" w:color="auto" w:fill="D9D9D9"/>
            <w:vAlign w:val="center"/>
          </w:tcPr>
          <w:p w14:paraId="21A7C1D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1" w:type="dxa"/>
            <w:shd w:val="clear" w:color="auto" w:fill="auto"/>
            <w:noWrap/>
            <w:vAlign w:val="center"/>
          </w:tcPr>
          <w:p w14:paraId="3BC3A7C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36.00</w:t>
            </w:r>
          </w:p>
        </w:tc>
        <w:tc>
          <w:tcPr>
            <w:tcW w:w="721" w:type="dxa"/>
            <w:gridSpan w:val="2"/>
            <w:shd w:val="clear" w:color="auto" w:fill="D9D9D9"/>
            <w:vAlign w:val="center"/>
          </w:tcPr>
          <w:p w14:paraId="5C0834E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25.00</w:t>
            </w:r>
          </w:p>
        </w:tc>
        <w:tc>
          <w:tcPr>
            <w:tcW w:w="721" w:type="dxa"/>
            <w:shd w:val="clear" w:color="auto" w:fill="auto"/>
            <w:noWrap/>
            <w:vAlign w:val="center"/>
          </w:tcPr>
          <w:p w14:paraId="41E1E0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1.79</w:t>
            </w:r>
          </w:p>
        </w:tc>
        <w:tc>
          <w:tcPr>
            <w:tcW w:w="721" w:type="dxa"/>
            <w:shd w:val="clear" w:color="auto" w:fill="D9D9D9"/>
            <w:vAlign w:val="center"/>
          </w:tcPr>
          <w:p w14:paraId="1160088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1.34</w:t>
            </w:r>
          </w:p>
        </w:tc>
        <w:tc>
          <w:tcPr>
            <w:tcW w:w="721" w:type="dxa"/>
            <w:gridSpan w:val="2"/>
            <w:shd w:val="clear" w:color="auto" w:fill="auto"/>
            <w:noWrap/>
            <w:vAlign w:val="center"/>
          </w:tcPr>
          <w:p w14:paraId="2C34529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4.03</w:t>
            </w:r>
          </w:p>
        </w:tc>
        <w:tc>
          <w:tcPr>
            <w:tcW w:w="721" w:type="dxa"/>
            <w:shd w:val="clear" w:color="auto" w:fill="D9D9D9"/>
            <w:vAlign w:val="center"/>
          </w:tcPr>
          <w:p w14:paraId="6E51A7D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1.46</w:t>
            </w:r>
          </w:p>
        </w:tc>
      </w:tr>
      <w:tr w:rsidR="00E6060C" w:rsidRPr="00E6060C" w14:paraId="43DAD69D" w14:textId="77777777" w:rsidTr="00E6060C">
        <w:trPr>
          <w:trHeight w:val="482"/>
        </w:trPr>
        <w:tc>
          <w:tcPr>
            <w:tcW w:w="1560" w:type="dxa"/>
            <w:shd w:val="clear" w:color="auto" w:fill="auto"/>
            <w:vAlign w:val="center"/>
          </w:tcPr>
          <w:p w14:paraId="140E240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720" w:type="dxa"/>
            <w:shd w:val="clear" w:color="auto" w:fill="auto"/>
            <w:noWrap/>
            <w:vAlign w:val="center"/>
          </w:tcPr>
          <w:p w14:paraId="7D89FF3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175</w:t>
            </w:r>
          </w:p>
        </w:tc>
        <w:tc>
          <w:tcPr>
            <w:tcW w:w="721" w:type="dxa"/>
            <w:gridSpan w:val="2"/>
            <w:shd w:val="clear" w:color="auto" w:fill="D9D9D9"/>
            <w:vAlign w:val="center"/>
          </w:tcPr>
          <w:p w14:paraId="3210711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78</w:t>
            </w:r>
          </w:p>
        </w:tc>
        <w:tc>
          <w:tcPr>
            <w:tcW w:w="721" w:type="dxa"/>
            <w:shd w:val="clear" w:color="auto" w:fill="auto"/>
            <w:noWrap/>
            <w:vAlign w:val="center"/>
          </w:tcPr>
          <w:p w14:paraId="3BCF5B4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2.43</w:t>
            </w:r>
          </w:p>
        </w:tc>
        <w:tc>
          <w:tcPr>
            <w:tcW w:w="721" w:type="dxa"/>
            <w:gridSpan w:val="2"/>
            <w:shd w:val="clear" w:color="auto" w:fill="D9D9D9"/>
            <w:vAlign w:val="center"/>
          </w:tcPr>
          <w:p w14:paraId="1CEE213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2.47</w:t>
            </w:r>
          </w:p>
        </w:tc>
        <w:tc>
          <w:tcPr>
            <w:tcW w:w="721" w:type="dxa"/>
            <w:shd w:val="clear" w:color="auto" w:fill="auto"/>
            <w:noWrap/>
            <w:vAlign w:val="center"/>
          </w:tcPr>
          <w:p w14:paraId="767D14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0.77</w:t>
            </w:r>
          </w:p>
        </w:tc>
        <w:tc>
          <w:tcPr>
            <w:tcW w:w="721" w:type="dxa"/>
            <w:gridSpan w:val="2"/>
            <w:shd w:val="clear" w:color="auto" w:fill="D9D9D9"/>
            <w:vAlign w:val="center"/>
          </w:tcPr>
          <w:p w14:paraId="3777CF4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0.82</w:t>
            </w:r>
          </w:p>
        </w:tc>
        <w:tc>
          <w:tcPr>
            <w:tcW w:w="721" w:type="dxa"/>
            <w:shd w:val="clear" w:color="auto" w:fill="auto"/>
            <w:noWrap/>
            <w:vAlign w:val="center"/>
          </w:tcPr>
          <w:p w14:paraId="0A56CCD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.06</w:t>
            </w:r>
          </w:p>
        </w:tc>
        <w:tc>
          <w:tcPr>
            <w:tcW w:w="721" w:type="dxa"/>
            <w:gridSpan w:val="2"/>
            <w:shd w:val="clear" w:color="auto" w:fill="D9D9D9"/>
            <w:vAlign w:val="center"/>
          </w:tcPr>
          <w:p w14:paraId="3EFD91A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0.09</w:t>
            </w:r>
          </w:p>
        </w:tc>
        <w:tc>
          <w:tcPr>
            <w:tcW w:w="721" w:type="dxa"/>
            <w:tcBorders>
              <w:top w:val="nil"/>
              <w:left w:val="nil"/>
              <w:bottom w:val="nil"/>
              <w:right w:val="nil"/>
            </w:tcBorders>
            <w:shd w:val="clear" w:color="auto" w:fill="auto"/>
            <w:vAlign w:val="center"/>
          </w:tcPr>
          <w:p w14:paraId="20CA627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1" w:type="dxa"/>
            <w:gridSpan w:val="2"/>
            <w:tcBorders>
              <w:top w:val="nil"/>
              <w:left w:val="nil"/>
              <w:bottom w:val="nil"/>
              <w:right w:val="nil"/>
            </w:tcBorders>
            <w:shd w:val="clear" w:color="auto" w:fill="D9D9D9"/>
            <w:vAlign w:val="center"/>
          </w:tcPr>
          <w:p w14:paraId="0F2FD65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1" w:type="dxa"/>
            <w:shd w:val="clear" w:color="auto" w:fill="auto"/>
            <w:noWrap/>
            <w:vAlign w:val="center"/>
          </w:tcPr>
          <w:p w14:paraId="393F2F3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4802EF6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1" w:type="dxa"/>
            <w:shd w:val="clear" w:color="auto" w:fill="auto"/>
            <w:noWrap/>
            <w:vAlign w:val="center"/>
          </w:tcPr>
          <w:p w14:paraId="33A712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4.00</w:t>
            </w:r>
          </w:p>
        </w:tc>
        <w:tc>
          <w:tcPr>
            <w:tcW w:w="721" w:type="dxa"/>
            <w:gridSpan w:val="2"/>
            <w:shd w:val="clear" w:color="auto" w:fill="D9D9D9"/>
            <w:vAlign w:val="center"/>
          </w:tcPr>
          <w:p w14:paraId="2B7E327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721" w:type="dxa"/>
            <w:shd w:val="clear" w:color="auto" w:fill="auto"/>
            <w:noWrap/>
            <w:vAlign w:val="center"/>
          </w:tcPr>
          <w:p w14:paraId="2362B0E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-0.01</w:t>
            </w:r>
          </w:p>
        </w:tc>
        <w:tc>
          <w:tcPr>
            <w:tcW w:w="721" w:type="dxa"/>
            <w:shd w:val="clear" w:color="auto" w:fill="D9D9D9"/>
            <w:vAlign w:val="center"/>
          </w:tcPr>
          <w:p w14:paraId="1C299E8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-0.36</w:t>
            </w:r>
          </w:p>
        </w:tc>
        <w:tc>
          <w:tcPr>
            <w:tcW w:w="721" w:type="dxa"/>
            <w:gridSpan w:val="2"/>
            <w:shd w:val="clear" w:color="auto" w:fill="auto"/>
            <w:noWrap/>
            <w:vAlign w:val="center"/>
          </w:tcPr>
          <w:p w14:paraId="03B3909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-0.37</w:t>
            </w:r>
          </w:p>
        </w:tc>
        <w:tc>
          <w:tcPr>
            <w:tcW w:w="721" w:type="dxa"/>
            <w:shd w:val="clear" w:color="auto" w:fill="D9D9D9"/>
            <w:vAlign w:val="center"/>
          </w:tcPr>
          <w:p w14:paraId="1ABF9C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-0.51</w:t>
            </w:r>
          </w:p>
        </w:tc>
      </w:tr>
      <w:tr w:rsidR="00E6060C" w:rsidRPr="00E6060C" w14:paraId="0FE73C82" w14:textId="77777777" w:rsidTr="00E6060C">
        <w:trPr>
          <w:trHeight w:val="482"/>
        </w:trPr>
        <w:tc>
          <w:tcPr>
            <w:tcW w:w="1560" w:type="dxa"/>
            <w:shd w:val="clear" w:color="auto" w:fill="auto"/>
            <w:vAlign w:val="center"/>
          </w:tcPr>
          <w:p w14:paraId="3D680CD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Hierarchical level</w:t>
            </w:r>
          </w:p>
        </w:tc>
        <w:tc>
          <w:tcPr>
            <w:tcW w:w="720" w:type="dxa"/>
            <w:shd w:val="clear" w:color="auto" w:fill="auto"/>
            <w:noWrap/>
            <w:vAlign w:val="center"/>
          </w:tcPr>
          <w:p w14:paraId="5BC0883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175</w:t>
            </w:r>
          </w:p>
        </w:tc>
        <w:tc>
          <w:tcPr>
            <w:tcW w:w="721" w:type="dxa"/>
            <w:gridSpan w:val="2"/>
            <w:shd w:val="clear" w:color="auto" w:fill="D9D9D9"/>
            <w:vAlign w:val="center"/>
          </w:tcPr>
          <w:p w14:paraId="04367B1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78</w:t>
            </w:r>
          </w:p>
        </w:tc>
        <w:tc>
          <w:tcPr>
            <w:tcW w:w="721" w:type="dxa"/>
            <w:shd w:val="clear" w:color="auto" w:fill="auto"/>
            <w:noWrap/>
            <w:vAlign w:val="center"/>
          </w:tcPr>
          <w:p w14:paraId="391D551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3.92</w:t>
            </w:r>
          </w:p>
        </w:tc>
        <w:tc>
          <w:tcPr>
            <w:tcW w:w="721" w:type="dxa"/>
            <w:gridSpan w:val="2"/>
            <w:shd w:val="clear" w:color="auto" w:fill="D9D9D9"/>
            <w:vAlign w:val="center"/>
          </w:tcPr>
          <w:p w14:paraId="3556E3A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3.67</w:t>
            </w:r>
          </w:p>
        </w:tc>
        <w:tc>
          <w:tcPr>
            <w:tcW w:w="721" w:type="dxa"/>
            <w:shd w:val="clear" w:color="auto" w:fill="auto"/>
            <w:noWrap/>
            <w:vAlign w:val="center"/>
          </w:tcPr>
          <w:p w14:paraId="61680DE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1.72</w:t>
            </w:r>
          </w:p>
        </w:tc>
        <w:tc>
          <w:tcPr>
            <w:tcW w:w="721" w:type="dxa"/>
            <w:gridSpan w:val="2"/>
            <w:shd w:val="clear" w:color="auto" w:fill="D9D9D9"/>
            <w:vAlign w:val="center"/>
          </w:tcPr>
          <w:p w14:paraId="6FEB26E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1.76</w:t>
            </w:r>
          </w:p>
        </w:tc>
        <w:tc>
          <w:tcPr>
            <w:tcW w:w="721" w:type="dxa"/>
            <w:shd w:val="clear" w:color="auto" w:fill="auto"/>
            <w:noWrap/>
            <w:vAlign w:val="center"/>
          </w:tcPr>
          <w:p w14:paraId="2B400B5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.13</w:t>
            </w:r>
          </w:p>
        </w:tc>
        <w:tc>
          <w:tcPr>
            <w:tcW w:w="721" w:type="dxa"/>
            <w:gridSpan w:val="2"/>
            <w:shd w:val="clear" w:color="auto" w:fill="D9D9D9"/>
            <w:vAlign w:val="center"/>
          </w:tcPr>
          <w:p w14:paraId="52FEDA1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0.20</w:t>
            </w:r>
          </w:p>
        </w:tc>
        <w:tc>
          <w:tcPr>
            <w:tcW w:w="721" w:type="dxa"/>
            <w:tcBorders>
              <w:top w:val="nil"/>
              <w:left w:val="nil"/>
              <w:bottom w:val="nil"/>
              <w:right w:val="nil"/>
            </w:tcBorders>
            <w:shd w:val="clear" w:color="auto" w:fill="auto"/>
            <w:vAlign w:val="center"/>
          </w:tcPr>
          <w:p w14:paraId="1601C95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1" w:type="dxa"/>
            <w:gridSpan w:val="2"/>
            <w:tcBorders>
              <w:top w:val="nil"/>
              <w:left w:val="nil"/>
              <w:bottom w:val="nil"/>
              <w:right w:val="nil"/>
            </w:tcBorders>
            <w:shd w:val="clear" w:color="auto" w:fill="D9D9D9"/>
            <w:vAlign w:val="center"/>
          </w:tcPr>
          <w:p w14:paraId="5D96341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1" w:type="dxa"/>
            <w:shd w:val="clear" w:color="auto" w:fill="auto"/>
            <w:noWrap/>
            <w:vAlign w:val="center"/>
          </w:tcPr>
          <w:p w14:paraId="665A6C7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35FFFDF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721" w:type="dxa"/>
            <w:shd w:val="clear" w:color="auto" w:fill="auto"/>
            <w:noWrap/>
            <w:vAlign w:val="center"/>
          </w:tcPr>
          <w:p w14:paraId="38BE429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1" w:type="dxa"/>
            <w:gridSpan w:val="2"/>
            <w:shd w:val="clear" w:color="auto" w:fill="D9D9D9"/>
            <w:vAlign w:val="center"/>
          </w:tcPr>
          <w:p w14:paraId="760EA47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1" w:type="dxa"/>
            <w:shd w:val="clear" w:color="auto" w:fill="auto"/>
            <w:noWrap/>
            <w:vAlign w:val="center"/>
          </w:tcPr>
          <w:p w14:paraId="2AC7D60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-0.04</w:t>
            </w:r>
          </w:p>
        </w:tc>
        <w:tc>
          <w:tcPr>
            <w:tcW w:w="721" w:type="dxa"/>
            <w:shd w:val="clear" w:color="auto" w:fill="D9D9D9"/>
            <w:vAlign w:val="center"/>
          </w:tcPr>
          <w:p w14:paraId="4F6B776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0.32</w:t>
            </w:r>
          </w:p>
        </w:tc>
        <w:tc>
          <w:tcPr>
            <w:tcW w:w="721" w:type="dxa"/>
            <w:gridSpan w:val="2"/>
            <w:shd w:val="clear" w:color="auto" w:fill="auto"/>
            <w:noWrap/>
            <w:vAlign w:val="center"/>
          </w:tcPr>
          <w:p w14:paraId="68CFA91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-1.55</w:t>
            </w:r>
          </w:p>
        </w:tc>
        <w:tc>
          <w:tcPr>
            <w:tcW w:w="721" w:type="dxa"/>
            <w:shd w:val="clear" w:color="auto" w:fill="D9D9D9"/>
            <w:vAlign w:val="center"/>
          </w:tcPr>
          <w:p w14:paraId="0196C3E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-1.52</w:t>
            </w:r>
          </w:p>
        </w:tc>
      </w:tr>
      <w:tr w:rsidR="00E6060C" w:rsidRPr="00E6060C" w14:paraId="0ED96731" w14:textId="77777777" w:rsidTr="00E6060C">
        <w:trPr>
          <w:trHeight w:val="482"/>
        </w:trPr>
        <w:tc>
          <w:tcPr>
            <w:tcW w:w="1560" w:type="dxa"/>
            <w:shd w:val="clear" w:color="auto" w:fill="auto"/>
            <w:vAlign w:val="center"/>
          </w:tcPr>
          <w:p w14:paraId="3508FFC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Time qualified (yrs)</w:t>
            </w:r>
          </w:p>
        </w:tc>
        <w:tc>
          <w:tcPr>
            <w:tcW w:w="720" w:type="dxa"/>
            <w:shd w:val="clear" w:color="auto" w:fill="auto"/>
            <w:noWrap/>
            <w:vAlign w:val="center"/>
          </w:tcPr>
          <w:p w14:paraId="354A1FC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93</w:t>
            </w:r>
          </w:p>
        </w:tc>
        <w:tc>
          <w:tcPr>
            <w:tcW w:w="721" w:type="dxa"/>
            <w:gridSpan w:val="2"/>
            <w:shd w:val="clear" w:color="auto" w:fill="D9D9D9"/>
            <w:vAlign w:val="center"/>
          </w:tcPr>
          <w:p w14:paraId="77B1A4E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34</w:t>
            </w:r>
          </w:p>
        </w:tc>
        <w:tc>
          <w:tcPr>
            <w:tcW w:w="721" w:type="dxa"/>
            <w:shd w:val="clear" w:color="auto" w:fill="auto"/>
            <w:noWrap/>
            <w:vAlign w:val="center"/>
          </w:tcPr>
          <w:p w14:paraId="75108D1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2.88</w:t>
            </w:r>
          </w:p>
        </w:tc>
        <w:tc>
          <w:tcPr>
            <w:tcW w:w="721" w:type="dxa"/>
            <w:gridSpan w:val="2"/>
            <w:shd w:val="clear" w:color="auto" w:fill="D9D9D9"/>
            <w:vAlign w:val="center"/>
          </w:tcPr>
          <w:p w14:paraId="1702B3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3.03</w:t>
            </w:r>
          </w:p>
        </w:tc>
        <w:tc>
          <w:tcPr>
            <w:tcW w:w="721" w:type="dxa"/>
            <w:shd w:val="clear" w:color="auto" w:fill="auto"/>
            <w:noWrap/>
            <w:vAlign w:val="center"/>
          </w:tcPr>
          <w:p w14:paraId="5DBC966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1.41</w:t>
            </w:r>
          </w:p>
        </w:tc>
        <w:tc>
          <w:tcPr>
            <w:tcW w:w="721" w:type="dxa"/>
            <w:gridSpan w:val="2"/>
            <w:shd w:val="clear" w:color="auto" w:fill="D9D9D9"/>
            <w:vAlign w:val="center"/>
          </w:tcPr>
          <w:p w14:paraId="26E4014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1.47</w:t>
            </w:r>
          </w:p>
        </w:tc>
        <w:tc>
          <w:tcPr>
            <w:tcW w:w="721" w:type="dxa"/>
            <w:shd w:val="clear" w:color="auto" w:fill="auto"/>
            <w:noWrap/>
            <w:vAlign w:val="center"/>
          </w:tcPr>
          <w:p w14:paraId="141202A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.15</w:t>
            </w:r>
          </w:p>
        </w:tc>
        <w:tc>
          <w:tcPr>
            <w:tcW w:w="721" w:type="dxa"/>
            <w:gridSpan w:val="2"/>
            <w:shd w:val="clear" w:color="auto" w:fill="D9D9D9"/>
            <w:vAlign w:val="center"/>
          </w:tcPr>
          <w:p w14:paraId="11FC457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0.25</w:t>
            </w:r>
          </w:p>
        </w:tc>
        <w:tc>
          <w:tcPr>
            <w:tcW w:w="721" w:type="dxa"/>
            <w:tcBorders>
              <w:top w:val="nil"/>
              <w:left w:val="nil"/>
              <w:bottom w:val="nil"/>
              <w:right w:val="nil"/>
            </w:tcBorders>
            <w:shd w:val="clear" w:color="auto" w:fill="auto"/>
            <w:vAlign w:val="center"/>
          </w:tcPr>
          <w:p w14:paraId="1601B1B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1" w:type="dxa"/>
            <w:gridSpan w:val="2"/>
            <w:tcBorders>
              <w:top w:val="nil"/>
              <w:left w:val="nil"/>
              <w:bottom w:val="nil"/>
              <w:right w:val="nil"/>
            </w:tcBorders>
            <w:shd w:val="clear" w:color="auto" w:fill="D9D9D9"/>
            <w:vAlign w:val="center"/>
          </w:tcPr>
          <w:p w14:paraId="5A0A5D0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1" w:type="dxa"/>
            <w:shd w:val="clear" w:color="auto" w:fill="auto"/>
            <w:noWrap/>
            <w:vAlign w:val="center"/>
          </w:tcPr>
          <w:p w14:paraId="5AA039F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4FDDE50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1" w:type="dxa"/>
            <w:shd w:val="clear" w:color="auto" w:fill="auto"/>
            <w:noWrap/>
            <w:vAlign w:val="center"/>
          </w:tcPr>
          <w:p w14:paraId="0EA7D48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1" w:type="dxa"/>
            <w:gridSpan w:val="2"/>
            <w:shd w:val="clear" w:color="auto" w:fill="D9D9D9"/>
            <w:vAlign w:val="center"/>
          </w:tcPr>
          <w:p w14:paraId="5791CFA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1" w:type="dxa"/>
            <w:shd w:val="clear" w:color="auto" w:fill="auto"/>
            <w:noWrap/>
            <w:vAlign w:val="center"/>
          </w:tcPr>
          <w:p w14:paraId="0FD74C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0.33</w:t>
            </w:r>
          </w:p>
        </w:tc>
        <w:tc>
          <w:tcPr>
            <w:tcW w:w="721" w:type="dxa"/>
            <w:shd w:val="clear" w:color="auto" w:fill="D9D9D9"/>
            <w:vAlign w:val="center"/>
          </w:tcPr>
          <w:p w14:paraId="5198CBA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0.25</w:t>
            </w:r>
          </w:p>
        </w:tc>
        <w:tc>
          <w:tcPr>
            <w:tcW w:w="721" w:type="dxa"/>
            <w:gridSpan w:val="2"/>
            <w:shd w:val="clear" w:color="auto" w:fill="auto"/>
            <w:noWrap/>
            <w:vAlign w:val="center"/>
          </w:tcPr>
          <w:p w14:paraId="6DC9668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-1.20</w:t>
            </w:r>
          </w:p>
        </w:tc>
        <w:tc>
          <w:tcPr>
            <w:tcW w:w="721" w:type="dxa"/>
            <w:shd w:val="clear" w:color="auto" w:fill="D9D9D9"/>
            <w:vAlign w:val="center"/>
          </w:tcPr>
          <w:p w14:paraId="6270722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-1.35</w:t>
            </w:r>
          </w:p>
        </w:tc>
      </w:tr>
      <w:tr w:rsidR="00E6060C" w:rsidRPr="00E6060C" w14:paraId="4DD43B10" w14:textId="77777777" w:rsidTr="00E6060C">
        <w:trPr>
          <w:trHeight w:val="482"/>
        </w:trPr>
        <w:tc>
          <w:tcPr>
            <w:tcW w:w="1560" w:type="dxa"/>
            <w:shd w:val="clear" w:color="auto" w:fill="auto"/>
            <w:vAlign w:val="center"/>
          </w:tcPr>
          <w:p w14:paraId="45588EC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Education level</w:t>
            </w:r>
          </w:p>
        </w:tc>
        <w:tc>
          <w:tcPr>
            <w:tcW w:w="720" w:type="dxa"/>
            <w:shd w:val="clear" w:color="auto" w:fill="auto"/>
            <w:noWrap/>
            <w:vAlign w:val="center"/>
          </w:tcPr>
          <w:p w14:paraId="716A492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158</w:t>
            </w:r>
          </w:p>
        </w:tc>
        <w:tc>
          <w:tcPr>
            <w:tcW w:w="721" w:type="dxa"/>
            <w:gridSpan w:val="2"/>
            <w:shd w:val="clear" w:color="auto" w:fill="D9D9D9"/>
            <w:vAlign w:val="center"/>
          </w:tcPr>
          <w:p w14:paraId="158617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68</w:t>
            </w:r>
          </w:p>
        </w:tc>
        <w:tc>
          <w:tcPr>
            <w:tcW w:w="721" w:type="dxa"/>
            <w:shd w:val="clear" w:color="auto" w:fill="auto"/>
            <w:noWrap/>
            <w:vAlign w:val="center"/>
          </w:tcPr>
          <w:p w14:paraId="544E754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4.05</w:t>
            </w:r>
          </w:p>
        </w:tc>
        <w:tc>
          <w:tcPr>
            <w:tcW w:w="721" w:type="dxa"/>
            <w:gridSpan w:val="2"/>
            <w:shd w:val="clear" w:color="auto" w:fill="D9D9D9"/>
            <w:vAlign w:val="center"/>
          </w:tcPr>
          <w:p w14:paraId="60F6895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4.07</w:t>
            </w:r>
          </w:p>
        </w:tc>
        <w:tc>
          <w:tcPr>
            <w:tcW w:w="721" w:type="dxa"/>
            <w:shd w:val="clear" w:color="auto" w:fill="auto"/>
            <w:noWrap/>
            <w:vAlign w:val="center"/>
          </w:tcPr>
          <w:p w14:paraId="6CFF0F2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1.29</w:t>
            </w:r>
          </w:p>
        </w:tc>
        <w:tc>
          <w:tcPr>
            <w:tcW w:w="721" w:type="dxa"/>
            <w:gridSpan w:val="2"/>
            <w:shd w:val="clear" w:color="auto" w:fill="D9D9D9"/>
            <w:vAlign w:val="center"/>
          </w:tcPr>
          <w:p w14:paraId="0FF4B7B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1.44</w:t>
            </w:r>
          </w:p>
        </w:tc>
        <w:tc>
          <w:tcPr>
            <w:tcW w:w="721" w:type="dxa"/>
            <w:shd w:val="clear" w:color="auto" w:fill="auto"/>
            <w:noWrap/>
            <w:vAlign w:val="center"/>
          </w:tcPr>
          <w:p w14:paraId="3A37AC1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w:t>
            </w:r>
          </w:p>
        </w:tc>
        <w:tc>
          <w:tcPr>
            <w:tcW w:w="721" w:type="dxa"/>
            <w:gridSpan w:val="2"/>
            <w:shd w:val="clear" w:color="auto" w:fill="D9D9D9"/>
            <w:vAlign w:val="center"/>
          </w:tcPr>
          <w:p w14:paraId="04D196F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0.17</w:t>
            </w:r>
          </w:p>
        </w:tc>
        <w:tc>
          <w:tcPr>
            <w:tcW w:w="721" w:type="dxa"/>
            <w:tcBorders>
              <w:top w:val="nil"/>
              <w:left w:val="nil"/>
              <w:bottom w:val="nil"/>
              <w:right w:val="nil"/>
            </w:tcBorders>
            <w:shd w:val="clear" w:color="auto" w:fill="auto"/>
            <w:vAlign w:val="center"/>
          </w:tcPr>
          <w:p w14:paraId="77996CC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1" w:type="dxa"/>
            <w:gridSpan w:val="2"/>
            <w:tcBorders>
              <w:top w:val="nil"/>
              <w:left w:val="nil"/>
              <w:bottom w:val="nil"/>
              <w:right w:val="nil"/>
            </w:tcBorders>
            <w:shd w:val="clear" w:color="auto" w:fill="D9D9D9"/>
            <w:vAlign w:val="center"/>
          </w:tcPr>
          <w:p w14:paraId="53EFE3F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1" w:type="dxa"/>
            <w:shd w:val="clear" w:color="auto" w:fill="auto"/>
            <w:noWrap/>
            <w:vAlign w:val="center"/>
          </w:tcPr>
          <w:p w14:paraId="35095F5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439C241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1" w:type="dxa"/>
            <w:shd w:val="clear" w:color="auto" w:fill="auto"/>
            <w:noWrap/>
            <w:vAlign w:val="center"/>
          </w:tcPr>
          <w:p w14:paraId="58214DC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1" w:type="dxa"/>
            <w:gridSpan w:val="2"/>
            <w:shd w:val="clear" w:color="auto" w:fill="D9D9D9"/>
            <w:vAlign w:val="center"/>
          </w:tcPr>
          <w:p w14:paraId="10B10FA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1" w:type="dxa"/>
            <w:shd w:val="clear" w:color="auto" w:fill="auto"/>
            <w:noWrap/>
            <w:vAlign w:val="center"/>
          </w:tcPr>
          <w:p w14:paraId="73B23D0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-0.44</w:t>
            </w:r>
          </w:p>
        </w:tc>
        <w:tc>
          <w:tcPr>
            <w:tcW w:w="721" w:type="dxa"/>
            <w:shd w:val="clear" w:color="auto" w:fill="D9D9D9"/>
            <w:vAlign w:val="center"/>
          </w:tcPr>
          <w:p w14:paraId="17DC1AB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-0.50</w:t>
            </w:r>
          </w:p>
        </w:tc>
        <w:tc>
          <w:tcPr>
            <w:tcW w:w="721" w:type="dxa"/>
            <w:gridSpan w:val="2"/>
            <w:shd w:val="clear" w:color="auto" w:fill="auto"/>
            <w:noWrap/>
            <w:vAlign w:val="center"/>
          </w:tcPr>
          <w:p w14:paraId="71F900E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0.34</w:t>
            </w:r>
          </w:p>
        </w:tc>
        <w:tc>
          <w:tcPr>
            <w:tcW w:w="721" w:type="dxa"/>
            <w:shd w:val="clear" w:color="auto" w:fill="D9D9D9"/>
            <w:vAlign w:val="center"/>
          </w:tcPr>
          <w:p w14:paraId="78A4300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0.23</w:t>
            </w:r>
          </w:p>
        </w:tc>
      </w:tr>
      <w:tr w:rsidR="00E6060C" w:rsidRPr="00E6060C" w14:paraId="23408C60" w14:textId="77777777" w:rsidTr="00E6060C">
        <w:trPr>
          <w:trHeight w:val="482"/>
        </w:trPr>
        <w:tc>
          <w:tcPr>
            <w:tcW w:w="1560" w:type="dxa"/>
            <w:shd w:val="clear" w:color="auto" w:fill="auto"/>
            <w:vAlign w:val="center"/>
          </w:tcPr>
          <w:p w14:paraId="61EAB4A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Manager</w:t>
            </w:r>
          </w:p>
        </w:tc>
        <w:tc>
          <w:tcPr>
            <w:tcW w:w="720" w:type="dxa"/>
            <w:shd w:val="clear" w:color="auto" w:fill="auto"/>
            <w:noWrap/>
            <w:vAlign w:val="center"/>
          </w:tcPr>
          <w:p w14:paraId="042103F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160</w:t>
            </w:r>
          </w:p>
        </w:tc>
        <w:tc>
          <w:tcPr>
            <w:tcW w:w="721" w:type="dxa"/>
            <w:gridSpan w:val="2"/>
            <w:shd w:val="clear" w:color="auto" w:fill="D9D9D9"/>
            <w:vAlign w:val="center"/>
          </w:tcPr>
          <w:p w14:paraId="01A3104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72</w:t>
            </w:r>
          </w:p>
        </w:tc>
        <w:tc>
          <w:tcPr>
            <w:tcW w:w="721" w:type="dxa"/>
            <w:shd w:val="clear" w:color="auto" w:fill="auto"/>
            <w:noWrap/>
            <w:vAlign w:val="center"/>
          </w:tcPr>
          <w:p w14:paraId="67B32D1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0.41</w:t>
            </w:r>
          </w:p>
        </w:tc>
        <w:tc>
          <w:tcPr>
            <w:tcW w:w="721" w:type="dxa"/>
            <w:gridSpan w:val="2"/>
            <w:shd w:val="clear" w:color="auto" w:fill="D9D9D9"/>
            <w:vAlign w:val="center"/>
          </w:tcPr>
          <w:p w14:paraId="5FD5638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0.46</w:t>
            </w:r>
          </w:p>
        </w:tc>
        <w:tc>
          <w:tcPr>
            <w:tcW w:w="721" w:type="dxa"/>
            <w:shd w:val="clear" w:color="auto" w:fill="auto"/>
            <w:noWrap/>
            <w:vAlign w:val="center"/>
          </w:tcPr>
          <w:p w14:paraId="18593D9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0.49</w:t>
            </w:r>
          </w:p>
        </w:tc>
        <w:tc>
          <w:tcPr>
            <w:tcW w:w="721" w:type="dxa"/>
            <w:gridSpan w:val="2"/>
            <w:shd w:val="clear" w:color="auto" w:fill="D9D9D9"/>
            <w:vAlign w:val="center"/>
          </w:tcPr>
          <w:p w14:paraId="329C9F2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0.50</w:t>
            </w:r>
          </w:p>
        </w:tc>
        <w:tc>
          <w:tcPr>
            <w:tcW w:w="721" w:type="dxa"/>
            <w:shd w:val="clear" w:color="auto" w:fill="auto"/>
            <w:noWrap/>
            <w:vAlign w:val="center"/>
          </w:tcPr>
          <w:p w14:paraId="3D915D3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.04</w:t>
            </w:r>
          </w:p>
        </w:tc>
        <w:tc>
          <w:tcPr>
            <w:tcW w:w="721" w:type="dxa"/>
            <w:gridSpan w:val="2"/>
            <w:shd w:val="clear" w:color="auto" w:fill="D9D9D9"/>
            <w:vAlign w:val="center"/>
          </w:tcPr>
          <w:p w14:paraId="0CB2424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0.06</w:t>
            </w:r>
          </w:p>
        </w:tc>
        <w:tc>
          <w:tcPr>
            <w:tcW w:w="721" w:type="dxa"/>
            <w:tcBorders>
              <w:top w:val="nil"/>
              <w:left w:val="nil"/>
              <w:bottom w:val="nil"/>
              <w:right w:val="nil"/>
            </w:tcBorders>
            <w:shd w:val="clear" w:color="auto" w:fill="auto"/>
            <w:vAlign w:val="center"/>
          </w:tcPr>
          <w:p w14:paraId="2DA661B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1" w:type="dxa"/>
            <w:gridSpan w:val="2"/>
            <w:tcBorders>
              <w:top w:val="nil"/>
              <w:left w:val="nil"/>
              <w:bottom w:val="nil"/>
              <w:right w:val="nil"/>
            </w:tcBorders>
            <w:shd w:val="clear" w:color="auto" w:fill="D9D9D9"/>
            <w:vAlign w:val="center"/>
          </w:tcPr>
          <w:p w14:paraId="62FF3F8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1" w:type="dxa"/>
            <w:shd w:val="clear" w:color="auto" w:fill="auto"/>
            <w:noWrap/>
            <w:vAlign w:val="center"/>
          </w:tcPr>
          <w:p w14:paraId="7534477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1" w:type="dxa"/>
            <w:gridSpan w:val="2"/>
            <w:shd w:val="clear" w:color="auto" w:fill="D9D9D9"/>
            <w:vAlign w:val="center"/>
          </w:tcPr>
          <w:p w14:paraId="71A7DB3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1" w:type="dxa"/>
            <w:shd w:val="clear" w:color="auto" w:fill="auto"/>
            <w:noWrap/>
            <w:vAlign w:val="center"/>
          </w:tcPr>
          <w:p w14:paraId="4F9154B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156B25C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1" w:type="dxa"/>
            <w:shd w:val="clear" w:color="auto" w:fill="auto"/>
            <w:noWrap/>
            <w:vAlign w:val="center"/>
          </w:tcPr>
          <w:p w14:paraId="4A95197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0.39</w:t>
            </w:r>
          </w:p>
        </w:tc>
        <w:tc>
          <w:tcPr>
            <w:tcW w:w="721" w:type="dxa"/>
            <w:shd w:val="clear" w:color="auto" w:fill="D9D9D9"/>
            <w:vAlign w:val="center"/>
          </w:tcPr>
          <w:p w14:paraId="54FE995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0.17</w:t>
            </w:r>
          </w:p>
        </w:tc>
        <w:tc>
          <w:tcPr>
            <w:tcW w:w="721" w:type="dxa"/>
            <w:gridSpan w:val="2"/>
            <w:shd w:val="clear" w:color="auto" w:fill="auto"/>
            <w:noWrap/>
            <w:vAlign w:val="center"/>
          </w:tcPr>
          <w:p w14:paraId="464E41E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-1.88</w:t>
            </w:r>
          </w:p>
        </w:tc>
        <w:tc>
          <w:tcPr>
            <w:tcW w:w="721" w:type="dxa"/>
            <w:shd w:val="clear" w:color="auto" w:fill="D9D9D9"/>
            <w:vAlign w:val="center"/>
          </w:tcPr>
          <w:p w14:paraId="4344035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-2.03</w:t>
            </w:r>
          </w:p>
        </w:tc>
      </w:tr>
      <w:tr w:rsidR="00E6060C" w:rsidRPr="00E6060C" w14:paraId="5A02908D" w14:textId="77777777" w:rsidTr="00E6060C">
        <w:trPr>
          <w:trHeight w:val="482"/>
        </w:trPr>
        <w:tc>
          <w:tcPr>
            <w:tcW w:w="1560" w:type="dxa"/>
            <w:shd w:val="clear" w:color="auto" w:fill="auto"/>
            <w:vAlign w:val="center"/>
          </w:tcPr>
          <w:p w14:paraId="7E56171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FT/PT</w:t>
            </w:r>
          </w:p>
        </w:tc>
        <w:tc>
          <w:tcPr>
            <w:tcW w:w="720" w:type="dxa"/>
            <w:shd w:val="clear" w:color="auto" w:fill="auto"/>
            <w:noWrap/>
            <w:vAlign w:val="center"/>
          </w:tcPr>
          <w:p w14:paraId="47BFB8F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174</w:t>
            </w:r>
          </w:p>
        </w:tc>
        <w:tc>
          <w:tcPr>
            <w:tcW w:w="721" w:type="dxa"/>
            <w:gridSpan w:val="2"/>
            <w:shd w:val="clear" w:color="auto" w:fill="D9D9D9"/>
            <w:vAlign w:val="center"/>
          </w:tcPr>
          <w:p w14:paraId="2128F5F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76</w:t>
            </w:r>
          </w:p>
        </w:tc>
        <w:tc>
          <w:tcPr>
            <w:tcW w:w="721" w:type="dxa"/>
            <w:shd w:val="clear" w:color="auto" w:fill="auto"/>
            <w:noWrap/>
            <w:vAlign w:val="center"/>
          </w:tcPr>
          <w:p w14:paraId="3B70CA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0.74</w:t>
            </w:r>
          </w:p>
        </w:tc>
        <w:tc>
          <w:tcPr>
            <w:tcW w:w="721" w:type="dxa"/>
            <w:gridSpan w:val="2"/>
            <w:shd w:val="clear" w:color="auto" w:fill="D9D9D9"/>
            <w:vAlign w:val="center"/>
          </w:tcPr>
          <w:p w14:paraId="711D9AF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0.70</w:t>
            </w:r>
          </w:p>
        </w:tc>
        <w:tc>
          <w:tcPr>
            <w:tcW w:w="721" w:type="dxa"/>
            <w:shd w:val="clear" w:color="auto" w:fill="auto"/>
            <w:noWrap/>
            <w:vAlign w:val="center"/>
          </w:tcPr>
          <w:p w14:paraId="17CF7A7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0.44</w:t>
            </w:r>
          </w:p>
        </w:tc>
        <w:tc>
          <w:tcPr>
            <w:tcW w:w="721" w:type="dxa"/>
            <w:gridSpan w:val="2"/>
            <w:shd w:val="clear" w:color="auto" w:fill="D9D9D9"/>
            <w:vAlign w:val="center"/>
          </w:tcPr>
          <w:p w14:paraId="0D9A9EB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0.46</w:t>
            </w:r>
          </w:p>
        </w:tc>
        <w:tc>
          <w:tcPr>
            <w:tcW w:w="721" w:type="dxa"/>
            <w:shd w:val="clear" w:color="auto" w:fill="auto"/>
            <w:noWrap/>
            <w:vAlign w:val="center"/>
          </w:tcPr>
          <w:p w14:paraId="7FC7D11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.03</w:t>
            </w:r>
          </w:p>
        </w:tc>
        <w:tc>
          <w:tcPr>
            <w:tcW w:w="721" w:type="dxa"/>
            <w:gridSpan w:val="2"/>
            <w:shd w:val="clear" w:color="auto" w:fill="D9D9D9"/>
            <w:vAlign w:val="center"/>
          </w:tcPr>
          <w:p w14:paraId="2FADF7F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0.05</w:t>
            </w:r>
          </w:p>
        </w:tc>
        <w:tc>
          <w:tcPr>
            <w:tcW w:w="721" w:type="dxa"/>
            <w:tcBorders>
              <w:top w:val="nil"/>
              <w:left w:val="nil"/>
              <w:bottom w:val="single" w:sz="4" w:space="0" w:color="auto"/>
              <w:right w:val="nil"/>
            </w:tcBorders>
            <w:shd w:val="clear" w:color="auto" w:fill="auto"/>
            <w:vAlign w:val="center"/>
          </w:tcPr>
          <w:p w14:paraId="400E7BA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1" w:type="dxa"/>
            <w:gridSpan w:val="2"/>
            <w:tcBorders>
              <w:top w:val="nil"/>
              <w:left w:val="nil"/>
              <w:bottom w:val="single" w:sz="4" w:space="0" w:color="auto"/>
              <w:right w:val="nil"/>
            </w:tcBorders>
            <w:shd w:val="clear" w:color="auto" w:fill="D9D9D9"/>
            <w:vAlign w:val="center"/>
          </w:tcPr>
          <w:p w14:paraId="06AA5CA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1" w:type="dxa"/>
            <w:shd w:val="clear" w:color="auto" w:fill="auto"/>
            <w:noWrap/>
            <w:vAlign w:val="center"/>
          </w:tcPr>
          <w:p w14:paraId="50B077B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1" w:type="dxa"/>
            <w:gridSpan w:val="2"/>
            <w:shd w:val="clear" w:color="auto" w:fill="D9D9D9"/>
            <w:vAlign w:val="center"/>
          </w:tcPr>
          <w:p w14:paraId="1CED583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1" w:type="dxa"/>
            <w:shd w:val="clear" w:color="auto" w:fill="auto"/>
            <w:noWrap/>
            <w:vAlign w:val="center"/>
          </w:tcPr>
          <w:p w14:paraId="585CDF7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1" w:type="dxa"/>
            <w:gridSpan w:val="2"/>
            <w:shd w:val="clear" w:color="auto" w:fill="D9D9D9"/>
            <w:vAlign w:val="center"/>
          </w:tcPr>
          <w:p w14:paraId="7DF58A4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1" w:type="dxa"/>
            <w:shd w:val="clear" w:color="auto" w:fill="auto"/>
            <w:noWrap/>
            <w:vAlign w:val="center"/>
          </w:tcPr>
          <w:p w14:paraId="4FC6D2E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-1.08</w:t>
            </w:r>
          </w:p>
        </w:tc>
        <w:tc>
          <w:tcPr>
            <w:tcW w:w="721" w:type="dxa"/>
            <w:shd w:val="clear" w:color="auto" w:fill="D9D9D9"/>
            <w:vAlign w:val="center"/>
          </w:tcPr>
          <w:p w14:paraId="1995032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-0.88</w:t>
            </w:r>
          </w:p>
        </w:tc>
        <w:tc>
          <w:tcPr>
            <w:tcW w:w="721" w:type="dxa"/>
            <w:gridSpan w:val="2"/>
            <w:shd w:val="clear" w:color="auto" w:fill="auto"/>
            <w:noWrap/>
            <w:vAlign w:val="center"/>
          </w:tcPr>
          <w:p w14:paraId="04A64A2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-0.85</w:t>
            </w:r>
          </w:p>
        </w:tc>
        <w:tc>
          <w:tcPr>
            <w:tcW w:w="721" w:type="dxa"/>
            <w:shd w:val="clear" w:color="auto" w:fill="D9D9D9"/>
            <w:vAlign w:val="center"/>
          </w:tcPr>
          <w:p w14:paraId="7A779E5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-1.27</w:t>
            </w:r>
          </w:p>
        </w:tc>
      </w:tr>
    </w:tbl>
    <w:p w14:paraId="2F70515B" w14:textId="74EC8CF4" w:rsidR="00E6060C" w:rsidRPr="00E6060C" w:rsidRDefault="00E6060C" w:rsidP="00E6060C">
      <w:pPr>
        <w:spacing w:after="200" w:line="276" w:lineRule="auto"/>
        <w:rPr>
          <w:rFonts w:ascii="Calibri" w:eastAsia="Calibri" w:hAnsi="Calibri" w:cs="Times New Roman"/>
        </w:rPr>
      </w:pPr>
      <w:r w:rsidRPr="00E6060C">
        <w:rPr>
          <w:rFonts w:ascii="Calibri" w:eastAsia="Calibri" w:hAnsi="Calibri" w:cs="Times New Roman"/>
        </w:rPr>
        <w:t xml:space="preserve">Notes; N=number of respondents; </w:t>
      </w:r>
      <w:r w:rsidRPr="00E6060C">
        <w:rPr>
          <w:rFonts w:ascii="Calibri" w:eastAsia="Calibri" w:hAnsi="Calibri" w:cs="Times New Roman"/>
          <w:i/>
        </w:rPr>
        <w:t>SD</w:t>
      </w:r>
      <w:r w:rsidRPr="00E6060C">
        <w:rPr>
          <w:rFonts w:ascii="Calibri" w:eastAsia="Calibri" w:hAnsi="Calibri" w:cs="Times New Roman"/>
        </w:rPr>
        <w:t xml:space="preserve">=standard deviation of the mean; </w:t>
      </w:r>
      <w:r w:rsidRPr="00E6060C">
        <w:rPr>
          <w:rFonts w:ascii="Calibri" w:eastAsia="Calibri" w:hAnsi="Calibri" w:cs="Times New Roman"/>
          <w:i/>
        </w:rPr>
        <w:t>SE</w:t>
      </w:r>
      <w:r w:rsidRPr="00E6060C">
        <w:rPr>
          <w:rFonts w:ascii="Calibri" w:eastAsia="Calibri" w:hAnsi="Calibri" w:cs="Times New Roman"/>
        </w:rPr>
        <w:t>=standard error of the mean; Min=Minimum value; Max=Maximum value; Time qualified=length of time qualified as a nurse; Manager=whether or not the respondents managed employees</w:t>
      </w:r>
      <w:r w:rsidR="00BC34D0">
        <w:rPr>
          <w:rFonts w:ascii="Calibri" w:eastAsia="Calibri" w:hAnsi="Calibri" w:cs="Times New Roman"/>
        </w:rPr>
        <w:t>; FT/PT=full tim</w:t>
      </w:r>
      <w:r w:rsidR="00030B4D">
        <w:rPr>
          <w:rFonts w:ascii="Calibri" w:eastAsia="Calibri" w:hAnsi="Calibri" w:cs="Times New Roman"/>
        </w:rPr>
        <w:t>e/</w:t>
      </w:r>
      <w:r w:rsidR="00BC34D0">
        <w:rPr>
          <w:rFonts w:ascii="Calibri" w:eastAsia="Calibri" w:hAnsi="Calibri" w:cs="Times New Roman"/>
        </w:rPr>
        <w:t>part time</w:t>
      </w:r>
    </w:p>
    <w:p w14:paraId="4D502A76" w14:textId="77777777" w:rsidR="002A32D0" w:rsidRDefault="002A32D0" w:rsidP="005852AD">
      <w:pPr>
        <w:pStyle w:val="Figurestyle"/>
      </w:pPr>
      <w:bookmarkStart w:id="396" w:name="_Ref453580753"/>
    </w:p>
    <w:p w14:paraId="05E95B9B" w14:textId="77777777" w:rsidR="002A32D0" w:rsidRDefault="002A32D0" w:rsidP="005852AD">
      <w:pPr>
        <w:pStyle w:val="Figurestyle"/>
      </w:pPr>
    </w:p>
    <w:p w14:paraId="7764F9B0" w14:textId="77777777" w:rsidR="002A32D0" w:rsidRDefault="002A32D0" w:rsidP="005852AD">
      <w:pPr>
        <w:pStyle w:val="Figurestyle"/>
      </w:pPr>
    </w:p>
    <w:p w14:paraId="65C06524" w14:textId="1A159DD3" w:rsidR="0035035C" w:rsidRDefault="0035035C" w:rsidP="005852AD">
      <w:pPr>
        <w:pStyle w:val="Figurestyle"/>
      </w:pPr>
      <w:bookmarkStart w:id="397" w:name="_Ref458090198"/>
      <w:bookmarkStart w:id="398" w:name="_Toc468286076"/>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w:t>
      </w:r>
      <w:r w:rsidR="00245D68">
        <w:rPr>
          <w:noProof/>
        </w:rPr>
        <w:fldChar w:fldCharType="end"/>
      </w:r>
      <w:bookmarkEnd w:id="396"/>
      <w:bookmarkEnd w:id="397"/>
      <w:r>
        <w:t xml:space="preserve"> </w:t>
      </w:r>
      <w:r w:rsidRPr="00F36BDC">
        <w:t>Descriptive statistics of the demographics for those in the control and intervention groups who responded to the questionnaire at Time 1 (N=179)</w:t>
      </w:r>
      <w:bookmarkEnd w:id="398"/>
    </w:p>
    <w:p w14:paraId="567DBAAE" w14:textId="77777777" w:rsidR="0035035C" w:rsidRDefault="0035035C" w:rsidP="005852AD">
      <w:pPr>
        <w:pStyle w:val="Figurestyle"/>
      </w:pPr>
    </w:p>
    <w:tbl>
      <w:tblPr>
        <w:tblW w:w="14605" w:type="dxa"/>
        <w:tblBorders>
          <w:top w:val="single" w:sz="4" w:space="0" w:color="auto"/>
          <w:bottom w:val="single" w:sz="4" w:space="0" w:color="auto"/>
        </w:tblBorders>
        <w:tblLayout w:type="fixed"/>
        <w:tblLook w:val="04A0" w:firstRow="1" w:lastRow="0" w:firstColumn="1" w:lastColumn="0" w:noHBand="0" w:noVBand="1"/>
      </w:tblPr>
      <w:tblGrid>
        <w:gridCol w:w="1558"/>
        <w:gridCol w:w="723"/>
        <w:gridCol w:w="409"/>
        <w:gridCol w:w="314"/>
        <w:gridCol w:w="725"/>
        <w:gridCol w:w="454"/>
        <w:gridCol w:w="270"/>
        <w:gridCol w:w="725"/>
        <w:gridCol w:w="441"/>
        <w:gridCol w:w="284"/>
        <w:gridCol w:w="725"/>
        <w:gridCol w:w="331"/>
        <w:gridCol w:w="393"/>
        <w:gridCol w:w="725"/>
        <w:gridCol w:w="491"/>
        <w:gridCol w:w="234"/>
        <w:gridCol w:w="724"/>
        <w:gridCol w:w="627"/>
        <w:gridCol w:w="98"/>
        <w:gridCol w:w="725"/>
        <w:gridCol w:w="725"/>
        <w:gridCol w:w="724"/>
        <w:gridCol w:w="725"/>
        <w:gridCol w:w="19"/>
        <w:gridCol w:w="706"/>
        <w:gridCol w:w="730"/>
      </w:tblGrid>
      <w:tr w:rsidR="00E6060C" w:rsidRPr="00E6060C" w14:paraId="6227322D" w14:textId="77777777" w:rsidTr="0035035C">
        <w:trPr>
          <w:trHeight w:val="286"/>
        </w:trPr>
        <w:tc>
          <w:tcPr>
            <w:tcW w:w="1558" w:type="dxa"/>
            <w:vMerge w:val="restart"/>
            <w:tcBorders>
              <w:top w:val="single" w:sz="4" w:space="0" w:color="auto"/>
              <w:bottom w:val="single" w:sz="4" w:space="0" w:color="auto"/>
            </w:tcBorders>
            <w:shd w:val="clear" w:color="auto" w:fill="auto"/>
            <w:hideMark/>
          </w:tcPr>
          <w:p w14:paraId="599DD01B"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132" w:type="dxa"/>
            <w:gridSpan w:val="2"/>
            <w:tcBorders>
              <w:top w:val="single" w:sz="4" w:space="0" w:color="auto"/>
              <w:bottom w:val="single" w:sz="4" w:space="0" w:color="auto"/>
            </w:tcBorders>
            <w:shd w:val="clear" w:color="auto" w:fill="auto"/>
            <w:vAlign w:val="center"/>
            <w:hideMark/>
          </w:tcPr>
          <w:p w14:paraId="164581B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493" w:type="dxa"/>
            <w:gridSpan w:val="3"/>
            <w:tcBorders>
              <w:top w:val="single" w:sz="4" w:space="0" w:color="auto"/>
              <w:bottom w:val="single" w:sz="4" w:space="0" w:color="auto"/>
            </w:tcBorders>
            <w:shd w:val="clear" w:color="auto" w:fill="auto"/>
            <w:vAlign w:val="center"/>
            <w:hideMark/>
          </w:tcPr>
          <w:p w14:paraId="038DFE29" w14:textId="77777777" w:rsidR="00E6060C" w:rsidRPr="00E6060C" w:rsidRDefault="00E6060C" w:rsidP="00E6060C">
            <w:pPr>
              <w:spacing w:line="240" w:lineRule="auto"/>
              <w:jc w:val="center"/>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Mean</w:t>
            </w:r>
          </w:p>
        </w:tc>
        <w:tc>
          <w:tcPr>
            <w:tcW w:w="1436" w:type="dxa"/>
            <w:gridSpan w:val="3"/>
            <w:tcBorders>
              <w:top w:val="single" w:sz="4" w:space="0" w:color="auto"/>
              <w:bottom w:val="single" w:sz="4" w:space="0" w:color="auto"/>
            </w:tcBorders>
            <w:shd w:val="clear" w:color="auto" w:fill="auto"/>
            <w:vAlign w:val="center"/>
            <w:hideMark/>
          </w:tcPr>
          <w:p w14:paraId="795C129A"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3"/>
            <w:tcBorders>
              <w:top w:val="single" w:sz="4" w:space="0" w:color="auto"/>
              <w:bottom w:val="single" w:sz="4" w:space="0" w:color="auto"/>
            </w:tcBorders>
            <w:shd w:val="clear" w:color="auto" w:fill="auto"/>
            <w:vAlign w:val="center"/>
            <w:hideMark/>
          </w:tcPr>
          <w:p w14:paraId="5C42A87C"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609" w:type="dxa"/>
            <w:gridSpan w:val="3"/>
            <w:tcBorders>
              <w:top w:val="single" w:sz="4" w:space="0" w:color="auto"/>
              <w:bottom w:val="single" w:sz="4" w:space="0" w:color="auto"/>
            </w:tcBorders>
          </w:tcPr>
          <w:p w14:paraId="044697B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1585" w:type="dxa"/>
            <w:gridSpan w:val="3"/>
            <w:tcBorders>
              <w:top w:val="single" w:sz="4" w:space="0" w:color="auto"/>
              <w:bottom w:val="single" w:sz="4" w:space="0" w:color="auto"/>
            </w:tcBorders>
            <w:shd w:val="clear" w:color="auto" w:fill="auto"/>
            <w:vAlign w:val="center"/>
            <w:hideMark/>
          </w:tcPr>
          <w:p w14:paraId="2336BB7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48" w:type="dxa"/>
            <w:gridSpan w:val="3"/>
            <w:tcBorders>
              <w:top w:val="single" w:sz="4" w:space="0" w:color="auto"/>
              <w:bottom w:val="single" w:sz="4" w:space="0" w:color="auto"/>
            </w:tcBorders>
            <w:shd w:val="clear" w:color="auto" w:fill="auto"/>
            <w:vAlign w:val="center"/>
            <w:hideMark/>
          </w:tcPr>
          <w:p w14:paraId="05C3A83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8" w:type="dxa"/>
            <w:gridSpan w:val="3"/>
            <w:tcBorders>
              <w:top w:val="single" w:sz="4" w:space="0" w:color="auto"/>
              <w:bottom w:val="single" w:sz="4" w:space="0" w:color="auto"/>
            </w:tcBorders>
            <w:shd w:val="clear" w:color="auto" w:fill="auto"/>
            <w:vAlign w:val="center"/>
            <w:hideMark/>
          </w:tcPr>
          <w:p w14:paraId="3E191ED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436" w:type="dxa"/>
            <w:gridSpan w:val="2"/>
            <w:tcBorders>
              <w:top w:val="single" w:sz="4" w:space="0" w:color="auto"/>
              <w:bottom w:val="single" w:sz="4" w:space="0" w:color="auto"/>
            </w:tcBorders>
            <w:shd w:val="clear" w:color="auto" w:fill="auto"/>
            <w:vAlign w:val="center"/>
            <w:hideMark/>
          </w:tcPr>
          <w:p w14:paraId="64C12EA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4F380999" w14:textId="77777777" w:rsidTr="0035035C">
        <w:trPr>
          <w:trHeight w:val="286"/>
        </w:trPr>
        <w:tc>
          <w:tcPr>
            <w:tcW w:w="1558" w:type="dxa"/>
            <w:vMerge/>
            <w:tcBorders>
              <w:top w:val="single" w:sz="4" w:space="0" w:color="auto"/>
              <w:bottom w:val="single" w:sz="4" w:space="0" w:color="auto"/>
            </w:tcBorders>
            <w:shd w:val="clear" w:color="auto" w:fill="auto"/>
            <w:vAlign w:val="center"/>
            <w:hideMark/>
          </w:tcPr>
          <w:p w14:paraId="14BCD81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723" w:type="dxa"/>
            <w:tcBorders>
              <w:top w:val="single" w:sz="4" w:space="0" w:color="auto"/>
              <w:bottom w:val="single" w:sz="4" w:space="0" w:color="auto"/>
            </w:tcBorders>
            <w:shd w:val="clear" w:color="auto" w:fill="auto"/>
            <w:vAlign w:val="center"/>
            <w:hideMark/>
          </w:tcPr>
          <w:p w14:paraId="2BB9D75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3" w:type="dxa"/>
            <w:gridSpan w:val="2"/>
            <w:tcBorders>
              <w:top w:val="single" w:sz="4" w:space="0" w:color="auto"/>
              <w:bottom w:val="single" w:sz="4" w:space="0" w:color="auto"/>
            </w:tcBorders>
            <w:shd w:val="clear" w:color="auto" w:fill="D9D9D9"/>
            <w:vAlign w:val="center"/>
          </w:tcPr>
          <w:p w14:paraId="13873CA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462E01B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6E05CFA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6FFB4C1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16A42C3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333FE8B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35CF353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vAlign w:val="center"/>
          </w:tcPr>
          <w:p w14:paraId="6939EB3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6E02054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5E90921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6B4233F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65D10F0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203A80A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7F66128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09E0D38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gridSpan w:val="2"/>
            <w:tcBorders>
              <w:top w:val="single" w:sz="4" w:space="0" w:color="auto"/>
              <w:bottom w:val="single" w:sz="4" w:space="0" w:color="auto"/>
            </w:tcBorders>
            <w:shd w:val="clear" w:color="auto" w:fill="auto"/>
            <w:vAlign w:val="center"/>
            <w:hideMark/>
          </w:tcPr>
          <w:p w14:paraId="111FB4D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30" w:type="dxa"/>
            <w:tcBorders>
              <w:top w:val="single" w:sz="4" w:space="0" w:color="auto"/>
              <w:bottom w:val="single" w:sz="4" w:space="0" w:color="auto"/>
            </w:tcBorders>
            <w:shd w:val="clear" w:color="auto" w:fill="D9D9D9"/>
            <w:vAlign w:val="center"/>
          </w:tcPr>
          <w:p w14:paraId="08696AE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r>
      <w:tr w:rsidR="00E6060C" w:rsidRPr="00E6060C" w14:paraId="12E43FF0" w14:textId="77777777" w:rsidTr="0035035C">
        <w:trPr>
          <w:trHeight w:val="327"/>
        </w:trPr>
        <w:tc>
          <w:tcPr>
            <w:tcW w:w="1558" w:type="dxa"/>
            <w:tcBorders>
              <w:top w:val="single" w:sz="4" w:space="0" w:color="auto"/>
            </w:tcBorders>
            <w:shd w:val="clear" w:color="auto" w:fill="auto"/>
            <w:vAlign w:val="center"/>
          </w:tcPr>
          <w:p w14:paraId="33D503F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Gender</w:t>
            </w:r>
          </w:p>
        </w:tc>
        <w:tc>
          <w:tcPr>
            <w:tcW w:w="723" w:type="dxa"/>
            <w:tcBorders>
              <w:top w:val="single" w:sz="4" w:space="0" w:color="auto"/>
            </w:tcBorders>
            <w:shd w:val="clear" w:color="auto" w:fill="auto"/>
            <w:noWrap/>
            <w:vAlign w:val="center"/>
          </w:tcPr>
          <w:p w14:paraId="0E058B8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63</w:t>
            </w:r>
          </w:p>
        </w:tc>
        <w:tc>
          <w:tcPr>
            <w:tcW w:w="723" w:type="dxa"/>
            <w:gridSpan w:val="2"/>
            <w:tcBorders>
              <w:top w:val="single" w:sz="4" w:space="0" w:color="auto"/>
            </w:tcBorders>
            <w:shd w:val="clear" w:color="auto" w:fill="D9D9D9"/>
            <w:vAlign w:val="center"/>
          </w:tcPr>
          <w:p w14:paraId="05C64C0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113</w:t>
            </w:r>
          </w:p>
        </w:tc>
        <w:tc>
          <w:tcPr>
            <w:tcW w:w="725" w:type="dxa"/>
            <w:tcBorders>
              <w:top w:val="single" w:sz="4" w:space="0" w:color="auto"/>
            </w:tcBorders>
            <w:shd w:val="clear" w:color="auto" w:fill="auto"/>
            <w:noWrap/>
            <w:vAlign w:val="center"/>
          </w:tcPr>
          <w:p w14:paraId="235F72C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0.11</w:t>
            </w:r>
          </w:p>
        </w:tc>
        <w:tc>
          <w:tcPr>
            <w:tcW w:w="724" w:type="dxa"/>
            <w:gridSpan w:val="2"/>
            <w:tcBorders>
              <w:top w:val="single" w:sz="4" w:space="0" w:color="auto"/>
              <w:bottom w:val="nil"/>
            </w:tcBorders>
            <w:shd w:val="clear" w:color="auto" w:fill="D9D9D9"/>
            <w:vAlign w:val="center"/>
          </w:tcPr>
          <w:p w14:paraId="1FC3D62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0.10</w:t>
            </w:r>
          </w:p>
        </w:tc>
        <w:tc>
          <w:tcPr>
            <w:tcW w:w="725" w:type="dxa"/>
            <w:tcBorders>
              <w:top w:val="single" w:sz="4" w:space="0" w:color="auto"/>
            </w:tcBorders>
            <w:shd w:val="clear" w:color="auto" w:fill="auto"/>
            <w:noWrap/>
            <w:vAlign w:val="center"/>
          </w:tcPr>
          <w:p w14:paraId="36FC3C9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0.32</w:t>
            </w:r>
          </w:p>
        </w:tc>
        <w:tc>
          <w:tcPr>
            <w:tcW w:w="725" w:type="dxa"/>
            <w:gridSpan w:val="2"/>
            <w:tcBorders>
              <w:top w:val="single" w:sz="4" w:space="0" w:color="auto"/>
              <w:bottom w:val="nil"/>
            </w:tcBorders>
            <w:shd w:val="clear" w:color="auto" w:fill="D9D9D9"/>
            <w:vAlign w:val="center"/>
          </w:tcPr>
          <w:p w14:paraId="05AC2D5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0.30</w:t>
            </w:r>
          </w:p>
        </w:tc>
        <w:tc>
          <w:tcPr>
            <w:tcW w:w="725" w:type="dxa"/>
            <w:tcBorders>
              <w:top w:val="single" w:sz="4" w:space="0" w:color="auto"/>
            </w:tcBorders>
            <w:shd w:val="clear" w:color="auto" w:fill="auto"/>
            <w:noWrap/>
            <w:vAlign w:val="center"/>
          </w:tcPr>
          <w:p w14:paraId="395431F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0.04</w:t>
            </w:r>
          </w:p>
        </w:tc>
        <w:tc>
          <w:tcPr>
            <w:tcW w:w="724" w:type="dxa"/>
            <w:gridSpan w:val="2"/>
            <w:tcBorders>
              <w:top w:val="single" w:sz="4" w:space="0" w:color="auto"/>
              <w:bottom w:val="nil"/>
            </w:tcBorders>
            <w:shd w:val="clear" w:color="auto" w:fill="D9D9D9"/>
            <w:vAlign w:val="center"/>
          </w:tcPr>
          <w:p w14:paraId="6E0D453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0.03</w:t>
            </w:r>
          </w:p>
        </w:tc>
        <w:tc>
          <w:tcPr>
            <w:tcW w:w="725" w:type="dxa"/>
            <w:tcBorders>
              <w:top w:val="single" w:sz="4" w:space="0" w:color="auto"/>
            </w:tcBorders>
            <w:shd w:val="clear" w:color="auto" w:fill="auto"/>
            <w:vAlign w:val="center"/>
          </w:tcPr>
          <w:p w14:paraId="0E2443B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gridSpan w:val="2"/>
            <w:tcBorders>
              <w:top w:val="single" w:sz="4" w:space="0" w:color="auto"/>
              <w:bottom w:val="nil"/>
            </w:tcBorders>
            <w:shd w:val="clear" w:color="auto" w:fill="D9D9D9"/>
            <w:vAlign w:val="center"/>
          </w:tcPr>
          <w:p w14:paraId="20459D8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4" w:type="dxa"/>
            <w:tcBorders>
              <w:top w:val="single" w:sz="4" w:space="0" w:color="auto"/>
            </w:tcBorders>
            <w:shd w:val="clear" w:color="auto" w:fill="auto"/>
            <w:noWrap/>
            <w:vAlign w:val="center"/>
          </w:tcPr>
          <w:p w14:paraId="29B89DF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gridSpan w:val="2"/>
            <w:tcBorders>
              <w:top w:val="single" w:sz="4" w:space="0" w:color="auto"/>
              <w:bottom w:val="nil"/>
            </w:tcBorders>
            <w:shd w:val="clear" w:color="auto" w:fill="D9D9D9"/>
            <w:vAlign w:val="center"/>
          </w:tcPr>
          <w:p w14:paraId="2A91758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tcBorders>
              <w:top w:val="single" w:sz="4" w:space="0" w:color="auto"/>
            </w:tcBorders>
            <w:shd w:val="clear" w:color="auto" w:fill="auto"/>
            <w:noWrap/>
            <w:vAlign w:val="center"/>
          </w:tcPr>
          <w:p w14:paraId="2956C9F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5" w:type="dxa"/>
            <w:tcBorders>
              <w:top w:val="single" w:sz="4" w:space="0" w:color="auto"/>
              <w:bottom w:val="nil"/>
            </w:tcBorders>
            <w:shd w:val="clear" w:color="auto" w:fill="D9D9D9"/>
            <w:vAlign w:val="center"/>
          </w:tcPr>
          <w:p w14:paraId="018E96E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4" w:type="dxa"/>
            <w:tcBorders>
              <w:top w:val="single" w:sz="4" w:space="0" w:color="auto"/>
            </w:tcBorders>
            <w:shd w:val="clear" w:color="auto" w:fill="auto"/>
            <w:noWrap/>
            <w:vAlign w:val="center"/>
          </w:tcPr>
          <w:p w14:paraId="563F8F5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2.54</w:t>
            </w:r>
          </w:p>
        </w:tc>
        <w:tc>
          <w:tcPr>
            <w:tcW w:w="725" w:type="dxa"/>
            <w:tcBorders>
              <w:top w:val="single" w:sz="4" w:space="0" w:color="auto"/>
              <w:bottom w:val="nil"/>
            </w:tcBorders>
            <w:shd w:val="clear" w:color="auto" w:fill="D9D9D9"/>
            <w:vAlign w:val="center"/>
          </w:tcPr>
          <w:p w14:paraId="5F6A75F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2.75</w:t>
            </w:r>
          </w:p>
        </w:tc>
        <w:tc>
          <w:tcPr>
            <w:tcW w:w="725" w:type="dxa"/>
            <w:gridSpan w:val="2"/>
            <w:tcBorders>
              <w:top w:val="single" w:sz="4" w:space="0" w:color="auto"/>
            </w:tcBorders>
            <w:shd w:val="clear" w:color="auto" w:fill="auto"/>
            <w:noWrap/>
            <w:vAlign w:val="center"/>
          </w:tcPr>
          <w:p w14:paraId="123B572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4.57</w:t>
            </w:r>
          </w:p>
        </w:tc>
        <w:tc>
          <w:tcPr>
            <w:tcW w:w="730" w:type="dxa"/>
            <w:tcBorders>
              <w:top w:val="single" w:sz="4" w:space="0" w:color="auto"/>
              <w:bottom w:val="nil"/>
            </w:tcBorders>
            <w:shd w:val="clear" w:color="auto" w:fill="D9D9D9"/>
            <w:vAlign w:val="center"/>
          </w:tcPr>
          <w:p w14:paraId="098A1F6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5.68</w:t>
            </w:r>
          </w:p>
        </w:tc>
      </w:tr>
      <w:tr w:rsidR="00E6060C" w:rsidRPr="00E6060C" w14:paraId="1935023B" w14:textId="77777777" w:rsidTr="0035035C">
        <w:trPr>
          <w:trHeight w:val="482"/>
        </w:trPr>
        <w:tc>
          <w:tcPr>
            <w:tcW w:w="1558" w:type="dxa"/>
            <w:shd w:val="clear" w:color="auto" w:fill="auto"/>
            <w:vAlign w:val="center"/>
          </w:tcPr>
          <w:p w14:paraId="59759B8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Age (yrs)</w:t>
            </w:r>
          </w:p>
        </w:tc>
        <w:tc>
          <w:tcPr>
            <w:tcW w:w="723" w:type="dxa"/>
            <w:shd w:val="clear" w:color="auto" w:fill="auto"/>
            <w:noWrap/>
            <w:vAlign w:val="center"/>
          </w:tcPr>
          <w:p w14:paraId="0FDC4C8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w:t>
            </w:r>
          </w:p>
        </w:tc>
        <w:tc>
          <w:tcPr>
            <w:tcW w:w="723" w:type="dxa"/>
            <w:gridSpan w:val="2"/>
            <w:shd w:val="clear" w:color="auto" w:fill="D9D9D9"/>
            <w:vAlign w:val="center"/>
          </w:tcPr>
          <w:p w14:paraId="116FCF2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104</w:t>
            </w:r>
          </w:p>
        </w:tc>
        <w:tc>
          <w:tcPr>
            <w:tcW w:w="725" w:type="dxa"/>
            <w:shd w:val="clear" w:color="auto" w:fill="auto"/>
            <w:noWrap/>
            <w:vAlign w:val="center"/>
          </w:tcPr>
          <w:p w14:paraId="0969C57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36.08</w:t>
            </w:r>
          </w:p>
        </w:tc>
        <w:tc>
          <w:tcPr>
            <w:tcW w:w="724" w:type="dxa"/>
            <w:gridSpan w:val="2"/>
            <w:tcBorders>
              <w:top w:val="nil"/>
              <w:bottom w:val="nil"/>
            </w:tcBorders>
            <w:shd w:val="clear" w:color="auto" w:fill="D9D9D9"/>
            <w:vAlign w:val="center"/>
          </w:tcPr>
          <w:p w14:paraId="39C7FFC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38.75</w:t>
            </w:r>
          </w:p>
        </w:tc>
        <w:tc>
          <w:tcPr>
            <w:tcW w:w="725" w:type="dxa"/>
            <w:shd w:val="clear" w:color="auto" w:fill="auto"/>
            <w:noWrap/>
            <w:vAlign w:val="center"/>
          </w:tcPr>
          <w:p w14:paraId="48AB4D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10.47</w:t>
            </w:r>
          </w:p>
        </w:tc>
        <w:tc>
          <w:tcPr>
            <w:tcW w:w="725" w:type="dxa"/>
            <w:gridSpan w:val="2"/>
            <w:tcBorders>
              <w:top w:val="nil"/>
              <w:bottom w:val="nil"/>
            </w:tcBorders>
            <w:shd w:val="clear" w:color="auto" w:fill="D9D9D9"/>
            <w:vAlign w:val="center"/>
          </w:tcPr>
          <w:p w14:paraId="6EB8DA6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11.66</w:t>
            </w:r>
          </w:p>
        </w:tc>
        <w:tc>
          <w:tcPr>
            <w:tcW w:w="725" w:type="dxa"/>
            <w:shd w:val="clear" w:color="auto" w:fill="auto"/>
            <w:noWrap/>
            <w:vAlign w:val="center"/>
          </w:tcPr>
          <w:p w14:paraId="44A039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1.35</w:t>
            </w:r>
          </w:p>
        </w:tc>
        <w:tc>
          <w:tcPr>
            <w:tcW w:w="724" w:type="dxa"/>
            <w:gridSpan w:val="2"/>
            <w:tcBorders>
              <w:top w:val="nil"/>
              <w:bottom w:val="nil"/>
            </w:tcBorders>
            <w:shd w:val="clear" w:color="auto" w:fill="D9D9D9"/>
            <w:vAlign w:val="center"/>
          </w:tcPr>
          <w:p w14:paraId="51BC5D0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1.14</w:t>
            </w:r>
          </w:p>
        </w:tc>
        <w:tc>
          <w:tcPr>
            <w:tcW w:w="725" w:type="dxa"/>
            <w:shd w:val="clear" w:color="auto" w:fill="auto"/>
            <w:vAlign w:val="center"/>
          </w:tcPr>
          <w:p w14:paraId="4249148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34.50</w:t>
            </w:r>
          </w:p>
        </w:tc>
        <w:tc>
          <w:tcPr>
            <w:tcW w:w="725" w:type="dxa"/>
            <w:gridSpan w:val="2"/>
            <w:tcBorders>
              <w:top w:val="nil"/>
              <w:bottom w:val="nil"/>
            </w:tcBorders>
            <w:shd w:val="clear" w:color="auto" w:fill="D9D9D9"/>
            <w:vAlign w:val="center"/>
          </w:tcPr>
          <w:p w14:paraId="08A47F9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39.00</w:t>
            </w:r>
          </w:p>
        </w:tc>
        <w:tc>
          <w:tcPr>
            <w:tcW w:w="724" w:type="dxa"/>
            <w:shd w:val="clear" w:color="auto" w:fill="auto"/>
            <w:noWrap/>
            <w:vAlign w:val="center"/>
          </w:tcPr>
          <w:p w14:paraId="29BF9E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21.00</w:t>
            </w:r>
          </w:p>
        </w:tc>
        <w:tc>
          <w:tcPr>
            <w:tcW w:w="725" w:type="dxa"/>
            <w:gridSpan w:val="2"/>
            <w:tcBorders>
              <w:top w:val="nil"/>
              <w:bottom w:val="nil"/>
            </w:tcBorders>
            <w:shd w:val="clear" w:color="auto" w:fill="D9D9D9"/>
            <w:vAlign w:val="center"/>
          </w:tcPr>
          <w:p w14:paraId="373CA56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21.00</w:t>
            </w:r>
          </w:p>
        </w:tc>
        <w:tc>
          <w:tcPr>
            <w:tcW w:w="725" w:type="dxa"/>
            <w:shd w:val="clear" w:color="auto" w:fill="auto"/>
            <w:noWrap/>
            <w:vAlign w:val="center"/>
          </w:tcPr>
          <w:p w14:paraId="2CA1FB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55.00</w:t>
            </w:r>
          </w:p>
        </w:tc>
        <w:tc>
          <w:tcPr>
            <w:tcW w:w="725" w:type="dxa"/>
            <w:tcBorders>
              <w:top w:val="nil"/>
              <w:bottom w:val="nil"/>
            </w:tcBorders>
            <w:shd w:val="clear" w:color="auto" w:fill="D9D9D9"/>
            <w:vAlign w:val="center"/>
          </w:tcPr>
          <w:p w14:paraId="5D4D131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65.00</w:t>
            </w:r>
          </w:p>
        </w:tc>
        <w:tc>
          <w:tcPr>
            <w:tcW w:w="724" w:type="dxa"/>
            <w:shd w:val="clear" w:color="auto" w:fill="auto"/>
            <w:noWrap/>
            <w:vAlign w:val="center"/>
          </w:tcPr>
          <w:p w14:paraId="70E3498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0.27</w:t>
            </w:r>
          </w:p>
        </w:tc>
        <w:tc>
          <w:tcPr>
            <w:tcW w:w="725" w:type="dxa"/>
            <w:tcBorders>
              <w:top w:val="nil"/>
              <w:bottom w:val="nil"/>
            </w:tcBorders>
            <w:shd w:val="clear" w:color="auto" w:fill="D9D9D9"/>
            <w:vAlign w:val="center"/>
          </w:tcPr>
          <w:p w14:paraId="5A89966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0.30</w:t>
            </w:r>
          </w:p>
        </w:tc>
        <w:tc>
          <w:tcPr>
            <w:tcW w:w="725" w:type="dxa"/>
            <w:gridSpan w:val="2"/>
            <w:shd w:val="clear" w:color="auto" w:fill="auto"/>
            <w:noWrap/>
            <w:vAlign w:val="center"/>
          </w:tcPr>
          <w:p w14:paraId="6B5B510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-1.34</w:t>
            </w:r>
          </w:p>
        </w:tc>
        <w:tc>
          <w:tcPr>
            <w:tcW w:w="730" w:type="dxa"/>
            <w:tcBorders>
              <w:top w:val="nil"/>
              <w:bottom w:val="nil"/>
            </w:tcBorders>
            <w:shd w:val="clear" w:color="auto" w:fill="D9D9D9"/>
            <w:vAlign w:val="center"/>
          </w:tcPr>
          <w:p w14:paraId="29400CB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-0.90</w:t>
            </w:r>
          </w:p>
        </w:tc>
      </w:tr>
      <w:tr w:rsidR="00E6060C" w:rsidRPr="00E6060C" w14:paraId="5D3CABC6" w14:textId="77777777" w:rsidTr="0035035C">
        <w:trPr>
          <w:trHeight w:val="482"/>
        </w:trPr>
        <w:tc>
          <w:tcPr>
            <w:tcW w:w="1558" w:type="dxa"/>
            <w:shd w:val="clear" w:color="auto" w:fill="auto"/>
            <w:vAlign w:val="center"/>
          </w:tcPr>
          <w:p w14:paraId="21A34FE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Ward tenure (yrs)</w:t>
            </w:r>
          </w:p>
        </w:tc>
        <w:tc>
          <w:tcPr>
            <w:tcW w:w="723" w:type="dxa"/>
            <w:shd w:val="clear" w:color="auto" w:fill="auto"/>
            <w:noWrap/>
            <w:vAlign w:val="center"/>
          </w:tcPr>
          <w:p w14:paraId="113DFD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62</w:t>
            </w:r>
          </w:p>
        </w:tc>
        <w:tc>
          <w:tcPr>
            <w:tcW w:w="723" w:type="dxa"/>
            <w:gridSpan w:val="2"/>
            <w:shd w:val="clear" w:color="auto" w:fill="D9D9D9"/>
            <w:vAlign w:val="center"/>
          </w:tcPr>
          <w:p w14:paraId="122B7AB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110</w:t>
            </w:r>
          </w:p>
        </w:tc>
        <w:tc>
          <w:tcPr>
            <w:tcW w:w="725" w:type="dxa"/>
            <w:shd w:val="clear" w:color="auto" w:fill="auto"/>
            <w:noWrap/>
            <w:vAlign w:val="center"/>
          </w:tcPr>
          <w:p w14:paraId="2910A9F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4.09</w:t>
            </w:r>
          </w:p>
        </w:tc>
        <w:tc>
          <w:tcPr>
            <w:tcW w:w="724" w:type="dxa"/>
            <w:gridSpan w:val="2"/>
            <w:tcBorders>
              <w:top w:val="nil"/>
              <w:bottom w:val="nil"/>
            </w:tcBorders>
            <w:shd w:val="clear" w:color="auto" w:fill="D9D9D9"/>
            <w:vAlign w:val="center"/>
          </w:tcPr>
          <w:p w14:paraId="7F54FB2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2.58</w:t>
            </w:r>
          </w:p>
        </w:tc>
        <w:tc>
          <w:tcPr>
            <w:tcW w:w="725" w:type="dxa"/>
            <w:shd w:val="clear" w:color="auto" w:fill="auto"/>
            <w:noWrap/>
            <w:vAlign w:val="center"/>
          </w:tcPr>
          <w:p w14:paraId="7A3447F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4.62</w:t>
            </w:r>
          </w:p>
        </w:tc>
        <w:tc>
          <w:tcPr>
            <w:tcW w:w="725" w:type="dxa"/>
            <w:gridSpan w:val="2"/>
            <w:tcBorders>
              <w:top w:val="nil"/>
              <w:bottom w:val="nil"/>
            </w:tcBorders>
            <w:shd w:val="clear" w:color="auto" w:fill="D9D9D9"/>
            <w:vAlign w:val="center"/>
          </w:tcPr>
          <w:p w14:paraId="42B969C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2.96</w:t>
            </w:r>
          </w:p>
        </w:tc>
        <w:tc>
          <w:tcPr>
            <w:tcW w:w="725" w:type="dxa"/>
            <w:shd w:val="clear" w:color="auto" w:fill="auto"/>
            <w:noWrap/>
            <w:vAlign w:val="center"/>
          </w:tcPr>
          <w:p w14:paraId="5E1BE7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0.59</w:t>
            </w:r>
          </w:p>
        </w:tc>
        <w:tc>
          <w:tcPr>
            <w:tcW w:w="724" w:type="dxa"/>
            <w:gridSpan w:val="2"/>
            <w:tcBorders>
              <w:top w:val="nil"/>
              <w:bottom w:val="nil"/>
            </w:tcBorders>
            <w:shd w:val="clear" w:color="auto" w:fill="D9D9D9"/>
            <w:vAlign w:val="center"/>
          </w:tcPr>
          <w:p w14:paraId="6F7FF10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0.28</w:t>
            </w:r>
          </w:p>
        </w:tc>
        <w:tc>
          <w:tcPr>
            <w:tcW w:w="725" w:type="dxa"/>
            <w:shd w:val="clear" w:color="auto" w:fill="auto"/>
            <w:vAlign w:val="center"/>
          </w:tcPr>
          <w:p w14:paraId="1A4D766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5" w:type="dxa"/>
            <w:gridSpan w:val="2"/>
            <w:tcBorders>
              <w:top w:val="nil"/>
              <w:bottom w:val="nil"/>
            </w:tcBorders>
            <w:shd w:val="clear" w:color="auto" w:fill="D9D9D9"/>
            <w:vAlign w:val="center"/>
          </w:tcPr>
          <w:p w14:paraId="28C4FCF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4" w:type="dxa"/>
            <w:shd w:val="clear" w:color="auto" w:fill="auto"/>
            <w:noWrap/>
            <w:vAlign w:val="center"/>
          </w:tcPr>
          <w:p w14:paraId="2828EFD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bottom w:val="nil"/>
            </w:tcBorders>
            <w:shd w:val="clear" w:color="auto" w:fill="D9D9D9"/>
            <w:vAlign w:val="center"/>
          </w:tcPr>
          <w:p w14:paraId="4584C9D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shd w:val="clear" w:color="auto" w:fill="auto"/>
            <w:noWrap/>
            <w:vAlign w:val="center"/>
          </w:tcPr>
          <w:p w14:paraId="124112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20.00</w:t>
            </w:r>
          </w:p>
        </w:tc>
        <w:tc>
          <w:tcPr>
            <w:tcW w:w="725" w:type="dxa"/>
            <w:tcBorders>
              <w:top w:val="nil"/>
              <w:bottom w:val="nil"/>
            </w:tcBorders>
            <w:shd w:val="clear" w:color="auto" w:fill="D9D9D9"/>
            <w:vAlign w:val="center"/>
          </w:tcPr>
          <w:p w14:paraId="656341F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18.00</w:t>
            </w:r>
          </w:p>
        </w:tc>
        <w:tc>
          <w:tcPr>
            <w:tcW w:w="724" w:type="dxa"/>
            <w:shd w:val="clear" w:color="auto" w:fill="auto"/>
            <w:noWrap/>
            <w:vAlign w:val="center"/>
          </w:tcPr>
          <w:p w14:paraId="2BE626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1.62</w:t>
            </w:r>
          </w:p>
        </w:tc>
        <w:tc>
          <w:tcPr>
            <w:tcW w:w="725" w:type="dxa"/>
            <w:tcBorders>
              <w:top w:val="nil"/>
              <w:bottom w:val="nil"/>
            </w:tcBorders>
            <w:shd w:val="clear" w:color="auto" w:fill="D9D9D9"/>
            <w:vAlign w:val="center"/>
          </w:tcPr>
          <w:p w14:paraId="3757363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2.67</w:t>
            </w:r>
          </w:p>
        </w:tc>
        <w:tc>
          <w:tcPr>
            <w:tcW w:w="725" w:type="dxa"/>
            <w:gridSpan w:val="2"/>
            <w:shd w:val="clear" w:color="auto" w:fill="auto"/>
            <w:noWrap/>
            <w:vAlign w:val="center"/>
          </w:tcPr>
          <w:p w14:paraId="27C73C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1.99</w:t>
            </w:r>
          </w:p>
        </w:tc>
        <w:tc>
          <w:tcPr>
            <w:tcW w:w="730" w:type="dxa"/>
            <w:tcBorders>
              <w:top w:val="nil"/>
              <w:bottom w:val="nil"/>
            </w:tcBorders>
            <w:shd w:val="clear" w:color="auto" w:fill="D9D9D9"/>
            <w:vAlign w:val="center"/>
          </w:tcPr>
          <w:p w14:paraId="21693C5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9.10</w:t>
            </w:r>
          </w:p>
        </w:tc>
      </w:tr>
      <w:tr w:rsidR="00E6060C" w:rsidRPr="00E6060C" w14:paraId="6C8D25A7" w14:textId="77777777" w:rsidTr="0035035C">
        <w:trPr>
          <w:trHeight w:val="482"/>
        </w:trPr>
        <w:tc>
          <w:tcPr>
            <w:tcW w:w="1558" w:type="dxa"/>
            <w:shd w:val="clear" w:color="auto" w:fill="auto"/>
            <w:vAlign w:val="center"/>
          </w:tcPr>
          <w:p w14:paraId="7B96A06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Hospital tenure (yrs)</w:t>
            </w:r>
          </w:p>
        </w:tc>
        <w:tc>
          <w:tcPr>
            <w:tcW w:w="723" w:type="dxa"/>
            <w:shd w:val="clear" w:color="auto" w:fill="auto"/>
            <w:noWrap/>
            <w:vAlign w:val="center"/>
          </w:tcPr>
          <w:p w14:paraId="5C9532B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61</w:t>
            </w:r>
          </w:p>
        </w:tc>
        <w:tc>
          <w:tcPr>
            <w:tcW w:w="723" w:type="dxa"/>
            <w:gridSpan w:val="2"/>
            <w:shd w:val="clear" w:color="auto" w:fill="D9D9D9"/>
            <w:vAlign w:val="center"/>
          </w:tcPr>
          <w:p w14:paraId="62C85EE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109</w:t>
            </w:r>
          </w:p>
        </w:tc>
        <w:tc>
          <w:tcPr>
            <w:tcW w:w="725" w:type="dxa"/>
            <w:shd w:val="clear" w:color="auto" w:fill="auto"/>
            <w:noWrap/>
            <w:vAlign w:val="center"/>
          </w:tcPr>
          <w:p w14:paraId="3BED2FB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4" w:type="dxa"/>
            <w:gridSpan w:val="2"/>
            <w:tcBorders>
              <w:top w:val="nil"/>
              <w:bottom w:val="nil"/>
            </w:tcBorders>
            <w:shd w:val="clear" w:color="auto" w:fill="D9D9D9"/>
            <w:vAlign w:val="center"/>
          </w:tcPr>
          <w:p w14:paraId="154B4B2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4.64</w:t>
            </w:r>
          </w:p>
        </w:tc>
        <w:tc>
          <w:tcPr>
            <w:tcW w:w="725" w:type="dxa"/>
            <w:shd w:val="clear" w:color="auto" w:fill="auto"/>
            <w:noWrap/>
            <w:vAlign w:val="center"/>
          </w:tcPr>
          <w:p w14:paraId="048E02D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6.77</w:t>
            </w:r>
          </w:p>
        </w:tc>
        <w:tc>
          <w:tcPr>
            <w:tcW w:w="725" w:type="dxa"/>
            <w:gridSpan w:val="2"/>
            <w:tcBorders>
              <w:top w:val="nil"/>
              <w:bottom w:val="nil"/>
            </w:tcBorders>
            <w:shd w:val="clear" w:color="auto" w:fill="D9D9D9"/>
            <w:vAlign w:val="center"/>
          </w:tcPr>
          <w:p w14:paraId="570EA68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5.72</w:t>
            </w:r>
          </w:p>
        </w:tc>
        <w:tc>
          <w:tcPr>
            <w:tcW w:w="725" w:type="dxa"/>
            <w:shd w:val="clear" w:color="auto" w:fill="auto"/>
            <w:noWrap/>
            <w:vAlign w:val="center"/>
          </w:tcPr>
          <w:p w14:paraId="68174F0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0.87</w:t>
            </w:r>
          </w:p>
        </w:tc>
        <w:tc>
          <w:tcPr>
            <w:tcW w:w="724" w:type="dxa"/>
            <w:gridSpan w:val="2"/>
            <w:tcBorders>
              <w:top w:val="nil"/>
              <w:bottom w:val="nil"/>
            </w:tcBorders>
            <w:shd w:val="clear" w:color="auto" w:fill="D9D9D9"/>
            <w:vAlign w:val="center"/>
          </w:tcPr>
          <w:p w14:paraId="613F8C0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0.55</w:t>
            </w:r>
          </w:p>
        </w:tc>
        <w:tc>
          <w:tcPr>
            <w:tcW w:w="725" w:type="dxa"/>
            <w:shd w:val="clear" w:color="auto" w:fill="auto"/>
            <w:vAlign w:val="center"/>
          </w:tcPr>
          <w:p w14:paraId="5DEC6D4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4.08</w:t>
            </w:r>
          </w:p>
        </w:tc>
        <w:tc>
          <w:tcPr>
            <w:tcW w:w="725" w:type="dxa"/>
            <w:gridSpan w:val="2"/>
            <w:tcBorders>
              <w:top w:val="nil"/>
              <w:bottom w:val="nil"/>
            </w:tcBorders>
            <w:shd w:val="clear" w:color="auto" w:fill="D9D9D9"/>
            <w:vAlign w:val="center"/>
          </w:tcPr>
          <w:p w14:paraId="5229B44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2.17</w:t>
            </w:r>
          </w:p>
        </w:tc>
        <w:tc>
          <w:tcPr>
            <w:tcW w:w="724" w:type="dxa"/>
            <w:shd w:val="clear" w:color="auto" w:fill="auto"/>
            <w:noWrap/>
            <w:vAlign w:val="center"/>
          </w:tcPr>
          <w:p w14:paraId="24F606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bottom w:val="nil"/>
            </w:tcBorders>
            <w:shd w:val="clear" w:color="auto" w:fill="D9D9D9"/>
            <w:vAlign w:val="center"/>
          </w:tcPr>
          <w:p w14:paraId="0D61360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shd w:val="clear" w:color="auto" w:fill="auto"/>
            <w:noWrap/>
            <w:vAlign w:val="center"/>
          </w:tcPr>
          <w:p w14:paraId="6562676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25.00</w:t>
            </w:r>
          </w:p>
        </w:tc>
        <w:tc>
          <w:tcPr>
            <w:tcW w:w="725" w:type="dxa"/>
            <w:tcBorders>
              <w:top w:val="nil"/>
              <w:bottom w:val="nil"/>
            </w:tcBorders>
            <w:shd w:val="clear" w:color="auto" w:fill="D9D9D9"/>
            <w:vAlign w:val="center"/>
          </w:tcPr>
          <w:p w14:paraId="0B25075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36.00</w:t>
            </w:r>
          </w:p>
        </w:tc>
        <w:tc>
          <w:tcPr>
            <w:tcW w:w="724" w:type="dxa"/>
            <w:shd w:val="clear" w:color="auto" w:fill="auto"/>
            <w:noWrap/>
            <w:vAlign w:val="center"/>
          </w:tcPr>
          <w:p w14:paraId="2696C42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0.88</w:t>
            </w:r>
          </w:p>
        </w:tc>
        <w:tc>
          <w:tcPr>
            <w:tcW w:w="725" w:type="dxa"/>
            <w:tcBorders>
              <w:top w:val="nil"/>
              <w:bottom w:val="nil"/>
            </w:tcBorders>
            <w:shd w:val="clear" w:color="auto" w:fill="D9D9D9"/>
            <w:vAlign w:val="center"/>
          </w:tcPr>
          <w:p w14:paraId="00EF230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2.61</w:t>
            </w:r>
          </w:p>
        </w:tc>
        <w:tc>
          <w:tcPr>
            <w:tcW w:w="725" w:type="dxa"/>
            <w:gridSpan w:val="2"/>
            <w:shd w:val="clear" w:color="auto" w:fill="auto"/>
            <w:noWrap/>
            <w:vAlign w:val="center"/>
          </w:tcPr>
          <w:p w14:paraId="71203C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-0.25</w:t>
            </w:r>
          </w:p>
        </w:tc>
        <w:tc>
          <w:tcPr>
            <w:tcW w:w="730" w:type="dxa"/>
            <w:tcBorders>
              <w:top w:val="nil"/>
              <w:bottom w:val="nil"/>
            </w:tcBorders>
            <w:shd w:val="clear" w:color="auto" w:fill="D9D9D9"/>
            <w:vAlign w:val="center"/>
          </w:tcPr>
          <w:p w14:paraId="7CCD56F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9.77</w:t>
            </w:r>
          </w:p>
        </w:tc>
      </w:tr>
      <w:tr w:rsidR="00E6060C" w:rsidRPr="00E6060C" w14:paraId="7E24602C" w14:textId="77777777" w:rsidTr="0035035C">
        <w:trPr>
          <w:trHeight w:val="482"/>
        </w:trPr>
        <w:tc>
          <w:tcPr>
            <w:tcW w:w="1558" w:type="dxa"/>
            <w:shd w:val="clear" w:color="auto" w:fill="auto"/>
            <w:vAlign w:val="center"/>
          </w:tcPr>
          <w:p w14:paraId="7DEA6A3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723" w:type="dxa"/>
            <w:shd w:val="clear" w:color="auto" w:fill="auto"/>
            <w:noWrap/>
            <w:vAlign w:val="center"/>
          </w:tcPr>
          <w:p w14:paraId="24FA4F4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723" w:type="dxa"/>
            <w:gridSpan w:val="2"/>
            <w:shd w:val="clear" w:color="auto" w:fill="D9D9D9"/>
            <w:vAlign w:val="center"/>
          </w:tcPr>
          <w:p w14:paraId="31C0E5C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112</w:t>
            </w:r>
          </w:p>
        </w:tc>
        <w:tc>
          <w:tcPr>
            <w:tcW w:w="725" w:type="dxa"/>
            <w:shd w:val="clear" w:color="auto" w:fill="auto"/>
            <w:noWrap/>
            <w:vAlign w:val="center"/>
          </w:tcPr>
          <w:p w14:paraId="503D0FD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2.48</w:t>
            </w:r>
          </w:p>
        </w:tc>
        <w:tc>
          <w:tcPr>
            <w:tcW w:w="724" w:type="dxa"/>
            <w:gridSpan w:val="2"/>
            <w:tcBorders>
              <w:top w:val="nil"/>
              <w:bottom w:val="nil"/>
            </w:tcBorders>
            <w:shd w:val="clear" w:color="auto" w:fill="D9D9D9"/>
            <w:vAlign w:val="center"/>
          </w:tcPr>
          <w:p w14:paraId="519481B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2.41</w:t>
            </w:r>
          </w:p>
        </w:tc>
        <w:tc>
          <w:tcPr>
            <w:tcW w:w="725" w:type="dxa"/>
            <w:shd w:val="clear" w:color="auto" w:fill="auto"/>
            <w:noWrap/>
            <w:vAlign w:val="center"/>
          </w:tcPr>
          <w:p w14:paraId="4940490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0.88</w:t>
            </w:r>
          </w:p>
        </w:tc>
        <w:tc>
          <w:tcPr>
            <w:tcW w:w="725" w:type="dxa"/>
            <w:gridSpan w:val="2"/>
            <w:tcBorders>
              <w:top w:val="nil"/>
              <w:bottom w:val="nil"/>
            </w:tcBorders>
            <w:shd w:val="clear" w:color="auto" w:fill="D9D9D9"/>
            <w:vAlign w:val="center"/>
          </w:tcPr>
          <w:p w14:paraId="423F6B3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0.71</w:t>
            </w:r>
          </w:p>
        </w:tc>
        <w:tc>
          <w:tcPr>
            <w:tcW w:w="725" w:type="dxa"/>
            <w:shd w:val="clear" w:color="auto" w:fill="auto"/>
            <w:noWrap/>
            <w:vAlign w:val="center"/>
          </w:tcPr>
          <w:p w14:paraId="15FFE6C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0.11</w:t>
            </w:r>
          </w:p>
        </w:tc>
        <w:tc>
          <w:tcPr>
            <w:tcW w:w="724" w:type="dxa"/>
            <w:gridSpan w:val="2"/>
            <w:tcBorders>
              <w:top w:val="nil"/>
              <w:bottom w:val="nil"/>
            </w:tcBorders>
            <w:shd w:val="clear" w:color="auto" w:fill="D9D9D9"/>
            <w:vAlign w:val="center"/>
          </w:tcPr>
          <w:p w14:paraId="15445D8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shd w:val="clear" w:color="auto" w:fill="auto"/>
            <w:vAlign w:val="center"/>
          </w:tcPr>
          <w:p w14:paraId="7AC578C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5" w:type="dxa"/>
            <w:gridSpan w:val="2"/>
            <w:tcBorders>
              <w:top w:val="nil"/>
              <w:bottom w:val="nil"/>
            </w:tcBorders>
            <w:shd w:val="clear" w:color="auto" w:fill="D9D9D9"/>
            <w:vAlign w:val="center"/>
          </w:tcPr>
          <w:p w14:paraId="04B68D7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4" w:type="dxa"/>
            <w:shd w:val="clear" w:color="auto" w:fill="auto"/>
            <w:noWrap/>
            <w:vAlign w:val="center"/>
          </w:tcPr>
          <w:p w14:paraId="6A5D996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bottom w:val="nil"/>
            </w:tcBorders>
            <w:shd w:val="clear" w:color="auto" w:fill="D9D9D9"/>
            <w:vAlign w:val="center"/>
          </w:tcPr>
          <w:p w14:paraId="23D2940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shd w:val="clear" w:color="auto" w:fill="auto"/>
            <w:noWrap/>
            <w:vAlign w:val="center"/>
          </w:tcPr>
          <w:p w14:paraId="6084BBC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4.00</w:t>
            </w:r>
          </w:p>
        </w:tc>
        <w:tc>
          <w:tcPr>
            <w:tcW w:w="725" w:type="dxa"/>
            <w:tcBorders>
              <w:top w:val="nil"/>
              <w:bottom w:val="nil"/>
            </w:tcBorders>
            <w:shd w:val="clear" w:color="auto" w:fill="D9D9D9"/>
            <w:vAlign w:val="center"/>
          </w:tcPr>
          <w:p w14:paraId="5F25DF0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724" w:type="dxa"/>
            <w:shd w:val="clear" w:color="auto" w:fill="auto"/>
            <w:noWrap/>
            <w:vAlign w:val="center"/>
          </w:tcPr>
          <w:p w14:paraId="4AEAA9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0.08</w:t>
            </w:r>
          </w:p>
        </w:tc>
        <w:tc>
          <w:tcPr>
            <w:tcW w:w="725" w:type="dxa"/>
            <w:tcBorders>
              <w:top w:val="nil"/>
              <w:bottom w:val="nil"/>
            </w:tcBorders>
            <w:shd w:val="clear" w:color="auto" w:fill="D9D9D9"/>
            <w:vAlign w:val="center"/>
          </w:tcPr>
          <w:p w14:paraId="278699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-0.15</w:t>
            </w:r>
          </w:p>
        </w:tc>
        <w:tc>
          <w:tcPr>
            <w:tcW w:w="725" w:type="dxa"/>
            <w:gridSpan w:val="2"/>
            <w:shd w:val="clear" w:color="auto" w:fill="auto"/>
            <w:noWrap/>
            <w:vAlign w:val="center"/>
          </w:tcPr>
          <w:p w14:paraId="71CB2F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-0.63</w:t>
            </w:r>
          </w:p>
        </w:tc>
        <w:tc>
          <w:tcPr>
            <w:tcW w:w="730" w:type="dxa"/>
            <w:tcBorders>
              <w:top w:val="nil"/>
              <w:bottom w:val="nil"/>
            </w:tcBorders>
            <w:shd w:val="clear" w:color="auto" w:fill="D9D9D9"/>
            <w:vAlign w:val="center"/>
          </w:tcPr>
          <w:p w14:paraId="1AF683A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-0.29</w:t>
            </w:r>
          </w:p>
        </w:tc>
      </w:tr>
      <w:tr w:rsidR="00E6060C" w:rsidRPr="00E6060C" w14:paraId="667FCFFA" w14:textId="77777777" w:rsidTr="0035035C">
        <w:trPr>
          <w:trHeight w:val="482"/>
        </w:trPr>
        <w:tc>
          <w:tcPr>
            <w:tcW w:w="1558" w:type="dxa"/>
            <w:shd w:val="clear" w:color="auto" w:fill="auto"/>
            <w:vAlign w:val="center"/>
          </w:tcPr>
          <w:p w14:paraId="548A6A0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Hierarchical level</w:t>
            </w:r>
          </w:p>
        </w:tc>
        <w:tc>
          <w:tcPr>
            <w:tcW w:w="723" w:type="dxa"/>
            <w:shd w:val="clear" w:color="auto" w:fill="auto"/>
            <w:noWrap/>
            <w:vAlign w:val="center"/>
          </w:tcPr>
          <w:p w14:paraId="5D1253B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723" w:type="dxa"/>
            <w:gridSpan w:val="2"/>
            <w:shd w:val="clear" w:color="auto" w:fill="D9D9D9"/>
            <w:vAlign w:val="center"/>
          </w:tcPr>
          <w:p w14:paraId="2321ECF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112</w:t>
            </w:r>
          </w:p>
        </w:tc>
        <w:tc>
          <w:tcPr>
            <w:tcW w:w="725" w:type="dxa"/>
            <w:shd w:val="clear" w:color="auto" w:fill="auto"/>
            <w:noWrap/>
            <w:vAlign w:val="center"/>
          </w:tcPr>
          <w:p w14:paraId="678CB1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4.08</w:t>
            </w:r>
          </w:p>
        </w:tc>
        <w:tc>
          <w:tcPr>
            <w:tcW w:w="724" w:type="dxa"/>
            <w:gridSpan w:val="2"/>
            <w:tcBorders>
              <w:top w:val="nil"/>
              <w:bottom w:val="nil"/>
            </w:tcBorders>
            <w:shd w:val="clear" w:color="auto" w:fill="D9D9D9"/>
            <w:vAlign w:val="center"/>
          </w:tcPr>
          <w:p w14:paraId="1B955D8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3.83</w:t>
            </w:r>
          </w:p>
        </w:tc>
        <w:tc>
          <w:tcPr>
            <w:tcW w:w="725" w:type="dxa"/>
            <w:shd w:val="clear" w:color="auto" w:fill="auto"/>
            <w:noWrap/>
            <w:vAlign w:val="center"/>
          </w:tcPr>
          <w:p w14:paraId="4C32C2D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1.74</w:t>
            </w:r>
          </w:p>
        </w:tc>
        <w:tc>
          <w:tcPr>
            <w:tcW w:w="725" w:type="dxa"/>
            <w:gridSpan w:val="2"/>
            <w:tcBorders>
              <w:top w:val="nil"/>
              <w:bottom w:val="nil"/>
            </w:tcBorders>
            <w:shd w:val="clear" w:color="auto" w:fill="D9D9D9"/>
            <w:vAlign w:val="center"/>
          </w:tcPr>
          <w:p w14:paraId="526A6D8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1.71</w:t>
            </w:r>
          </w:p>
        </w:tc>
        <w:tc>
          <w:tcPr>
            <w:tcW w:w="725" w:type="dxa"/>
            <w:shd w:val="clear" w:color="auto" w:fill="auto"/>
            <w:noWrap/>
            <w:vAlign w:val="center"/>
          </w:tcPr>
          <w:p w14:paraId="57F9AF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0.22</w:t>
            </w:r>
          </w:p>
        </w:tc>
        <w:tc>
          <w:tcPr>
            <w:tcW w:w="724" w:type="dxa"/>
            <w:gridSpan w:val="2"/>
            <w:tcBorders>
              <w:top w:val="nil"/>
              <w:bottom w:val="nil"/>
            </w:tcBorders>
            <w:shd w:val="clear" w:color="auto" w:fill="D9D9D9"/>
            <w:vAlign w:val="center"/>
          </w:tcPr>
          <w:p w14:paraId="20C28CA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0.16</w:t>
            </w:r>
          </w:p>
        </w:tc>
        <w:tc>
          <w:tcPr>
            <w:tcW w:w="725" w:type="dxa"/>
            <w:shd w:val="clear" w:color="auto" w:fill="auto"/>
            <w:vAlign w:val="center"/>
          </w:tcPr>
          <w:p w14:paraId="629B59D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5" w:type="dxa"/>
            <w:gridSpan w:val="2"/>
            <w:tcBorders>
              <w:top w:val="nil"/>
              <w:bottom w:val="nil"/>
            </w:tcBorders>
            <w:shd w:val="clear" w:color="auto" w:fill="D9D9D9"/>
            <w:vAlign w:val="center"/>
          </w:tcPr>
          <w:p w14:paraId="7CD3095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4" w:type="dxa"/>
            <w:shd w:val="clear" w:color="auto" w:fill="auto"/>
            <w:noWrap/>
            <w:vAlign w:val="center"/>
          </w:tcPr>
          <w:p w14:paraId="47192B5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bottom w:val="nil"/>
            </w:tcBorders>
            <w:shd w:val="clear" w:color="auto" w:fill="D9D9D9"/>
            <w:vAlign w:val="center"/>
          </w:tcPr>
          <w:p w14:paraId="2BA0640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725" w:type="dxa"/>
            <w:shd w:val="clear" w:color="auto" w:fill="auto"/>
            <w:noWrap/>
            <w:vAlign w:val="center"/>
          </w:tcPr>
          <w:p w14:paraId="432A159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bottom w:val="nil"/>
            </w:tcBorders>
            <w:shd w:val="clear" w:color="auto" w:fill="D9D9D9"/>
            <w:vAlign w:val="center"/>
          </w:tcPr>
          <w:p w14:paraId="408B32C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shd w:val="clear" w:color="auto" w:fill="auto"/>
            <w:noWrap/>
            <w:vAlign w:val="center"/>
          </w:tcPr>
          <w:p w14:paraId="3727A58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-0.24</w:t>
            </w:r>
          </w:p>
        </w:tc>
        <w:tc>
          <w:tcPr>
            <w:tcW w:w="725" w:type="dxa"/>
            <w:tcBorders>
              <w:top w:val="nil"/>
              <w:bottom w:val="nil"/>
            </w:tcBorders>
            <w:shd w:val="clear" w:color="auto" w:fill="D9D9D9"/>
            <w:vAlign w:val="center"/>
          </w:tcPr>
          <w:p w14:paraId="07051BF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gridSpan w:val="2"/>
            <w:shd w:val="clear" w:color="auto" w:fill="auto"/>
            <w:noWrap/>
            <w:vAlign w:val="center"/>
          </w:tcPr>
          <w:p w14:paraId="6A0E548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-1.56</w:t>
            </w:r>
          </w:p>
        </w:tc>
        <w:tc>
          <w:tcPr>
            <w:tcW w:w="730" w:type="dxa"/>
            <w:tcBorders>
              <w:top w:val="nil"/>
              <w:bottom w:val="nil"/>
            </w:tcBorders>
            <w:shd w:val="clear" w:color="auto" w:fill="D9D9D9"/>
            <w:vAlign w:val="center"/>
          </w:tcPr>
          <w:p w14:paraId="42CDA6A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-1.52</w:t>
            </w:r>
          </w:p>
        </w:tc>
      </w:tr>
      <w:tr w:rsidR="00E6060C" w:rsidRPr="00E6060C" w14:paraId="505F1C97" w14:textId="77777777" w:rsidTr="0035035C">
        <w:trPr>
          <w:trHeight w:val="482"/>
        </w:trPr>
        <w:tc>
          <w:tcPr>
            <w:tcW w:w="1558" w:type="dxa"/>
            <w:shd w:val="clear" w:color="auto" w:fill="auto"/>
            <w:vAlign w:val="center"/>
          </w:tcPr>
          <w:p w14:paraId="505A8C3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Time qualified (yrs)</w:t>
            </w:r>
          </w:p>
        </w:tc>
        <w:tc>
          <w:tcPr>
            <w:tcW w:w="723" w:type="dxa"/>
            <w:shd w:val="clear" w:color="auto" w:fill="auto"/>
            <w:noWrap/>
            <w:vAlign w:val="center"/>
          </w:tcPr>
          <w:p w14:paraId="3CC16D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c>
          <w:tcPr>
            <w:tcW w:w="723" w:type="dxa"/>
            <w:gridSpan w:val="2"/>
            <w:shd w:val="clear" w:color="auto" w:fill="D9D9D9"/>
            <w:vAlign w:val="center"/>
          </w:tcPr>
          <w:p w14:paraId="638BD91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60</w:t>
            </w:r>
          </w:p>
        </w:tc>
        <w:tc>
          <w:tcPr>
            <w:tcW w:w="725" w:type="dxa"/>
            <w:shd w:val="clear" w:color="auto" w:fill="auto"/>
            <w:noWrap/>
            <w:vAlign w:val="center"/>
          </w:tcPr>
          <w:p w14:paraId="07148D0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2.85</w:t>
            </w:r>
          </w:p>
        </w:tc>
        <w:tc>
          <w:tcPr>
            <w:tcW w:w="724" w:type="dxa"/>
            <w:gridSpan w:val="2"/>
            <w:tcBorders>
              <w:top w:val="nil"/>
              <w:bottom w:val="nil"/>
            </w:tcBorders>
            <w:shd w:val="clear" w:color="auto" w:fill="D9D9D9"/>
            <w:vAlign w:val="center"/>
          </w:tcPr>
          <w:p w14:paraId="3A72B2B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2.90</w:t>
            </w:r>
          </w:p>
        </w:tc>
        <w:tc>
          <w:tcPr>
            <w:tcW w:w="725" w:type="dxa"/>
            <w:shd w:val="clear" w:color="auto" w:fill="auto"/>
            <w:noWrap/>
            <w:vAlign w:val="center"/>
          </w:tcPr>
          <w:p w14:paraId="5D3FBF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1.40</w:t>
            </w:r>
          </w:p>
        </w:tc>
        <w:tc>
          <w:tcPr>
            <w:tcW w:w="725" w:type="dxa"/>
            <w:gridSpan w:val="2"/>
            <w:tcBorders>
              <w:top w:val="nil"/>
              <w:bottom w:val="nil"/>
            </w:tcBorders>
            <w:shd w:val="clear" w:color="auto" w:fill="D9D9D9"/>
            <w:vAlign w:val="center"/>
          </w:tcPr>
          <w:p w14:paraId="71ADC55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1.43</w:t>
            </w:r>
          </w:p>
        </w:tc>
        <w:tc>
          <w:tcPr>
            <w:tcW w:w="725" w:type="dxa"/>
            <w:shd w:val="clear" w:color="auto" w:fill="auto"/>
            <w:noWrap/>
            <w:vAlign w:val="center"/>
          </w:tcPr>
          <w:p w14:paraId="3279228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0.24</w:t>
            </w:r>
          </w:p>
        </w:tc>
        <w:tc>
          <w:tcPr>
            <w:tcW w:w="724" w:type="dxa"/>
            <w:gridSpan w:val="2"/>
            <w:tcBorders>
              <w:top w:val="nil"/>
              <w:bottom w:val="nil"/>
            </w:tcBorders>
            <w:shd w:val="clear" w:color="auto" w:fill="D9D9D9"/>
            <w:vAlign w:val="center"/>
          </w:tcPr>
          <w:p w14:paraId="6C2D7EC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0.19</w:t>
            </w:r>
          </w:p>
        </w:tc>
        <w:tc>
          <w:tcPr>
            <w:tcW w:w="725" w:type="dxa"/>
            <w:shd w:val="clear" w:color="auto" w:fill="auto"/>
            <w:vAlign w:val="center"/>
          </w:tcPr>
          <w:p w14:paraId="2866C42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5" w:type="dxa"/>
            <w:gridSpan w:val="2"/>
            <w:tcBorders>
              <w:top w:val="nil"/>
              <w:bottom w:val="nil"/>
            </w:tcBorders>
            <w:shd w:val="clear" w:color="auto" w:fill="D9D9D9"/>
            <w:vAlign w:val="center"/>
          </w:tcPr>
          <w:p w14:paraId="097F2CC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4" w:type="dxa"/>
            <w:shd w:val="clear" w:color="auto" w:fill="auto"/>
            <w:noWrap/>
            <w:vAlign w:val="center"/>
          </w:tcPr>
          <w:p w14:paraId="6EE5EC1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bottom w:val="nil"/>
            </w:tcBorders>
            <w:shd w:val="clear" w:color="auto" w:fill="D9D9D9"/>
            <w:vAlign w:val="center"/>
          </w:tcPr>
          <w:p w14:paraId="059F1CB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shd w:val="clear" w:color="auto" w:fill="auto"/>
            <w:noWrap/>
            <w:vAlign w:val="center"/>
          </w:tcPr>
          <w:p w14:paraId="441DD47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bottom w:val="nil"/>
            </w:tcBorders>
            <w:shd w:val="clear" w:color="auto" w:fill="D9D9D9"/>
            <w:vAlign w:val="center"/>
          </w:tcPr>
          <w:p w14:paraId="476D1C0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shd w:val="clear" w:color="auto" w:fill="auto"/>
            <w:noWrap/>
            <w:vAlign w:val="center"/>
          </w:tcPr>
          <w:p w14:paraId="3FD9B60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0.43</w:t>
            </w:r>
          </w:p>
        </w:tc>
        <w:tc>
          <w:tcPr>
            <w:tcW w:w="725" w:type="dxa"/>
            <w:tcBorders>
              <w:top w:val="nil"/>
              <w:bottom w:val="nil"/>
            </w:tcBorders>
            <w:shd w:val="clear" w:color="auto" w:fill="D9D9D9"/>
            <w:vAlign w:val="center"/>
          </w:tcPr>
          <w:p w14:paraId="1E28F0D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0.29</w:t>
            </w:r>
          </w:p>
        </w:tc>
        <w:tc>
          <w:tcPr>
            <w:tcW w:w="725" w:type="dxa"/>
            <w:gridSpan w:val="2"/>
            <w:shd w:val="clear" w:color="auto" w:fill="auto"/>
            <w:noWrap/>
            <w:vAlign w:val="center"/>
          </w:tcPr>
          <w:p w14:paraId="23ABB70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-1.11</w:t>
            </w:r>
          </w:p>
        </w:tc>
        <w:tc>
          <w:tcPr>
            <w:tcW w:w="730" w:type="dxa"/>
            <w:tcBorders>
              <w:top w:val="nil"/>
              <w:bottom w:val="nil"/>
            </w:tcBorders>
            <w:shd w:val="clear" w:color="auto" w:fill="D9D9D9"/>
            <w:vAlign w:val="center"/>
          </w:tcPr>
          <w:p w14:paraId="0D99625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-1.24</w:t>
            </w:r>
          </w:p>
        </w:tc>
      </w:tr>
      <w:tr w:rsidR="00E6060C" w:rsidRPr="00E6060C" w14:paraId="406D01D2" w14:textId="77777777" w:rsidTr="0035035C">
        <w:trPr>
          <w:trHeight w:val="482"/>
        </w:trPr>
        <w:tc>
          <w:tcPr>
            <w:tcW w:w="1558" w:type="dxa"/>
            <w:shd w:val="clear" w:color="auto" w:fill="auto"/>
            <w:vAlign w:val="center"/>
          </w:tcPr>
          <w:p w14:paraId="6BD8BD6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Education level</w:t>
            </w:r>
          </w:p>
        </w:tc>
        <w:tc>
          <w:tcPr>
            <w:tcW w:w="723" w:type="dxa"/>
            <w:shd w:val="clear" w:color="auto" w:fill="auto"/>
            <w:noWrap/>
            <w:vAlign w:val="center"/>
          </w:tcPr>
          <w:p w14:paraId="74E6C52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59</w:t>
            </w:r>
          </w:p>
        </w:tc>
        <w:tc>
          <w:tcPr>
            <w:tcW w:w="723" w:type="dxa"/>
            <w:gridSpan w:val="2"/>
            <w:shd w:val="clear" w:color="auto" w:fill="D9D9D9"/>
            <w:vAlign w:val="center"/>
          </w:tcPr>
          <w:p w14:paraId="54262D9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99</w:t>
            </w:r>
          </w:p>
        </w:tc>
        <w:tc>
          <w:tcPr>
            <w:tcW w:w="725" w:type="dxa"/>
            <w:shd w:val="clear" w:color="auto" w:fill="auto"/>
            <w:noWrap/>
            <w:vAlign w:val="center"/>
          </w:tcPr>
          <w:p w14:paraId="57AF5A7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3.93</w:t>
            </w:r>
          </w:p>
        </w:tc>
        <w:tc>
          <w:tcPr>
            <w:tcW w:w="724" w:type="dxa"/>
            <w:gridSpan w:val="2"/>
            <w:tcBorders>
              <w:top w:val="nil"/>
              <w:bottom w:val="nil"/>
            </w:tcBorders>
            <w:shd w:val="clear" w:color="auto" w:fill="D9D9D9"/>
            <w:vAlign w:val="center"/>
          </w:tcPr>
          <w:p w14:paraId="7D2E369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4.12</w:t>
            </w:r>
          </w:p>
        </w:tc>
        <w:tc>
          <w:tcPr>
            <w:tcW w:w="725" w:type="dxa"/>
            <w:shd w:val="clear" w:color="auto" w:fill="auto"/>
            <w:noWrap/>
            <w:vAlign w:val="center"/>
          </w:tcPr>
          <w:p w14:paraId="70F0EA8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1.35</w:t>
            </w:r>
          </w:p>
        </w:tc>
        <w:tc>
          <w:tcPr>
            <w:tcW w:w="725" w:type="dxa"/>
            <w:gridSpan w:val="2"/>
            <w:tcBorders>
              <w:top w:val="nil"/>
              <w:bottom w:val="nil"/>
            </w:tcBorders>
            <w:shd w:val="clear" w:color="auto" w:fill="D9D9D9"/>
            <w:vAlign w:val="center"/>
          </w:tcPr>
          <w:p w14:paraId="6562861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1.26</w:t>
            </w:r>
          </w:p>
        </w:tc>
        <w:tc>
          <w:tcPr>
            <w:tcW w:w="725" w:type="dxa"/>
            <w:shd w:val="clear" w:color="auto" w:fill="auto"/>
            <w:noWrap/>
            <w:vAlign w:val="center"/>
          </w:tcPr>
          <w:p w14:paraId="0FBE6DE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0.18</w:t>
            </w:r>
          </w:p>
        </w:tc>
        <w:tc>
          <w:tcPr>
            <w:tcW w:w="724" w:type="dxa"/>
            <w:gridSpan w:val="2"/>
            <w:tcBorders>
              <w:top w:val="nil"/>
              <w:bottom w:val="nil"/>
            </w:tcBorders>
            <w:shd w:val="clear" w:color="auto" w:fill="D9D9D9"/>
            <w:vAlign w:val="center"/>
          </w:tcPr>
          <w:p w14:paraId="178C13F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0.13</w:t>
            </w:r>
          </w:p>
        </w:tc>
        <w:tc>
          <w:tcPr>
            <w:tcW w:w="725" w:type="dxa"/>
            <w:shd w:val="clear" w:color="auto" w:fill="auto"/>
            <w:vAlign w:val="center"/>
          </w:tcPr>
          <w:p w14:paraId="73E594C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bottom w:val="nil"/>
            </w:tcBorders>
            <w:shd w:val="clear" w:color="auto" w:fill="D9D9D9"/>
            <w:vAlign w:val="center"/>
          </w:tcPr>
          <w:p w14:paraId="498AB2F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shd w:val="clear" w:color="auto" w:fill="auto"/>
            <w:noWrap/>
            <w:vAlign w:val="center"/>
          </w:tcPr>
          <w:p w14:paraId="6901CCC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bottom w:val="nil"/>
            </w:tcBorders>
            <w:shd w:val="clear" w:color="auto" w:fill="D9D9D9"/>
            <w:vAlign w:val="center"/>
          </w:tcPr>
          <w:p w14:paraId="05190C7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shd w:val="clear" w:color="auto" w:fill="auto"/>
            <w:noWrap/>
            <w:vAlign w:val="center"/>
          </w:tcPr>
          <w:p w14:paraId="2CFEF5F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6.00</w:t>
            </w:r>
          </w:p>
        </w:tc>
        <w:tc>
          <w:tcPr>
            <w:tcW w:w="725" w:type="dxa"/>
            <w:tcBorders>
              <w:top w:val="nil"/>
              <w:bottom w:val="nil"/>
            </w:tcBorders>
            <w:shd w:val="clear" w:color="auto" w:fill="D9D9D9"/>
            <w:vAlign w:val="center"/>
          </w:tcPr>
          <w:p w14:paraId="4C2FA17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shd w:val="clear" w:color="auto" w:fill="auto"/>
            <w:noWrap/>
            <w:vAlign w:val="center"/>
          </w:tcPr>
          <w:p w14:paraId="5A51E8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-0.57</w:t>
            </w:r>
          </w:p>
        </w:tc>
        <w:tc>
          <w:tcPr>
            <w:tcW w:w="725" w:type="dxa"/>
            <w:tcBorders>
              <w:top w:val="nil"/>
              <w:bottom w:val="nil"/>
            </w:tcBorders>
            <w:shd w:val="clear" w:color="auto" w:fill="D9D9D9"/>
            <w:vAlign w:val="center"/>
          </w:tcPr>
          <w:p w14:paraId="134AF52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-0.33</w:t>
            </w:r>
          </w:p>
        </w:tc>
        <w:tc>
          <w:tcPr>
            <w:tcW w:w="725" w:type="dxa"/>
            <w:gridSpan w:val="2"/>
            <w:shd w:val="clear" w:color="auto" w:fill="auto"/>
            <w:noWrap/>
            <w:vAlign w:val="center"/>
          </w:tcPr>
          <w:p w14:paraId="3DAA83D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-0.34</w:t>
            </w:r>
          </w:p>
        </w:tc>
        <w:tc>
          <w:tcPr>
            <w:tcW w:w="730" w:type="dxa"/>
            <w:tcBorders>
              <w:top w:val="nil"/>
              <w:bottom w:val="nil"/>
            </w:tcBorders>
            <w:shd w:val="clear" w:color="auto" w:fill="D9D9D9"/>
            <w:vAlign w:val="center"/>
          </w:tcPr>
          <w:p w14:paraId="5190F0A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0.85</w:t>
            </w:r>
          </w:p>
        </w:tc>
      </w:tr>
      <w:tr w:rsidR="00E6060C" w:rsidRPr="00E6060C" w14:paraId="35C884A3" w14:textId="77777777" w:rsidTr="0035035C">
        <w:trPr>
          <w:trHeight w:val="482"/>
        </w:trPr>
        <w:tc>
          <w:tcPr>
            <w:tcW w:w="1558" w:type="dxa"/>
            <w:shd w:val="clear" w:color="auto" w:fill="auto"/>
            <w:vAlign w:val="center"/>
          </w:tcPr>
          <w:p w14:paraId="30EBB63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Manager</w:t>
            </w:r>
          </w:p>
        </w:tc>
        <w:tc>
          <w:tcPr>
            <w:tcW w:w="723" w:type="dxa"/>
            <w:shd w:val="clear" w:color="auto" w:fill="auto"/>
            <w:noWrap/>
            <w:vAlign w:val="center"/>
          </w:tcPr>
          <w:p w14:paraId="5DBB6A5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59</w:t>
            </w:r>
          </w:p>
        </w:tc>
        <w:tc>
          <w:tcPr>
            <w:tcW w:w="723" w:type="dxa"/>
            <w:gridSpan w:val="2"/>
            <w:shd w:val="clear" w:color="auto" w:fill="D9D9D9"/>
            <w:vAlign w:val="center"/>
          </w:tcPr>
          <w:p w14:paraId="79ECB66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101</w:t>
            </w:r>
          </w:p>
        </w:tc>
        <w:tc>
          <w:tcPr>
            <w:tcW w:w="725" w:type="dxa"/>
            <w:shd w:val="clear" w:color="auto" w:fill="auto"/>
            <w:noWrap/>
            <w:vAlign w:val="center"/>
          </w:tcPr>
          <w:p w14:paraId="091E32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0.46</w:t>
            </w:r>
          </w:p>
        </w:tc>
        <w:tc>
          <w:tcPr>
            <w:tcW w:w="724" w:type="dxa"/>
            <w:gridSpan w:val="2"/>
            <w:tcBorders>
              <w:top w:val="nil"/>
              <w:bottom w:val="nil"/>
            </w:tcBorders>
            <w:shd w:val="clear" w:color="auto" w:fill="D9D9D9"/>
            <w:vAlign w:val="center"/>
          </w:tcPr>
          <w:p w14:paraId="66847BC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0.38</w:t>
            </w:r>
          </w:p>
        </w:tc>
        <w:tc>
          <w:tcPr>
            <w:tcW w:w="725" w:type="dxa"/>
            <w:shd w:val="clear" w:color="auto" w:fill="auto"/>
            <w:noWrap/>
            <w:vAlign w:val="center"/>
          </w:tcPr>
          <w:p w14:paraId="038D06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0.50</w:t>
            </w:r>
          </w:p>
        </w:tc>
        <w:tc>
          <w:tcPr>
            <w:tcW w:w="725" w:type="dxa"/>
            <w:gridSpan w:val="2"/>
            <w:tcBorders>
              <w:top w:val="nil"/>
              <w:bottom w:val="nil"/>
            </w:tcBorders>
            <w:shd w:val="clear" w:color="auto" w:fill="D9D9D9"/>
            <w:vAlign w:val="center"/>
          </w:tcPr>
          <w:p w14:paraId="5440AB0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0.49</w:t>
            </w:r>
          </w:p>
        </w:tc>
        <w:tc>
          <w:tcPr>
            <w:tcW w:w="725" w:type="dxa"/>
            <w:shd w:val="clear" w:color="auto" w:fill="auto"/>
            <w:noWrap/>
            <w:vAlign w:val="center"/>
          </w:tcPr>
          <w:p w14:paraId="4FEE360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0.07</w:t>
            </w:r>
          </w:p>
        </w:tc>
        <w:tc>
          <w:tcPr>
            <w:tcW w:w="724" w:type="dxa"/>
            <w:gridSpan w:val="2"/>
            <w:tcBorders>
              <w:top w:val="nil"/>
              <w:bottom w:val="nil"/>
            </w:tcBorders>
            <w:shd w:val="clear" w:color="auto" w:fill="D9D9D9"/>
            <w:vAlign w:val="center"/>
          </w:tcPr>
          <w:p w14:paraId="009ADE5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0.05</w:t>
            </w:r>
          </w:p>
        </w:tc>
        <w:tc>
          <w:tcPr>
            <w:tcW w:w="725" w:type="dxa"/>
            <w:shd w:val="clear" w:color="auto" w:fill="auto"/>
            <w:vAlign w:val="center"/>
          </w:tcPr>
          <w:p w14:paraId="505093D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gridSpan w:val="2"/>
            <w:tcBorders>
              <w:top w:val="nil"/>
              <w:bottom w:val="nil"/>
            </w:tcBorders>
            <w:shd w:val="clear" w:color="auto" w:fill="D9D9D9"/>
            <w:vAlign w:val="center"/>
          </w:tcPr>
          <w:p w14:paraId="3E453A1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4" w:type="dxa"/>
            <w:shd w:val="clear" w:color="auto" w:fill="auto"/>
            <w:noWrap/>
            <w:vAlign w:val="center"/>
          </w:tcPr>
          <w:p w14:paraId="00D32BA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bottom w:val="nil"/>
            </w:tcBorders>
            <w:shd w:val="clear" w:color="auto" w:fill="D9D9D9"/>
            <w:vAlign w:val="center"/>
          </w:tcPr>
          <w:p w14:paraId="403E533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shd w:val="clear" w:color="auto" w:fill="auto"/>
            <w:noWrap/>
            <w:vAlign w:val="center"/>
          </w:tcPr>
          <w:p w14:paraId="320B9C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tcBorders>
              <w:top w:val="nil"/>
              <w:bottom w:val="nil"/>
            </w:tcBorders>
            <w:shd w:val="clear" w:color="auto" w:fill="D9D9D9"/>
            <w:vAlign w:val="center"/>
          </w:tcPr>
          <w:p w14:paraId="02793A0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4" w:type="dxa"/>
            <w:shd w:val="clear" w:color="auto" w:fill="auto"/>
            <w:noWrap/>
            <w:vAlign w:val="center"/>
          </w:tcPr>
          <w:p w14:paraId="7FB3ED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0.18</w:t>
            </w:r>
          </w:p>
        </w:tc>
        <w:tc>
          <w:tcPr>
            <w:tcW w:w="725" w:type="dxa"/>
            <w:tcBorders>
              <w:top w:val="nil"/>
              <w:bottom w:val="nil"/>
            </w:tcBorders>
            <w:shd w:val="clear" w:color="auto" w:fill="D9D9D9"/>
            <w:vAlign w:val="center"/>
          </w:tcPr>
          <w:p w14:paraId="34ABCC0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0.52</w:t>
            </w:r>
          </w:p>
        </w:tc>
        <w:tc>
          <w:tcPr>
            <w:tcW w:w="725" w:type="dxa"/>
            <w:gridSpan w:val="2"/>
            <w:shd w:val="clear" w:color="auto" w:fill="auto"/>
            <w:noWrap/>
            <w:vAlign w:val="center"/>
          </w:tcPr>
          <w:p w14:paraId="3DBF08A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-2.04</w:t>
            </w:r>
          </w:p>
        </w:tc>
        <w:tc>
          <w:tcPr>
            <w:tcW w:w="730" w:type="dxa"/>
            <w:tcBorders>
              <w:top w:val="nil"/>
              <w:bottom w:val="nil"/>
            </w:tcBorders>
            <w:shd w:val="clear" w:color="auto" w:fill="D9D9D9"/>
            <w:vAlign w:val="center"/>
          </w:tcPr>
          <w:p w14:paraId="64BCB06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-1.77</w:t>
            </w:r>
          </w:p>
        </w:tc>
      </w:tr>
      <w:tr w:rsidR="00E6060C" w:rsidRPr="00E6060C" w14:paraId="550CDE12" w14:textId="77777777" w:rsidTr="0035035C">
        <w:trPr>
          <w:trHeight w:val="482"/>
        </w:trPr>
        <w:tc>
          <w:tcPr>
            <w:tcW w:w="1558" w:type="dxa"/>
            <w:shd w:val="clear" w:color="auto" w:fill="auto"/>
            <w:vAlign w:val="center"/>
          </w:tcPr>
          <w:p w14:paraId="6895288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FT/PT</w:t>
            </w:r>
          </w:p>
        </w:tc>
        <w:tc>
          <w:tcPr>
            <w:tcW w:w="723" w:type="dxa"/>
            <w:shd w:val="clear" w:color="auto" w:fill="auto"/>
            <w:noWrap/>
            <w:vAlign w:val="center"/>
          </w:tcPr>
          <w:p w14:paraId="3D4159B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723" w:type="dxa"/>
            <w:gridSpan w:val="2"/>
            <w:shd w:val="clear" w:color="auto" w:fill="D9D9D9"/>
            <w:vAlign w:val="center"/>
          </w:tcPr>
          <w:p w14:paraId="0F1B15E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111</w:t>
            </w:r>
          </w:p>
        </w:tc>
        <w:tc>
          <w:tcPr>
            <w:tcW w:w="725" w:type="dxa"/>
            <w:shd w:val="clear" w:color="auto" w:fill="auto"/>
            <w:noWrap/>
            <w:vAlign w:val="center"/>
          </w:tcPr>
          <w:p w14:paraId="1D22F0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0.76</w:t>
            </w:r>
          </w:p>
        </w:tc>
        <w:tc>
          <w:tcPr>
            <w:tcW w:w="724" w:type="dxa"/>
            <w:gridSpan w:val="2"/>
            <w:tcBorders>
              <w:top w:val="nil"/>
              <w:bottom w:val="single" w:sz="4" w:space="0" w:color="auto"/>
            </w:tcBorders>
            <w:shd w:val="clear" w:color="auto" w:fill="D9D9D9"/>
            <w:vAlign w:val="center"/>
          </w:tcPr>
          <w:p w14:paraId="607C5AF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0.72</w:t>
            </w:r>
          </w:p>
        </w:tc>
        <w:tc>
          <w:tcPr>
            <w:tcW w:w="725" w:type="dxa"/>
            <w:shd w:val="clear" w:color="auto" w:fill="auto"/>
            <w:noWrap/>
            <w:vAlign w:val="center"/>
          </w:tcPr>
          <w:p w14:paraId="1DBB5B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0.43</w:t>
            </w:r>
          </w:p>
        </w:tc>
        <w:tc>
          <w:tcPr>
            <w:tcW w:w="725" w:type="dxa"/>
            <w:gridSpan w:val="2"/>
            <w:tcBorders>
              <w:top w:val="nil"/>
              <w:bottom w:val="single" w:sz="4" w:space="0" w:color="auto"/>
            </w:tcBorders>
            <w:shd w:val="clear" w:color="auto" w:fill="D9D9D9"/>
            <w:vAlign w:val="center"/>
          </w:tcPr>
          <w:p w14:paraId="37A1C67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0.45</w:t>
            </w:r>
          </w:p>
        </w:tc>
        <w:tc>
          <w:tcPr>
            <w:tcW w:w="725" w:type="dxa"/>
            <w:shd w:val="clear" w:color="auto" w:fill="auto"/>
            <w:noWrap/>
            <w:vAlign w:val="center"/>
          </w:tcPr>
          <w:p w14:paraId="54477F8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0.05</w:t>
            </w:r>
          </w:p>
        </w:tc>
        <w:tc>
          <w:tcPr>
            <w:tcW w:w="724" w:type="dxa"/>
            <w:gridSpan w:val="2"/>
            <w:tcBorders>
              <w:top w:val="nil"/>
              <w:bottom w:val="single" w:sz="4" w:space="0" w:color="auto"/>
            </w:tcBorders>
            <w:shd w:val="clear" w:color="auto" w:fill="D9D9D9"/>
            <w:vAlign w:val="center"/>
          </w:tcPr>
          <w:p w14:paraId="55F5002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0.04</w:t>
            </w:r>
          </w:p>
        </w:tc>
        <w:tc>
          <w:tcPr>
            <w:tcW w:w="725" w:type="dxa"/>
            <w:shd w:val="clear" w:color="auto" w:fill="auto"/>
            <w:vAlign w:val="center"/>
          </w:tcPr>
          <w:p w14:paraId="3314311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5" w:type="dxa"/>
            <w:gridSpan w:val="2"/>
            <w:tcBorders>
              <w:top w:val="nil"/>
              <w:bottom w:val="single" w:sz="4" w:space="0" w:color="auto"/>
            </w:tcBorders>
            <w:shd w:val="clear" w:color="auto" w:fill="D9D9D9"/>
            <w:vAlign w:val="center"/>
          </w:tcPr>
          <w:p w14:paraId="28ABED1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4" w:type="dxa"/>
            <w:shd w:val="clear" w:color="auto" w:fill="auto"/>
            <w:noWrap/>
            <w:vAlign w:val="center"/>
          </w:tcPr>
          <w:p w14:paraId="66B251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bottom w:val="single" w:sz="4" w:space="0" w:color="auto"/>
            </w:tcBorders>
            <w:shd w:val="clear" w:color="auto" w:fill="D9D9D9"/>
            <w:vAlign w:val="center"/>
          </w:tcPr>
          <w:p w14:paraId="61DA9D8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shd w:val="clear" w:color="auto" w:fill="auto"/>
            <w:noWrap/>
            <w:vAlign w:val="center"/>
          </w:tcPr>
          <w:p w14:paraId="1ADA422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tcBorders>
              <w:top w:val="nil"/>
              <w:bottom w:val="single" w:sz="4" w:space="0" w:color="auto"/>
            </w:tcBorders>
            <w:shd w:val="clear" w:color="auto" w:fill="D9D9D9"/>
            <w:vAlign w:val="center"/>
          </w:tcPr>
          <w:p w14:paraId="42287A2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4" w:type="dxa"/>
            <w:shd w:val="clear" w:color="auto" w:fill="auto"/>
            <w:noWrap/>
            <w:vAlign w:val="center"/>
          </w:tcPr>
          <w:p w14:paraId="25E4106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-1.26</w:t>
            </w:r>
          </w:p>
        </w:tc>
        <w:tc>
          <w:tcPr>
            <w:tcW w:w="725" w:type="dxa"/>
            <w:tcBorders>
              <w:top w:val="nil"/>
              <w:bottom w:val="single" w:sz="4" w:space="0" w:color="auto"/>
            </w:tcBorders>
            <w:shd w:val="clear" w:color="auto" w:fill="D9D9D9"/>
            <w:vAlign w:val="center"/>
          </w:tcPr>
          <w:p w14:paraId="3956032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gridSpan w:val="2"/>
            <w:shd w:val="clear" w:color="auto" w:fill="auto"/>
            <w:noWrap/>
            <w:vAlign w:val="center"/>
          </w:tcPr>
          <w:p w14:paraId="33C3D0C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-0.43</w:t>
            </w:r>
          </w:p>
        </w:tc>
        <w:tc>
          <w:tcPr>
            <w:tcW w:w="730" w:type="dxa"/>
            <w:tcBorders>
              <w:top w:val="nil"/>
              <w:bottom w:val="single" w:sz="4" w:space="0" w:color="auto"/>
            </w:tcBorders>
            <w:shd w:val="clear" w:color="auto" w:fill="D9D9D9"/>
            <w:vAlign w:val="center"/>
          </w:tcPr>
          <w:p w14:paraId="7A2E15F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-1.02</w:t>
            </w:r>
          </w:p>
        </w:tc>
      </w:tr>
    </w:tbl>
    <w:p w14:paraId="69B04DCD" w14:textId="59E9FF85" w:rsidR="00E6060C" w:rsidRPr="00E6060C" w:rsidRDefault="00E6060C" w:rsidP="00E6060C">
      <w:pPr>
        <w:spacing w:after="200" w:line="276" w:lineRule="auto"/>
        <w:rPr>
          <w:rFonts w:ascii="Calibri" w:eastAsia="Calibri" w:hAnsi="Calibri" w:cs="Times New Roman"/>
        </w:rPr>
      </w:pPr>
      <w:r w:rsidRPr="00E6060C">
        <w:rPr>
          <w:rFonts w:ascii="Calibri" w:eastAsia="Calibri" w:hAnsi="Calibri" w:cs="Times New Roman"/>
        </w:rPr>
        <w:t xml:space="preserve">Notes; N=number of respondents; </w:t>
      </w:r>
      <w:r w:rsidRPr="00E6060C">
        <w:rPr>
          <w:rFonts w:ascii="Calibri" w:eastAsia="Calibri" w:hAnsi="Calibri" w:cs="Times New Roman"/>
          <w:i/>
        </w:rPr>
        <w:t>SD</w:t>
      </w:r>
      <w:r w:rsidRPr="00E6060C">
        <w:rPr>
          <w:rFonts w:ascii="Calibri" w:eastAsia="Calibri" w:hAnsi="Calibri" w:cs="Times New Roman"/>
        </w:rPr>
        <w:t xml:space="preserve">=standard deviation of the mean; </w:t>
      </w:r>
      <w:r w:rsidRPr="00E6060C">
        <w:rPr>
          <w:rFonts w:ascii="Calibri" w:eastAsia="Calibri" w:hAnsi="Calibri" w:cs="Times New Roman"/>
          <w:i/>
        </w:rPr>
        <w:t>SE</w:t>
      </w:r>
      <w:r w:rsidRPr="00E6060C">
        <w:rPr>
          <w:rFonts w:ascii="Calibri" w:eastAsia="Calibri" w:hAnsi="Calibri" w:cs="Times New Roman"/>
        </w:rPr>
        <w:t>=standard error of the mean; Min=Minimum value; Max=Maximum value; C=Control group; I=Intervention group; Time qualified=length of time qualified as a nurse; Manager=whether or not the respondents managed employees</w:t>
      </w:r>
      <w:r w:rsidR="00BC34D0">
        <w:rPr>
          <w:rFonts w:ascii="Calibri" w:eastAsia="Calibri" w:hAnsi="Calibri" w:cs="Times New Roman"/>
        </w:rPr>
        <w:t>; FT/PT=full tim</w:t>
      </w:r>
      <w:r w:rsidR="00030B4D">
        <w:rPr>
          <w:rFonts w:ascii="Calibri" w:eastAsia="Calibri" w:hAnsi="Calibri" w:cs="Times New Roman"/>
        </w:rPr>
        <w:t>e/</w:t>
      </w:r>
      <w:r w:rsidR="00BC34D0">
        <w:rPr>
          <w:rFonts w:ascii="Calibri" w:eastAsia="Calibri" w:hAnsi="Calibri" w:cs="Times New Roman"/>
        </w:rPr>
        <w:t>part time</w:t>
      </w:r>
    </w:p>
    <w:p w14:paraId="2BA59594" w14:textId="77777777" w:rsidR="00E6060C" w:rsidRPr="00E6060C" w:rsidRDefault="00E6060C" w:rsidP="00E6060C">
      <w:pPr>
        <w:spacing w:after="200" w:line="276" w:lineRule="auto"/>
        <w:rPr>
          <w:rFonts w:ascii="Calibri" w:eastAsia="Calibri" w:hAnsi="Calibri" w:cs="Times New Roman"/>
        </w:rPr>
      </w:pPr>
    </w:p>
    <w:p w14:paraId="0A681C05" w14:textId="77777777" w:rsidR="00E6060C" w:rsidRPr="00E6060C" w:rsidRDefault="00E6060C" w:rsidP="00E6060C">
      <w:pPr>
        <w:spacing w:after="200" w:line="276" w:lineRule="auto"/>
        <w:rPr>
          <w:rFonts w:ascii="Calibri" w:eastAsia="Calibri" w:hAnsi="Calibri" w:cs="Times New Roman"/>
        </w:rPr>
      </w:pPr>
    </w:p>
    <w:p w14:paraId="5C065FF1" w14:textId="77777777" w:rsidR="00E6060C" w:rsidRPr="00E6060C" w:rsidRDefault="00E6060C" w:rsidP="00E6060C">
      <w:pPr>
        <w:spacing w:after="200" w:line="360" w:lineRule="auto"/>
        <w:contextualSpacing/>
        <w:rPr>
          <w:rFonts w:ascii="Calibri" w:eastAsia="Calibri" w:hAnsi="Calibri" w:cs="Times New Roman"/>
          <w:color w:val="000000"/>
        </w:rPr>
      </w:pPr>
    </w:p>
    <w:p w14:paraId="25562470" w14:textId="4E9A29F0" w:rsidR="0035035C" w:rsidRDefault="0035035C" w:rsidP="005852AD">
      <w:pPr>
        <w:pStyle w:val="Figurestyle"/>
      </w:pPr>
      <w:bookmarkStart w:id="399" w:name="_Ref453580772"/>
      <w:bookmarkStart w:id="400" w:name="_Toc468286077"/>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3</w:t>
      </w:r>
      <w:r w:rsidR="00245D68">
        <w:rPr>
          <w:noProof/>
        </w:rPr>
        <w:fldChar w:fldCharType="end"/>
      </w:r>
      <w:bookmarkEnd w:id="399"/>
      <w:r>
        <w:t xml:space="preserve"> </w:t>
      </w:r>
      <w:r w:rsidRPr="00132070">
        <w:t>Descriptive statistics of the demographics for those in the control and intervention groups who responded to the questionnaire at Time 2 (N=83)</w:t>
      </w:r>
      <w:bookmarkEnd w:id="400"/>
    </w:p>
    <w:p w14:paraId="1470D840" w14:textId="77777777" w:rsidR="0035035C" w:rsidRDefault="0035035C" w:rsidP="005852AD">
      <w:pPr>
        <w:pStyle w:val="Figurestyle"/>
      </w:pPr>
    </w:p>
    <w:tbl>
      <w:tblPr>
        <w:tblW w:w="14605" w:type="dxa"/>
        <w:tblBorders>
          <w:top w:val="single" w:sz="4" w:space="0" w:color="auto"/>
          <w:bottom w:val="single" w:sz="4" w:space="0" w:color="auto"/>
        </w:tblBorders>
        <w:tblLayout w:type="fixed"/>
        <w:tblLook w:val="04A0" w:firstRow="1" w:lastRow="0" w:firstColumn="1" w:lastColumn="0" w:noHBand="0" w:noVBand="1"/>
      </w:tblPr>
      <w:tblGrid>
        <w:gridCol w:w="1558"/>
        <w:gridCol w:w="723"/>
        <w:gridCol w:w="409"/>
        <w:gridCol w:w="314"/>
        <w:gridCol w:w="725"/>
        <w:gridCol w:w="454"/>
        <w:gridCol w:w="270"/>
        <w:gridCol w:w="725"/>
        <w:gridCol w:w="441"/>
        <w:gridCol w:w="284"/>
        <w:gridCol w:w="725"/>
        <w:gridCol w:w="331"/>
        <w:gridCol w:w="393"/>
        <w:gridCol w:w="725"/>
        <w:gridCol w:w="491"/>
        <w:gridCol w:w="234"/>
        <w:gridCol w:w="724"/>
        <w:gridCol w:w="627"/>
        <w:gridCol w:w="98"/>
        <w:gridCol w:w="725"/>
        <w:gridCol w:w="725"/>
        <w:gridCol w:w="724"/>
        <w:gridCol w:w="725"/>
        <w:gridCol w:w="19"/>
        <w:gridCol w:w="706"/>
        <w:gridCol w:w="730"/>
      </w:tblGrid>
      <w:tr w:rsidR="00E6060C" w:rsidRPr="00E6060C" w14:paraId="636C49AC" w14:textId="77777777" w:rsidTr="0035035C">
        <w:trPr>
          <w:trHeight w:val="286"/>
        </w:trPr>
        <w:tc>
          <w:tcPr>
            <w:tcW w:w="1558" w:type="dxa"/>
            <w:vMerge w:val="restart"/>
            <w:tcBorders>
              <w:top w:val="single" w:sz="4" w:space="0" w:color="auto"/>
              <w:bottom w:val="single" w:sz="4" w:space="0" w:color="auto"/>
            </w:tcBorders>
            <w:shd w:val="clear" w:color="auto" w:fill="auto"/>
            <w:hideMark/>
          </w:tcPr>
          <w:p w14:paraId="6ED9784B"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132" w:type="dxa"/>
            <w:gridSpan w:val="2"/>
            <w:tcBorders>
              <w:top w:val="single" w:sz="4" w:space="0" w:color="auto"/>
              <w:bottom w:val="single" w:sz="4" w:space="0" w:color="auto"/>
            </w:tcBorders>
            <w:shd w:val="clear" w:color="auto" w:fill="auto"/>
            <w:vAlign w:val="center"/>
            <w:hideMark/>
          </w:tcPr>
          <w:p w14:paraId="27E8B54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493" w:type="dxa"/>
            <w:gridSpan w:val="3"/>
            <w:tcBorders>
              <w:top w:val="single" w:sz="4" w:space="0" w:color="auto"/>
              <w:bottom w:val="single" w:sz="4" w:space="0" w:color="auto"/>
            </w:tcBorders>
            <w:shd w:val="clear" w:color="auto" w:fill="auto"/>
            <w:vAlign w:val="center"/>
            <w:hideMark/>
          </w:tcPr>
          <w:p w14:paraId="25804615" w14:textId="77777777" w:rsidR="00E6060C" w:rsidRPr="00E6060C" w:rsidRDefault="00E6060C" w:rsidP="00E6060C">
            <w:pPr>
              <w:spacing w:line="240" w:lineRule="auto"/>
              <w:jc w:val="center"/>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Mean</w:t>
            </w:r>
          </w:p>
        </w:tc>
        <w:tc>
          <w:tcPr>
            <w:tcW w:w="1436" w:type="dxa"/>
            <w:gridSpan w:val="3"/>
            <w:tcBorders>
              <w:top w:val="single" w:sz="4" w:space="0" w:color="auto"/>
              <w:bottom w:val="single" w:sz="4" w:space="0" w:color="auto"/>
            </w:tcBorders>
            <w:shd w:val="clear" w:color="auto" w:fill="auto"/>
            <w:vAlign w:val="center"/>
            <w:hideMark/>
          </w:tcPr>
          <w:p w14:paraId="450D57D0"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3"/>
            <w:tcBorders>
              <w:top w:val="single" w:sz="4" w:space="0" w:color="auto"/>
              <w:bottom w:val="single" w:sz="4" w:space="0" w:color="auto"/>
            </w:tcBorders>
            <w:shd w:val="clear" w:color="auto" w:fill="auto"/>
            <w:vAlign w:val="center"/>
            <w:hideMark/>
          </w:tcPr>
          <w:p w14:paraId="2BEEABA4"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609" w:type="dxa"/>
            <w:gridSpan w:val="3"/>
            <w:tcBorders>
              <w:top w:val="single" w:sz="4" w:space="0" w:color="auto"/>
              <w:bottom w:val="single" w:sz="4" w:space="0" w:color="auto"/>
            </w:tcBorders>
          </w:tcPr>
          <w:p w14:paraId="7E3B8DB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1585" w:type="dxa"/>
            <w:gridSpan w:val="3"/>
            <w:tcBorders>
              <w:top w:val="single" w:sz="4" w:space="0" w:color="auto"/>
              <w:bottom w:val="single" w:sz="4" w:space="0" w:color="auto"/>
            </w:tcBorders>
            <w:shd w:val="clear" w:color="auto" w:fill="auto"/>
            <w:vAlign w:val="center"/>
            <w:hideMark/>
          </w:tcPr>
          <w:p w14:paraId="4DB7945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48" w:type="dxa"/>
            <w:gridSpan w:val="3"/>
            <w:tcBorders>
              <w:top w:val="single" w:sz="4" w:space="0" w:color="auto"/>
              <w:bottom w:val="single" w:sz="4" w:space="0" w:color="auto"/>
            </w:tcBorders>
            <w:shd w:val="clear" w:color="auto" w:fill="auto"/>
            <w:vAlign w:val="center"/>
            <w:hideMark/>
          </w:tcPr>
          <w:p w14:paraId="16C2D41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8" w:type="dxa"/>
            <w:gridSpan w:val="3"/>
            <w:tcBorders>
              <w:top w:val="single" w:sz="4" w:space="0" w:color="auto"/>
              <w:bottom w:val="single" w:sz="4" w:space="0" w:color="auto"/>
            </w:tcBorders>
            <w:shd w:val="clear" w:color="auto" w:fill="auto"/>
            <w:vAlign w:val="center"/>
            <w:hideMark/>
          </w:tcPr>
          <w:p w14:paraId="4B4FC50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436" w:type="dxa"/>
            <w:gridSpan w:val="2"/>
            <w:tcBorders>
              <w:top w:val="single" w:sz="4" w:space="0" w:color="auto"/>
              <w:bottom w:val="single" w:sz="4" w:space="0" w:color="auto"/>
            </w:tcBorders>
            <w:shd w:val="clear" w:color="auto" w:fill="auto"/>
            <w:vAlign w:val="center"/>
            <w:hideMark/>
          </w:tcPr>
          <w:p w14:paraId="4E45B63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7397814F" w14:textId="77777777" w:rsidTr="0035035C">
        <w:trPr>
          <w:trHeight w:val="286"/>
        </w:trPr>
        <w:tc>
          <w:tcPr>
            <w:tcW w:w="1558" w:type="dxa"/>
            <w:vMerge/>
            <w:tcBorders>
              <w:top w:val="single" w:sz="4" w:space="0" w:color="auto"/>
              <w:bottom w:val="single" w:sz="4" w:space="0" w:color="auto"/>
            </w:tcBorders>
            <w:shd w:val="clear" w:color="auto" w:fill="auto"/>
            <w:vAlign w:val="center"/>
            <w:hideMark/>
          </w:tcPr>
          <w:p w14:paraId="4C5348B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723" w:type="dxa"/>
            <w:tcBorders>
              <w:top w:val="single" w:sz="4" w:space="0" w:color="auto"/>
              <w:bottom w:val="single" w:sz="4" w:space="0" w:color="auto"/>
            </w:tcBorders>
            <w:shd w:val="clear" w:color="auto" w:fill="auto"/>
            <w:vAlign w:val="center"/>
            <w:hideMark/>
          </w:tcPr>
          <w:p w14:paraId="321875C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3" w:type="dxa"/>
            <w:gridSpan w:val="2"/>
            <w:tcBorders>
              <w:top w:val="single" w:sz="4" w:space="0" w:color="auto"/>
              <w:bottom w:val="single" w:sz="4" w:space="0" w:color="auto"/>
            </w:tcBorders>
            <w:shd w:val="clear" w:color="auto" w:fill="D9D9D9"/>
            <w:vAlign w:val="center"/>
          </w:tcPr>
          <w:p w14:paraId="6F6B5E6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0512ADE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38A742A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03B3D2B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24A6664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1EADADE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07F5F63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vAlign w:val="center"/>
          </w:tcPr>
          <w:p w14:paraId="01F2D69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5C1F7DC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3F291F1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279AF0D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7E15BA5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2299DCA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03B34FC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1108865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gridSpan w:val="2"/>
            <w:tcBorders>
              <w:top w:val="single" w:sz="4" w:space="0" w:color="auto"/>
              <w:bottom w:val="single" w:sz="4" w:space="0" w:color="auto"/>
            </w:tcBorders>
            <w:shd w:val="clear" w:color="auto" w:fill="auto"/>
            <w:vAlign w:val="center"/>
            <w:hideMark/>
          </w:tcPr>
          <w:p w14:paraId="0F15C96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30" w:type="dxa"/>
            <w:tcBorders>
              <w:top w:val="single" w:sz="4" w:space="0" w:color="auto"/>
              <w:bottom w:val="single" w:sz="4" w:space="0" w:color="auto"/>
            </w:tcBorders>
            <w:shd w:val="clear" w:color="auto" w:fill="D9D9D9"/>
            <w:vAlign w:val="center"/>
          </w:tcPr>
          <w:p w14:paraId="51DBAD6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r>
      <w:tr w:rsidR="00E6060C" w:rsidRPr="00E6060C" w14:paraId="7352A254" w14:textId="77777777" w:rsidTr="0035035C">
        <w:trPr>
          <w:trHeight w:val="327"/>
        </w:trPr>
        <w:tc>
          <w:tcPr>
            <w:tcW w:w="1558" w:type="dxa"/>
            <w:tcBorders>
              <w:top w:val="single" w:sz="4" w:space="0" w:color="auto"/>
            </w:tcBorders>
            <w:shd w:val="clear" w:color="auto" w:fill="auto"/>
            <w:vAlign w:val="center"/>
          </w:tcPr>
          <w:p w14:paraId="1648A57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Gender</w:t>
            </w:r>
          </w:p>
        </w:tc>
        <w:tc>
          <w:tcPr>
            <w:tcW w:w="723" w:type="dxa"/>
            <w:tcBorders>
              <w:top w:val="nil"/>
              <w:left w:val="nil"/>
              <w:bottom w:val="nil"/>
              <w:right w:val="nil"/>
            </w:tcBorders>
            <w:shd w:val="clear" w:color="auto" w:fill="auto"/>
            <w:noWrap/>
            <w:vAlign w:val="center"/>
          </w:tcPr>
          <w:p w14:paraId="7BFFAFB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38</w:t>
            </w:r>
          </w:p>
        </w:tc>
        <w:tc>
          <w:tcPr>
            <w:tcW w:w="723" w:type="dxa"/>
            <w:gridSpan w:val="2"/>
            <w:tcBorders>
              <w:top w:val="single" w:sz="4" w:space="0" w:color="auto"/>
              <w:left w:val="nil"/>
              <w:bottom w:val="nil"/>
              <w:right w:val="nil"/>
            </w:tcBorders>
            <w:shd w:val="clear" w:color="auto" w:fill="D9D9D9"/>
            <w:vAlign w:val="center"/>
          </w:tcPr>
          <w:p w14:paraId="1B04431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42</w:t>
            </w:r>
          </w:p>
        </w:tc>
        <w:tc>
          <w:tcPr>
            <w:tcW w:w="725" w:type="dxa"/>
            <w:tcBorders>
              <w:top w:val="nil"/>
              <w:left w:val="nil"/>
              <w:bottom w:val="nil"/>
              <w:right w:val="nil"/>
            </w:tcBorders>
            <w:shd w:val="clear" w:color="auto" w:fill="auto"/>
            <w:noWrap/>
            <w:vAlign w:val="center"/>
          </w:tcPr>
          <w:p w14:paraId="0D8E93E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4" w:type="dxa"/>
            <w:gridSpan w:val="2"/>
            <w:tcBorders>
              <w:top w:val="single" w:sz="4" w:space="0" w:color="auto"/>
              <w:left w:val="nil"/>
              <w:bottom w:val="nil"/>
              <w:right w:val="nil"/>
            </w:tcBorders>
            <w:shd w:val="clear" w:color="auto" w:fill="D9D9D9"/>
            <w:vAlign w:val="center"/>
          </w:tcPr>
          <w:p w14:paraId="31CD213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0.12</w:t>
            </w:r>
          </w:p>
        </w:tc>
        <w:tc>
          <w:tcPr>
            <w:tcW w:w="725" w:type="dxa"/>
            <w:tcBorders>
              <w:top w:val="nil"/>
              <w:left w:val="nil"/>
              <w:bottom w:val="nil"/>
              <w:right w:val="nil"/>
            </w:tcBorders>
            <w:shd w:val="clear" w:color="auto" w:fill="auto"/>
            <w:noWrap/>
            <w:vAlign w:val="center"/>
          </w:tcPr>
          <w:p w14:paraId="2580377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gridSpan w:val="2"/>
            <w:tcBorders>
              <w:top w:val="single" w:sz="4" w:space="0" w:color="auto"/>
              <w:left w:val="nil"/>
              <w:bottom w:val="nil"/>
              <w:right w:val="nil"/>
            </w:tcBorders>
            <w:shd w:val="clear" w:color="auto" w:fill="D9D9D9"/>
            <w:vAlign w:val="center"/>
          </w:tcPr>
          <w:p w14:paraId="42DB923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0.33</w:t>
            </w:r>
          </w:p>
        </w:tc>
        <w:tc>
          <w:tcPr>
            <w:tcW w:w="725" w:type="dxa"/>
            <w:tcBorders>
              <w:top w:val="nil"/>
              <w:left w:val="nil"/>
              <w:bottom w:val="nil"/>
              <w:right w:val="nil"/>
            </w:tcBorders>
            <w:shd w:val="clear" w:color="auto" w:fill="auto"/>
            <w:noWrap/>
            <w:vAlign w:val="center"/>
          </w:tcPr>
          <w:p w14:paraId="7C85093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4" w:type="dxa"/>
            <w:gridSpan w:val="2"/>
            <w:tcBorders>
              <w:top w:val="single" w:sz="4" w:space="0" w:color="auto"/>
              <w:left w:val="nil"/>
              <w:bottom w:val="nil"/>
              <w:right w:val="nil"/>
            </w:tcBorders>
            <w:shd w:val="clear" w:color="auto" w:fill="D9D9D9"/>
            <w:vAlign w:val="center"/>
          </w:tcPr>
          <w:p w14:paraId="16C0716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0.05</w:t>
            </w:r>
          </w:p>
        </w:tc>
        <w:tc>
          <w:tcPr>
            <w:tcW w:w="725" w:type="dxa"/>
            <w:tcBorders>
              <w:top w:val="nil"/>
              <w:left w:val="nil"/>
              <w:bottom w:val="nil"/>
              <w:right w:val="nil"/>
            </w:tcBorders>
            <w:shd w:val="clear" w:color="auto" w:fill="auto"/>
            <w:vAlign w:val="center"/>
          </w:tcPr>
          <w:p w14:paraId="6FCA78C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gridSpan w:val="2"/>
            <w:tcBorders>
              <w:top w:val="single" w:sz="4" w:space="0" w:color="auto"/>
              <w:left w:val="nil"/>
              <w:bottom w:val="nil"/>
              <w:right w:val="nil"/>
            </w:tcBorders>
            <w:shd w:val="clear" w:color="auto" w:fill="D9D9D9"/>
            <w:vAlign w:val="center"/>
          </w:tcPr>
          <w:p w14:paraId="4587F1F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4" w:type="dxa"/>
            <w:tcBorders>
              <w:top w:val="nil"/>
              <w:left w:val="nil"/>
              <w:bottom w:val="nil"/>
              <w:right w:val="nil"/>
            </w:tcBorders>
            <w:shd w:val="clear" w:color="auto" w:fill="auto"/>
            <w:noWrap/>
            <w:vAlign w:val="center"/>
          </w:tcPr>
          <w:p w14:paraId="0B594C0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gridSpan w:val="2"/>
            <w:tcBorders>
              <w:top w:val="single" w:sz="4" w:space="0" w:color="auto"/>
              <w:left w:val="nil"/>
              <w:bottom w:val="nil"/>
              <w:right w:val="nil"/>
            </w:tcBorders>
            <w:shd w:val="clear" w:color="auto" w:fill="D9D9D9"/>
            <w:vAlign w:val="center"/>
          </w:tcPr>
          <w:p w14:paraId="7BC7234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tcBorders>
              <w:top w:val="nil"/>
              <w:left w:val="nil"/>
              <w:bottom w:val="nil"/>
              <w:right w:val="nil"/>
            </w:tcBorders>
            <w:shd w:val="clear" w:color="auto" w:fill="auto"/>
            <w:noWrap/>
            <w:vAlign w:val="center"/>
          </w:tcPr>
          <w:p w14:paraId="21A0459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5" w:type="dxa"/>
            <w:tcBorders>
              <w:top w:val="single" w:sz="4" w:space="0" w:color="auto"/>
              <w:left w:val="nil"/>
              <w:bottom w:val="nil"/>
              <w:right w:val="nil"/>
            </w:tcBorders>
            <w:shd w:val="clear" w:color="auto" w:fill="D9D9D9"/>
            <w:vAlign w:val="center"/>
          </w:tcPr>
          <w:p w14:paraId="1C9B592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4" w:type="dxa"/>
            <w:tcBorders>
              <w:top w:val="nil"/>
              <w:left w:val="nil"/>
              <w:bottom w:val="nil"/>
              <w:right w:val="nil"/>
            </w:tcBorders>
            <w:shd w:val="clear" w:color="auto" w:fill="auto"/>
            <w:noWrap/>
            <w:vAlign w:val="center"/>
          </w:tcPr>
          <w:p w14:paraId="0EB7DAB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w:t>
            </w:r>
          </w:p>
        </w:tc>
        <w:tc>
          <w:tcPr>
            <w:tcW w:w="725" w:type="dxa"/>
            <w:tcBorders>
              <w:top w:val="single" w:sz="4" w:space="0" w:color="auto"/>
              <w:left w:val="nil"/>
              <w:bottom w:val="nil"/>
              <w:right w:val="nil"/>
            </w:tcBorders>
            <w:shd w:val="clear" w:color="auto" w:fill="D9D9D9"/>
            <w:vAlign w:val="center"/>
          </w:tcPr>
          <w:p w14:paraId="3E4ED5D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2.44</w:t>
            </w:r>
          </w:p>
        </w:tc>
        <w:tc>
          <w:tcPr>
            <w:tcW w:w="725" w:type="dxa"/>
            <w:gridSpan w:val="2"/>
            <w:tcBorders>
              <w:top w:val="nil"/>
              <w:left w:val="nil"/>
              <w:bottom w:val="nil"/>
              <w:right w:val="nil"/>
            </w:tcBorders>
            <w:shd w:val="clear" w:color="auto" w:fill="auto"/>
            <w:noWrap/>
            <w:vAlign w:val="center"/>
          </w:tcPr>
          <w:p w14:paraId="716E120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w:t>
            </w:r>
          </w:p>
        </w:tc>
        <w:tc>
          <w:tcPr>
            <w:tcW w:w="730" w:type="dxa"/>
            <w:tcBorders>
              <w:top w:val="single" w:sz="4" w:space="0" w:color="auto"/>
              <w:left w:val="nil"/>
              <w:bottom w:val="nil"/>
              <w:right w:val="nil"/>
            </w:tcBorders>
            <w:shd w:val="clear" w:color="auto" w:fill="D9D9D9"/>
            <w:vAlign w:val="center"/>
          </w:tcPr>
          <w:p w14:paraId="26B7C6C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4.15</w:t>
            </w:r>
          </w:p>
        </w:tc>
      </w:tr>
      <w:tr w:rsidR="00E6060C" w:rsidRPr="00E6060C" w14:paraId="7BECD4E1" w14:textId="77777777" w:rsidTr="0035035C">
        <w:trPr>
          <w:trHeight w:val="482"/>
        </w:trPr>
        <w:tc>
          <w:tcPr>
            <w:tcW w:w="1558" w:type="dxa"/>
            <w:shd w:val="clear" w:color="auto" w:fill="auto"/>
            <w:vAlign w:val="center"/>
          </w:tcPr>
          <w:p w14:paraId="442A540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Age (yrs)</w:t>
            </w:r>
          </w:p>
        </w:tc>
        <w:tc>
          <w:tcPr>
            <w:tcW w:w="723" w:type="dxa"/>
            <w:tcBorders>
              <w:top w:val="nil"/>
              <w:left w:val="nil"/>
              <w:bottom w:val="nil"/>
              <w:right w:val="nil"/>
            </w:tcBorders>
            <w:shd w:val="clear" w:color="auto" w:fill="auto"/>
            <w:noWrap/>
            <w:vAlign w:val="center"/>
          </w:tcPr>
          <w:p w14:paraId="26E6260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w:t>
            </w:r>
          </w:p>
        </w:tc>
        <w:tc>
          <w:tcPr>
            <w:tcW w:w="723" w:type="dxa"/>
            <w:gridSpan w:val="2"/>
            <w:tcBorders>
              <w:top w:val="nil"/>
              <w:left w:val="nil"/>
              <w:bottom w:val="nil"/>
              <w:right w:val="nil"/>
            </w:tcBorders>
            <w:shd w:val="clear" w:color="auto" w:fill="D9D9D9"/>
            <w:vAlign w:val="center"/>
          </w:tcPr>
          <w:p w14:paraId="664E793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nil"/>
              <w:right w:val="nil"/>
            </w:tcBorders>
            <w:shd w:val="clear" w:color="auto" w:fill="auto"/>
            <w:noWrap/>
            <w:vAlign w:val="center"/>
          </w:tcPr>
          <w:p w14:paraId="6B8D318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38.86</w:t>
            </w:r>
          </w:p>
        </w:tc>
        <w:tc>
          <w:tcPr>
            <w:tcW w:w="724" w:type="dxa"/>
            <w:gridSpan w:val="2"/>
            <w:tcBorders>
              <w:top w:val="nil"/>
              <w:left w:val="nil"/>
              <w:bottom w:val="nil"/>
              <w:right w:val="nil"/>
            </w:tcBorders>
            <w:shd w:val="clear" w:color="auto" w:fill="D9D9D9"/>
            <w:vAlign w:val="center"/>
          </w:tcPr>
          <w:p w14:paraId="22B2269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37.90</w:t>
            </w:r>
          </w:p>
        </w:tc>
        <w:tc>
          <w:tcPr>
            <w:tcW w:w="725" w:type="dxa"/>
            <w:tcBorders>
              <w:top w:val="nil"/>
              <w:left w:val="nil"/>
              <w:bottom w:val="nil"/>
              <w:right w:val="nil"/>
            </w:tcBorders>
            <w:shd w:val="clear" w:color="auto" w:fill="auto"/>
            <w:noWrap/>
            <w:vAlign w:val="center"/>
          </w:tcPr>
          <w:p w14:paraId="277F56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11.92</w:t>
            </w:r>
          </w:p>
        </w:tc>
        <w:tc>
          <w:tcPr>
            <w:tcW w:w="725" w:type="dxa"/>
            <w:gridSpan w:val="2"/>
            <w:tcBorders>
              <w:top w:val="nil"/>
              <w:left w:val="nil"/>
              <w:bottom w:val="nil"/>
              <w:right w:val="nil"/>
            </w:tcBorders>
            <w:shd w:val="clear" w:color="auto" w:fill="D9D9D9"/>
            <w:vAlign w:val="center"/>
          </w:tcPr>
          <w:p w14:paraId="5B1A0F0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10.59</w:t>
            </w:r>
          </w:p>
        </w:tc>
        <w:tc>
          <w:tcPr>
            <w:tcW w:w="725" w:type="dxa"/>
            <w:tcBorders>
              <w:top w:val="nil"/>
              <w:left w:val="nil"/>
              <w:bottom w:val="nil"/>
              <w:right w:val="nil"/>
            </w:tcBorders>
            <w:shd w:val="clear" w:color="auto" w:fill="auto"/>
            <w:noWrap/>
            <w:vAlign w:val="center"/>
          </w:tcPr>
          <w:p w14:paraId="11C07EF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1.99</w:t>
            </w:r>
          </w:p>
        </w:tc>
        <w:tc>
          <w:tcPr>
            <w:tcW w:w="724" w:type="dxa"/>
            <w:gridSpan w:val="2"/>
            <w:tcBorders>
              <w:top w:val="nil"/>
              <w:left w:val="nil"/>
              <w:bottom w:val="nil"/>
              <w:right w:val="nil"/>
            </w:tcBorders>
            <w:shd w:val="clear" w:color="auto" w:fill="D9D9D9"/>
            <w:vAlign w:val="center"/>
          </w:tcPr>
          <w:p w14:paraId="20D31B9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1.65</w:t>
            </w:r>
          </w:p>
        </w:tc>
        <w:tc>
          <w:tcPr>
            <w:tcW w:w="725" w:type="dxa"/>
            <w:tcBorders>
              <w:top w:val="nil"/>
              <w:left w:val="nil"/>
              <w:bottom w:val="nil"/>
              <w:right w:val="nil"/>
            </w:tcBorders>
            <w:shd w:val="clear" w:color="auto" w:fill="auto"/>
            <w:vAlign w:val="center"/>
          </w:tcPr>
          <w:p w14:paraId="5DD5B47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39.00</w:t>
            </w:r>
          </w:p>
        </w:tc>
        <w:tc>
          <w:tcPr>
            <w:tcW w:w="725" w:type="dxa"/>
            <w:gridSpan w:val="2"/>
            <w:tcBorders>
              <w:top w:val="nil"/>
              <w:left w:val="nil"/>
              <w:bottom w:val="nil"/>
              <w:right w:val="nil"/>
            </w:tcBorders>
            <w:shd w:val="clear" w:color="auto" w:fill="D9D9D9"/>
            <w:vAlign w:val="center"/>
          </w:tcPr>
          <w:p w14:paraId="6A7804F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36.00</w:t>
            </w:r>
          </w:p>
        </w:tc>
        <w:tc>
          <w:tcPr>
            <w:tcW w:w="724" w:type="dxa"/>
            <w:tcBorders>
              <w:top w:val="nil"/>
              <w:left w:val="nil"/>
              <w:bottom w:val="nil"/>
              <w:right w:val="nil"/>
            </w:tcBorders>
            <w:shd w:val="clear" w:color="auto" w:fill="auto"/>
            <w:noWrap/>
            <w:vAlign w:val="center"/>
          </w:tcPr>
          <w:p w14:paraId="1962DD6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20.00</w:t>
            </w:r>
          </w:p>
        </w:tc>
        <w:tc>
          <w:tcPr>
            <w:tcW w:w="725" w:type="dxa"/>
            <w:gridSpan w:val="2"/>
            <w:tcBorders>
              <w:top w:val="nil"/>
              <w:left w:val="nil"/>
              <w:bottom w:val="nil"/>
              <w:right w:val="nil"/>
            </w:tcBorders>
            <w:shd w:val="clear" w:color="auto" w:fill="D9D9D9"/>
            <w:vAlign w:val="center"/>
          </w:tcPr>
          <w:p w14:paraId="00D5A82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21.00</w:t>
            </w:r>
          </w:p>
        </w:tc>
        <w:tc>
          <w:tcPr>
            <w:tcW w:w="725" w:type="dxa"/>
            <w:tcBorders>
              <w:top w:val="nil"/>
              <w:left w:val="nil"/>
              <w:bottom w:val="nil"/>
              <w:right w:val="nil"/>
            </w:tcBorders>
            <w:shd w:val="clear" w:color="auto" w:fill="auto"/>
            <w:noWrap/>
            <w:vAlign w:val="center"/>
          </w:tcPr>
          <w:p w14:paraId="1FA13FF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58.00</w:t>
            </w:r>
          </w:p>
        </w:tc>
        <w:tc>
          <w:tcPr>
            <w:tcW w:w="725" w:type="dxa"/>
            <w:tcBorders>
              <w:top w:val="nil"/>
              <w:left w:val="nil"/>
              <w:bottom w:val="nil"/>
              <w:right w:val="nil"/>
            </w:tcBorders>
            <w:shd w:val="clear" w:color="auto" w:fill="D9D9D9"/>
            <w:vAlign w:val="center"/>
          </w:tcPr>
          <w:p w14:paraId="0820492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65.00</w:t>
            </w:r>
          </w:p>
        </w:tc>
        <w:tc>
          <w:tcPr>
            <w:tcW w:w="724" w:type="dxa"/>
            <w:tcBorders>
              <w:top w:val="nil"/>
              <w:left w:val="nil"/>
              <w:bottom w:val="nil"/>
              <w:right w:val="nil"/>
            </w:tcBorders>
            <w:shd w:val="clear" w:color="auto" w:fill="auto"/>
            <w:noWrap/>
            <w:vAlign w:val="center"/>
          </w:tcPr>
          <w:p w14:paraId="59A3B2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-0.09</w:t>
            </w:r>
          </w:p>
        </w:tc>
        <w:tc>
          <w:tcPr>
            <w:tcW w:w="725" w:type="dxa"/>
            <w:tcBorders>
              <w:top w:val="nil"/>
              <w:left w:val="nil"/>
              <w:bottom w:val="nil"/>
              <w:right w:val="nil"/>
            </w:tcBorders>
            <w:shd w:val="clear" w:color="auto" w:fill="D9D9D9"/>
            <w:vAlign w:val="center"/>
          </w:tcPr>
          <w:p w14:paraId="7801D45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0.72</w:t>
            </w:r>
          </w:p>
        </w:tc>
        <w:tc>
          <w:tcPr>
            <w:tcW w:w="725" w:type="dxa"/>
            <w:gridSpan w:val="2"/>
            <w:tcBorders>
              <w:top w:val="nil"/>
              <w:left w:val="nil"/>
              <w:bottom w:val="nil"/>
              <w:right w:val="nil"/>
            </w:tcBorders>
            <w:shd w:val="clear" w:color="auto" w:fill="auto"/>
            <w:noWrap/>
            <w:vAlign w:val="center"/>
          </w:tcPr>
          <w:p w14:paraId="793BAE4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-1.42</w:t>
            </w:r>
          </w:p>
        </w:tc>
        <w:tc>
          <w:tcPr>
            <w:tcW w:w="730" w:type="dxa"/>
            <w:tcBorders>
              <w:top w:val="nil"/>
              <w:left w:val="nil"/>
              <w:bottom w:val="nil"/>
              <w:right w:val="nil"/>
            </w:tcBorders>
            <w:shd w:val="clear" w:color="auto" w:fill="D9D9D9"/>
            <w:vAlign w:val="center"/>
          </w:tcPr>
          <w:p w14:paraId="019994C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0.21</w:t>
            </w:r>
          </w:p>
        </w:tc>
      </w:tr>
      <w:tr w:rsidR="00E6060C" w:rsidRPr="00E6060C" w14:paraId="77F47CFB" w14:textId="77777777" w:rsidTr="0035035C">
        <w:trPr>
          <w:trHeight w:val="482"/>
        </w:trPr>
        <w:tc>
          <w:tcPr>
            <w:tcW w:w="1558" w:type="dxa"/>
            <w:shd w:val="clear" w:color="auto" w:fill="auto"/>
            <w:vAlign w:val="center"/>
          </w:tcPr>
          <w:p w14:paraId="47AFA5F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Ward tenure (yrs)</w:t>
            </w:r>
          </w:p>
        </w:tc>
        <w:tc>
          <w:tcPr>
            <w:tcW w:w="723" w:type="dxa"/>
            <w:tcBorders>
              <w:top w:val="nil"/>
              <w:left w:val="nil"/>
              <w:bottom w:val="nil"/>
              <w:right w:val="nil"/>
            </w:tcBorders>
            <w:shd w:val="clear" w:color="auto" w:fill="auto"/>
            <w:noWrap/>
            <w:vAlign w:val="center"/>
          </w:tcPr>
          <w:p w14:paraId="387FAFA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723" w:type="dxa"/>
            <w:gridSpan w:val="2"/>
            <w:tcBorders>
              <w:top w:val="nil"/>
              <w:left w:val="nil"/>
              <w:bottom w:val="nil"/>
              <w:right w:val="nil"/>
            </w:tcBorders>
            <w:shd w:val="clear" w:color="auto" w:fill="D9D9D9"/>
            <w:vAlign w:val="center"/>
          </w:tcPr>
          <w:p w14:paraId="1582843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w:t>
            </w:r>
          </w:p>
        </w:tc>
        <w:tc>
          <w:tcPr>
            <w:tcW w:w="725" w:type="dxa"/>
            <w:tcBorders>
              <w:top w:val="nil"/>
              <w:left w:val="nil"/>
              <w:bottom w:val="nil"/>
              <w:right w:val="nil"/>
            </w:tcBorders>
            <w:shd w:val="clear" w:color="auto" w:fill="auto"/>
            <w:noWrap/>
            <w:vAlign w:val="center"/>
          </w:tcPr>
          <w:p w14:paraId="4B17170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4.12</w:t>
            </w:r>
          </w:p>
        </w:tc>
        <w:tc>
          <w:tcPr>
            <w:tcW w:w="724" w:type="dxa"/>
            <w:gridSpan w:val="2"/>
            <w:tcBorders>
              <w:top w:val="nil"/>
              <w:left w:val="nil"/>
              <w:bottom w:val="nil"/>
              <w:right w:val="nil"/>
            </w:tcBorders>
            <w:shd w:val="clear" w:color="auto" w:fill="D9D9D9"/>
            <w:vAlign w:val="center"/>
          </w:tcPr>
          <w:p w14:paraId="4FDC759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2.13</w:t>
            </w:r>
          </w:p>
        </w:tc>
        <w:tc>
          <w:tcPr>
            <w:tcW w:w="725" w:type="dxa"/>
            <w:tcBorders>
              <w:top w:val="nil"/>
              <w:left w:val="nil"/>
              <w:bottom w:val="nil"/>
              <w:right w:val="nil"/>
            </w:tcBorders>
            <w:shd w:val="clear" w:color="auto" w:fill="auto"/>
            <w:noWrap/>
            <w:vAlign w:val="center"/>
          </w:tcPr>
          <w:p w14:paraId="5796EA5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3.99</w:t>
            </w:r>
          </w:p>
        </w:tc>
        <w:tc>
          <w:tcPr>
            <w:tcW w:w="725" w:type="dxa"/>
            <w:gridSpan w:val="2"/>
            <w:tcBorders>
              <w:top w:val="nil"/>
              <w:left w:val="nil"/>
              <w:bottom w:val="nil"/>
              <w:right w:val="nil"/>
            </w:tcBorders>
            <w:shd w:val="clear" w:color="auto" w:fill="D9D9D9"/>
            <w:vAlign w:val="center"/>
          </w:tcPr>
          <w:p w14:paraId="53A9851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2.33</w:t>
            </w:r>
          </w:p>
        </w:tc>
        <w:tc>
          <w:tcPr>
            <w:tcW w:w="725" w:type="dxa"/>
            <w:tcBorders>
              <w:top w:val="nil"/>
              <w:left w:val="nil"/>
              <w:bottom w:val="nil"/>
              <w:right w:val="nil"/>
            </w:tcBorders>
            <w:shd w:val="clear" w:color="auto" w:fill="auto"/>
            <w:noWrap/>
            <w:vAlign w:val="center"/>
          </w:tcPr>
          <w:p w14:paraId="2964A47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0.66</w:t>
            </w:r>
          </w:p>
        </w:tc>
        <w:tc>
          <w:tcPr>
            <w:tcW w:w="724" w:type="dxa"/>
            <w:gridSpan w:val="2"/>
            <w:tcBorders>
              <w:top w:val="nil"/>
              <w:left w:val="nil"/>
              <w:bottom w:val="nil"/>
              <w:right w:val="nil"/>
            </w:tcBorders>
            <w:shd w:val="clear" w:color="auto" w:fill="D9D9D9"/>
            <w:vAlign w:val="center"/>
          </w:tcPr>
          <w:p w14:paraId="1507526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0.36</w:t>
            </w:r>
          </w:p>
        </w:tc>
        <w:tc>
          <w:tcPr>
            <w:tcW w:w="725" w:type="dxa"/>
            <w:tcBorders>
              <w:top w:val="nil"/>
              <w:left w:val="nil"/>
              <w:bottom w:val="nil"/>
              <w:right w:val="nil"/>
            </w:tcBorders>
            <w:shd w:val="clear" w:color="auto" w:fill="auto"/>
            <w:vAlign w:val="center"/>
          </w:tcPr>
          <w:p w14:paraId="54F066E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2.92</w:t>
            </w:r>
          </w:p>
        </w:tc>
        <w:tc>
          <w:tcPr>
            <w:tcW w:w="725" w:type="dxa"/>
            <w:gridSpan w:val="2"/>
            <w:tcBorders>
              <w:top w:val="nil"/>
              <w:left w:val="nil"/>
              <w:bottom w:val="nil"/>
              <w:right w:val="nil"/>
            </w:tcBorders>
            <w:shd w:val="clear" w:color="auto" w:fill="D9D9D9"/>
            <w:vAlign w:val="center"/>
          </w:tcPr>
          <w:p w14:paraId="25A9461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1.33</w:t>
            </w:r>
          </w:p>
        </w:tc>
        <w:tc>
          <w:tcPr>
            <w:tcW w:w="724" w:type="dxa"/>
            <w:tcBorders>
              <w:top w:val="nil"/>
              <w:left w:val="nil"/>
              <w:bottom w:val="nil"/>
              <w:right w:val="nil"/>
            </w:tcBorders>
            <w:shd w:val="clear" w:color="auto" w:fill="auto"/>
            <w:noWrap/>
            <w:vAlign w:val="center"/>
          </w:tcPr>
          <w:p w14:paraId="69F3092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left w:val="nil"/>
              <w:bottom w:val="nil"/>
              <w:right w:val="nil"/>
            </w:tcBorders>
            <w:shd w:val="clear" w:color="auto" w:fill="D9D9D9"/>
            <w:vAlign w:val="center"/>
          </w:tcPr>
          <w:p w14:paraId="2BB3998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tcBorders>
              <w:top w:val="nil"/>
              <w:left w:val="nil"/>
              <w:bottom w:val="nil"/>
              <w:right w:val="nil"/>
            </w:tcBorders>
            <w:shd w:val="clear" w:color="auto" w:fill="auto"/>
            <w:noWrap/>
            <w:vAlign w:val="center"/>
          </w:tcPr>
          <w:p w14:paraId="2415A0E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12.00</w:t>
            </w:r>
          </w:p>
        </w:tc>
        <w:tc>
          <w:tcPr>
            <w:tcW w:w="725" w:type="dxa"/>
            <w:tcBorders>
              <w:top w:val="nil"/>
              <w:left w:val="nil"/>
              <w:bottom w:val="nil"/>
              <w:right w:val="nil"/>
            </w:tcBorders>
            <w:shd w:val="clear" w:color="auto" w:fill="D9D9D9"/>
            <w:vAlign w:val="center"/>
          </w:tcPr>
          <w:p w14:paraId="6CCA244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10.00</w:t>
            </w:r>
          </w:p>
        </w:tc>
        <w:tc>
          <w:tcPr>
            <w:tcW w:w="724" w:type="dxa"/>
            <w:tcBorders>
              <w:top w:val="nil"/>
              <w:left w:val="nil"/>
              <w:bottom w:val="nil"/>
              <w:right w:val="nil"/>
            </w:tcBorders>
            <w:shd w:val="clear" w:color="auto" w:fill="auto"/>
            <w:noWrap/>
            <w:vAlign w:val="center"/>
          </w:tcPr>
          <w:p w14:paraId="21DF26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0.68</w:t>
            </w:r>
          </w:p>
        </w:tc>
        <w:tc>
          <w:tcPr>
            <w:tcW w:w="725" w:type="dxa"/>
            <w:tcBorders>
              <w:top w:val="nil"/>
              <w:left w:val="nil"/>
              <w:bottom w:val="nil"/>
              <w:right w:val="nil"/>
            </w:tcBorders>
            <w:shd w:val="clear" w:color="auto" w:fill="D9D9D9"/>
            <w:vAlign w:val="center"/>
          </w:tcPr>
          <w:p w14:paraId="08D284C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1.95</w:t>
            </w:r>
          </w:p>
        </w:tc>
        <w:tc>
          <w:tcPr>
            <w:tcW w:w="725" w:type="dxa"/>
            <w:gridSpan w:val="2"/>
            <w:tcBorders>
              <w:top w:val="nil"/>
              <w:left w:val="nil"/>
              <w:bottom w:val="nil"/>
              <w:right w:val="nil"/>
            </w:tcBorders>
            <w:shd w:val="clear" w:color="auto" w:fill="auto"/>
            <w:noWrap/>
            <w:vAlign w:val="center"/>
          </w:tcPr>
          <w:p w14:paraId="0F3BD9C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-1.08</w:t>
            </w:r>
          </w:p>
        </w:tc>
        <w:tc>
          <w:tcPr>
            <w:tcW w:w="730" w:type="dxa"/>
            <w:tcBorders>
              <w:top w:val="nil"/>
              <w:left w:val="nil"/>
              <w:bottom w:val="nil"/>
              <w:right w:val="nil"/>
            </w:tcBorders>
            <w:shd w:val="clear" w:color="auto" w:fill="D9D9D9"/>
            <w:vAlign w:val="center"/>
          </w:tcPr>
          <w:p w14:paraId="061F405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3.63</w:t>
            </w:r>
          </w:p>
        </w:tc>
      </w:tr>
      <w:tr w:rsidR="00E6060C" w:rsidRPr="00E6060C" w14:paraId="163C9D45" w14:textId="77777777" w:rsidTr="0035035C">
        <w:trPr>
          <w:trHeight w:val="482"/>
        </w:trPr>
        <w:tc>
          <w:tcPr>
            <w:tcW w:w="1558" w:type="dxa"/>
            <w:shd w:val="clear" w:color="auto" w:fill="auto"/>
            <w:vAlign w:val="center"/>
          </w:tcPr>
          <w:p w14:paraId="796BA38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Hospital tenure (yrs)</w:t>
            </w:r>
          </w:p>
        </w:tc>
        <w:tc>
          <w:tcPr>
            <w:tcW w:w="723" w:type="dxa"/>
            <w:tcBorders>
              <w:top w:val="nil"/>
              <w:left w:val="nil"/>
              <w:bottom w:val="nil"/>
              <w:right w:val="nil"/>
            </w:tcBorders>
            <w:shd w:val="clear" w:color="auto" w:fill="auto"/>
            <w:noWrap/>
            <w:vAlign w:val="center"/>
          </w:tcPr>
          <w:p w14:paraId="316DD6C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w:t>
            </w:r>
          </w:p>
        </w:tc>
        <w:tc>
          <w:tcPr>
            <w:tcW w:w="723" w:type="dxa"/>
            <w:gridSpan w:val="2"/>
            <w:tcBorders>
              <w:top w:val="nil"/>
              <w:left w:val="nil"/>
              <w:bottom w:val="nil"/>
              <w:right w:val="nil"/>
            </w:tcBorders>
            <w:shd w:val="clear" w:color="auto" w:fill="D9D9D9"/>
            <w:vAlign w:val="center"/>
          </w:tcPr>
          <w:p w14:paraId="5DD63F1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w:t>
            </w:r>
          </w:p>
        </w:tc>
        <w:tc>
          <w:tcPr>
            <w:tcW w:w="725" w:type="dxa"/>
            <w:tcBorders>
              <w:top w:val="nil"/>
              <w:left w:val="nil"/>
              <w:bottom w:val="nil"/>
              <w:right w:val="nil"/>
            </w:tcBorders>
            <w:shd w:val="clear" w:color="auto" w:fill="auto"/>
            <w:noWrap/>
            <w:vAlign w:val="center"/>
          </w:tcPr>
          <w:p w14:paraId="7F3EBC7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7.07</w:t>
            </w:r>
          </w:p>
        </w:tc>
        <w:tc>
          <w:tcPr>
            <w:tcW w:w="724" w:type="dxa"/>
            <w:gridSpan w:val="2"/>
            <w:tcBorders>
              <w:top w:val="nil"/>
              <w:left w:val="nil"/>
              <w:bottom w:val="nil"/>
              <w:right w:val="nil"/>
            </w:tcBorders>
            <w:shd w:val="clear" w:color="auto" w:fill="D9D9D9"/>
            <w:vAlign w:val="center"/>
          </w:tcPr>
          <w:p w14:paraId="24D188D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3.79</w:t>
            </w:r>
          </w:p>
        </w:tc>
        <w:tc>
          <w:tcPr>
            <w:tcW w:w="725" w:type="dxa"/>
            <w:tcBorders>
              <w:top w:val="nil"/>
              <w:left w:val="nil"/>
              <w:bottom w:val="nil"/>
              <w:right w:val="nil"/>
            </w:tcBorders>
            <w:shd w:val="clear" w:color="auto" w:fill="auto"/>
            <w:noWrap/>
            <w:vAlign w:val="center"/>
          </w:tcPr>
          <w:p w14:paraId="157B3E9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6.80</w:t>
            </w:r>
          </w:p>
        </w:tc>
        <w:tc>
          <w:tcPr>
            <w:tcW w:w="725" w:type="dxa"/>
            <w:gridSpan w:val="2"/>
            <w:tcBorders>
              <w:top w:val="nil"/>
              <w:left w:val="nil"/>
              <w:bottom w:val="nil"/>
              <w:right w:val="nil"/>
            </w:tcBorders>
            <w:shd w:val="clear" w:color="auto" w:fill="D9D9D9"/>
            <w:vAlign w:val="center"/>
          </w:tcPr>
          <w:p w14:paraId="341D710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4.04</w:t>
            </w:r>
          </w:p>
        </w:tc>
        <w:tc>
          <w:tcPr>
            <w:tcW w:w="725" w:type="dxa"/>
            <w:tcBorders>
              <w:top w:val="nil"/>
              <w:left w:val="nil"/>
              <w:bottom w:val="nil"/>
              <w:right w:val="nil"/>
            </w:tcBorders>
            <w:shd w:val="clear" w:color="auto" w:fill="auto"/>
            <w:noWrap/>
            <w:vAlign w:val="center"/>
          </w:tcPr>
          <w:p w14:paraId="68855C7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1.13</w:t>
            </w:r>
          </w:p>
        </w:tc>
        <w:tc>
          <w:tcPr>
            <w:tcW w:w="724" w:type="dxa"/>
            <w:gridSpan w:val="2"/>
            <w:tcBorders>
              <w:top w:val="nil"/>
              <w:left w:val="nil"/>
              <w:bottom w:val="nil"/>
              <w:right w:val="nil"/>
            </w:tcBorders>
            <w:shd w:val="clear" w:color="auto" w:fill="D9D9D9"/>
            <w:vAlign w:val="center"/>
          </w:tcPr>
          <w:p w14:paraId="5F398CB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0.62</w:t>
            </w:r>
          </w:p>
        </w:tc>
        <w:tc>
          <w:tcPr>
            <w:tcW w:w="725" w:type="dxa"/>
            <w:tcBorders>
              <w:top w:val="nil"/>
              <w:left w:val="nil"/>
              <w:bottom w:val="nil"/>
              <w:right w:val="nil"/>
            </w:tcBorders>
            <w:shd w:val="clear" w:color="auto" w:fill="auto"/>
            <w:vAlign w:val="center"/>
          </w:tcPr>
          <w:p w14:paraId="3DD8EF0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5.38</w:t>
            </w:r>
          </w:p>
        </w:tc>
        <w:tc>
          <w:tcPr>
            <w:tcW w:w="725" w:type="dxa"/>
            <w:gridSpan w:val="2"/>
            <w:tcBorders>
              <w:top w:val="nil"/>
              <w:left w:val="nil"/>
              <w:bottom w:val="nil"/>
              <w:right w:val="nil"/>
            </w:tcBorders>
            <w:shd w:val="clear" w:color="auto" w:fill="D9D9D9"/>
            <w:vAlign w:val="center"/>
          </w:tcPr>
          <w:p w14:paraId="4656942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2.42</w:t>
            </w:r>
          </w:p>
        </w:tc>
        <w:tc>
          <w:tcPr>
            <w:tcW w:w="724" w:type="dxa"/>
            <w:tcBorders>
              <w:top w:val="nil"/>
              <w:left w:val="nil"/>
              <w:bottom w:val="nil"/>
              <w:right w:val="nil"/>
            </w:tcBorders>
            <w:shd w:val="clear" w:color="auto" w:fill="auto"/>
            <w:noWrap/>
            <w:vAlign w:val="center"/>
          </w:tcPr>
          <w:p w14:paraId="027E168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0.17</w:t>
            </w:r>
          </w:p>
        </w:tc>
        <w:tc>
          <w:tcPr>
            <w:tcW w:w="725" w:type="dxa"/>
            <w:gridSpan w:val="2"/>
            <w:tcBorders>
              <w:top w:val="nil"/>
              <w:left w:val="nil"/>
              <w:bottom w:val="nil"/>
              <w:right w:val="nil"/>
            </w:tcBorders>
            <w:shd w:val="clear" w:color="auto" w:fill="D9D9D9"/>
            <w:vAlign w:val="center"/>
          </w:tcPr>
          <w:p w14:paraId="3A33E12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tcBorders>
              <w:top w:val="nil"/>
              <w:left w:val="nil"/>
              <w:bottom w:val="nil"/>
              <w:right w:val="nil"/>
            </w:tcBorders>
            <w:shd w:val="clear" w:color="auto" w:fill="auto"/>
            <w:noWrap/>
            <w:vAlign w:val="center"/>
          </w:tcPr>
          <w:p w14:paraId="7351B5B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25.00</w:t>
            </w:r>
          </w:p>
        </w:tc>
        <w:tc>
          <w:tcPr>
            <w:tcW w:w="725" w:type="dxa"/>
            <w:tcBorders>
              <w:top w:val="nil"/>
              <w:left w:val="nil"/>
              <w:bottom w:val="nil"/>
              <w:right w:val="nil"/>
            </w:tcBorders>
            <w:shd w:val="clear" w:color="auto" w:fill="D9D9D9"/>
            <w:vAlign w:val="center"/>
          </w:tcPr>
          <w:p w14:paraId="20B60E5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18.00</w:t>
            </w:r>
          </w:p>
        </w:tc>
        <w:tc>
          <w:tcPr>
            <w:tcW w:w="724" w:type="dxa"/>
            <w:tcBorders>
              <w:top w:val="nil"/>
              <w:left w:val="nil"/>
              <w:bottom w:val="nil"/>
              <w:right w:val="nil"/>
            </w:tcBorders>
            <w:shd w:val="clear" w:color="auto" w:fill="auto"/>
            <w:noWrap/>
            <w:vAlign w:val="center"/>
          </w:tcPr>
          <w:p w14:paraId="0350209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0.87</w:t>
            </w:r>
          </w:p>
        </w:tc>
        <w:tc>
          <w:tcPr>
            <w:tcW w:w="725" w:type="dxa"/>
            <w:tcBorders>
              <w:top w:val="nil"/>
              <w:left w:val="nil"/>
              <w:bottom w:val="nil"/>
              <w:right w:val="nil"/>
            </w:tcBorders>
            <w:shd w:val="clear" w:color="auto" w:fill="D9D9D9"/>
            <w:vAlign w:val="center"/>
          </w:tcPr>
          <w:p w14:paraId="33FF925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1.56</w:t>
            </w:r>
          </w:p>
        </w:tc>
        <w:tc>
          <w:tcPr>
            <w:tcW w:w="725" w:type="dxa"/>
            <w:gridSpan w:val="2"/>
            <w:tcBorders>
              <w:top w:val="nil"/>
              <w:left w:val="nil"/>
              <w:bottom w:val="nil"/>
              <w:right w:val="nil"/>
            </w:tcBorders>
            <w:shd w:val="clear" w:color="auto" w:fill="auto"/>
            <w:noWrap/>
            <w:vAlign w:val="center"/>
          </w:tcPr>
          <w:p w14:paraId="6E9E81C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0.04</w:t>
            </w:r>
          </w:p>
        </w:tc>
        <w:tc>
          <w:tcPr>
            <w:tcW w:w="730" w:type="dxa"/>
            <w:tcBorders>
              <w:top w:val="nil"/>
              <w:left w:val="nil"/>
              <w:bottom w:val="nil"/>
              <w:right w:val="nil"/>
            </w:tcBorders>
            <w:shd w:val="clear" w:color="auto" w:fill="D9D9D9"/>
            <w:vAlign w:val="center"/>
          </w:tcPr>
          <w:p w14:paraId="51E6970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2.56</w:t>
            </w:r>
          </w:p>
        </w:tc>
      </w:tr>
      <w:tr w:rsidR="00E6060C" w:rsidRPr="00E6060C" w14:paraId="7ED11835" w14:textId="77777777" w:rsidTr="0035035C">
        <w:trPr>
          <w:trHeight w:val="482"/>
        </w:trPr>
        <w:tc>
          <w:tcPr>
            <w:tcW w:w="1558" w:type="dxa"/>
            <w:shd w:val="clear" w:color="auto" w:fill="auto"/>
            <w:vAlign w:val="center"/>
          </w:tcPr>
          <w:p w14:paraId="2E6A1C9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723" w:type="dxa"/>
            <w:tcBorders>
              <w:top w:val="nil"/>
              <w:left w:val="nil"/>
              <w:bottom w:val="nil"/>
              <w:right w:val="nil"/>
            </w:tcBorders>
            <w:shd w:val="clear" w:color="auto" w:fill="auto"/>
            <w:noWrap/>
            <w:vAlign w:val="center"/>
          </w:tcPr>
          <w:p w14:paraId="37D85D8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723" w:type="dxa"/>
            <w:gridSpan w:val="2"/>
            <w:tcBorders>
              <w:top w:val="nil"/>
              <w:left w:val="nil"/>
              <w:bottom w:val="nil"/>
              <w:right w:val="nil"/>
            </w:tcBorders>
            <w:shd w:val="clear" w:color="auto" w:fill="D9D9D9"/>
            <w:vAlign w:val="center"/>
          </w:tcPr>
          <w:p w14:paraId="028890C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nil"/>
              <w:right w:val="nil"/>
            </w:tcBorders>
            <w:shd w:val="clear" w:color="auto" w:fill="auto"/>
            <w:noWrap/>
            <w:vAlign w:val="center"/>
          </w:tcPr>
          <w:p w14:paraId="4C271DD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2.49</w:t>
            </w:r>
          </w:p>
        </w:tc>
        <w:tc>
          <w:tcPr>
            <w:tcW w:w="724" w:type="dxa"/>
            <w:gridSpan w:val="2"/>
            <w:tcBorders>
              <w:top w:val="nil"/>
              <w:left w:val="nil"/>
              <w:bottom w:val="nil"/>
              <w:right w:val="nil"/>
            </w:tcBorders>
            <w:shd w:val="clear" w:color="auto" w:fill="D9D9D9"/>
            <w:vAlign w:val="center"/>
          </w:tcPr>
          <w:p w14:paraId="13B0FBD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2.46</w:t>
            </w:r>
          </w:p>
        </w:tc>
        <w:tc>
          <w:tcPr>
            <w:tcW w:w="725" w:type="dxa"/>
            <w:tcBorders>
              <w:top w:val="nil"/>
              <w:left w:val="nil"/>
              <w:bottom w:val="nil"/>
              <w:right w:val="nil"/>
            </w:tcBorders>
            <w:shd w:val="clear" w:color="auto" w:fill="auto"/>
            <w:noWrap/>
            <w:vAlign w:val="center"/>
          </w:tcPr>
          <w:p w14:paraId="07B9D76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0.84</w:t>
            </w:r>
          </w:p>
        </w:tc>
        <w:tc>
          <w:tcPr>
            <w:tcW w:w="725" w:type="dxa"/>
            <w:gridSpan w:val="2"/>
            <w:tcBorders>
              <w:top w:val="nil"/>
              <w:left w:val="nil"/>
              <w:bottom w:val="nil"/>
              <w:right w:val="nil"/>
            </w:tcBorders>
            <w:shd w:val="clear" w:color="auto" w:fill="D9D9D9"/>
            <w:vAlign w:val="center"/>
          </w:tcPr>
          <w:p w14:paraId="7F882BC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0.81</w:t>
            </w:r>
          </w:p>
        </w:tc>
        <w:tc>
          <w:tcPr>
            <w:tcW w:w="725" w:type="dxa"/>
            <w:tcBorders>
              <w:top w:val="nil"/>
              <w:left w:val="nil"/>
              <w:bottom w:val="nil"/>
              <w:right w:val="nil"/>
            </w:tcBorders>
            <w:shd w:val="clear" w:color="auto" w:fill="auto"/>
            <w:noWrap/>
            <w:vAlign w:val="center"/>
          </w:tcPr>
          <w:p w14:paraId="260564F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0.14</w:t>
            </w:r>
          </w:p>
        </w:tc>
        <w:tc>
          <w:tcPr>
            <w:tcW w:w="724" w:type="dxa"/>
            <w:gridSpan w:val="2"/>
            <w:tcBorders>
              <w:top w:val="nil"/>
              <w:left w:val="nil"/>
              <w:bottom w:val="nil"/>
              <w:right w:val="nil"/>
            </w:tcBorders>
            <w:shd w:val="clear" w:color="auto" w:fill="D9D9D9"/>
            <w:vAlign w:val="center"/>
          </w:tcPr>
          <w:p w14:paraId="37FE22A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0.13</w:t>
            </w:r>
          </w:p>
        </w:tc>
        <w:tc>
          <w:tcPr>
            <w:tcW w:w="725" w:type="dxa"/>
            <w:tcBorders>
              <w:top w:val="nil"/>
              <w:left w:val="nil"/>
              <w:bottom w:val="nil"/>
              <w:right w:val="nil"/>
            </w:tcBorders>
            <w:shd w:val="clear" w:color="auto" w:fill="auto"/>
            <w:vAlign w:val="center"/>
          </w:tcPr>
          <w:p w14:paraId="2B83535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5" w:type="dxa"/>
            <w:gridSpan w:val="2"/>
            <w:tcBorders>
              <w:top w:val="nil"/>
              <w:left w:val="nil"/>
              <w:bottom w:val="nil"/>
              <w:right w:val="nil"/>
            </w:tcBorders>
            <w:shd w:val="clear" w:color="auto" w:fill="D9D9D9"/>
            <w:vAlign w:val="center"/>
          </w:tcPr>
          <w:p w14:paraId="68218DD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4" w:type="dxa"/>
            <w:tcBorders>
              <w:top w:val="nil"/>
              <w:left w:val="nil"/>
              <w:bottom w:val="nil"/>
              <w:right w:val="nil"/>
            </w:tcBorders>
            <w:shd w:val="clear" w:color="auto" w:fill="auto"/>
            <w:noWrap/>
            <w:vAlign w:val="center"/>
          </w:tcPr>
          <w:p w14:paraId="6A4C663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0FFB6E9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3BCF037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4.00</w:t>
            </w:r>
          </w:p>
        </w:tc>
        <w:tc>
          <w:tcPr>
            <w:tcW w:w="725" w:type="dxa"/>
            <w:tcBorders>
              <w:top w:val="nil"/>
              <w:left w:val="nil"/>
              <w:bottom w:val="nil"/>
              <w:right w:val="nil"/>
            </w:tcBorders>
            <w:shd w:val="clear" w:color="auto" w:fill="D9D9D9"/>
            <w:vAlign w:val="center"/>
          </w:tcPr>
          <w:p w14:paraId="0FC550F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1FC0C2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-0.26</w:t>
            </w:r>
          </w:p>
        </w:tc>
        <w:tc>
          <w:tcPr>
            <w:tcW w:w="725" w:type="dxa"/>
            <w:tcBorders>
              <w:top w:val="nil"/>
              <w:left w:val="nil"/>
              <w:bottom w:val="nil"/>
              <w:right w:val="nil"/>
            </w:tcBorders>
            <w:shd w:val="clear" w:color="auto" w:fill="D9D9D9"/>
            <w:vAlign w:val="center"/>
          </w:tcPr>
          <w:p w14:paraId="40F03C4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-0.47</w:t>
            </w:r>
          </w:p>
        </w:tc>
        <w:tc>
          <w:tcPr>
            <w:tcW w:w="725" w:type="dxa"/>
            <w:gridSpan w:val="2"/>
            <w:tcBorders>
              <w:top w:val="nil"/>
              <w:left w:val="nil"/>
              <w:bottom w:val="nil"/>
              <w:right w:val="nil"/>
            </w:tcBorders>
            <w:shd w:val="clear" w:color="auto" w:fill="auto"/>
            <w:noWrap/>
            <w:vAlign w:val="center"/>
          </w:tcPr>
          <w:p w14:paraId="5B4601E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-0.46</w:t>
            </w:r>
          </w:p>
        </w:tc>
        <w:tc>
          <w:tcPr>
            <w:tcW w:w="730" w:type="dxa"/>
            <w:tcBorders>
              <w:top w:val="nil"/>
              <w:left w:val="nil"/>
              <w:bottom w:val="nil"/>
              <w:right w:val="nil"/>
            </w:tcBorders>
            <w:shd w:val="clear" w:color="auto" w:fill="D9D9D9"/>
            <w:vAlign w:val="center"/>
          </w:tcPr>
          <w:p w14:paraId="27C2FF8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-0.46</w:t>
            </w:r>
          </w:p>
        </w:tc>
      </w:tr>
      <w:tr w:rsidR="00E6060C" w:rsidRPr="00E6060C" w14:paraId="48DB5FAC" w14:textId="77777777" w:rsidTr="0035035C">
        <w:trPr>
          <w:trHeight w:val="482"/>
        </w:trPr>
        <w:tc>
          <w:tcPr>
            <w:tcW w:w="1558" w:type="dxa"/>
            <w:shd w:val="clear" w:color="auto" w:fill="auto"/>
            <w:vAlign w:val="center"/>
          </w:tcPr>
          <w:p w14:paraId="369A9E5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Hierarchical level</w:t>
            </w:r>
          </w:p>
        </w:tc>
        <w:tc>
          <w:tcPr>
            <w:tcW w:w="723" w:type="dxa"/>
            <w:tcBorders>
              <w:top w:val="nil"/>
              <w:left w:val="nil"/>
              <w:bottom w:val="nil"/>
              <w:right w:val="nil"/>
            </w:tcBorders>
            <w:shd w:val="clear" w:color="auto" w:fill="auto"/>
            <w:noWrap/>
            <w:vAlign w:val="center"/>
          </w:tcPr>
          <w:p w14:paraId="64BA526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723" w:type="dxa"/>
            <w:gridSpan w:val="2"/>
            <w:tcBorders>
              <w:top w:val="nil"/>
              <w:left w:val="nil"/>
              <w:bottom w:val="nil"/>
              <w:right w:val="nil"/>
            </w:tcBorders>
            <w:shd w:val="clear" w:color="auto" w:fill="D9D9D9"/>
            <w:vAlign w:val="center"/>
          </w:tcPr>
          <w:p w14:paraId="5AF7A2C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nil"/>
              <w:right w:val="nil"/>
            </w:tcBorders>
            <w:shd w:val="clear" w:color="auto" w:fill="auto"/>
            <w:noWrap/>
            <w:vAlign w:val="center"/>
          </w:tcPr>
          <w:p w14:paraId="692CFEC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3.78</w:t>
            </w:r>
          </w:p>
        </w:tc>
        <w:tc>
          <w:tcPr>
            <w:tcW w:w="724" w:type="dxa"/>
            <w:gridSpan w:val="2"/>
            <w:tcBorders>
              <w:top w:val="nil"/>
              <w:left w:val="nil"/>
              <w:bottom w:val="nil"/>
              <w:right w:val="nil"/>
            </w:tcBorders>
            <w:shd w:val="clear" w:color="auto" w:fill="D9D9D9"/>
            <w:vAlign w:val="center"/>
          </w:tcPr>
          <w:p w14:paraId="7E3687C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3.56</w:t>
            </w:r>
          </w:p>
        </w:tc>
        <w:tc>
          <w:tcPr>
            <w:tcW w:w="725" w:type="dxa"/>
            <w:tcBorders>
              <w:top w:val="nil"/>
              <w:left w:val="nil"/>
              <w:bottom w:val="nil"/>
              <w:right w:val="nil"/>
            </w:tcBorders>
            <w:shd w:val="clear" w:color="auto" w:fill="auto"/>
            <w:noWrap/>
            <w:vAlign w:val="center"/>
          </w:tcPr>
          <w:p w14:paraId="0D04EB8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1.78</w:t>
            </w:r>
          </w:p>
        </w:tc>
        <w:tc>
          <w:tcPr>
            <w:tcW w:w="725" w:type="dxa"/>
            <w:gridSpan w:val="2"/>
            <w:tcBorders>
              <w:top w:val="nil"/>
              <w:left w:val="nil"/>
              <w:bottom w:val="nil"/>
              <w:right w:val="nil"/>
            </w:tcBorders>
            <w:shd w:val="clear" w:color="auto" w:fill="D9D9D9"/>
            <w:vAlign w:val="center"/>
          </w:tcPr>
          <w:p w14:paraId="10CCD0C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1.76</w:t>
            </w:r>
          </w:p>
        </w:tc>
        <w:tc>
          <w:tcPr>
            <w:tcW w:w="725" w:type="dxa"/>
            <w:tcBorders>
              <w:top w:val="nil"/>
              <w:left w:val="nil"/>
              <w:bottom w:val="nil"/>
              <w:right w:val="nil"/>
            </w:tcBorders>
            <w:shd w:val="clear" w:color="auto" w:fill="auto"/>
            <w:noWrap/>
            <w:vAlign w:val="center"/>
          </w:tcPr>
          <w:p w14:paraId="1C72D66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0.29</w:t>
            </w:r>
          </w:p>
        </w:tc>
        <w:tc>
          <w:tcPr>
            <w:tcW w:w="724" w:type="dxa"/>
            <w:gridSpan w:val="2"/>
            <w:tcBorders>
              <w:top w:val="nil"/>
              <w:left w:val="nil"/>
              <w:bottom w:val="nil"/>
              <w:right w:val="nil"/>
            </w:tcBorders>
            <w:shd w:val="clear" w:color="auto" w:fill="D9D9D9"/>
            <w:vAlign w:val="center"/>
          </w:tcPr>
          <w:p w14:paraId="7C984BB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0.28</w:t>
            </w:r>
          </w:p>
        </w:tc>
        <w:tc>
          <w:tcPr>
            <w:tcW w:w="725" w:type="dxa"/>
            <w:tcBorders>
              <w:top w:val="nil"/>
              <w:left w:val="nil"/>
              <w:bottom w:val="nil"/>
              <w:right w:val="nil"/>
            </w:tcBorders>
            <w:shd w:val="clear" w:color="auto" w:fill="auto"/>
            <w:vAlign w:val="center"/>
          </w:tcPr>
          <w:p w14:paraId="799E8A7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5" w:type="dxa"/>
            <w:gridSpan w:val="2"/>
            <w:tcBorders>
              <w:top w:val="nil"/>
              <w:left w:val="nil"/>
              <w:bottom w:val="nil"/>
              <w:right w:val="nil"/>
            </w:tcBorders>
            <w:shd w:val="clear" w:color="auto" w:fill="D9D9D9"/>
            <w:vAlign w:val="center"/>
          </w:tcPr>
          <w:p w14:paraId="523209C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4" w:type="dxa"/>
            <w:tcBorders>
              <w:top w:val="nil"/>
              <w:left w:val="nil"/>
              <w:bottom w:val="nil"/>
              <w:right w:val="nil"/>
            </w:tcBorders>
            <w:shd w:val="clear" w:color="auto" w:fill="auto"/>
            <w:noWrap/>
            <w:vAlign w:val="center"/>
          </w:tcPr>
          <w:p w14:paraId="64AD494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2.00</w:t>
            </w:r>
          </w:p>
        </w:tc>
        <w:tc>
          <w:tcPr>
            <w:tcW w:w="725" w:type="dxa"/>
            <w:gridSpan w:val="2"/>
            <w:tcBorders>
              <w:top w:val="nil"/>
              <w:left w:val="nil"/>
              <w:bottom w:val="nil"/>
              <w:right w:val="nil"/>
            </w:tcBorders>
            <w:shd w:val="clear" w:color="auto" w:fill="D9D9D9"/>
            <w:vAlign w:val="center"/>
          </w:tcPr>
          <w:p w14:paraId="66E198B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725" w:type="dxa"/>
            <w:tcBorders>
              <w:top w:val="nil"/>
              <w:left w:val="nil"/>
              <w:bottom w:val="nil"/>
              <w:right w:val="nil"/>
            </w:tcBorders>
            <w:shd w:val="clear" w:color="auto" w:fill="auto"/>
            <w:noWrap/>
            <w:vAlign w:val="center"/>
          </w:tcPr>
          <w:p w14:paraId="77AC6F7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2D3DBB1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343E5EE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0.19</w:t>
            </w:r>
          </w:p>
        </w:tc>
        <w:tc>
          <w:tcPr>
            <w:tcW w:w="725" w:type="dxa"/>
            <w:tcBorders>
              <w:top w:val="nil"/>
              <w:left w:val="nil"/>
              <w:bottom w:val="nil"/>
              <w:right w:val="nil"/>
            </w:tcBorders>
            <w:shd w:val="clear" w:color="auto" w:fill="D9D9D9"/>
            <w:vAlign w:val="center"/>
          </w:tcPr>
          <w:p w14:paraId="57CBBB0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0.46</w:t>
            </w:r>
          </w:p>
        </w:tc>
        <w:tc>
          <w:tcPr>
            <w:tcW w:w="725" w:type="dxa"/>
            <w:gridSpan w:val="2"/>
            <w:tcBorders>
              <w:top w:val="nil"/>
              <w:left w:val="nil"/>
              <w:bottom w:val="nil"/>
              <w:right w:val="nil"/>
            </w:tcBorders>
            <w:shd w:val="clear" w:color="auto" w:fill="auto"/>
            <w:noWrap/>
            <w:vAlign w:val="center"/>
          </w:tcPr>
          <w:p w14:paraId="3DD3DA9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-1.60</w:t>
            </w:r>
          </w:p>
        </w:tc>
        <w:tc>
          <w:tcPr>
            <w:tcW w:w="730" w:type="dxa"/>
            <w:tcBorders>
              <w:top w:val="nil"/>
              <w:left w:val="nil"/>
              <w:bottom w:val="nil"/>
              <w:right w:val="nil"/>
            </w:tcBorders>
            <w:shd w:val="clear" w:color="auto" w:fill="D9D9D9"/>
            <w:vAlign w:val="center"/>
          </w:tcPr>
          <w:p w14:paraId="03755F7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-1.44</w:t>
            </w:r>
          </w:p>
        </w:tc>
      </w:tr>
      <w:tr w:rsidR="00E6060C" w:rsidRPr="00E6060C" w14:paraId="5F2E720F" w14:textId="77777777" w:rsidTr="0035035C">
        <w:trPr>
          <w:trHeight w:val="482"/>
        </w:trPr>
        <w:tc>
          <w:tcPr>
            <w:tcW w:w="1558" w:type="dxa"/>
            <w:shd w:val="clear" w:color="auto" w:fill="auto"/>
            <w:vAlign w:val="center"/>
          </w:tcPr>
          <w:p w14:paraId="22F2195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Time qualified (yrs)</w:t>
            </w:r>
          </w:p>
        </w:tc>
        <w:tc>
          <w:tcPr>
            <w:tcW w:w="723" w:type="dxa"/>
            <w:tcBorders>
              <w:top w:val="nil"/>
              <w:left w:val="nil"/>
              <w:bottom w:val="nil"/>
              <w:right w:val="nil"/>
            </w:tcBorders>
            <w:shd w:val="clear" w:color="auto" w:fill="auto"/>
            <w:noWrap/>
            <w:vAlign w:val="center"/>
          </w:tcPr>
          <w:p w14:paraId="3CC3AA0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723" w:type="dxa"/>
            <w:gridSpan w:val="2"/>
            <w:tcBorders>
              <w:top w:val="nil"/>
              <w:left w:val="nil"/>
              <w:bottom w:val="nil"/>
              <w:right w:val="nil"/>
            </w:tcBorders>
            <w:shd w:val="clear" w:color="auto" w:fill="D9D9D9"/>
            <w:vAlign w:val="center"/>
          </w:tcPr>
          <w:p w14:paraId="395E8C9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18</w:t>
            </w:r>
          </w:p>
        </w:tc>
        <w:tc>
          <w:tcPr>
            <w:tcW w:w="725" w:type="dxa"/>
            <w:tcBorders>
              <w:top w:val="nil"/>
              <w:left w:val="nil"/>
              <w:bottom w:val="nil"/>
              <w:right w:val="nil"/>
            </w:tcBorders>
            <w:shd w:val="clear" w:color="auto" w:fill="auto"/>
            <w:noWrap/>
            <w:vAlign w:val="center"/>
          </w:tcPr>
          <w:p w14:paraId="7B44194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3.19</w:t>
            </w:r>
          </w:p>
        </w:tc>
        <w:tc>
          <w:tcPr>
            <w:tcW w:w="724" w:type="dxa"/>
            <w:gridSpan w:val="2"/>
            <w:tcBorders>
              <w:top w:val="nil"/>
              <w:left w:val="nil"/>
              <w:bottom w:val="nil"/>
              <w:right w:val="nil"/>
            </w:tcBorders>
            <w:shd w:val="clear" w:color="auto" w:fill="D9D9D9"/>
            <w:vAlign w:val="center"/>
          </w:tcPr>
          <w:p w14:paraId="7E89A66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2.89</w:t>
            </w:r>
          </w:p>
        </w:tc>
        <w:tc>
          <w:tcPr>
            <w:tcW w:w="725" w:type="dxa"/>
            <w:tcBorders>
              <w:top w:val="nil"/>
              <w:left w:val="nil"/>
              <w:bottom w:val="nil"/>
              <w:right w:val="nil"/>
            </w:tcBorders>
            <w:shd w:val="clear" w:color="auto" w:fill="auto"/>
            <w:noWrap/>
            <w:vAlign w:val="center"/>
          </w:tcPr>
          <w:p w14:paraId="01C0DA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1.60</w:t>
            </w:r>
          </w:p>
        </w:tc>
        <w:tc>
          <w:tcPr>
            <w:tcW w:w="725" w:type="dxa"/>
            <w:gridSpan w:val="2"/>
            <w:tcBorders>
              <w:top w:val="nil"/>
              <w:left w:val="nil"/>
              <w:bottom w:val="nil"/>
              <w:right w:val="nil"/>
            </w:tcBorders>
            <w:shd w:val="clear" w:color="auto" w:fill="D9D9D9"/>
            <w:vAlign w:val="center"/>
          </w:tcPr>
          <w:p w14:paraId="5E88D69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1.37</w:t>
            </w:r>
          </w:p>
        </w:tc>
        <w:tc>
          <w:tcPr>
            <w:tcW w:w="725" w:type="dxa"/>
            <w:tcBorders>
              <w:top w:val="nil"/>
              <w:left w:val="nil"/>
              <w:bottom w:val="nil"/>
              <w:right w:val="nil"/>
            </w:tcBorders>
            <w:shd w:val="clear" w:color="auto" w:fill="auto"/>
            <w:noWrap/>
            <w:vAlign w:val="center"/>
          </w:tcPr>
          <w:p w14:paraId="429E8D1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0.40</w:t>
            </w:r>
          </w:p>
        </w:tc>
        <w:tc>
          <w:tcPr>
            <w:tcW w:w="724" w:type="dxa"/>
            <w:gridSpan w:val="2"/>
            <w:tcBorders>
              <w:top w:val="nil"/>
              <w:left w:val="nil"/>
              <w:bottom w:val="nil"/>
              <w:right w:val="nil"/>
            </w:tcBorders>
            <w:shd w:val="clear" w:color="auto" w:fill="D9D9D9"/>
            <w:vAlign w:val="center"/>
          </w:tcPr>
          <w:p w14:paraId="5797C1C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0.32</w:t>
            </w:r>
          </w:p>
        </w:tc>
        <w:tc>
          <w:tcPr>
            <w:tcW w:w="725" w:type="dxa"/>
            <w:tcBorders>
              <w:top w:val="nil"/>
              <w:left w:val="nil"/>
              <w:bottom w:val="nil"/>
              <w:right w:val="nil"/>
            </w:tcBorders>
            <w:shd w:val="clear" w:color="auto" w:fill="auto"/>
            <w:vAlign w:val="center"/>
          </w:tcPr>
          <w:p w14:paraId="73F3183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2.50</w:t>
            </w:r>
          </w:p>
        </w:tc>
        <w:tc>
          <w:tcPr>
            <w:tcW w:w="725" w:type="dxa"/>
            <w:gridSpan w:val="2"/>
            <w:tcBorders>
              <w:top w:val="nil"/>
              <w:left w:val="nil"/>
              <w:bottom w:val="nil"/>
              <w:right w:val="nil"/>
            </w:tcBorders>
            <w:shd w:val="clear" w:color="auto" w:fill="D9D9D9"/>
            <w:vAlign w:val="center"/>
          </w:tcPr>
          <w:p w14:paraId="4FF4ACA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4" w:type="dxa"/>
            <w:tcBorders>
              <w:top w:val="nil"/>
              <w:left w:val="nil"/>
              <w:bottom w:val="nil"/>
              <w:right w:val="nil"/>
            </w:tcBorders>
            <w:shd w:val="clear" w:color="auto" w:fill="auto"/>
            <w:noWrap/>
            <w:vAlign w:val="center"/>
          </w:tcPr>
          <w:p w14:paraId="789159C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7B2D83C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1C253F8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5C03474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04D361B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0.10</w:t>
            </w:r>
          </w:p>
        </w:tc>
        <w:tc>
          <w:tcPr>
            <w:tcW w:w="725" w:type="dxa"/>
            <w:tcBorders>
              <w:top w:val="nil"/>
              <w:left w:val="nil"/>
              <w:bottom w:val="nil"/>
              <w:right w:val="nil"/>
            </w:tcBorders>
            <w:shd w:val="clear" w:color="auto" w:fill="D9D9D9"/>
            <w:vAlign w:val="center"/>
          </w:tcPr>
          <w:p w14:paraId="3C577B6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0.38</w:t>
            </w:r>
          </w:p>
        </w:tc>
        <w:tc>
          <w:tcPr>
            <w:tcW w:w="725" w:type="dxa"/>
            <w:gridSpan w:val="2"/>
            <w:tcBorders>
              <w:top w:val="nil"/>
              <w:left w:val="nil"/>
              <w:bottom w:val="nil"/>
              <w:right w:val="nil"/>
            </w:tcBorders>
            <w:shd w:val="clear" w:color="auto" w:fill="auto"/>
            <w:noWrap/>
            <w:vAlign w:val="center"/>
          </w:tcPr>
          <w:p w14:paraId="0326B9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-1.84</w:t>
            </w:r>
          </w:p>
        </w:tc>
        <w:tc>
          <w:tcPr>
            <w:tcW w:w="730" w:type="dxa"/>
            <w:tcBorders>
              <w:top w:val="nil"/>
              <w:left w:val="nil"/>
              <w:bottom w:val="nil"/>
              <w:right w:val="nil"/>
            </w:tcBorders>
            <w:shd w:val="clear" w:color="auto" w:fill="D9D9D9"/>
            <w:vAlign w:val="center"/>
          </w:tcPr>
          <w:p w14:paraId="7FB85F5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-0.73</w:t>
            </w:r>
          </w:p>
        </w:tc>
      </w:tr>
      <w:tr w:rsidR="00E6060C" w:rsidRPr="00E6060C" w14:paraId="207A90B0" w14:textId="77777777" w:rsidTr="0035035C">
        <w:trPr>
          <w:trHeight w:val="482"/>
        </w:trPr>
        <w:tc>
          <w:tcPr>
            <w:tcW w:w="1558" w:type="dxa"/>
            <w:shd w:val="clear" w:color="auto" w:fill="auto"/>
            <w:vAlign w:val="center"/>
          </w:tcPr>
          <w:p w14:paraId="13DA981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Education level</w:t>
            </w:r>
          </w:p>
        </w:tc>
        <w:tc>
          <w:tcPr>
            <w:tcW w:w="723" w:type="dxa"/>
            <w:tcBorders>
              <w:top w:val="nil"/>
              <w:left w:val="nil"/>
              <w:bottom w:val="nil"/>
              <w:right w:val="nil"/>
            </w:tcBorders>
            <w:shd w:val="clear" w:color="auto" w:fill="auto"/>
            <w:noWrap/>
            <w:vAlign w:val="center"/>
          </w:tcPr>
          <w:p w14:paraId="440A9B9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723" w:type="dxa"/>
            <w:gridSpan w:val="2"/>
            <w:tcBorders>
              <w:top w:val="nil"/>
              <w:left w:val="nil"/>
              <w:bottom w:val="nil"/>
              <w:right w:val="nil"/>
            </w:tcBorders>
            <w:shd w:val="clear" w:color="auto" w:fill="D9D9D9"/>
            <w:vAlign w:val="center"/>
          </w:tcPr>
          <w:p w14:paraId="6600419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38</w:t>
            </w:r>
          </w:p>
        </w:tc>
        <w:tc>
          <w:tcPr>
            <w:tcW w:w="725" w:type="dxa"/>
            <w:tcBorders>
              <w:top w:val="nil"/>
              <w:left w:val="nil"/>
              <w:bottom w:val="nil"/>
              <w:right w:val="nil"/>
            </w:tcBorders>
            <w:shd w:val="clear" w:color="auto" w:fill="auto"/>
            <w:noWrap/>
            <w:vAlign w:val="center"/>
          </w:tcPr>
          <w:p w14:paraId="32E0B46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3.97</w:t>
            </w:r>
          </w:p>
        </w:tc>
        <w:tc>
          <w:tcPr>
            <w:tcW w:w="724" w:type="dxa"/>
            <w:gridSpan w:val="2"/>
            <w:tcBorders>
              <w:top w:val="nil"/>
              <w:left w:val="nil"/>
              <w:bottom w:val="nil"/>
              <w:right w:val="nil"/>
            </w:tcBorders>
            <w:shd w:val="clear" w:color="auto" w:fill="D9D9D9"/>
            <w:vAlign w:val="center"/>
          </w:tcPr>
          <w:p w14:paraId="717624B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4.16</w:t>
            </w:r>
          </w:p>
        </w:tc>
        <w:tc>
          <w:tcPr>
            <w:tcW w:w="725" w:type="dxa"/>
            <w:tcBorders>
              <w:top w:val="nil"/>
              <w:left w:val="nil"/>
              <w:bottom w:val="nil"/>
              <w:right w:val="nil"/>
            </w:tcBorders>
            <w:shd w:val="clear" w:color="auto" w:fill="auto"/>
            <w:noWrap/>
            <w:vAlign w:val="center"/>
          </w:tcPr>
          <w:p w14:paraId="5C6A80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1.56</w:t>
            </w:r>
          </w:p>
        </w:tc>
        <w:tc>
          <w:tcPr>
            <w:tcW w:w="725" w:type="dxa"/>
            <w:gridSpan w:val="2"/>
            <w:tcBorders>
              <w:top w:val="nil"/>
              <w:left w:val="nil"/>
              <w:bottom w:val="nil"/>
              <w:right w:val="nil"/>
            </w:tcBorders>
            <w:shd w:val="clear" w:color="auto" w:fill="D9D9D9"/>
            <w:vAlign w:val="center"/>
          </w:tcPr>
          <w:p w14:paraId="7CD0A56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1.35</w:t>
            </w:r>
          </w:p>
        </w:tc>
        <w:tc>
          <w:tcPr>
            <w:tcW w:w="725" w:type="dxa"/>
            <w:tcBorders>
              <w:top w:val="nil"/>
              <w:left w:val="nil"/>
              <w:bottom w:val="nil"/>
              <w:right w:val="nil"/>
            </w:tcBorders>
            <w:shd w:val="clear" w:color="auto" w:fill="auto"/>
            <w:noWrap/>
            <w:vAlign w:val="center"/>
          </w:tcPr>
          <w:p w14:paraId="6B66911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0.29</w:t>
            </w:r>
          </w:p>
        </w:tc>
        <w:tc>
          <w:tcPr>
            <w:tcW w:w="724" w:type="dxa"/>
            <w:gridSpan w:val="2"/>
            <w:tcBorders>
              <w:top w:val="nil"/>
              <w:left w:val="nil"/>
              <w:bottom w:val="nil"/>
              <w:right w:val="nil"/>
            </w:tcBorders>
            <w:shd w:val="clear" w:color="auto" w:fill="D9D9D9"/>
            <w:vAlign w:val="center"/>
          </w:tcPr>
          <w:p w14:paraId="58D951E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0.22</w:t>
            </w:r>
          </w:p>
        </w:tc>
        <w:tc>
          <w:tcPr>
            <w:tcW w:w="725" w:type="dxa"/>
            <w:tcBorders>
              <w:top w:val="nil"/>
              <w:left w:val="nil"/>
              <w:bottom w:val="nil"/>
              <w:right w:val="nil"/>
            </w:tcBorders>
            <w:shd w:val="clear" w:color="auto" w:fill="auto"/>
            <w:vAlign w:val="center"/>
          </w:tcPr>
          <w:p w14:paraId="24282BC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3424BD8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0088838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102B439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66CDA8E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7AD5036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58F0CDB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-0.58</w:t>
            </w:r>
          </w:p>
        </w:tc>
        <w:tc>
          <w:tcPr>
            <w:tcW w:w="725" w:type="dxa"/>
            <w:tcBorders>
              <w:top w:val="nil"/>
              <w:left w:val="nil"/>
              <w:bottom w:val="nil"/>
              <w:right w:val="nil"/>
            </w:tcBorders>
            <w:shd w:val="clear" w:color="auto" w:fill="D9D9D9"/>
            <w:vAlign w:val="center"/>
          </w:tcPr>
          <w:p w14:paraId="291138B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-0.37</w:t>
            </w:r>
          </w:p>
        </w:tc>
        <w:tc>
          <w:tcPr>
            <w:tcW w:w="725" w:type="dxa"/>
            <w:gridSpan w:val="2"/>
            <w:tcBorders>
              <w:top w:val="nil"/>
              <w:left w:val="nil"/>
              <w:bottom w:val="nil"/>
              <w:right w:val="nil"/>
            </w:tcBorders>
            <w:shd w:val="clear" w:color="auto" w:fill="auto"/>
            <w:noWrap/>
            <w:vAlign w:val="center"/>
          </w:tcPr>
          <w:p w14:paraId="14B92CF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-0.09</w:t>
            </w:r>
          </w:p>
        </w:tc>
        <w:tc>
          <w:tcPr>
            <w:tcW w:w="730" w:type="dxa"/>
            <w:tcBorders>
              <w:top w:val="nil"/>
              <w:left w:val="nil"/>
              <w:bottom w:val="nil"/>
              <w:right w:val="nil"/>
            </w:tcBorders>
            <w:shd w:val="clear" w:color="auto" w:fill="D9D9D9"/>
            <w:vAlign w:val="center"/>
          </w:tcPr>
          <w:p w14:paraId="1EFE652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0.63</w:t>
            </w:r>
          </w:p>
        </w:tc>
      </w:tr>
      <w:tr w:rsidR="00E6060C" w:rsidRPr="00E6060C" w14:paraId="750061A0" w14:textId="77777777" w:rsidTr="0035035C">
        <w:trPr>
          <w:trHeight w:val="482"/>
        </w:trPr>
        <w:tc>
          <w:tcPr>
            <w:tcW w:w="1558" w:type="dxa"/>
            <w:tcBorders>
              <w:bottom w:val="nil"/>
            </w:tcBorders>
            <w:shd w:val="clear" w:color="auto" w:fill="auto"/>
            <w:vAlign w:val="center"/>
          </w:tcPr>
          <w:p w14:paraId="190D606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Manager</w:t>
            </w:r>
          </w:p>
        </w:tc>
        <w:tc>
          <w:tcPr>
            <w:tcW w:w="723" w:type="dxa"/>
            <w:tcBorders>
              <w:top w:val="nil"/>
              <w:left w:val="nil"/>
              <w:bottom w:val="nil"/>
              <w:right w:val="nil"/>
            </w:tcBorders>
            <w:shd w:val="clear" w:color="auto" w:fill="auto"/>
            <w:noWrap/>
            <w:vAlign w:val="center"/>
          </w:tcPr>
          <w:p w14:paraId="3138B05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w:t>
            </w:r>
          </w:p>
        </w:tc>
        <w:tc>
          <w:tcPr>
            <w:tcW w:w="723" w:type="dxa"/>
            <w:gridSpan w:val="2"/>
            <w:tcBorders>
              <w:top w:val="nil"/>
              <w:left w:val="nil"/>
              <w:bottom w:val="nil"/>
              <w:right w:val="nil"/>
            </w:tcBorders>
            <w:shd w:val="clear" w:color="auto" w:fill="D9D9D9"/>
            <w:vAlign w:val="center"/>
          </w:tcPr>
          <w:p w14:paraId="66D2517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w:t>
            </w:r>
          </w:p>
        </w:tc>
        <w:tc>
          <w:tcPr>
            <w:tcW w:w="725" w:type="dxa"/>
            <w:tcBorders>
              <w:top w:val="nil"/>
              <w:left w:val="nil"/>
              <w:bottom w:val="nil"/>
              <w:right w:val="nil"/>
            </w:tcBorders>
            <w:shd w:val="clear" w:color="auto" w:fill="auto"/>
            <w:noWrap/>
            <w:vAlign w:val="center"/>
          </w:tcPr>
          <w:p w14:paraId="2D8C749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0.50</w:t>
            </w:r>
          </w:p>
        </w:tc>
        <w:tc>
          <w:tcPr>
            <w:tcW w:w="724" w:type="dxa"/>
            <w:gridSpan w:val="2"/>
            <w:tcBorders>
              <w:top w:val="nil"/>
              <w:left w:val="nil"/>
              <w:bottom w:val="nil"/>
              <w:right w:val="nil"/>
            </w:tcBorders>
            <w:shd w:val="clear" w:color="auto" w:fill="D9D9D9"/>
            <w:vAlign w:val="center"/>
          </w:tcPr>
          <w:p w14:paraId="0060777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0.43</w:t>
            </w:r>
          </w:p>
        </w:tc>
        <w:tc>
          <w:tcPr>
            <w:tcW w:w="725" w:type="dxa"/>
            <w:tcBorders>
              <w:top w:val="nil"/>
              <w:left w:val="nil"/>
              <w:bottom w:val="nil"/>
              <w:right w:val="nil"/>
            </w:tcBorders>
            <w:shd w:val="clear" w:color="auto" w:fill="auto"/>
            <w:noWrap/>
            <w:vAlign w:val="center"/>
          </w:tcPr>
          <w:p w14:paraId="0FD461E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0.51</w:t>
            </w:r>
          </w:p>
        </w:tc>
        <w:tc>
          <w:tcPr>
            <w:tcW w:w="725" w:type="dxa"/>
            <w:gridSpan w:val="2"/>
            <w:tcBorders>
              <w:top w:val="nil"/>
              <w:left w:val="nil"/>
              <w:bottom w:val="nil"/>
              <w:right w:val="nil"/>
            </w:tcBorders>
            <w:shd w:val="clear" w:color="auto" w:fill="D9D9D9"/>
            <w:vAlign w:val="center"/>
          </w:tcPr>
          <w:p w14:paraId="61BBD76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0.50</w:t>
            </w:r>
          </w:p>
        </w:tc>
        <w:tc>
          <w:tcPr>
            <w:tcW w:w="725" w:type="dxa"/>
            <w:tcBorders>
              <w:top w:val="nil"/>
              <w:left w:val="nil"/>
              <w:bottom w:val="nil"/>
              <w:right w:val="nil"/>
            </w:tcBorders>
            <w:shd w:val="clear" w:color="auto" w:fill="auto"/>
            <w:noWrap/>
            <w:vAlign w:val="center"/>
          </w:tcPr>
          <w:p w14:paraId="7E4414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0.09</w:t>
            </w:r>
          </w:p>
        </w:tc>
        <w:tc>
          <w:tcPr>
            <w:tcW w:w="724" w:type="dxa"/>
            <w:gridSpan w:val="2"/>
            <w:tcBorders>
              <w:top w:val="nil"/>
              <w:left w:val="nil"/>
              <w:bottom w:val="nil"/>
              <w:right w:val="nil"/>
            </w:tcBorders>
            <w:shd w:val="clear" w:color="auto" w:fill="D9D9D9"/>
            <w:vAlign w:val="center"/>
          </w:tcPr>
          <w:p w14:paraId="14D5016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0.08</w:t>
            </w:r>
          </w:p>
        </w:tc>
        <w:tc>
          <w:tcPr>
            <w:tcW w:w="725" w:type="dxa"/>
            <w:tcBorders>
              <w:top w:val="nil"/>
              <w:left w:val="nil"/>
              <w:bottom w:val="nil"/>
              <w:right w:val="nil"/>
            </w:tcBorders>
            <w:shd w:val="clear" w:color="auto" w:fill="auto"/>
            <w:vAlign w:val="center"/>
          </w:tcPr>
          <w:p w14:paraId="4AA364E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0.50</w:t>
            </w:r>
          </w:p>
        </w:tc>
        <w:tc>
          <w:tcPr>
            <w:tcW w:w="725" w:type="dxa"/>
            <w:gridSpan w:val="2"/>
            <w:tcBorders>
              <w:top w:val="nil"/>
              <w:left w:val="nil"/>
              <w:bottom w:val="nil"/>
              <w:right w:val="nil"/>
            </w:tcBorders>
            <w:shd w:val="clear" w:color="auto" w:fill="D9D9D9"/>
            <w:vAlign w:val="center"/>
          </w:tcPr>
          <w:p w14:paraId="7963746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0.00</w:t>
            </w:r>
          </w:p>
        </w:tc>
        <w:tc>
          <w:tcPr>
            <w:tcW w:w="724" w:type="dxa"/>
            <w:tcBorders>
              <w:top w:val="nil"/>
              <w:left w:val="nil"/>
              <w:bottom w:val="nil"/>
              <w:right w:val="nil"/>
            </w:tcBorders>
            <w:shd w:val="clear" w:color="auto" w:fill="auto"/>
            <w:noWrap/>
            <w:vAlign w:val="center"/>
          </w:tcPr>
          <w:p w14:paraId="7776200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left w:val="nil"/>
              <w:bottom w:val="nil"/>
              <w:right w:val="nil"/>
            </w:tcBorders>
            <w:shd w:val="clear" w:color="auto" w:fill="D9D9D9"/>
            <w:vAlign w:val="center"/>
          </w:tcPr>
          <w:p w14:paraId="09B7DA2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tcBorders>
              <w:top w:val="nil"/>
              <w:left w:val="nil"/>
              <w:bottom w:val="nil"/>
              <w:right w:val="nil"/>
            </w:tcBorders>
            <w:shd w:val="clear" w:color="auto" w:fill="auto"/>
            <w:noWrap/>
            <w:vAlign w:val="center"/>
          </w:tcPr>
          <w:p w14:paraId="6D38DEC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D9D9D9"/>
            <w:vAlign w:val="center"/>
          </w:tcPr>
          <w:p w14:paraId="39C6BB7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4" w:type="dxa"/>
            <w:tcBorders>
              <w:top w:val="nil"/>
              <w:left w:val="nil"/>
              <w:bottom w:val="nil"/>
              <w:right w:val="nil"/>
            </w:tcBorders>
            <w:shd w:val="clear" w:color="auto" w:fill="auto"/>
            <w:noWrap/>
            <w:vAlign w:val="center"/>
          </w:tcPr>
          <w:p w14:paraId="1812181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tcBorders>
              <w:top w:val="nil"/>
              <w:left w:val="nil"/>
              <w:bottom w:val="nil"/>
              <w:right w:val="nil"/>
            </w:tcBorders>
            <w:shd w:val="clear" w:color="auto" w:fill="D9D9D9"/>
            <w:vAlign w:val="center"/>
          </w:tcPr>
          <w:p w14:paraId="0933517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0.32</w:t>
            </w:r>
          </w:p>
        </w:tc>
        <w:tc>
          <w:tcPr>
            <w:tcW w:w="725" w:type="dxa"/>
            <w:gridSpan w:val="2"/>
            <w:tcBorders>
              <w:top w:val="nil"/>
              <w:left w:val="nil"/>
              <w:bottom w:val="nil"/>
              <w:right w:val="nil"/>
            </w:tcBorders>
            <w:shd w:val="clear" w:color="auto" w:fill="auto"/>
            <w:noWrap/>
            <w:vAlign w:val="center"/>
          </w:tcPr>
          <w:p w14:paraId="10C85E8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-2.14</w:t>
            </w:r>
          </w:p>
        </w:tc>
        <w:tc>
          <w:tcPr>
            <w:tcW w:w="730" w:type="dxa"/>
            <w:tcBorders>
              <w:top w:val="nil"/>
              <w:left w:val="nil"/>
              <w:bottom w:val="nil"/>
              <w:right w:val="nil"/>
            </w:tcBorders>
            <w:shd w:val="clear" w:color="auto" w:fill="D9D9D9"/>
            <w:vAlign w:val="center"/>
          </w:tcPr>
          <w:p w14:paraId="71DE376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r>
      <w:tr w:rsidR="00E6060C" w:rsidRPr="00E6060C" w14:paraId="36756871" w14:textId="77777777" w:rsidTr="0035035C">
        <w:trPr>
          <w:trHeight w:val="482"/>
        </w:trPr>
        <w:tc>
          <w:tcPr>
            <w:tcW w:w="1558" w:type="dxa"/>
            <w:tcBorders>
              <w:top w:val="nil"/>
              <w:bottom w:val="single" w:sz="4" w:space="0" w:color="auto"/>
            </w:tcBorders>
            <w:shd w:val="clear" w:color="auto" w:fill="auto"/>
            <w:vAlign w:val="center"/>
          </w:tcPr>
          <w:p w14:paraId="2AAE370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FT/PT</w:t>
            </w:r>
          </w:p>
        </w:tc>
        <w:tc>
          <w:tcPr>
            <w:tcW w:w="723" w:type="dxa"/>
            <w:tcBorders>
              <w:top w:val="nil"/>
              <w:left w:val="nil"/>
              <w:bottom w:val="single" w:sz="4" w:space="0" w:color="auto"/>
              <w:right w:val="nil"/>
            </w:tcBorders>
            <w:shd w:val="clear" w:color="auto" w:fill="auto"/>
            <w:noWrap/>
            <w:vAlign w:val="center"/>
          </w:tcPr>
          <w:p w14:paraId="7881E3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w:t>
            </w:r>
          </w:p>
        </w:tc>
        <w:tc>
          <w:tcPr>
            <w:tcW w:w="723" w:type="dxa"/>
            <w:gridSpan w:val="2"/>
            <w:tcBorders>
              <w:top w:val="nil"/>
              <w:left w:val="nil"/>
              <w:bottom w:val="single" w:sz="4" w:space="0" w:color="auto"/>
              <w:right w:val="nil"/>
            </w:tcBorders>
            <w:shd w:val="clear" w:color="auto" w:fill="D9D9D9"/>
            <w:vAlign w:val="center"/>
          </w:tcPr>
          <w:p w14:paraId="2A0C3A2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w:t>
            </w:r>
          </w:p>
        </w:tc>
        <w:tc>
          <w:tcPr>
            <w:tcW w:w="725" w:type="dxa"/>
            <w:tcBorders>
              <w:top w:val="nil"/>
              <w:left w:val="nil"/>
              <w:bottom w:val="single" w:sz="4" w:space="0" w:color="auto"/>
              <w:right w:val="nil"/>
            </w:tcBorders>
            <w:shd w:val="clear" w:color="auto" w:fill="auto"/>
            <w:noWrap/>
            <w:vAlign w:val="center"/>
          </w:tcPr>
          <w:p w14:paraId="321F197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0.69</w:t>
            </w:r>
          </w:p>
        </w:tc>
        <w:tc>
          <w:tcPr>
            <w:tcW w:w="724" w:type="dxa"/>
            <w:gridSpan w:val="2"/>
            <w:tcBorders>
              <w:top w:val="nil"/>
              <w:left w:val="nil"/>
              <w:bottom w:val="single" w:sz="4" w:space="0" w:color="auto"/>
              <w:right w:val="nil"/>
            </w:tcBorders>
            <w:shd w:val="clear" w:color="auto" w:fill="D9D9D9"/>
            <w:vAlign w:val="center"/>
          </w:tcPr>
          <w:p w14:paraId="6E20F8B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0.70</w:t>
            </w:r>
          </w:p>
        </w:tc>
        <w:tc>
          <w:tcPr>
            <w:tcW w:w="725" w:type="dxa"/>
            <w:tcBorders>
              <w:top w:val="nil"/>
              <w:left w:val="nil"/>
              <w:bottom w:val="single" w:sz="4" w:space="0" w:color="auto"/>
              <w:right w:val="nil"/>
            </w:tcBorders>
            <w:shd w:val="clear" w:color="auto" w:fill="auto"/>
            <w:noWrap/>
            <w:vAlign w:val="center"/>
          </w:tcPr>
          <w:p w14:paraId="01F37D4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0.47</w:t>
            </w:r>
          </w:p>
        </w:tc>
        <w:tc>
          <w:tcPr>
            <w:tcW w:w="725" w:type="dxa"/>
            <w:gridSpan w:val="2"/>
            <w:tcBorders>
              <w:top w:val="nil"/>
              <w:left w:val="nil"/>
              <w:bottom w:val="single" w:sz="4" w:space="0" w:color="auto"/>
              <w:right w:val="nil"/>
            </w:tcBorders>
            <w:shd w:val="clear" w:color="auto" w:fill="D9D9D9"/>
            <w:vAlign w:val="center"/>
          </w:tcPr>
          <w:p w14:paraId="751A923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0.46</w:t>
            </w:r>
          </w:p>
        </w:tc>
        <w:tc>
          <w:tcPr>
            <w:tcW w:w="725" w:type="dxa"/>
            <w:tcBorders>
              <w:top w:val="nil"/>
              <w:left w:val="nil"/>
              <w:bottom w:val="single" w:sz="4" w:space="0" w:color="auto"/>
              <w:right w:val="nil"/>
            </w:tcBorders>
            <w:shd w:val="clear" w:color="auto" w:fill="auto"/>
            <w:noWrap/>
            <w:vAlign w:val="center"/>
          </w:tcPr>
          <w:p w14:paraId="17683E5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0.08</w:t>
            </w:r>
          </w:p>
        </w:tc>
        <w:tc>
          <w:tcPr>
            <w:tcW w:w="724" w:type="dxa"/>
            <w:gridSpan w:val="2"/>
            <w:tcBorders>
              <w:top w:val="nil"/>
              <w:left w:val="nil"/>
              <w:bottom w:val="single" w:sz="4" w:space="0" w:color="auto"/>
              <w:right w:val="nil"/>
            </w:tcBorders>
            <w:shd w:val="clear" w:color="auto" w:fill="D9D9D9"/>
            <w:vAlign w:val="center"/>
          </w:tcPr>
          <w:p w14:paraId="152D8CC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tcBorders>
              <w:top w:val="nil"/>
              <w:left w:val="nil"/>
              <w:bottom w:val="single" w:sz="4" w:space="0" w:color="auto"/>
              <w:right w:val="nil"/>
            </w:tcBorders>
            <w:shd w:val="clear" w:color="auto" w:fill="auto"/>
            <w:vAlign w:val="center"/>
          </w:tcPr>
          <w:p w14:paraId="0F7E154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5" w:type="dxa"/>
            <w:gridSpan w:val="2"/>
            <w:tcBorders>
              <w:top w:val="nil"/>
              <w:left w:val="nil"/>
              <w:bottom w:val="single" w:sz="4" w:space="0" w:color="auto"/>
              <w:right w:val="nil"/>
            </w:tcBorders>
            <w:shd w:val="clear" w:color="auto" w:fill="D9D9D9"/>
            <w:vAlign w:val="center"/>
          </w:tcPr>
          <w:p w14:paraId="7302B84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1.00</w:t>
            </w:r>
          </w:p>
        </w:tc>
        <w:tc>
          <w:tcPr>
            <w:tcW w:w="724" w:type="dxa"/>
            <w:tcBorders>
              <w:top w:val="nil"/>
              <w:left w:val="nil"/>
              <w:bottom w:val="single" w:sz="4" w:space="0" w:color="auto"/>
              <w:right w:val="nil"/>
            </w:tcBorders>
            <w:shd w:val="clear" w:color="auto" w:fill="auto"/>
            <w:noWrap/>
            <w:vAlign w:val="center"/>
          </w:tcPr>
          <w:p w14:paraId="4A646F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725" w:type="dxa"/>
            <w:gridSpan w:val="2"/>
            <w:tcBorders>
              <w:top w:val="nil"/>
              <w:left w:val="nil"/>
              <w:bottom w:val="single" w:sz="4" w:space="0" w:color="auto"/>
              <w:right w:val="nil"/>
            </w:tcBorders>
            <w:shd w:val="clear" w:color="auto" w:fill="D9D9D9"/>
            <w:vAlign w:val="center"/>
          </w:tcPr>
          <w:p w14:paraId="0A0A2D6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0.00</w:t>
            </w:r>
          </w:p>
        </w:tc>
        <w:tc>
          <w:tcPr>
            <w:tcW w:w="725" w:type="dxa"/>
            <w:tcBorders>
              <w:top w:val="nil"/>
              <w:left w:val="nil"/>
              <w:bottom w:val="single" w:sz="4" w:space="0" w:color="auto"/>
              <w:right w:val="nil"/>
            </w:tcBorders>
            <w:shd w:val="clear" w:color="auto" w:fill="auto"/>
            <w:noWrap/>
            <w:vAlign w:val="center"/>
          </w:tcPr>
          <w:p w14:paraId="437D6F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tcBorders>
              <w:top w:val="nil"/>
              <w:left w:val="nil"/>
              <w:bottom w:val="single" w:sz="4" w:space="0" w:color="auto"/>
              <w:right w:val="nil"/>
            </w:tcBorders>
            <w:shd w:val="clear" w:color="auto" w:fill="D9D9D9"/>
            <w:vAlign w:val="center"/>
          </w:tcPr>
          <w:p w14:paraId="3E364C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4" w:type="dxa"/>
            <w:tcBorders>
              <w:top w:val="nil"/>
              <w:left w:val="nil"/>
              <w:bottom w:val="single" w:sz="4" w:space="0" w:color="auto"/>
              <w:right w:val="nil"/>
            </w:tcBorders>
            <w:shd w:val="clear" w:color="auto" w:fill="auto"/>
            <w:noWrap/>
            <w:vAlign w:val="center"/>
          </w:tcPr>
          <w:p w14:paraId="443146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-0.88</w:t>
            </w:r>
          </w:p>
        </w:tc>
        <w:tc>
          <w:tcPr>
            <w:tcW w:w="725" w:type="dxa"/>
            <w:tcBorders>
              <w:top w:val="nil"/>
              <w:left w:val="nil"/>
              <w:bottom w:val="single" w:sz="4" w:space="0" w:color="auto"/>
              <w:right w:val="nil"/>
            </w:tcBorders>
            <w:shd w:val="clear" w:color="auto" w:fill="D9D9D9"/>
            <w:vAlign w:val="center"/>
          </w:tcPr>
          <w:p w14:paraId="3175531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-0.91</w:t>
            </w:r>
          </w:p>
        </w:tc>
        <w:tc>
          <w:tcPr>
            <w:tcW w:w="725" w:type="dxa"/>
            <w:gridSpan w:val="2"/>
            <w:tcBorders>
              <w:top w:val="nil"/>
              <w:left w:val="nil"/>
              <w:bottom w:val="single" w:sz="4" w:space="0" w:color="auto"/>
              <w:right w:val="nil"/>
            </w:tcBorders>
            <w:shd w:val="clear" w:color="auto" w:fill="auto"/>
            <w:noWrap/>
            <w:vAlign w:val="center"/>
          </w:tcPr>
          <w:p w14:paraId="7D00F9B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-1.30</w:t>
            </w:r>
          </w:p>
        </w:tc>
        <w:tc>
          <w:tcPr>
            <w:tcW w:w="730" w:type="dxa"/>
            <w:tcBorders>
              <w:top w:val="nil"/>
              <w:left w:val="nil"/>
              <w:bottom w:val="single" w:sz="4" w:space="0" w:color="auto"/>
              <w:right w:val="nil"/>
            </w:tcBorders>
            <w:shd w:val="clear" w:color="auto" w:fill="D9D9D9"/>
            <w:vAlign w:val="center"/>
          </w:tcPr>
          <w:p w14:paraId="2979887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-1.24</w:t>
            </w:r>
          </w:p>
        </w:tc>
      </w:tr>
    </w:tbl>
    <w:p w14:paraId="513492C3" w14:textId="24BEB770" w:rsidR="00E6060C" w:rsidRPr="00E6060C" w:rsidRDefault="00E6060C" w:rsidP="00E6060C">
      <w:pPr>
        <w:spacing w:after="200" w:line="276" w:lineRule="auto"/>
        <w:rPr>
          <w:rFonts w:ascii="Calibri" w:eastAsia="Calibri" w:hAnsi="Calibri" w:cs="Times New Roman"/>
        </w:rPr>
      </w:pPr>
      <w:r w:rsidRPr="00E6060C">
        <w:rPr>
          <w:rFonts w:ascii="Calibri" w:eastAsia="Calibri" w:hAnsi="Calibri" w:cs="Times New Roman"/>
        </w:rPr>
        <w:t xml:space="preserve">Notes; N=number of respondents; </w:t>
      </w:r>
      <w:r w:rsidRPr="00E6060C">
        <w:rPr>
          <w:rFonts w:ascii="Calibri" w:eastAsia="Calibri" w:hAnsi="Calibri" w:cs="Times New Roman"/>
          <w:i/>
        </w:rPr>
        <w:t>SD</w:t>
      </w:r>
      <w:r w:rsidRPr="00E6060C">
        <w:rPr>
          <w:rFonts w:ascii="Calibri" w:eastAsia="Calibri" w:hAnsi="Calibri" w:cs="Times New Roman"/>
        </w:rPr>
        <w:t xml:space="preserve">=standard deviation of the mean; </w:t>
      </w:r>
      <w:r w:rsidRPr="00E6060C">
        <w:rPr>
          <w:rFonts w:ascii="Calibri" w:eastAsia="Calibri" w:hAnsi="Calibri" w:cs="Times New Roman"/>
          <w:i/>
        </w:rPr>
        <w:t>SE</w:t>
      </w:r>
      <w:r w:rsidRPr="00E6060C">
        <w:rPr>
          <w:rFonts w:ascii="Calibri" w:eastAsia="Calibri" w:hAnsi="Calibri" w:cs="Times New Roman"/>
        </w:rPr>
        <w:t>=standard error of the mean; Min=Minimum value; Max=Maximum value; C=Control group; I=Intervention group; Time qualified=length of time qualified as a nurse; Manager=whether or not the respondents managed employees</w:t>
      </w:r>
      <w:r w:rsidR="00BC34D0">
        <w:rPr>
          <w:rFonts w:ascii="Calibri" w:eastAsia="Calibri" w:hAnsi="Calibri" w:cs="Times New Roman"/>
        </w:rPr>
        <w:t>; FT/PT=full tim</w:t>
      </w:r>
      <w:r w:rsidR="00030B4D">
        <w:rPr>
          <w:rFonts w:ascii="Calibri" w:eastAsia="Calibri" w:hAnsi="Calibri" w:cs="Times New Roman"/>
        </w:rPr>
        <w:t>e/</w:t>
      </w:r>
      <w:r w:rsidR="00BC34D0">
        <w:rPr>
          <w:rFonts w:ascii="Calibri" w:eastAsia="Calibri" w:hAnsi="Calibri" w:cs="Times New Roman"/>
        </w:rPr>
        <w:t>part time</w:t>
      </w:r>
    </w:p>
    <w:p w14:paraId="6BC6051F" w14:textId="77777777" w:rsidR="00E6060C" w:rsidRPr="00E6060C" w:rsidRDefault="00E6060C" w:rsidP="00E6060C">
      <w:pPr>
        <w:spacing w:after="200" w:line="276" w:lineRule="auto"/>
        <w:rPr>
          <w:rFonts w:ascii="Calibri" w:eastAsia="Calibri" w:hAnsi="Calibri" w:cs="Times New Roman"/>
          <w:color w:val="000000"/>
        </w:rPr>
      </w:pPr>
    </w:p>
    <w:p w14:paraId="26BF5D11" w14:textId="77777777" w:rsidR="00E6060C" w:rsidRPr="00E6060C" w:rsidRDefault="00E6060C" w:rsidP="00E6060C">
      <w:pPr>
        <w:keepNext/>
        <w:keepLines/>
        <w:spacing w:before="40" w:line="276" w:lineRule="auto"/>
        <w:outlineLvl w:val="3"/>
        <w:rPr>
          <w:rFonts w:ascii="Cambria" w:eastAsia="Times New Roman" w:hAnsi="Cambria" w:cs="Times New Roman"/>
          <w:i/>
          <w:iCs/>
        </w:rPr>
        <w:sectPr w:rsidR="00E6060C" w:rsidRPr="00E6060C" w:rsidSect="00E6060C">
          <w:pgSz w:w="16838" w:h="11906" w:orient="landscape"/>
          <w:pgMar w:top="1440" w:right="1440" w:bottom="1440" w:left="1440" w:header="709" w:footer="709" w:gutter="0"/>
          <w:cols w:space="708"/>
          <w:titlePg/>
          <w:docGrid w:linePitch="360"/>
        </w:sectPr>
      </w:pPr>
    </w:p>
    <w:p w14:paraId="166210BF" w14:textId="4F570A95" w:rsidR="00E6060C" w:rsidRPr="00E6060C" w:rsidRDefault="00E6060C" w:rsidP="0009618B">
      <w:pPr>
        <w:pStyle w:val="Heading3"/>
      </w:pPr>
      <w:bookmarkStart w:id="401" w:name="_Ref453581564"/>
      <w:bookmarkStart w:id="402" w:name="_Toc468286011"/>
      <w:r w:rsidRPr="00E6060C">
        <w:lastRenderedPageBreak/>
        <w:t>Descriptive statistics of the research variables for the complete sample</w:t>
      </w:r>
      <w:bookmarkEnd w:id="401"/>
      <w:bookmarkEnd w:id="402"/>
    </w:p>
    <w:p w14:paraId="4B29325F" w14:textId="77777777" w:rsidR="00E6060C" w:rsidRPr="00E6060C" w:rsidRDefault="00E6060C" w:rsidP="00E6060C">
      <w:pPr>
        <w:spacing w:after="200" w:line="276" w:lineRule="auto"/>
        <w:rPr>
          <w:rFonts w:ascii="Calibri" w:eastAsia="Calibri" w:hAnsi="Calibri" w:cs="Times New Roman"/>
        </w:rPr>
      </w:pPr>
    </w:p>
    <w:p w14:paraId="067E4F31" w14:textId="0D765C01"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Descriptive statistics at Time 1 and Time 2 for the research variables are displayed in </w:t>
      </w:r>
      <w:r w:rsidR="00F74B0D">
        <w:rPr>
          <w:rFonts w:ascii="Calibri" w:eastAsia="Calibri" w:hAnsi="Calibri" w:cs="Times New Roman"/>
        </w:rPr>
        <w:fldChar w:fldCharType="begin"/>
      </w:r>
      <w:r w:rsidR="00F74B0D">
        <w:rPr>
          <w:rFonts w:ascii="Calibri" w:eastAsia="Calibri" w:hAnsi="Calibri" w:cs="Times New Roman"/>
        </w:rPr>
        <w:instrText xml:space="preserve"> REF _Ref453589602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4</w:t>
      </w:r>
      <w:r w:rsidR="00F74B0D">
        <w:rPr>
          <w:rFonts w:ascii="Calibri" w:eastAsia="Calibri" w:hAnsi="Calibri" w:cs="Times New Roman"/>
        </w:rPr>
        <w:fldChar w:fldCharType="end"/>
      </w:r>
      <w:r w:rsidRPr="00E6060C">
        <w:rPr>
          <w:rFonts w:ascii="Calibri" w:eastAsia="Calibri" w:hAnsi="Calibri" w:cs="Times New Roman"/>
        </w:rPr>
        <w:t xml:space="preserve">, </w:t>
      </w:r>
      <w:r w:rsidR="00F74B0D">
        <w:rPr>
          <w:rFonts w:ascii="Calibri" w:eastAsia="Calibri" w:hAnsi="Calibri" w:cs="Times New Roman"/>
        </w:rPr>
        <w:fldChar w:fldCharType="begin"/>
      </w:r>
      <w:r w:rsidR="00F74B0D">
        <w:rPr>
          <w:rFonts w:ascii="Calibri" w:eastAsia="Calibri" w:hAnsi="Calibri" w:cs="Times New Roman"/>
        </w:rPr>
        <w:instrText xml:space="preserve"> REF _Ref453589638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5</w:t>
      </w:r>
      <w:r w:rsidR="00F74B0D">
        <w:rPr>
          <w:rFonts w:ascii="Calibri" w:eastAsia="Calibri" w:hAnsi="Calibri" w:cs="Times New Roman"/>
        </w:rPr>
        <w:fldChar w:fldCharType="end"/>
      </w:r>
      <w:r w:rsidRPr="00E6060C">
        <w:rPr>
          <w:rFonts w:ascii="Calibri" w:eastAsia="Calibri" w:hAnsi="Calibri" w:cs="Times New Roman"/>
        </w:rPr>
        <w:t>, and</w:t>
      </w:r>
      <w:r w:rsidR="00BC34D0">
        <w:rPr>
          <w:rFonts w:ascii="Calibri" w:eastAsia="Calibri" w:hAnsi="Calibri" w:cs="Times New Roman"/>
        </w:rPr>
        <w:t xml:space="preserve"> </w:t>
      </w:r>
      <w:r w:rsidR="00F74B0D">
        <w:rPr>
          <w:rFonts w:ascii="Calibri" w:eastAsia="Calibri" w:hAnsi="Calibri" w:cs="Times New Roman"/>
        </w:rPr>
        <w:fldChar w:fldCharType="begin"/>
      </w:r>
      <w:r w:rsidR="00F74B0D">
        <w:rPr>
          <w:rFonts w:ascii="Calibri" w:eastAsia="Calibri" w:hAnsi="Calibri" w:cs="Times New Roman"/>
        </w:rPr>
        <w:instrText xml:space="preserve"> REF _Ref453589659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6</w:t>
      </w:r>
      <w:r w:rsidR="00F74B0D">
        <w:rPr>
          <w:rFonts w:ascii="Calibri" w:eastAsia="Calibri" w:hAnsi="Calibri" w:cs="Times New Roman"/>
        </w:rPr>
        <w:fldChar w:fldCharType="end"/>
      </w:r>
      <w:r w:rsidRPr="00E6060C">
        <w:rPr>
          <w:rFonts w:ascii="Calibri" w:eastAsia="Calibri" w:hAnsi="Calibri" w:cs="Times New Roman"/>
        </w:rPr>
        <w:t xml:space="preserve">. </w:t>
      </w:r>
      <w:r w:rsidR="00F74B0D">
        <w:rPr>
          <w:rFonts w:ascii="Calibri" w:eastAsia="Calibri" w:hAnsi="Calibri" w:cs="Times New Roman"/>
        </w:rPr>
        <w:fldChar w:fldCharType="begin"/>
      </w:r>
      <w:r w:rsidR="00F74B0D">
        <w:rPr>
          <w:rFonts w:ascii="Calibri" w:eastAsia="Calibri" w:hAnsi="Calibri" w:cs="Times New Roman"/>
        </w:rPr>
        <w:instrText xml:space="preserve"> REF _Ref453589602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4</w:t>
      </w:r>
      <w:r w:rsidR="00F74B0D">
        <w:rPr>
          <w:rFonts w:ascii="Calibri" w:eastAsia="Calibri" w:hAnsi="Calibri" w:cs="Times New Roman"/>
        </w:rPr>
        <w:fldChar w:fldCharType="end"/>
      </w:r>
      <w:r w:rsidR="00F74B0D">
        <w:rPr>
          <w:rFonts w:ascii="Calibri" w:eastAsia="Calibri" w:hAnsi="Calibri" w:cs="Times New Roman"/>
        </w:rPr>
        <w:t xml:space="preserve"> </w:t>
      </w:r>
      <w:r w:rsidRPr="00E6060C">
        <w:rPr>
          <w:rFonts w:ascii="Calibri" w:eastAsia="Calibri" w:hAnsi="Calibri" w:cs="Times New Roman"/>
        </w:rPr>
        <w:t xml:space="preserve">displays descriptive statistics for the whole sample at each time point, that is, both the intervention and control groups together, and </w:t>
      </w:r>
      <w:r w:rsidR="00F74B0D">
        <w:rPr>
          <w:rFonts w:ascii="Calibri" w:eastAsia="Calibri" w:hAnsi="Calibri" w:cs="Times New Roman"/>
        </w:rPr>
        <w:fldChar w:fldCharType="begin"/>
      </w:r>
      <w:r w:rsidR="00F74B0D">
        <w:rPr>
          <w:rFonts w:ascii="Calibri" w:eastAsia="Calibri" w:hAnsi="Calibri" w:cs="Times New Roman"/>
        </w:rPr>
        <w:instrText xml:space="preserve"> REF _Ref453589638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5</w:t>
      </w:r>
      <w:r w:rsidR="00F74B0D">
        <w:rPr>
          <w:rFonts w:ascii="Calibri" w:eastAsia="Calibri" w:hAnsi="Calibri" w:cs="Times New Roman"/>
        </w:rPr>
        <w:fldChar w:fldCharType="end"/>
      </w:r>
      <w:r w:rsidR="00F74B0D">
        <w:rPr>
          <w:rFonts w:ascii="Calibri" w:eastAsia="Calibri" w:hAnsi="Calibri" w:cs="Times New Roman"/>
        </w:rPr>
        <w:t xml:space="preserve"> </w:t>
      </w:r>
      <w:r w:rsidRPr="00E6060C">
        <w:rPr>
          <w:rFonts w:ascii="Calibri" w:eastAsia="Calibri" w:hAnsi="Calibri" w:cs="Times New Roman"/>
        </w:rPr>
        <w:t xml:space="preserve">and </w:t>
      </w:r>
      <w:r w:rsidR="00F74B0D">
        <w:rPr>
          <w:rFonts w:ascii="Calibri" w:eastAsia="Calibri" w:hAnsi="Calibri" w:cs="Times New Roman"/>
        </w:rPr>
        <w:fldChar w:fldCharType="begin"/>
      </w:r>
      <w:r w:rsidR="00F74B0D">
        <w:rPr>
          <w:rFonts w:ascii="Calibri" w:eastAsia="Calibri" w:hAnsi="Calibri" w:cs="Times New Roman"/>
        </w:rPr>
        <w:instrText xml:space="preserve"> REF _Ref453589659 \h </w:instrText>
      </w:r>
      <w:r w:rsidR="00F74B0D">
        <w:rPr>
          <w:rFonts w:ascii="Calibri" w:eastAsia="Calibri" w:hAnsi="Calibri" w:cs="Times New Roman"/>
        </w:rPr>
      </w:r>
      <w:r w:rsidR="00F74B0D">
        <w:rPr>
          <w:rFonts w:ascii="Calibri" w:eastAsia="Calibri" w:hAnsi="Calibri" w:cs="Times New Roman"/>
        </w:rPr>
        <w:fldChar w:fldCharType="separate"/>
      </w:r>
      <w:r w:rsidR="00152F6D">
        <w:t xml:space="preserve">Table </w:t>
      </w:r>
      <w:r w:rsidR="00152F6D">
        <w:rPr>
          <w:noProof/>
        </w:rPr>
        <w:t>8</w:t>
      </w:r>
      <w:r w:rsidR="00152F6D">
        <w:t>.</w:t>
      </w:r>
      <w:r w:rsidR="00152F6D">
        <w:rPr>
          <w:noProof/>
        </w:rPr>
        <w:t>6</w:t>
      </w:r>
      <w:r w:rsidR="00F74B0D">
        <w:rPr>
          <w:rFonts w:ascii="Calibri" w:eastAsia="Calibri" w:hAnsi="Calibri" w:cs="Times New Roman"/>
        </w:rPr>
        <w:fldChar w:fldCharType="end"/>
      </w:r>
      <w:r w:rsidR="00F74B0D">
        <w:rPr>
          <w:rFonts w:ascii="Calibri" w:eastAsia="Calibri" w:hAnsi="Calibri" w:cs="Times New Roman"/>
        </w:rPr>
        <w:t xml:space="preserve"> </w:t>
      </w:r>
      <w:r w:rsidRPr="00E6060C">
        <w:rPr>
          <w:rFonts w:ascii="Calibri" w:eastAsia="Calibri" w:hAnsi="Calibri" w:cs="Times New Roman"/>
        </w:rPr>
        <w:t>display descriptive</w:t>
      </w:r>
      <w:r w:rsidR="00BC34D0">
        <w:rPr>
          <w:rFonts w:ascii="Calibri" w:eastAsia="Calibri" w:hAnsi="Calibri" w:cs="Times New Roman"/>
        </w:rPr>
        <w:t xml:space="preserve"> statistic</w:t>
      </w:r>
      <w:r w:rsidRPr="00E6060C">
        <w:rPr>
          <w:rFonts w:ascii="Calibri" w:eastAsia="Calibri" w:hAnsi="Calibri" w:cs="Times New Roman"/>
        </w:rPr>
        <w:t>s for each group separately. In accordance with theory and disc</w:t>
      </w:r>
      <w:r w:rsidR="00F74B0D">
        <w:rPr>
          <w:rFonts w:ascii="Calibri" w:eastAsia="Calibri" w:hAnsi="Calibri" w:cs="Times New Roman"/>
        </w:rPr>
        <w:t>riminant analyses (see Chapter 7</w:t>
      </w:r>
      <w:r w:rsidRPr="00E6060C">
        <w:rPr>
          <w:rFonts w:ascii="Calibri" w:eastAsia="Calibri" w:hAnsi="Calibri" w:cs="Times New Roman"/>
        </w:rPr>
        <w:t xml:space="preserve">, section </w:t>
      </w:r>
      <w:r w:rsidR="00F74B0D">
        <w:rPr>
          <w:rFonts w:ascii="Calibri" w:eastAsia="Calibri" w:hAnsi="Calibri" w:cs="Times New Roman"/>
        </w:rPr>
        <w:fldChar w:fldCharType="begin"/>
      </w:r>
      <w:r w:rsidR="00F74B0D">
        <w:rPr>
          <w:rFonts w:ascii="Calibri" w:eastAsia="Calibri" w:hAnsi="Calibri" w:cs="Times New Roman"/>
        </w:rPr>
        <w:instrText xml:space="preserve"> REF _Ref453589822 \r \h </w:instrText>
      </w:r>
      <w:r w:rsidR="00F74B0D">
        <w:rPr>
          <w:rFonts w:ascii="Calibri" w:eastAsia="Calibri" w:hAnsi="Calibri" w:cs="Times New Roman"/>
        </w:rPr>
      </w:r>
      <w:r w:rsidR="00F74B0D">
        <w:rPr>
          <w:rFonts w:ascii="Calibri" w:eastAsia="Calibri" w:hAnsi="Calibri" w:cs="Times New Roman"/>
        </w:rPr>
        <w:fldChar w:fldCharType="separate"/>
      </w:r>
      <w:r w:rsidR="00152F6D">
        <w:rPr>
          <w:rFonts w:ascii="Calibri" w:eastAsia="Calibri" w:hAnsi="Calibri" w:cs="Times New Roman"/>
        </w:rPr>
        <w:t>7.7.3</w:t>
      </w:r>
      <w:r w:rsidR="00F74B0D">
        <w:rPr>
          <w:rFonts w:ascii="Calibri" w:eastAsia="Calibri" w:hAnsi="Calibri" w:cs="Times New Roman"/>
        </w:rPr>
        <w:fldChar w:fldCharType="end"/>
      </w:r>
      <w:r w:rsidRPr="00E6060C">
        <w:rPr>
          <w:rFonts w:ascii="Calibri" w:eastAsia="Calibri" w:hAnsi="Calibri" w:cs="Times New Roman"/>
        </w:rPr>
        <w:t xml:space="preserve">), the three components of work engagement are treated as a single, composite scale, as are resources and demands. The three work-related basic needs are considered as three separate scales. Colleague support </w:t>
      </w:r>
      <w:r w:rsidR="00307C3F">
        <w:rPr>
          <w:rFonts w:ascii="Calibri" w:eastAsia="Calibri" w:hAnsi="Calibri" w:cs="Times New Roman"/>
        </w:rPr>
        <w:t xml:space="preserve">comprises a single scale, as does </w:t>
      </w:r>
      <w:r w:rsidRPr="00E6060C">
        <w:rPr>
          <w:rFonts w:ascii="Calibri" w:eastAsia="Calibri" w:hAnsi="Calibri" w:cs="Times New Roman"/>
        </w:rPr>
        <w:t>influence in decision-ma</w:t>
      </w:r>
      <w:r w:rsidR="00307C3F">
        <w:rPr>
          <w:rFonts w:ascii="Calibri" w:eastAsia="Calibri" w:hAnsi="Calibri" w:cs="Times New Roman"/>
        </w:rPr>
        <w:t>king</w:t>
      </w:r>
      <w:r w:rsidRPr="00E6060C">
        <w:rPr>
          <w:rFonts w:ascii="Calibri" w:eastAsia="Calibri" w:hAnsi="Calibri" w:cs="Times New Roman"/>
        </w:rPr>
        <w:t xml:space="preserve">, whereas </w:t>
      </w:r>
      <w:r w:rsidR="001D6140">
        <w:rPr>
          <w:rFonts w:ascii="Calibri" w:eastAsia="Calibri" w:hAnsi="Calibri" w:cs="Times New Roman"/>
        </w:rPr>
        <w:t>well-being</w:t>
      </w:r>
      <w:r w:rsidRPr="00E6060C">
        <w:rPr>
          <w:rFonts w:ascii="Calibri" w:eastAsia="Calibri" w:hAnsi="Calibri" w:cs="Times New Roman"/>
        </w:rPr>
        <w:t xml:space="preserve"> comprises four separate scales.</w:t>
      </w:r>
    </w:p>
    <w:p w14:paraId="36B0B4C3" w14:textId="77777777" w:rsidR="00E6060C" w:rsidRPr="00E6060C" w:rsidRDefault="00E6060C" w:rsidP="00E6060C">
      <w:pPr>
        <w:spacing w:after="200" w:line="360" w:lineRule="auto"/>
        <w:contextualSpacing/>
        <w:rPr>
          <w:rFonts w:ascii="Calibri" w:eastAsia="Calibri" w:hAnsi="Calibri" w:cs="Times New Roman"/>
        </w:rPr>
      </w:pPr>
    </w:p>
    <w:p w14:paraId="60E90967" w14:textId="74C36FAD" w:rsidR="00076E0D"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According to the results for the whole sample (</w:t>
      </w:r>
      <w:r w:rsidR="00713793">
        <w:rPr>
          <w:rFonts w:ascii="Calibri" w:eastAsia="Calibri" w:hAnsi="Calibri" w:cs="Times New Roman"/>
        </w:rPr>
        <w:fldChar w:fldCharType="begin"/>
      </w:r>
      <w:r w:rsidR="00713793">
        <w:rPr>
          <w:rFonts w:ascii="Calibri" w:eastAsia="Calibri" w:hAnsi="Calibri" w:cs="Times New Roman"/>
        </w:rPr>
        <w:instrText xml:space="preserve"> REF _Ref453589602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4</w:t>
      </w:r>
      <w:r w:rsidR="00713793">
        <w:rPr>
          <w:rFonts w:ascii="Calibri" w:eastAsia="Calibri" w:hAnsi="Calibri" w:cs="Times New Roman"/>
        </w:rPr>
        <w:fldChar w:fldCharType="end"/>
      </w:r>
      <w:r w:rsidRPr="00E6060C">
        <w:rPr>
          <w:rFonts w:ascii="Calibri" w:eastAsia="Calibri" w:hAnsi="Calibri" w:cs="Times New Roman"/>
        </w:rPr>
        <w:t>), at Time 1 the means for the variables</w:t>
      </w:r>
      <w:r w:rsidR="00BC34D0">
        <w:rPr>
          <w:rFonts w:ascii="Calibri" w:eastAsia="Calibri" w:hAnsi="Calibri" w:cs="Times New Roman"/>
        </w:rPr>
        <w:t>,</w:t>
      </w:r>
      <w:r w:rsidRPr="00E6060C">
        <w:rPr>
          <w:rFonts w:ascii="Calibri" w:eastAsia="Calibri" w:hAnsi="Calibri" w:cs="Times New Roman"/>
        </w:rPr>
        <w:t xml:space="preserve"> scored out of 7</w:t>
      </w:r>
      <w:r w:rsidR="00BC34D0">
        <w:rPr>
          <w:rFonts w:ascii="Calibri" w:eastAsia="Calibri" w:hAnsi="Calibri" w:cs="Times New Roman"/>
        </w:rPr>
        <w:t>,</w:t>
      </w:r>
      <w:r w:rsidRPr="00E6060C">
        <w:rPr>
          <w:rFonts w:ascii="Calibri" w:eastAsia="Calibri" w:hAnsi="Calibri" w:cs="Times New Roman"/>
        </w:rPr>
        <w:t xml:space="preserve"> varied between 3.63 (</w:t>
      </w:r>
      <w:r w:rsidRPr="00E6060C">
        <w:rPr>
          <w:rFonts w:ascii="Calibri" w:eastAsia="Calibri" w:hAnsi="Calibri" w:cs="Times New Roman"/>
          <w:i/>
        </w:rPr>
        <w:t>SD</w:t>
      </w:r>
      <w:r w:rsidRPr="00E6060C">
        <w:rPr>
          <w:rFonts w:ascii="Calibri" w:eastAsia="Calibri" w:hAnsi="Calibri" w:cs="Times New Roman"/>
        </w:rPr>
        <w:t>=1.32), observed for low activation pleasant affect, and 5.91 (</w:t>
      </w:r>
      <w:r w:rsidRPr="00E6060C">
        <w:rPr>
          <w:rFonts w:ascii="Calibri" w:eastAsia="Calibri" w:hAnsi="Calibri" w:cs="Times New Roman"/>
          <w:i/>
        </w:rPr>
        <w:t>SD</w:t>
      </w:r>
      <w:r w:rsidRPr="00E6060C">
        <w:rPr>
          <w:rFonts w:ascii="Calibri" w:eastAsia="Calibri" w:hAnsi="Calibri" w:cs="Times New Roman"/>
        </w:rPr>
        <w:t>=1.02), observed for low activation unpleasant affect. The medians were very similar (3.50 and 6.00, respectively), increasing confidence in these results. This suggests that, on average, respondents experienced ‘comfort’ ‘about half the time’ (the response option which reflects a score of 4, after reverse scoring), and reported ‘depression’ ‘a lot of the time’, respectively. In terms of the variables which were scored out of 5, the highest mean was reported for colleague support, 3.62 (</w:t>
      </w:r>
      <w:r w:rsidRPr="00E6060C">
        <w:rPr>
          <w:rFonts w:ascii="Calibri" w:eastAsia="Calibri" w:hAnsi="Calibri" w:cs="Times New Roman"/>
          <w:i/>
        </w:rPr>
        <w:t>SD</w:t>
      </w:r>
      <w:r w:rsidRPr="00E6060C">
        <w:rPr>
          <w:rFonts w:ascii="Calibri" w:eastAsia="Calibri" w:hAnsi="Calibri" w:cs="Times New Roman"/>
        </w:rPr>
        <w:t>=.94)</w:t>
      </w:r>
      <w:r w:rsidR="00BC34D0">
        <w:rPr>
          <w:rFonts w:ascii="Calibri" w:eastAsia="Calibri" w:hAnsi="Calibri" w:cs="Times New Roman"/>
        </w:rPr>
        <w:t>,</w:t>
      </w:r>
      <w:r w:rsidRPr="00E6060C">
        <w:rPr>
          <w:rFonts w:ascii="Calibri" w:eastAsia="Calibri" w:hAnsi="Calibri" w:cs="Times New Roman"/>
        </w:rPr>
        <w:t xml:space="preserve"> and the lowest mean was reported for resources and demands, 2.85 (</w:t>
      </w:r>
      <w:r w:rsidRPr="00E6060C">
        <w:rPr>
          <w:rFonts w:ascii="Calibri" w:eastAsia="Calibri" w:hAnsi="Calibri" w:cs="Times New Roman"/>
          <w:i/>
        </w:rPr>
        <w:t>SD</w:t>
      </w:r>
      <w:r w:rsidRPr="00E6060C">
        <w:rPr>
          <w:rFonts w:ascii="Calibri" w:eastAsia="Calibri" w:hAnsi="Calibri" w:cs="Times New Roman"/>
        </w:rPr>
        <w:t>=.73). The medians were again very similar (4 and 2.86 respectively). This suggest</w:t>
      </w:r>
      <w:r w:rsidR="00BC34D0">
        <w:rPr>
          <w:rFonts w:ascii="Calibri" w:eastAsia="Calibri" w:hAnsi="Calibri" w:cs="Times New Roman"/>
        </w:rPr>
        <w:t>s that individuals reported</w:t>
      </w:r>
      <w:r w:rsidRPr="00E6060C">
        <w:rPr>
          <w:rFonts w:ascii="Calibri" w:eastAsia="Calibri" w:hAnsi="Calibri" w:cs="Times New Roman"/>
        </w:rPr>
        <w:t xml:space="preserve"> that they were, on average, supported to ‘a great extent’ by their work colleagues</w:t>
      </w:r>
      <w:r w:rsidR="000E0219">
        <w:rPr>
          <w:rFonts w:ascii="Calibri" w:eastAsia="Calibri" w:hAnsi="Calibri" w:cs="Times New Roman"/>
        </w:rPr>
        <w:t>,</w:t>
      </w:r>
      <w:r w:rsidRPr="00E6060C">
        <w:rPr>
          <w:rFonts w:ascii="Calibri" w:eastAsia="Calibri" w:hAnsi="Calibri" w:cs="Times New Roman"/>
        </w:rPr>
        <w:t xml:space="preserve"> and that they neither agreed nor disagreed with statements about whether they had adequate resources to cope with their work demands. </w:t>
      </w:r>
    </w:p>
    <w:p w14:paraId="61EA7DE5" w14:textId="77777777" w:rsidR="00076E0D" w:rsidRDefault="00076E0D" w:rsidP="00E6060C">
      <w:pPr>
        <w:spacing w:after="200" w:line="360" w:lineRule="auto"/>
        <w:contextualSpacing/>
        <w:rPr>
          <w:rFonts w:ascii="Calibri" w:eastAsia="Calibri" w:hAnsi="Calibri" w:cs="Times New Roman"/>
        </w:rPr>
      </w:pPr>
    </w:p>
    <w:p w14:paraId="681ED581" w14:textId="64280FEC"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At </w:t>
      </w:r>
      <w:r w:rsidR="00713793">
        <w:rPr>
          <w:rFonts w:ascii="Calibri" w:eastAsia="Calibri" w:hAnsi="Calibri" w:cs="Times New Roman"/>
        </w:rPr>
        <w:t>T</w:t>
      </w:r>
      <w:r w:rsidRPr="00E6060C">
        <w:rPr>
          <w:rFonts w:ascii="Calibri" w:eastAsia="Calibri" w:hAnsi="Calibri" w:cs="Times New Roman"/>
        </w:rPr>
        <w:t xml:space="preserve">ime 2, there were some slight differences in the pattern of results observed. High activation pleasant affect (comfort) still received the lowest score out of those variables scored out of 7 (Mean=3.90, </w:t>
      </w:r>
      <w:r w:rsidRPr="00E6060C">
        <w:rPr>
          <w:rFonts w:ascii="Calibri" w:eastAsia="Calibri" w:hAnsi="Calibri" w:cs="Times New Roman"/>
          <w:i/>
        </w:rPr>
        <w:t>SD</w:t>
      </w:r>
      <w:r w:rsidRPr="00E6060C">
        <w:rPr>
          <w:rFonts w:ascii="Calibri" w:eastAsia="Calibri" w:hAnsi="Calibri" w:cs="Times New Roman"/>
        </w:rPr>
        <w:t xml:space="preserve">=1.27), however, high activation pleasant affect scored the highest (Mean= 5.64, </w:t>
      </w:r>
      <w:r w:rsidRPr="00E6060C">
        <w:rPr>
          <w:rFonts w:ascii="Calibri" w:eastAsia="Calibri" w:hAnsi="Calibri" w:cs="Times New Roman"/>
          <w:i/>
        </w:rPr>
        <w:t>SD</w:t>
      </w:r>
      <w:r w:rsidRPr="00E6060C">
        <w:rPr>
          <w:rFonts w:ascii="Calibri" w:eastAsia="Calibri" w:hAnsi="Calibri" w:cs="Times New Roman"/>
        </w:rPr>
        <w:t xml:space="preserve">=1.20), marginally higher than work engagement (Mean=5.24, </w:t>
      </w:r>
      <w:r w:rsidRPr="00E6060C">
        <w:rPr>
          <w:rFonts w:ascii="Calibri" w:eastAsia="Calibri" w:hAnsi="Calibri" w:cs="Times New Roman"/>
          <w:i/>
        </w:rPr>
        <w:t>SD</w:t>
      </w:r>
      <w:r w:rsidRPr="00E6060C">
        <w:rPr>
          <w:rFonts w:ascii="Calibri" w:eastAsia="Calibri" w:hAnsi="Calibri" w:cs="Times New Roman"/>
        </w:rPr>
        <w:t xml:space="preserve">=1.32, respectively). Colleague support also received a slightly higher mean score (Mean=3.85, </w:t>
      </w:r>
      <w:r w:rsidRPr="00E6060C">
        <w:rPr>
          <w:rFonts w:ascii="Calibri" w:eastAsia="Calibri" w:hAnsi="Calibri" w:cs="Times New Roman"/>
          <w:i/>
        </w:rPr>
        <w:t>SD</w:t>
      </w:r>
      <w:r w:rsidRPr="00E6060C">
        <w:rPr>
          <w:rFonts w:ascii="Calibri" w:eastAsia="Calibri" w:hAnsi="Calibri" w:cs="Times New Roman"/>
        </w:rPr>
        <w:t xml:space="preserve">=.94) than resources and demands (Mean=3.06, </w:t>
      </w:r>
      <w:r w:rsidRPr="00E6060C">
        <w:rPr>
          <w:rFonts w:ascii="Calibri" w:eastAsia="Calibri" w:hAnsi="Calibri" w:cs="Times New Roman"/>
          <w:i/>
        </w:rPr>
        <w:t>SD</w:t>
      </w:r>
      <w:r w:rsidRPr="00E6060C">
        <w:rPr>
          <w:rFonts w:ascii="Calibri" w:eastAsia="Calibri" w:hAnsi="Calibri" w:cs="Times New Roman"/>
        </w:rPr>
        <w:t xml:space="preserve">=.71), though neither varied much from their </w:t>
      </w:r>
      <w:r w:rsidR="000E0219">
        <w:rPr>
          <w:rFonts w:ascii="Calibri" w:eastAsia="Calibri" w:hAnsi="Calibri" w:cs="Times New Roman"/>
        </w:rPr>
        <w:t>T</w:t>
      </w:r>
      <w:r w:rsidRPr="00E6060C">
        <w:rPr>
          <w:rFonts w:ascii="Calibri" w:eastAsia="Calibri" w:hAnsi="Calibri" w:cs="Times New Roman"/>
        </w:rPr>
        <w:t>ime 1 scores. In terms of the distributions of the variables, four appeared to deviate somewhat from the normal distribution. At Time 1, relatedness demonstrated a peaked distribution (</w:t>
      </w:r>
      <w:r w:rsidRPr="00E6060C">
        <w:rPr>
          <w:rFonts w:ascii="Calibri" w:eastAsia="Calibri" w:hAnsi="Calibri" w:cs="Times New Roman"/>
          <w:i/>
        </w:rPr>
        <w:t>kurtosis</w:t>
      </w:r>
      <w:r w:rsidR="000E0219">
        <w:rPr>
          <w:rFonts w:ascii="Calibri" w:eastAsia="Calibri" w:hAnsi="Calibri" w:cs="Times New Roman"/>
        </w:rPr>
        <w:t>=4.40) and at T</w:t>
      </w:r>
      <w:r w:rsidRPr="00E6060C">
        <w:rPr>
          <w:rFonts w:ascii="Calibri" w:eastAsia="Calibri" w:hAnsi="Calibri" w:cs="Times New Roman"/>
        </w:rPr>
        <w:t>ime 2, autonomy, high activation unpleasant affect, and low activation unpleasant affect demonstrated peaked distributions (</w:t>
      </w:r>
      <w:r w:rsidRPr="00E6060C">
        <w:rPr>
          <w:rFonts w:ascii="Calibri" w:eastAsia="Calibri" w:hAnsi="Calibri" w:cs="Times New Roman"/>
          <w:i/>
        </w:rPr>
        <w:t>kurtosis</w:t>
      </w:r>
      <w:r w:rsidRPr="00E6060C">
        <w:rPr>
          <w:rFonts w:ascii="Calibri" w:eastAsia="Calibri" w:hAnsi="Calibri" w:cs="Times New Roman"/>
        </w:rPr>
        <w:t xml:space="preserve">=4.39, 4.97, and 5.14 respectively). None of the other variables demonstrated </w:t>
      </w:r>
      <w:r w:rsidRPr="00E6060C">
        <w:rPr>
          <w:rFonts w:ascii="Calibri" w:eastAsia="Calibri" w:hAnsi="Calibri" w:cs="Times New Roman"/>
        </w:rPr>
        <w:lastRenderedPageBreak/>
        <w:t>a considerable skew or kurtosis of their distributions, suggesting that their distributions deviated little from the normal distribution.</w:t>
      </w:r>
    </w:p>
    <w:p w14:paraId="6FF7C6F8" w14:textId="77777777" w:rsidR="00076E0D" w:rsidRPr="00E6060C" w:rsidRDefault="00076E0D" w:rsidP="00E6060C">
      <w:pPr>
        <w:spacing w:after="200" w:line="360" w:lineRule="auto"/>
        <w:contextualSpacing/>
        <w:rPr>
          <w:rFonts w:ascii="Calibri" w:eastAsia="Calibri" w:hAnsi="Calibri" w:cs="Times New Roman"/>
        </w:rPr>
      </w:pPr>
    </w:p>
    <w:p w14:paraId="0DF890C7" w14:textId="511C1A17" w:rsidR="00076E0D"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 comparison of the results between control and intervention groups at Time 1 (</w:t>
      </w:r>
      <w:r w:rsidR="00713793">
        <w:rPr>
          <w:rFonts w:ascii="Calibri" w:eastAsia="Calibri" w:hAnsi="Calibri" w:cs="Times New Roman"/>
        </w:rPr>
        <w:fldChar w:fldCharType="begin"/>
      </w:r>
      <w:r w:rsidR="00713793">
        <w:rPr>
          <w:rFonts w:ascii="Calibri" w:eastAsia="Calibri" w:hAnsi="Calibri" w:cs="Times New Roman"/>
        </w:rPr>
        <w:instrText xml:space="preserve"> REF _Ref453589638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5</w:t>
      </w:r>
      <w:r w:rsidR="00713793">
        <w:rPr>
          <w:rFonts w:ascii="Calibri" w:eastAsia="Calibri" w:hAnsi="Calibri" w:cs="Times New Roman"/>
        </w:rPr>
        <w:fldChar w:fldCharType="end"/>
      </w:r>
      <w:r w:rsidRPr="00E6060C">
        <w:rPr>
          <w:rFonts w:ascii="Calibri" w:eastAsia="Calibri" w:hAnsi="Calibri" w:cs="Times New Roman"/>
        </w:rPr>
        <w:t>) reveals similar results to those observed for the whole sample. Low activation pleasant affect received the lowest score for both groups, out of those variables scored on a scale of 1-7, and low activation unpleasant affect received the highest score for both groups. This pattern was</w:t>
      </w:r>
      <w:r w:rsidR="00713793">
        <w:rPr>
          <w:rFonts w:ascii="Calibri" w:eastAsia="Calibri" w:hAnsi="Calibri" w:cs="Times New Roman"/>
        </w:rPr>
        <w:t xml:space="preserve"> also repeated at Time 2 (</w:t>
      </w:r>
      <w:r w:rsidR="00713793">
        <w:rPr>
          <w:rFonts w:ascii="Calibri" w:eastAsia="Calibri" w:hAnsi="Calibri" w:cs="Times New Roman"/>
        </w:rPr>
        <w:fldChar w:fldCharType="begin"/>
      </w:r>
      <w:r w:rsidR="00713793">
        <w:rPr>
          <w:rFonts w:ascii="Calibri" w:eastAsia="Calibri" w:hAnsi="Calibri" w:cs="Times New Roman"/>
        </w:rPr>
        <w:instrText xml:space="preserve"> REF _Ref453589659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6</w:t>
      </w:r>
      <w:r w:rsidR="00713793">
        <w:rPr>
          <w:rFonts w:ascii="Calibri" w:eastAsia="Calibri" w:hAnsi="Calibri" w:cs="Times New Roman"/>
        </w:rPr>
        <w:fldChar w:fldCharType="end"/>
      </w:r>
      <w:r w:rsidRPr="00E6060C">
        <w:rPr>
          <w:rFonts w:ascii="Calibri" w:eastAsia="Calibri" w:hAnsi="Calibri" w:cs="Times New Roman"/>
        </w:rPr>
        <w:t>), though both low activation pleasant affect and low activation unpleasant affect appeared to increase slightly for the interv</w:t>
      </w:r>
      <w:r w:rsidR="00713793">
        <w:rPr>
          <w:rFonts w:ascii="Calibri" w:eastAsia="Calibri" w:hAnsi="Calibri" w:cs="Times New Roman"/>
        </w:rPr>
        <w:t>ention group (</w:t>
      </w:r>
      <w:r w:rsidR="000E0219">
        <w:rPr>
          <w:rFonts w:ascii="Calibri" w:eastAsia="Calibri" w:hAnsi="Calibri" w:cs="Times New Roman"/>
        </w:rPr>
        <w:t xml:space="preserve">LAPA </w:t>
      </w:r>
      <w:r w:rsidR="00713793">
        <w:rPr>
          <w:rFonts w:ascii="Calibri" w:eastAsia="Calibri" w:hAnsi="Calibri" w:cs="Times New Roman"/>
        </w:rPr>
        <w:t>Mean</w:t>
      </w:r>
      <w:r w:rsidR="000E0219">
        <w:rPr>
          <w:rFonts w:ascii="Calibri" w:eastAsia="Calibri" w:hAnsi="Calibri" w:cs="Times New Roman"/>
        </w:rPr>
        <w:t>=3.65, Time 1;</w:t>
      </w:r>
      <w:r w:rsidR="00713793">
        <w:rPr>
          <w:rFonts w:ascii="Calibri" w:eastAsia="Calibri" w:hAnsi="Calibri" w:cs="Times New Roman"/>
        </w:rPr>
        <w:t xml:space="preserve"> </w:t>
      </w:r>
      <w:r w:rsidRPr="00E6060C">
        <w:rPr>
          <w:rFonts w:ascii="Calibri" w:eastAsia="Calibri" w:hAnsi="Calibri" w:cs="Times New Roman"/>
        </w:rPr>
        <w:t xml:space="preserve">4.17, </w:t>
      </w:r>
      <w:r w:rsidR="00713793">
        <w:rPr>
          <w:rFonts w:ascii="Calibri" w:eastAsia="Calibri" w:hAnsi="Calibri" w:cs="Times New Roman"/>
        </w:rPr>
        <w:t xml:space="preserve">Time 2; </w:t>
      </w:r>
      <w:r w:rsidR="000E0219">
        <w:rPr>
          <w:rFonts w:ascii="Calibri" w:eastAsia="Calibri" w:hAnsi="Calibri" w:cs="Times New Roman"/>
        </w:rPr>
        <w:t xml:space="preserve">LAUA </w:t>
      </w:r>
      <w:r w:rsidR="00713793">
        <w:rPr>
          <w:rFonts w:ascii="Calibri" w:eastAsia="Calibri" w:hAnsi="Calibri" w:cs="Times New Roman"/>
        </w:rPr>
        <w:t>Mean</w:t>
      </w:r>
      <w:r w:rsidR="000E0219">
        <w:rPr>
          <w:rFonts w:ascii="Calibri" w:eastAsia="Calibri" w:hAnsi="Calibri" w:cs="Times New Roman"/>
        </w:rPr>
        <w:t>=5.95, Time 1;</w:t>
      </w:r>
      <w:r w:rsidR="00713793">
        <w:rPr>
          <w:rFonts w:ascii="Calibri" w:eastAsia="Calibri" w:hAnsi="Calibri" w:cs="Times New Roman"/>
        </w:rPr>
        <w:t xml:space="preserve"> 6.12, T</w:t>
      </w:r>
      <w:r w:rsidRPr="00E6060C">
        <w:rPr>
          <w:rFonts w:ascii="Calibri" w:eastAsia="Calibri" w:hAnsi="Calibri" w:cs="Times New Roman"/>
        </w:rPr>
        <w:t>ime 2), whereas it changed little for the control group (</w:t>
      </w:r>
      <w:r w:rsidR="000E0219">
        <w:rPr>
          <w:rFonts w:ascii="Calibri" w:eastAsia="Calibri" w:hAnsi="Calibri" w:cs="Times New Roman"/>
        </w:rPr>
        <w:t xml:space="preserve">LAPA </w:t>
      </w:r>
      <w:r w:rsidRPr="00E6060C">
        <w:rPr>
          <w:rFonts w:ascii="Calibri" w:eastAsia="Calibri" w:hAnsi="Calibri" w:cs="Times New Roman"/>
        </w:rPr>
        <w:t xml:space="preserve">Mean=3.59, </w:t>
      </w:r>
      <w:r w:rsidR="000E0219">
        <w:rPr>
          <w:rFonts w:ascii="Calibri" w:eastAsia="Calibri" w:hAnsi="Calibri" w:cs="Times New Roman"/>
        </w:rPr>
        <w:t>Time 1;</w:t>
      </w:r>
      <w:r w:rsidR="00713793">
        <w:rPr>
          <w:rFonts w:ascii="Calibri" w:eastAsia="Calibri" w:hAnsi="Calibri" w:cs="Times New Roman"/>
        </w:rPr>
        <w:t xml:space="preserve"> </w:t>
      </w:r>
      <w:r w:rsidRPr="00E6060C">
        <w:rPr>
          <w:rFonts w:ascii="Calibri" w:eastAsia="Calibri" w:hAnsi="Calibri" w:cs="Times New Roman"/>
        </w:rPr>
        <w:t xml:space="preserve">3.62, </w:t>
      </w:r>
      <w:r w:rsidR="00713793">
        <w:rPr>
          <w:rFonts w:ascii="Calibri" w:eastAsia="Calibri" w:hAnsi="Calibri" w:cs="Times New Roman"/>
        </w:rPr>
        <w:t>T</w:t>
      </w:r>
      <w:r w:rsidRPr="00E6060C">
        <w:rPr>
          <w:rFonts w:ascii="Calibri" w:eastAsia="Calibri" w:hAnsi="Calibri" w:cs="Times New Roman"/>
        </w:rPr>
        <w:t xml:space="preserve">ime 2; </w:t>
      </w:r>
      <w:r w:rsidR="000E0219">
        <w:rPr>
          <w:rFonts w:ascii="Calibri" w:eastAsia="Calibri" w:hAnsi="Calibri" w:cs="Times New Roman"/>
        </w:rPr>
        <w:t xml:space="preserve">LAUA </w:t>
      </w:r>
      <w:r w:rsidRPr="00E6060C">
        <w:rPr>
          <w:rFonts w:ascii="Calibri" w:eastAsia="Calibri" w:hAnsi="Calibri" w:cs="Times New Roman"/>
        </w:rPr>
        <w:t xml:space="preserve">Mean=5.85, </w:t>
      </w:r>
      <w:r w:rsidR="000E0219">
        <w:rPr>
          <w:rFonts w:ascii="Calibri" w:eastAsia="Calibri" w:hAnsi="Calibri" w:cs="Times New Roman"/>
        </w:rPr>
        <w:t xml:space="preserve">Time 1; </w:t>
      </w:r>
      <w:r w:rsidR="00713793">
        <w:rPr>
          <w:rFonts w:ascii="Calibri" w:eastAsia="Calibri" w:hAnsi="Calibri" w:cs="Times New Roman"/>
        </w:rPr>
        <w:t>5.82, T</w:t>
      </w:r>
      <w:r w:rsidRPr="00E6060C">
        <w:rPr>
          <w:rFonts w:ascii="Calibri" w:eastAsia="Calibri" w:hAnsi="Calibri" w:cs="Times New Roman"/>
        </w:rPr>
        <w:t xml:space="preserve">ime 2). </w:t>
      </w:r>
    </w:p>
    <w:p w14:paraId="64F5A68A" w14:textId="77777777" w:rsidR="00076E0D" w:rsidRDefault="00076E0D" w:rsidP="00E6060C">
      <w:pPr>
        <w:spacing w:after="200" w:line="360" w:lineRule="auto"/>
        <w:contextualSpacing/>
        <w:rPr>
          <w:rFonts w:ascii="Calibri" w:eastAsia="Calibri" w:hAnsi="Calibri" w:cs="Times New Roman"/>
        </w:rPr>
      </w:pPr>
    </w:p>
    <w:p w14:paraId="01F1A13D" w14:textId="7AE6025D"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terms of those variables which were scored on a scale of 1-5, colleague support received the highest scores for both groups at both time points, and influence in decision-making received the lowest, though the scores for this latter variable were on a par with those for resources and demands, with the means being between 2.79 (</w:t>
      </w:r>
      <w:r w:rsidRPr="00E6060C">
        <w:rPr>
          <w:rFonts w:ascii="Calibri" w:eastAsia="Calibri" w:hAnsi="Calibri" w:cs="Times New Roman"/>
          <w:i/>
        </w:rPr>
        <w:t>SD</w:t>
      </w:r>
      <w:r w:rsidRPr="00E6060C">
        <w:rPr>
          <w:rFonts w:ascii="Calibri" w:eastAsia="Calibri" w:hAnsi="Calibri" w:cs="Times New Roman"/>
        </w:rPr>
        <w:t>=1.03) for influence in decision-making for the control group at Time 1, and 2.87 (</w:t>
      </w:r>
      <w:r w:rsidRPr="00E6060C">
        <w:rPr>
          <w:rFonts w:ascii="Calibri" w:eastAsia="Calibri" w:hAnsi="Calibri" w:cs="Times New Roman"/>
          <w:i/>
        </w:rPr>
        <w:t>SD</w:t>
      </w:r>
      <w:r w:rsidRPr="00E6060C">
        <w:rPr>
          <w:rFonts w:ascii="Calibri" w:eastAsia="Calibri" w:hAnsi="Calibri" w:cs="Times New Roman"/>
        </w:rPr>
        <w:t>=.74) for resources and demands for the intervention group at Time 2. The distributions of some of the variables again demonstrated some deviation from the normal distribution at either one or other of the time points. At Time 1, the distribution of relatedness was peaked for the control group (</w:t>
      </w:r>
      <w:r w:rsidRPr="00E6060C">
        <w:rPr>
          <w:rFonts w:ascii="Calibri" w:eastAsia="Calibri" w:hAnsi="Calibri" w:cs="Times New Roman"/>
          <w:i/>
        </w:rPr>
        <w:t>kurtosis</w:t>
      </w:r>
      <w:r w:rsidRPr="00E6060C">
        <w:rPr>
          <w:rFonts w:ascii="Calibri" w:eastAsia="Calibri" w:hAnsi="Calibri" w:cs="Times New Roman"/>
        </w:rPr>
        <w:t>=11.60) and less so, but still peaked, for low activation unpleasant affect (</w:t>
      </w:r>
      <w:r w:rsidRPr="00E6060C">
        <w:rPr>
          <w:rFonts w:ascii="Calibri" w:eastAsia="Calibri" w:hAnsi="Calibri" w:cs="Times New Roman"/>
          <w:i/>
        </w:rPr>
        <w:t>kurtosis</w:t>
      </w:r>
      <w:r w:rsidRPr="00E6060C">
        <w:rPr>
          <w:rFonts w:ascii="Calibri" w:eastAsia="Calibri" w:hAnsi="Calibri" w:cs="Times New Roman"/>
        </w:rPr>
        <w:t>=5.75) and high activation pleasant affect (</w:t>
      </w:r>
      <w:r w:rsidRPr="00E6060C">
        <w:rPr>
          <w:rFonts w:ascii="Calibri" w:eastAsia="Calibri" w:hAnsi="Calibri" w:cs="Times New Roman"/>
          <w:i/>
        </w:rPr>
        <w:t>kurtosis</w:t>
      </w:r>
      <w:r w:rsidRPr="00E6060C">
        <w:rPr>
          <w:rFonts w:ascii="Calibri" w:eastAsia="Calibri" w:hAnsi="Calibri" w:cs="Times New Roman"/>
        </w:rPr>
        <w:t>=3.28). At Time 2, the only notable deviation from the normal distribution was observed for low activation unpleasant affect for the intervention group (</w:t>
      </w:r>
      <w:r w:rsidRPr="00E6060C">
        <w:rPr>
          <w:rFonts w:ascii="Calibri" w:eastAsia="Calibri" w:hAnsi="Calibri" w:cs="Times New Roman"/>
          <w:i/>
        </w:rPr>
        <w:t>kurtosis</w:t>
      </w:r>
      <w:r w:rsidRPr="00E6060C">
        <w:rPr>
          <w:rFonts w:ascii="Calibri" w:eastAsia="Calibri" w:hAnsi="Calibri" w:cs="Times New Roman"/>
        </w:rPr>
        <w:t>=7.00). There was no considerable skewness of the distributions at either time point.</w:t>
      </w:r>
    </w:p>
    <w:p w14:paraId="2DC35FCD" w14:textId="77777777" w:rsidR="00E6060C" w:rsidRPr="00E6060C" w:rsidRDefault="00E6060C" w:rsidP="00E6060C">
      <w:pPr>
        <w:spacing w:after="200" w:line="360" w:lineRule="auto"/>
        <w:contextualSpacing/>
        <w:rPr>
          <w:rFonts w:ascii="Calibri" w:eastAsia="Calibri" w:hAnsi="Calibri" w:cs="Times New Roman"/>
        </w:rPr>
      </w:pPr>
    </w:p>
    <w:p w14:paraId="3B3F0F9F" w14:textId="3A9313BE" w:rsidR="00E6060C" w:rsidRPr="00E6060C" w:rsidRDefault="00713793" w:rsidP="00E6060C">
      <w:pPr>
        <w:spacing w:after="200" w:line="360" w:lineRule="auto"/>
        <w:contextualSpacing/>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_Ref453590157 \h </w:instrText>
      </w:r>
      <w:r>
        <w:rPr>
          <w:rFonts w:ascii="Calibri" w:eastAsia="Calibri" w:hAnsi="Calibri" w:cs="Times New Roman"/>
        </w:rPr>
      </w:r>
      <w:r>
        <w:rPr>
          <w:rFonts w:ascii="Calibri" w:eastAsia="Calibri" w:hAnsi="Calibri" w:cs="Times New Roman"/>
        </w:rPr>
        <w:fldChar w:fldCharType="separate"/>
      </w:r>
      <w:r w:rsidR="00152F6D">
        <w:t xml:space="preserve">Table </w:t>
      </w:r>
      <w:r w:rsidR="00152F6D">
        <w:rPr>
          <w:noProof/>
        </w:rPr>
        <w:t>8</w:t>
      </w:r>
      <w:r w:rsidR="00152F6D">
        <w:t>.</w:t>
      </w:r>
      <w:r w:rsidR="00152F6D">
        <w:rPr>
          <w:noProof/>
        </w:rPr>
        <w:t>7</w:t>
      </w:r>
      <w:r>
        <w:rPr>
          <w:rFonts w:ascii="Calibri" w:eastAsia="Calibri" w:hAnsi="Calibri" w:cs="Times New Roman"/>
        </w:rPr>
        <w:fldChar w:fldCharType="end"/>
      </w:r>
      <w:r>
        <w:rPr>
          <w:rFonts w:ascii="Calibri" w:eastAsia="Calibri" w:hAnsi="Calibri" w:cs="Times New Roman"/>
        </w:rPr>
        <w:t xml:space="preserve"> </w:t>
      </w:r>
      <w:r w:rsidR="00E6060C" w:rsidRPr="00E6060C">
        <w:rPr>
          <w:rFonts w:ascii="Calibri" w:eastAsia="Calibri" w:hAnsi="Calibri" w:cs="Times New Roman"/>
        </w:rPr>
        <w:t>displays the bivariate Pearson’s correlations between the research variables at Time 1 (below the diagonal) and Time 2 (above the diagonal). At Time 1, the strongest correlation observed was between low and high activa</w:t>
      </w:r>
      <w:r w:rsidR="000E0219">
        <w:rPr>
          <w:rFonts w:ascii="Calibri" w:eastAsia="Calibri" w:hAnsi="Calibri" w:cs="Times New Roman"/>
        </w:rPr>
        <w:t>tion unpleasant affect (LAUA &amp;</w:t>
      </w:r>
      <w:r w:rsidR="00E6060C" w:rsidRPr="00E6060C">
        <w:rPr>
          <w:rFonts w:ascii="Calibri" w:eastAsia="Calibri" w:hAnsi="Calibri" w:cs="Times New Roman"/>
        </w:rPr>
        <w:t xml:space="preserve"> HAUA), </w:t>
      </w:r>
      <w:r w:rsidR="00E6060C" w:rsidRPr="00E6060C">
        <w:rPr>
          <w:rFonts w:ascii="Calibri" w:eastAsia="Calibri" w:hAnsi="Calibri" w:cs="Times New Roman"/>
          <w:i/>
        </w:rPr>
        <w:t>r</w:t>
      </w:r>
      <w:r w:rsidR="00E6060C" w:rsidRPr="00E6060C">
        <w:rPr>
          <w:rFonts w:ascii="Calibri" w:eastAsia="Calibri" w:hAnsi="Calibri" w:cs="Times New Roman"/>
        </w:rPr>
        <w:t>=.64, suggesting that as perceptions of depression (LAUA) decrease (higher scores on this scale indicate more pleasant affect), so do perceptions of anxiety (HAUA). This corresponds with established research within the field of clinical psychology which indicates that depression and anxiety are highly inter-related and comorbid (e.g. Kessler</w:t>
      </w:r>
      <w:r w:rsidR="00D64ECC">
        <w:rPr>
          <w:rFonts w:ascii="Calibri" w:eastAsia="Calibri" w:hAnsi="Calibri" w:cs="Times New Roman"/>
        </w:rPr>
        <w:t xml:space="preserve"> et al</w:t>
      </w:r>
      <w:r w:rsidR="00E6060C" w:rsidRPr="00E6060C">
        <w:rPr>
          <w:rFonts w:ascii="Calibri" w:eastAsia="Calibri" w:hAnsi="Calibri" w:cs="Times New Roman"/>
        </w:rPr>
        <w:t xml:space="preserve">., 2008). At Time 2, the weakest correlation observed was again between role and high activation unpleasant affect (HAPA), </w:t>
      </w:r>
      <w:r w:rsidR="00E6060C" w:rsidRPr="00E6060C">
        <w:rPr>
          <w:rFonts w:ascii="Calibri" w:eastAsia="Calibri" w:hAnsi="Calibri" w:cs="Times New Roman"/>
          <w:i/>
        </w:rPr>
        <w:t>r</w:t>
      </w:r>
      <w:r w:rsidR="00E6060C" w:rsidRPr="00E6060C">
        <w:rPr>
          <w:rFonts w:ascii="Calibri" w:eastAsia="Calibri" w:hAnsi="Calibri" w:cs="Times New Roman"/>
        </w:rPr>
        <w:t xml:space="preserve">=-.10, and the highest correlation was between low and high activation unpleasant affect, </w:t>
      </w:r>
      <w:r w:rsidR="00E6060C" w:rsidRPr="00E6060C">
        <w:rPr>
          <w:rFonts w:ascii="Calibri" w:eastAsia="Calibri" w:hAnsi="Calibri" w:cs="Times New Roman"/>
          <w:i/>
        </w:rPr>
        <w:t>r</w:t>
      </w:r>
      <w:r w:rsidR="00E6060C" w:rsidRPr="00E6060C">
        <w:rPr>
          <w:rFonts w:ascii="Calibri" w:eastAsia="Calibri" w:hAnsi="Calibri" w:cs="Times New Roman"/>
        </w:rPr>
        <w:t xml:space="preserve">=.69. At both time points, strong positive correlations </w:t>
      </w:r>
      <w:r w:rsidR="00E6060C" w:rsidRPr="00E6060C">
        <w:rPr>
          <w:rFonts w:ascii="Calibri" w:eastAsia="Calibri" w:hAnsi="Calibri" w:cs="Times New Roman"/>
        </w:rPr>
        <w:lastRenderedPageBreak/>
        <w:t>were also observed between autonomy and four other variables: competence (</w:t>
      </w:r>
      <w:r w:rsidR="000E0219">
        <w:rPr>
          <w:rFonts w:ascii="Calibri" w:eastAsia="Calibri" w:hAnsi="Calibri" w:cs="Times New Roman"/>
        </w:rPr>
        <w:t xml:space="preserve">Time 1, </w:t>
      </w:r>
      <w:r w:rsidR="00E6060C" w:rsidRPr="00E6060C">
        <w:rPr>
          <w:rFonts w:ascii="Calibri" w:eastAsia="Calibri" w:hAnsi="Calibri" w:cs="Times New Roman"/>
          <w:i/>
        </w:rPr>
        <w:t>r</w:t>
      </w:r>
      <w:r w:rsidR="000E0219">
        <w:rPr>
          <w:rFonts w:ascii="Calibri" w:eastAsia="Calibri" w:hAnsi="Calibri" w:cs="Times New Roman"/>
        </w:rPr>
        <w:t>=.56</w:t>
      </w:r>
      <w:r w:rsidR="00E6060C" w:rsidRPr="00E6060C">
        <w:rPr>
          <w:rFonts w:ascii="Calibri" w:eastAsia="Calibri" w:hAnsi="Calibri" w:cs="Times New Roman"/>
        </w:rPr>
        <w:t xml:space="preserve">; </w:t>
      </w:r>
      <w:r w:rsidR="000E0219">
        <w:rPr>
          <w:rFonts w:ascii="Calibri" w:eastAsia="Calibri" w:hAnsi="Calibri" w:cs="Times New Roman"/>
        </w:rPr>
        <w:t xml:space="preserve">Time 2, </w:t>
      </w:r>
      <w:r w:rsidR="00E6060C" w:rsidRPr="00E6060C">
        <w:rPr>
          <w:rFonts w:ascii="Calibri" w:eastAsia="Calibri" w:hAnsi="Calibri" w:cs="Times New Roman"/>
          <w:i/>
        </w:rPr>
        <w:t>r</w:t>
      </w:r>
      <w:r w:rsidR="00E6060C" w:rsidRPr="00E6060C">
        <w:rPr>
          <w:rFonts w:ascii="Calibri" w:eastAsia="Calibri" w:hAnsi="Calibri" w:cs="Times New Roman"/>
        </w:rPr>
        <w:t>=.631); relatedness (</w:t>
      </w:r>
      <w:r w:rsidR="000E0219">
        <w:rPr>
          <w:rFonts w:ascii="Calibri" w:eastAsia="Calibri" w:hAnsi="Calibri" w:cs="Times New Roman"/>
        </w:rPr>
        <w:t xml:space="preserve">Time 1, </w:t>
      </w:r>
      <w:r w:rsidR="00E6060C" w:rsidRPr="00E6060C">
        <w:rPr>
          <w:rFonts w:ascii="Calibri" w:eastAsia="Calibri" w:hAnsi="Calibri" w:cs="Times New Roman"/>
          <w:i/>
        </w:rPr>
        <w:t>r</w:t>
      </w:r>
      <w:r w:rsidR="000E0219">
        <w:rPr>
          <w:rFonts w:ascii="Calibri" w:eastAsia="Calibri" w:hAnsi="Calibri" w:cs="Times New Roman"/>
        </w:rPr>
        <w:t xml:space="preserve">=.51; Time 2, </w:t>
      </w:r>
      <w:r w:rsidR="00E6060C" w:rsidRPr="00E6060C">
        <w:rPr>
          <w:rFonts w:ascii="Calibri" w:eastAsia="Calibri" w:hAnsi="Calibri" w:cs="Times New Roman"/>
          <w:i/>
        </w:rPr>
        <w:t>r</w:t>
      </w:r>
      <w:r w:rsidR="000E0219">
        <w:rPr>
          <w:rFonts w:ascii="Calibri" w:eastAsia="Calibri" w:hAnsi="Calibri" w:cs="Times New Roman"/>
        </w:rPr>
        <w:t>=.582</w:t>
      </w:r>
      <w:r w:rsidR="00E6060C" w:rsidRPr="00E6060C">
        <w:rPr>
          <w:rFonts w:ascii="Calibri" w:eastAsia="Calibri" w:hAnsi="Calibri" w:cs="Times New Roman"/>
        </w:rPr>
        <w:t>); work engagement (</w:t>
      </w:r>
      <w:r w:rsidR="000E0219">
        <w:rPr>
          <w:rFonts w:ascii="Calibri" w:eastAsia="Calibri" w:hAnsi="Calibri" w:cs="Times New Roman"/>
        </w:rPr>
        <w:t xml:space="preserve">Time 1, </w:t>
      </w:r>
      <w:r w:rsidR="00E6060C" w:rsidRPr="00E6060C">
        <w:rPr>
          <w:rFonts w:ascii="Calibri" w:eastAsia="Calibri" w:hAnsi="Calibri" w:cs="Times New Roman"/>
          <w:i/>
        </w:rPr>
        <w:t>r</w:t>
      </w:r>
      <w:r w:rsidR="000E0219">
        <w:rPr>
          <w:rFonts w:ascii="Calibri" w:eastAsia="Calibri" w:hAnsi="Calibri" w:cs="Times New Roman"/>
        </w:rPr>
        <w:t xml:space="preserve">=.51; Time 2, </w:t>
      </w:r>
      <w:r w:rsidR="00E6060C" w:rsidRPr="00E6060C">
        <w:rPr>
          <w:rFonts w:ascii="Calibri" w:eastAsia="Calibri" w:hAnsi="Calibri" w:cs="Times New Roman"/>
          <w:i/>
        </w:rPr>
        <w:t>r</w:t>
      </w:r>
      <w:r w:rsidR="00E6060C" w:rsidRPr="00E6060C">
        <w:rPr>
          <w:rFonts w:ascii="Calibri" w:eastAsia="Calibri" w:hAnsi="Calibri" w:cs="Times New Roman"/>
        </w:rPr>
        <w:t>=.52); and high activation pleasant affect (</w:t>
      </w:r>
      <w:r w:rsidR="000E0219">
        <w:rPr>
          <w:rFonts w:ascii="Calibri" w:eastAsia="Calibri" w:hAnsi="Calibri" w:cs="Times New Roman"/>
        </w:rPr>
        <w:t xml:space="preserve">Time 1, </w:t>
      </w:r>
      <w:r w:rsidR="00E6060C" w:rsidRPr="00E6060C">
        <w:rPr>
          <w:rFonts w:ascii="Calibri" w:eastAsia="Calibri" w:hAnsi="Calibri" w:cs="Times New Roman"/>
          <w:i/>
        </w:rPr>
        <w:t>r</w:t>
      </w:r>
      <w:r w:rsidR="00E6060C" w:rsidRPr="00E6060C">
        <w:rPr>
          <w:rFonts w:ascii="Calibri" w:eastAsia="Calibri" w:hAnsi="Calibri" w:cs="Times New Roman"/>
        </w:rPr>
        <w:t>=.55</w:t>
      </w:r>
      <w:r w:rsidR="000E0219">
        <w:rPr>
          <w:rFonts w:ascii="Calibri" w:eastAsia="Calibri" w:hAnsi="Calibri" w:cs="Times New Roman"/>
        </w:rPr>
        <w:t>; Time 2,</w:t>
      </w:r>
      <w:r w:rsidR="00E6060C" w:rsidRPr="00E6060C">
        <w:rPr>
          <w:rFonts w:ascii="Calibri" w:eastAsia="Calibri" w:hAnsi="Calibri" w:cs="Times New Roman"/>
        </w:rPr>
        <w:t xml:space="preserve"> </w:t>
      </w:r>
      <w:r w:rsidR="00E6060C" w:rsidRPr="00E6060C">
        <w:rPr>
          <w:rFonts w:ascii="Calibri" w:eastAsia="Calibri" w:hAnsi="Calibri" w:cs="Times New Roman"/>
          <w:i/>
        </w:rPr>
        <w:t>r</w:t>
      </w:r>
      <w:r w:rsidR="00E6060C" w:rsidRPr="00E6060C">
        <w:rPr>
          <w:rFonts w:ascii="Calibri" w:eastAsia="Calibri" w:hAnsi="Calibri" w:cs="Times New Roman"/>
        </w:rPr>
        <w:t>=.45). The strong relationships observed between the three work-related ne</w:t>
      </w:r>
      <w:r w:rsidR="00B64DD5">
        <w:rPr>
          <w:rFonts w:ascii="Calibri" w:eastAsia="Calibri" w:hAnsi="Calibri" w:cs="Times New Roman"/>
        </w:rPr>
        <w:t>eds reflect previous findings (V</w:t>
      </w:r>
      <w:r w:rsidR="00E6060C" w:rsidRPr="00E6060C">
        <w:rPr>
          <w:rFonts w:ascii="Calibri" w:eastAsia="Calibri" w:hAnsi="Calibri" w:cs="Times New Roman"/>
        </w:rPr>
        <w:t>an den Broeck</w:t>
      </w:r>
      <w:r w:rsidR="00AF46EE">
        <w:rPr>
          <w:rFonts w:ascii="Calibri" w:eastAsia="Calibri" w:hAnsi="Calibri" w:cs="Times New Roman"/>
        </w:rPr>
        <w:t xml:space="preserve"> et al.</w:t>
      </w:r>
      <w:r w:rsidR="00E6060C" w:rsidRPr="00E6060C">
        <w:rPr>
          <w:rFonts w:ascii="Calibri" w:eastAsia="Calibri" w:hAnsi="Calibri" w:cs="Times New Roman"/>
        </w:rPr>
        <w:t xml:space="preserve">, 2010). It is also unsurprising that autonomy is strongly correlated with both work engagement and enthusiasm (HAPA), given that work engagement contains an element of enthusiasm. Despite some high correlations, it is unlikely that any are strong enough at either Time 1 or </w:t>
      </w:r>
      <w:r w:rsidR="00D156B8">
        <w:rPr>
          <w:rFonts w:ascii="Calibri" w:eastAsia="Calibri" w:hAnsi="Calibri" w:cs="Times New Roman"/>
        </w:rPr>
        <w:t xml:space="preserve">Time </w:t>
      </w:r>
      <w:r w:rsidR="00E6060C" w:rsidRPr="00E6060C">
        <w:rPr>
          <w:rFonts w:ascii="Calibri" w:eastAsia="Calibri" w:hAnsi="Calibri" w:cs="Times New Roman"/>
        </w:rPr>
        <w:t xml:space="preserve">2 to pose an issue of multicollinearity which could violate the statistical assumptions of subsequent analyses. </w:t>
      </w:r>
    </w:p>
    <w:p w14:paraId="7D471090" w14:textId="77777777" w:rsidR="00E6060C" w:rsidRPr="00E6060C" w:rsidRDefault="00E6060C" w:rsidP="00E6060C">
      <w:pPr>
        <w:spacing w:after="200" w:line="360" w:lineRule="auto"/>
        <w:contextualSpacing/>
        <w:rPr>
          <w:rFonts w:ascii="Calibri" w:eastAsia="Calibri" w:hAnsi="Calibri" w:cs="Times New Roman"/>
        </w:rPr>
      </w:pPr>
    </w:p>
    <w:p w14:paraId="2A53614B" w14:textId="77777777" w:rsidR="00E6060C" w:rsidRPr="00E6060C" w:rsidRDefault="00E6060C" w:rsidP="00E6060C">
      <w:pPr>
        <w:spacing w:after="200" w:line="276" w:lineRule="auto"/>
        <w:rPr>
          <w:rFonts w:ascii="Calibri" w:eastAsia="Calibri" w:hAnsi="Calibri" w:cs="Times New Roman"/>
        </w:rPr>
        <w:sectPr w:rsidR="00E6060C" w:rsidRPr="00E6060C" w:rsidSect="00FB2963">
          <w:footerReference w:type="first" r:id="rId36"/>
          <w:pgSz w:w="11906" w:h="16838"/>
          <w:pgMar w:top="1440" w:right="1440" w:bottom="1440" w:left="1440" w:header="709" w:footer="709" w:gutter="0"/>
          <w:cols w:space="708"/>
          <w:titlePg/>
          <w:docGrid w:linePitch="360"/>
        </w:sectPr>
      </w:pPr>
    </w:p>
    <w:p w14:paraId="0BEAC3E6" w14:textId="459974AC" w:rsidR="0035035C" w:rsidRDefault="0035035C" w:rsidP="005852AD">
      <w:pPr>
        <w:pStyle w:val="Figurestyle"/>
      </w:pPr>
      <w:bookmarkStart w:id="403" w:name="_Ref453589602"/>
      <w:bookmarkStart w:id="404" w:name="_Toc468286078"/>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4</w:t>
      </w:r>
      <w:r w:rsidR="00245D68">
        <w:rPr>
          <w:noProof/>
        </w:rPr>
        <w:fldChar w:fldCharType="end"/>
      </w:r>
      <w:bookmarkEnd w:id="403"/>
      <w:r>
        <w:t xml:space="preserve"> </w:t>
      </w:r>
      <w:r w:rsidRPr="00DB2FE4">
        <w:t>Descriptive statistics of the research variables for the whole sampl</w:t>
      </w:r>
      <w:r w:rsidR="00D156B8">
        <w:t>e (intervention &amp; control group</w:t>
      </w:r>
      <w:r w:rsidRPr="00DB2FE4">
        <w:t>) at Time 1 (N=179)</w:t>
      </w:r>
      <w:r w:rsidR="00D156B8">
        <w:t>,</w:t>
      </w:r>
      <w:r w:rsidRPr="00DB2FE4">
        <w:t xml:space="preserve"> and the whole sample at Time 2 (N=83)</w:t>
      </w:r>
      <w:bookmarkEnd w:id="404"/>
    </w:p>
    <w:p w14:paraId="70EE2B1D" w14:textId="77777777" w:rsidR="0035035C" w:rsidRDefault="0035035C" w:rsidP="005852AD">
      <w:pPr>
        <w:pStyle w:val="Figurestyle"/>
      </w:pPr>
    </w:p>
    <w:tbl>
      <w:tblPr>
        <w:tblW w:w="15030" w:type="dxa"/>
        <w:tblInd w:w="-567" w:type="dxa"/>
        <w:tblBorders>
          <w:top w:val="single" w:sz="4" w:space="0" w:color="auto"/>
          <w:bottom w:val="single" w:sz="4" w:space="0" w:color="auto"/>
        </w:tblBorders>
        <w:tblLayout w:type="fixed"/>
        <w:tblLook w:val="04A0" w:firstRow="1" w:lastRow="0" w:firstColumn="1" w:lastColumn="0" w:noHBand="0" w:noVBand="1"/>
      </w:tblPr>
      <w:tblGrid>
        <w:gridCol w:w="1983"/>
        <w:gridCol w:w="723"/>
        <w:gridCol w:w="409"/>
        <w:gridCol w:w="314"/>
        <w:gridCol w:w="725"/>
        <w:gridCol w:w="454"/>
        <w:gridCol w:w="270"/>
        <w:gridCol w:w="725"/>
        <w:gridCol w:w="441"/>
        <w:gridCol w:w="284"/>
        <w:gridCol w:w="725"/>
        <w:gridCol w:w="331"/>
        <w:gridCol w:w="393"/>
        <w:gridCol w:w="725"/>
        <w:gridCol w:w="491"/>
        <w:gridCol w:w="234"/>
        <w:gridCol w:w="724"/>
        <w:gridCol w:w="627"/>
        <w:gridCol w:w="98"/>
        <w:gridCol w:w="725"/>
        <w:gridCol w:w="725"/>
        <w:gridCol w:w="724"/>
        <w:gridCol w:w="725"/>
        <w:gridCol w:w="19"/>
        <w:gridCol w:w="706"/>
        <w:gridCol w:w="730"/>
      </w:tblGrid>
      <w:tr w:rsidR="00E6060C" w:rsidRPr="00E6060C" w14:paraId="21055427" w14:textId="77777777" w:rsidTr="0035035C">
        <w:trPr>
          <w:trHeight w:val="286"/>
        </w:trPr>
        <w:tc>
          <w:tcPr>
            <w:tcW w:w="1983" w:type="dxa"/>
            <w:vMerge w:val="restart"/>
            <w:tcBorders>
              <w:top w:val="single" w:sz="4" w:space="0" w:color="auto"/>
              <w:bottom w:val="single" w:sz="4" w:space="0" w:color="auto"/>
            </w:tcBorders>
            <w:shd w:val="clear" w:color="auto" w:fill="auto"/>
            <w:hideMark/>
          </w:tcPr>
          <w:p w14:paraId="4B4FD975"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132" w:type="dxa"/>
            <w:gridSpan w:val="2"/>
            <w:tcBorders>
              <w:top w:val="single" w:sz="4" w:space="0" w:color="auto"/>
              <w:bottom w:val="single" w:sz="4" w:space="0" w:color="auto"/>
            </w:tcBorders>
            <w:shd w:val="clear" w:color="auto" w:fill="auto"/>
            <w:vAlign w:val="center"/>
            <w:hideMark/>
          </w:tcPr>
          <w:p w14:paraId="51564D9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493" w:type="dxa"/>
            <w:gridSpan w:val="3"/>
            <w:tcBorders>
              <w:top w:val="single" w:sz="4" w:space="0" w:color="auto"/>
              <w:bottom w:val="single" w:sz="4" w:space="0" w:color="auto"/>
            </w:tcBorders>
            <w:shd w:val="clear" w:color="auto" w:fill="auto"/>
            <w:vAlign w:val="center"/>
            <w:hideMark/>
          </w:tcPr>
          <w:p w14:paraId="76EBB63A" w14:textId="77777777" w:rsidR="00E6060C" w:rsidRPr="00E6060C" w:rsidRDefault="00E6060C" w:rsidP="00E6060C">
            <w:pPr>
              <w:spacing w:line="240" w:lineRule="auto"/>
              <w:jc w:val="center"/>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Mean</w:t>
            </w:r>
          </w:p>
        </w:tc>
        <w:tc>
          <w:tcPr>
            <w:tcW w:w="1436" w:type="dxa"/>
            <w:gridSpan w:val="3"/>
            <w:tcBorders>
              <w:top w:val="single" w:sz="4" w:space="0" w:color="auto"/>
              <w:bottom w:val="single" w:sz="4" w:space="0" w:color="auto"/>
            </w:tcBorders>
            <w:shd w:val="clear" w:color="auto" w:fill="auto"/>
            <w:vAlign w:val="center"/>
            <w:hideMark/>
          </w:tcPr>
          <w:p w14:paraId="4BBAD27F"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3"/>
            <w:tcBorders>
              <w:top w:val="single" w:sz="4" w:space="0" w:color="auto"/>
              <w:bottom w:val="single" w:sz="4" w:space="0" w:color="auto"/>
            </w:tcBorders>
            <w:shd w:val="clear" w:color="auto" w:fill="auto"/>
            <w:vAlign w:val="center"/>
            <w:hideMark/>
          </w:tcPr>
          <w:p w14:paraId="592A1CB0"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609" w:type="dxa"/>
            <w:gridSpan w:val="3"/>
            <w:tcBorders>
              <w:top w:val="single" w:sz="4" w:space="0" w:color="auto"/>
              <w:bottom w:val="single" w:sz="4" w:space="0" w:color="auto"/>
            </w:tcBorders>
          </w:tcPr>
          <w:p w14:paraId="3F9B81E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1585" w:type="dxa"/>
            <w:gridSpan w:val="3"/>
            <w:tcBorders>
              <w:top w:val="single" w:sz="4" w:space="0" w:color="auto"/>
              <w:bottom w:val="single" w:sz="4" w:space="0" w:color="auto"/>
            </w:tcBorders>
            <w:shd w:val="clear" w:color="auto" w:fill="auto"/>
            <w:vAlign w:val="center"/>
            <w:hideMark/>
          </w:tcPr>
          <w:p w14:paraId="4BD2447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48" w:type="dxa"/>
            <w:gridSpan w:val="3"/>
            <w:tcBorders>
              <w:top w:val="single" w:sz="4" w:space="0" w:color="auto"/>
              <w:bottom w:val="single" w:sz="4" w:space="0" w:color="auto"/>
            </w:tcBorders>
            <w:shd w:val="clear" w:color="auto" w:fill="auto"/>
            <w:vAlign w:val="center"/>
            <w:hideMark/>
          </w:tcPr>
          <w:p w14:paraId="5C997E1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8" w:type="dxa"/>
            <w:gridSpan w:val="3"/>
            <w:tcBorders>
              <w:top w:val="single" w:sz="4" w:space="0" w:color="auto"/>
              <w:bottom w:val="single" w:sz="4" w:space="0" w:color="auto"/>
            </w:tcBorders>
            <w:shd w:val="clear" w:color="auto" w:fill="auto"/>
            <w:vAlign w:val="center"/>
            <w:hideMark/>
          </w:tcPr>
          <w:p w14:paraId="07882C8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436" w:type="dxa"/>
            <w:gridSpan w:val="2"/>
            <w:tcBorders>
              <w:top w:val="single" w:sz="4" w:space="0" w:color="auto"/>
              <w:bottom w:val="single" w:sz="4" w:space="0" w:color="auto"/>
            </w:tcBorders>
            <w:shd w:val="clear" w:color="auto" w:fill="auto"/>
            <w:vAlign w:val="center"/>
            <w:hideMark/>
          </w:tcPr>
          <w:p w14:paraId="0E20F28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10BB66F8" w14:textId="77777777" w:rsidTr="0035035C">
        <w:trPr>
          <w:trHeight w:val="286"/>
        </w:trPr>
        <w:tc>
          <w:tcPr>
            <w:tcW w:w="1983" w:type="dxa"/>
            <w:vMerge/>
            <w:tcBorders>
              <w:top w:val="single" w:sz="4" w:space="0" w:color="auto"/>
              <w:bottom w:val="single" w:sz="4" w:space="0" w:color="auto"/>
            </w:tcBorders>
            <w:shd w:val="clear" w:color="auto" w:fill="auto"/>
            <w:vAlign w:val="center"/>
            <w:hideMark/>
          </w:tcPr>
          <w:p w14:paraId="647A229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723" w:type="dxa"/>
            <w:tcBorders>
              <w:top w:val="single" w:sz="4" w:space="0" w:color="auto"/>
              <w:bottom w:val="single" w:sz="4" w:space="0" w:color="auto"/>
            </w:tcBorders>
            <w:shd w:val="clear" w:color="auto" w:fill="auto"/>
            <w:vAlign w:val="center"/>
            <w:hideMark/>
          </w:tcPr>
          <w:p w14:paraId="3C8E3DE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3" w:type="dxa"/>
            <w:gridSpan w:val="2"/>
            <w:tcBorders>
              <w:top w:val="single" w:sz="4" w:space="0" w:color="auto"/>
              <w:bottom w:val="single" w:sz="4" w:space="0" w:color="auto"/>
            </w:tcBorders>
            <w:shd w:val="clear" w:color="auto" w:fill="D9D9D9"/>
            <w:vAlign w:val="center"/>
          </w:tcPr>
          <w:p w14:paraId="37E94CC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5" w:type="dxa"/>
            <w:tcBorders>
              <w:top w:val="single" w:sz="4" w:space="0" w:color="auto"/>
              <w:bottom w:val="single" w:sz="4" w:space="0" w:color="auto"/>
            </w:tcBorders>
            <w:shd w:val="clear" w:color="auto" w:fill="auto"/>
            <w:vAlign w:val="center"/>
            <w:hideMark/>
          </w:tcPr>
          <w:p w14:paraId="0C32B52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4" w:type="dxa"/>
            <w:gridSpan w:val="2"/>
            <w:tcBorders>
              <w:top w:val="single" w:sz="4" w:space="0" w:color="auto"/>
              <w:bottom w:val="single" w:sz="4" w:space="0" w:color="auto"/>
            </w:tcBorders>
            <w:shd w:val="clear" w:color="auto" w:fill="D9D9D9"/>
            <w:vAlign w:val="center"/>
          </w:tcPr>
          <w:p w14:paraId="105B4FC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5" w:type="dxa"/>
            <w:tcBorders>
              <w:top w:val="single" w:sz="4" w:space="0" w:color="auto"/>
              <w:bottom w:val="single" w:sz="4" w:space="0" w:color="auto"/>
            </w:tcBorders>
            <w:shd w:val="clear" w:color="auto" w:fill="auto"/>
            <w:vAlign w:val="center"/>
            <w:hideMark/>
          </w:tcPr>
          <w:p w14:paraId="1A0FBC1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5" w:type="dxa"/>
            <w:gridSpan w:val="2"/>
            <w:tcBorders>
              <w:top w:val="single" w:sz="4" w:space="0" w:color="auto"/>
              <w:bottom w:val="single" w:sz="4" w:space="0" w:color="auto"/>
            </w:tcBorders>
            <w:shd w:val="clear" w:color="auto" w:fill="D9D9D9"/>
            <w:vAlign w:val="center"/>
          </w:tcPr>
          <w:p w14:paraId="68AF866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5" w:type="dxa"/>
            <w:tcBorders>
              <w:top w:val="single" w:sz="4" w:space="0" w:color="auto"/>
              <w:bottom w:val="single" w:sz="4" w:space="0" w:color="auto"/>
            </w:tcBorders>
            <w:shd w:val="clear" w:color="auto" w:fill="auto"/>
            <w:vAlign w:val="center"/>
            <w:hideMark/>
          </w:tcPr>
          <w:p w14:paraId="30C5467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4" w:type="dxa"/>
            <w:gridSpan w:val="2"/>
            <w:tcBorders>
              <w:top w:val="single" w:sz="4" w:space="0" w:color="auto"/>
              <w:bottom w:val="single" w:sz="4" w:space="0" w:color="auto"/>
            </w:tcBorders>
            <w:shd w:val="clear" w:color="auto" w:fill="D9D9D9"/>
            <w:vAlign w:val="center"/>
          </w:tcPr>
          <w:p w14:paraId="1B2DEE0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5" w:type="dxa"/>
            <w:tcBorders>
              <w:top w:val="single" w:sz="4" w:space="0" w:color="auto"/>
              <w:bottom w:val="single" w:sz="4" w:space="0" w:color="auto"/>
            </w:tcBorders>
            <w:vAlign w:val="center"/>
          </w:tcPr>
          <w:p w14:paraId="4C12048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5" w:type="dxa"/>
            <w:gridSpan w:val="2"/>
            <w:tcBorders>
              <w:top w:val="single" w:sz="4" w:space="0" w:color="auto"/>
              <w:bottom w:val="single" w:sz="4" w:space="0" w:color="auto"/>
            </w:tcBorders>
            <w:shd w:val="clear" w:color="auto" w:fill="D9D9D9"/>
            <w:vAlign w:val="center"/>
          </w:tcPr>
          <w:p w14:paraId="6A444B1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4" w:type="dxa"/>
            <w:tcBorders>
              <w:top w:val="single" w:sz="4" w:space="0" w:color="auto"/>
              <w:bottom w:val="single" w:sz="4" w:space="0" w:color="auto"/>
            </w:tcBorders>
            <w:shd w:val="clear" w:color="auto" w:fill="auto"/>
            <w:vAlign w:val="center"/>
            <w:hideMark/>
          </w:tcPr>
          <w:p w14:paraId="5900A27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5" w:type="dxa"/>
            <w:gridSpan w:val="2"/>
            <w:tcBorders>
              <w:top w:val="single" w:sz="4" w:space="0" w:color="auto"/>
              <w:bottom w:val="single" w:sz="4" w:space="0" w:color="auto"/>
            </w:tcBorders>
            <w:shd w:val="clear" w:color="auto" w:fill="D9D9D9"/>
            <w:vAlign w:val="center"/>
          </w:tcPr>
          <w:p w14:paraId="0865A08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5" w:type="dxa"/>
            <w:tcBorders>
              <w:top w:val="single" w:sz="4" w:space="0" w:color="auto"/>
              <w:bottom w:val="single" w:sz="4" w:space="0" w:color="auto"/>
            </w:tcBorders>
            <w:shd w:val="clear" w:color="auto" w:fill="auto"/>
            <w:vAlign w:val="center"/>
            <w:hideMark/>
          </w:tcPr>
          <w:p w14:paraId="3DCC00B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5" w:type="dxa"/>
            <w:tcBorders>
              <w:top w:val="single" w:sz="4" w:space="0" w:color="auto"/>
              <w:bottom w:val="single" w:sz="4" w:space="0" w:color="auto"/>
            </w:tcBorders>
            <w:shd w:val="clear" w:color="auto" w:fill="D9D9D9"/>
            <w:vAlign w:val="center"/>
          </w:tcPr>
          <w:p w14:paraId="5644EDC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4" w:type="dxa"/>
            <w:tcBorders>
              <w:top w:val="single" w:sz="4" w:space="0" w:color="auto"/>
              <w:bottom w:val="single" w:sz="4" w:space="0" w:color="auto"/>
            </w:tcBorders>
            <w:shd w:val="clear" w:color="auto" w:fill="auto"/>
            <w:vAlign w:val="center"/>
            <w:hideMark/>
          </w:tcPr>
          <w:p w14:paraId="2D63086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25" w:type="dxa"/>
            <w:tcBorders>
              <w:top w:val="single" w:sz="4" w:space="0" w:color="auto"/>
              <w:bottom w:val="single" w:sz="4" w:space="0" w:color="auto"/>
            </w:tcBorders>
            <w:shd w:val="clear" w:color="auto" w:fill="D9D9D9"/>
            <w:vAlign w:val="center"/>
          </w:tcPr>
          <w:p w14:paraId="4B46C6E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25" w:type="dxa"/>
            <w:gridSpan w:val="2"/>
            <w:tcBorders>
              <w:top w:val="single" w:sz="4" w:space="0" w:color="auto"/>
              <w:bottom w:val="single" w:sz="4" w:space="0" w:color="auto"/>
            </w:tcBorders>
            <w:shd w:val="clear" w:color="auto" w:fill="auto"/>
            <w:vAlign w:val="center"/>
            <w:hideMark/>
          </w:tcPr>
          <w:p w14:paraId="7548E06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30" w:type="dxa"/>
            <w:tcBorders>
              <w:top w:val="single" w:sz="4" w:space="0" w:color="auto"/>
              <w:bottom w:val="single" w:sz="4" w:space="0" w:color="auto"/>
            </w:tcBorders>
            <w:shd w:val="clear" w:color="auto" w:fill="D9D9D9"/>
            <w:vAlign w:val="center"/>
          </w:tcPr>
          <w:p w14:paraId="07D4FB5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r>
      <w:tr w:rsidR="00E6060C" w:rsidRPr="00E6060C" w14:paraId="1862FA76" w14:textId="77777777" w:rsidTr="0035035C">
        <w:trPr>
          <w:trHeight w:val="327"/>
        </w:trPr>
        <w:tc>
          <w:tcPr>
            <w:tcW w:w="1983" w:type="dxa"/>
            <w:shd w:val="clear" w:color="auto" w:fill="auto"/>
            <w:vAlign w:val="center"/>
          </w:tcPr>
          <w:p w14:paraId="0069DF3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Colleague support</w:t>
            </w:r>
          </w:p>
        </w:tc>
        <w:tc>
          <w:tcPr>
            <w:tcW w:w="723" w:type="dxa"/>
            <w:tcBorders>
              <w:top w:val="nil"/>
              <w:left w:val="nil"/>
              <w:bottom w:val="nil"/>
              <w:right w:val="nil"/>
            </w:tcBorders>
            <w:shd w:val="clear" w:color="auto" w:fill="auto"/>
            <w:noWrap/>
            <w:vAlign w:val="center"/>
          </w:tcPr>
          <w:p w14:paraId="78A4C70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177</w:t>
            </w:r>
          </w:p>
        </w:tc>
        <w:tc>
          <w:tcPr>
            <w:tcW w:w="723" w:type="dxa"/>
            <w:gridSpan w:val="2"/>
            <w:tcBorders>
              <w:top w:val="single" w:sz="4" w:space="0" w:color="auto"/>
              <w:left w:val="nil"/>
              <w:bottom w:val="nil"/>
              <w:right w:val="nil"/>
            </w:tcBorders>
            <w:shd w:val="clear" w:color="auto" w:fill="D9D9D9"/>
            <w:vAlign w:val="center"/>
          </w:tcPr>
          <w:p w14:paraId="64750C8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83</w:t>
            </w:r>
          </w:p>
        </w:tc>
        <w:tc>
          <w:tcPr>
            <w:tcW w:w="725" w:type="dxa"/>
            <w:tcBorders>
              <w:top w:val="nil"/>
              <w:left w:val="nil"/>
              <w:bottom w:val="nil"/>
              <w:right w:val="nil"/>
            </w:tcBorders>
            <w:shd w:val="clear" w:color="auto" w:fill="auto"/>
            <w:noWrap/>
            <w:vAlign w:val="center"/>
          </w:tcPr>
          <w:p w14:paraId="796F426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3.62</w:t>
            </w:r>
          </w:p>
        </w:tc>
        <w:tc>
          <w:tcPr>
            <w:tcW w:w="724" w:type="dxa"/>
            <w:gridSpan w:val="2"/>
            <w:tcBorders>
              <w:top w:val="single" w:sz="4" w:space="0" w:color="auto"/>
              <w:left w:val="nil"/>
              <w:bottom w:val="nil"/>
              <w:right w:val="nil"/>
            </w:tcBorders>
            <w:shd w:val="clear" w:color="auto" w:fill="D9D9D9"/>
            <w:vAlign w:val="center"/>
          </w:tcPr>
          <w:p w14:paraId="3C52762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3.85</w:t>
            </w:r>
          </w:p>
        </w:tc>
        <w:tc>
          <w:tcPr>
            <w:tcW w:w="725" w:type="dxa"/>
            <w:tcBorders>
              <w:top w:val="nil"/>
              <w:left w:val="nil"/>
              <w:bottom w:val="nil"/>
              <w:right w:val="nil"/>
            </w:tcBorders>
            <w:shd w:val="clear" w:color="auto" w:fill="auto"/>
            <w:noWrap/>
            <w:vAlign w:val="center"/>
          </w:tcPr>
          <w:p w14:paraId="428C8EC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0.94</w:t>
            </w:r>
          </w:p>
        </w:tc>
        <w:tc>
          <w:tcPr>
            <w:tcW w:w="725" w:type="dxa"/>
            <w:gridSpan w:val="2"/>
            <w:tcBorders>
              <w:top w:val="single" w:sz="4" w:space="0" w:color="auto"/>
              <w:left w:val="nil"/>
              <w:bottom w:val="nil"/>
              <w:right w:val="nil"/>
            </w:tcBorders>
            <w:shd w:val="clear" w:color="auto" w:fill="D9D9D9"/>
            <w:vAlign w:val="center"/>
          </w:tcPr>
          <w:p w14:paraId="254DB6B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0.94</w:t>
            </w:r>
          </w:p>
        </w:tc>
        <w:tc>
          <w:tcPr>
            <w:tcW w:w="725" w:type="dxa"/>
            <w:tcBorders>
              <w:top w:val="nil"/>
              <w:left w:val="nil"/>
              <w:bottom w:val="nil"/>
              <w:right w:val="nil"/>
            </w:tcBorders>
            <w:shd w:val="clear" w:color="auto" w:fill="auto"/>
            <w:noWrap/>
            <w:vAlign w:val="center"/>
          </w:tcPr>
          <w:p w14:paraId="316674B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0.07</w:t>
            </w:r>
          </w:p>
        </w:tc>
        <w:tc>
          <w:tcPr>
            <w:tcW w:w="724" w:type="dxa"/>
            <w:gridSpan w:val="2"/>
            <w:tcBorders>
              <w:top w:val="single" w:sz="4" w:space="0" w:color="auto"/>
              <w:left w:val="nil"/>
              <w:bottom w:val="nil"/>
              <w:right w:val="nil"/>
            </w:tcBorders>
            <w:shd w:val="clear" w:color="auto" w:fill="D9D9D9"/>
            <w:vAlign w:val="center"/>
          </w:tcPr>
          <w:p w14:paraId="4297CD0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0.10</w:t>
            </w:r>
          </w:p>
        </w:tc>
        <w:tc>
          <w:tcPr>
            <w:tcW w:w="725" w:type="dxa"/>
            <w:tcBorders>
              <w:top w:val="nil"/>
              <w:left w:val="nil"/>
              <w:bottom w:val="nil"/>
              <w:right w:val="nil"/>
            </w:tcBorders>
            <w:shd w:val="clear" w:color="auto" w:fill="auto"/>
            <w:vAlign w:val="center"/>
          </w:tcPr>
          <w:p w14:paraId="54A20CE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single" w:sz="4" w:space="0" w:color="auto"/>
              <w:left w:val="nil"/>
              <w:bottom w:val="nil"/>
              <w:right w:val="nil"/>
            </w:tcBorders>
            <w:shd w:val="clear" w:color="auto" w:fill="D9D9D9"/>
            <w:vAlign w:val="center"/>
          </w:tcPr>
          <w:p w14:paraId="67D658C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2517C59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1.33</w:t>
            </w:r>
          </w:p>
        </w:tc>
        <w:tc>
          <w:tcPr>
            <w:tcW w:w="725" w:type="dxa"/>
            <w:gridSpan w:val="2"/>
            <w:tcBorders>
              <w:top w:val="single" w:sz="4" w:space="0" w:color="auto"/>
              <w:left w:val="nil"/>
              <w:bottom w:val="nil"/>
              <w:right w:val="nil"/>
            </w:tcBorders>
            <w:shd w:val="clear" w:color="auto" w:fill="D9D9D9"/>
            <w:vAlign w:val="center"/>
          </w:tcPr>
          <w:p w14:paraId="1C043E2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1.33</w:t>
            </w:r>
          </w:p>
        </w:tc>
        <w:tc>
          <w:tcPr>
            <w:tcW w:w="725" w:type="dxa"/>
            <w:tcBorders>
              <w:top w:val="nil"/>
              <w:left w:val="nil"/>
              <w:bottom w:val="nil"/>
              <w:right w:val="nil"/>
            </w:tcBorders>
            <w:shd w:val="clear" w:color="auto" w:fill="auto"/>
            <w:noWrap/>
            <w:vAlign w:val="center"/>
          </w:tcPr>
          <w:p w14:paraId="69D0064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5" w:type="dxa"/>
            <w:tcBorders>
              <w:top w:val="single" w:sz="4" w:space="0" w:color="auto"/>
              <w:left w:val="nil"/>
              <w:bottom w:val="nil"/>
              <w:right w:val="nil"/>
            </w:tcBorders>
            <w:shd w:val="clear" w:color="auto" w:fill="D9D9D9"/>
            <w:vAlign w:val="center"/>
          </w:tcPr>
          <w:p w14:paraId="6C8E860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32B95E8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-0.55</w:t>
            </w:r>
          </w:p>
        </w:tc>
        <w:tc>
          <w:tcPr>
            <w:tcW w:w="725" w:type="dxa"/>
            <w:tcBorders>
              <w:top w:val="single" w:sz="4" w:space="0" w:color="auto"/>
              <w:left w:val="nil"/>
              <w:bottom w:val="nil"/>
              <w:right w:val="nil"/>
            </w:tcBorders>
            <w:shd w:val="clear" w:color="auto" w:fill="D9D9D9"/>
            <w:vAlign w:val="center"/>
          </w:tcPr>
          <w:p w14:paraId="0C6CA86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-0.72</w:t>
            </w:r>
          </w:p>
        </w:tc>
        <w:tc>
          <w:tcPr>
            <w:tcW w:w="725" w:type="dxa"/>
            <w:gridSpan w:val="2"/>
            <w:tcBorders>
              <w:top w:val="nil"/>
              <w:left w:val="nil"/>
              <w:bottom w:val="nil"/>
              <w:right w:val="nil"/>
            </w:tcBorders>
            <w:shd w:val="clear" w:color="auto" w:fill="auto"/>
            <w:noWrap/>
            <w:vAlign w:val="center"/>
          </w:tcPr>
          <w:p w14:paraId="3F8644B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-0.42</w:t>
            </w:r>
          </w:p>
        </w:tc>
        <w:tc>
          <w:tcPr>
            <w:tcW w:w="730" w:type="dxa"/>
            <w:tcBorders>
              <w:top w:val="single" w:sz="4" w:space="0" w:color="auto"/>
              <w:left w:val="nil"/>
              <w:bottom w:val="nil"/>
              <w:right w:val="nil"/>
            </w:tcBorders>
            <w:shd w:val="clear" w:color="auto" w:fill="D9D9D9"/>
            <w:vAlign w:val="center"/>
          </w:tcPr>
          <w:p w14:paraId="1D065E7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-0.07</w:t>
            </w:r>
          </w:p>
        </w:tc>
      </w:tr>
      <w:tr w:rsidR="00E6060C" w:rsidRPr="00E6060C" w14:paraId="2DC0EE09" w14:textId="77777777" w:rsidTr="0035035C">
        <w:trPr>
          <w:trHeight w:val="482"/>
        </w:trPr>
        <w:tc>
          <w:tcPr>
            <w:tcW w:w="1983" w:type="dxa"/>
            <w:shd w:val="clear" w:color="auto" w:fill="auto"/>
            <w:vAlign w:val="center"/>
          </w:tcPr>
          <w:p w14:paraId="282F44A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Influence in decision-making</w:t>
            </w:r>
          </w:p>
        </w:tc>
        <w:tc>
          <w:tcPr>
            <w:tcW w:w="723" w:type="dxa"/>
            <w:tcBorders>
              <w:top w:val="nil"/>
              <w:left w:val="nil"/>
              <w:bottom w:val="nil"/>
              <w:right w:val="nil"/>
            </w:tcBorders>
            <w:shd w:val="clear" w:color="auto" w:fill="auto"/>
            <w:noWrap/>
            <w:vAlign w:val="center"/>
          </w:tcPr>
          <w:p w14:paraId="386A89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178</w:t>
            </w:r>
          </w:p>
        </w:tc>
        <w:tc>
          <w:tcPr>
            <w:tcW w:w="723" w:type="dxa"/>
            <w:gridSpan w:val="2"/>
            <w:tcBorders>
              <w:top w:val="nil"/>
              <w:left w:val="nil"/>
              <w:bottom w:val="nil"/>
              <w:right w:val="nil"/>
            </w:tcBorders>
            <w:shd w:val="clear" w:color="auto" w:fill="D9D9D9"/>
            <w:vAlign w:val="center"/>
          </w:tcPr>
          <w:p w14:paraId="6A27CA2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83</w:t>
            </w:r>
          </w:p>
        </w:tc>
        <w:tc>
          <w:tcPr>
            <w:tcW w:w="725" w:type="dxa"/>
            <w:tcBorders>
              <w:top w:val="nil"/>
              <w:left w:val="nil"/>
              <w:bottom w:val="nil"/>
              <w:right w:val="nil"/>
            </w:tcBorders>
            <w:shd w:val="clear" w:color="auto" w:fill="auto"/>
            <w:noWrap/>
            <w:vAlign w:val="center"/>
          </w:tcPr>
          <w:p w14:paraId="13824D8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2.83</w:t>
            </w:r>
          </w:p>
        </w:tc>
        <w:tc>
          <w:tcPr>
            <w:tcW w:w="724" w:type="dxa"/>
            <w:gridSpan w:val="2"/>
            <w:tcBorders>
              <w:top w:val="nil"/>
              <w:left w:val="nil"/>
              <w:bottom w:val="nil"/>
              <w:right w:val="nil"/>
            </w:tcBorders>
            <w:shd w:val="clear" w:color="auto" w:fill="D9D9D9"/>
            <w:vAlign w:val="center"/>
          </w:tcPr>
          <w:p w14:paraId="08E4D8F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3.09</w:t>
            </w:r>
          </w:p>
        </w:tc>
        <w:tc>
          <w:tcPr>
            <w:tcW w:w="725" w:type="dxa"/>
            <w:tcBorders>
              <w:top w:val="nil"/>
              <w:left w:val="nil"/>
              <w:bottom w:val="nil"/>
              <w:right w:val="nil"/>
            </w:tcBorders>
            <w:shd w:val="clear" w:color="auto" w:fill="auto"/>
            <w:noWrap/>
            <w:vAlign w:val="center"/>
          </w:tcPr>
          <w:p w14:paraId="4E6504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145A468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0.89</w:t>
            </w:r>
          </w:p>
        </w:tc>
        <w:tc>
          <w:tcPr>
            <w:tcW w:w="725" w:type="dxa"/>
            <w:tcBorders>
              <w:top w:val="nil"/>
              <w:left w:val="nil"/>
              <w:bottom w:val="nil"/>
              <w:right w:val="nil"/>
            </w:tcBorders>
            <w:shd w:val="clear" w:color="auto" w:fill="auto"/>
            <w:noWrap/>
            <w:vAlign w:val="center"/>
          </w:tcPr>
          <w:p w14:paraId="664FE1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0.07</w:t>
            </w:r>
          </w:p>
        </w:tc>
        <w:tc>
          <w:tcPr>
            <w:tcW w:w="724" w:type="dxa"/>
            <w:gridSpan w:val="2"/>
            <w:tcBorders>
              <w:top w:val="nil"/>
              <w:left w:val="nil"/>
              <w:bottom w:val="nil"/>
              <w:right w:val="nil"/>
            </w:tcBorders>
            <w:shd w:val="clear" w:color="auto" w:fill="D9D9D9"/>
            <w:vAlign w:val="center"/>
          </w:tcPr>
          <w:p w14:paraId="21989FB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0.10</w:t>
            </w:r>
          </w:p>
        </w:tc>
        <w:tc>
          <w:tcPr>
            <w:tcW w:w="725" w:type="dxa"/>
            <w:tcBorders>
              <w:top w:val="nil"/>
              <w:left w:val="nil"/>
              <w:bottom w:val="nil"/>
              <w:right w:val="nil"/>
            </w:tcBorders>
            <w:shd w:val="clear" w:color="auto" w:fill="auto"/>
            <w:vAlign w:val="center"/>
          </w:tcPr>
          <w:p w14:paraId="7733434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2.67</w:t>
            </w:r>
          </w:p>
        </w:tc>
        <w:tc>
          <w:tcPr>
            <w:tcW w:w="725" w:type="dxa"/>
            <w:gridSpan w:val="2"/>
            <w:tcBorders>
              <w:top w:val="nil"/>
              <w:left w:val="nil"/>
              <w:bottom w:val="nil"/>
              <w:right w:val="nil"/>
            </w:tcBorders>
            <w:shd w:val="clear" w:color="auto" w:fill="D9D9D9"/>
            <w:vAlign w:val="center"/>
          </w:tcPr>
          <w:p w14:paraId="04A9164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4" w:type="dxa"/>
            <w:tcBorders>
              <w:top w:val="nil"/>
              <w:left w:val="nil"/>
              <w:bottom w:val="nil"/>
              <w:right w:val="nil"/>
            </w:tcBorders>
            <w:shd w:val="clear" w:color="auto" w:fill="auto"/>
            <w:noWrap/>
            <w:vAlign w:val="center"/>
          </w:tcPr>
          <w:p w14:paraId="65C82B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4B32522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6486CE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22A45C6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1679906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0.13</w:t>
            </w:r>
          </w:p>
        </w:tc>
        <w:tc>
          <w:tcPr>
            <w:tcW w:w="725" w:type="dxa"/>
            <w:tcBorders>
              <w:top w:val="nil"/>
              <w:left w:val="nil"/>
              <w:bottom w:val="nil"/>
              <w:right w:val="nil"/>
            </w:tcBorders>
            <w:shd w:val="clear" w:color="auto" w:fill="D9D9D9"/>
            <w:vAlign w:val="center"/>
          </w:tcPr>
          <w:p w14:paraId="50A5364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0.10</w:t>
            </w:r>
          </w:p>
        </w:tc>
        <w:tc>
          <w:tcPr>
            <w:tcW w:w="725" w:type="dxa"/>
            <w:gridSpan w:val="2"/>
            <w:tcBorders>
              <w:top w:val="nil"/>
              <w:left w:val="nil"/>
              <w:bottom w:val="nil"/>
              <w:right w:val="nil"/>
            </w:tcBorders>
            <w:shd w:val="clear" w:color="auto" w:fill="auto"/>
            <w:noWrap/>
            <w:vAlign w:val="center"/>
          </w:tcPr>
          <w:p w14:paraId="6D20157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-0.58</w:t>
            </w:r>
          </w:p>
        </w:tc>
        <w:tc>
          <w:tcPr>
            <w:tcW w:w="730" w:type="dxa"/>
            <w:tcBorders>
              <w:top w:val="nil"/>
              <w:left w:val="nil"/>
              <w:bottom w:val="nil"/>
              <w:right w:val="nil"/>
            </w:tcBorders>
            <w:shd w:val="clear" w:color="auto" w:fill="D9D9D9"/>
            <w:vAlign w:val="center"/>
          </w:tcPr>
          <w:p w14:paraId="02E5322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0.03</w:t>
            </w:r>
          </w:p>
        </w:tc>
      </w:tr>
      <w:tr w:rsidR="00E6060C" w:rsidRPr="00E6060C" w14:paraId="60CC653C" w14:textId="77777777" w:rsidTr="0035035C">
        <w:trPr>
          <w:trHeight w:val="482"/>
        </w:trPr>
        <w:tc>
          <w:tcPr>
            <w:tcW w:w="1983" w:type="dxa"/>
            <w:shd w:val="clear" w:color="auto" w:fill="auto"/>
            <w:vAlign w:val="center"/>
          </w:tcPr>
          <w:p w14:paraId="5D78A52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Resources and demands</w:t>
            </w:r>
          </w:p>
        </w:tc>
        <w:tc>
          <w:tcPr>
            <w:tcW w:w="723" w:type="dxa"/>
            <w:tcBorders>
              <w:top w:val="nil"/>
              <w:left w:val="nil"/>
              <w:bottom w:val="nil"/>
              <w:right w:val="nil"/>
            </w:tcBorders>
            <w:shd w:val="clear" w:color="auto" w:fill="auto"/>
            <w:noWrap/>
            <w:vAlign w:val="center"/>
          </w:tcPr>
          <w:p w14:paraId="786426B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179</w:t>
            </w:r>
          </w:p>
        </w:tc>
        <w:tc>
          <w:tcPr>
            <w:tcW w:w="723" w:type="dxa"/>
            <w:gridSpan w:val="2"/>
            <w:tcBorders>
              <w:top w:val="nil"/>
              <w:left w:val="nil"/>
              <w:bottom w:val="nil"/>
              <w:right w:val="nil"/>
            </w:tcBorders>
            <w:shd w:val="clear" w:color="auto" w:fill="D9D9D9"/>
            <w:vAlign w:val="center"/>
          </w:tcPr>
          <w:p w14:paraId="352D8BF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83</w:t>
            </w:r>
          </w:p>
        </w:tc>
        <w:tc>
          <w:tcPr>
            <w:tcW w:w="725" w:type="dxa"/>
            <w:tcBorders>
              <w:top w:val="nil"/>
              <w:left w:val="nil"/>
              <w:bottom w:val="nil"/>
              <w:right w:val="nil"/>
            </w:tcBorders>
            <w:shd w:val="clear" w:color="auto" w:fill="auto"/>
            <w:noWrap/>
            <w:vAlign w:val="center"/>
          </w:tcPr>
          <w:p w14:paraId="2F5ECAE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2.85</w:t>
            </w:r>
          </w:p>
        </w:tc>
        <w:tc>
          <w:tcPr>
            <w:tcW w:w="724" w:type="dxa"/>
            <w:gridSpan w:val="2"/>
            <w:tcBorders>
              <w:top w:val="nil"/>
              <w:left w:val="nil"/>
              <w:bottom w:val="nil"/>
              <w:right w:val="nil"/>
            </w:tcBorders>
            <w:shd w:val="clear" w:color="auto" w:fill="D9D9D9"/>
            <w:vAlign w:val="center"/>
          </w:tcPr>
          <w:p w14:paraId="629B1A1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3.06</w:t>
            </w:r>
          </w:p>
        </w:tc>
        <w:tc>
          <w:tcPr>
            <w:tcW w:w="725" w:type="dxa"/>
            <w:tcBorders>
              <w:top w:val="nil"/>
              <w:left w:val="nil"/>
              <w:bottom w:val="nil"/>
              <w:right w:val="nil"/>
            </w:tcBorders>
            <w:shd w:val="clear" w:color="auto" w:fill="auto"/>
            <w:noWrap/>
            <w:vAlign w:val="center"/>
          </w:tcPr>
          <w:p w14:paraId="7345EA0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0.73</w:t>
            </w:r>
          </w:p>
        </w:tc>
        <w:tc>
          <w:tcPr>
            <w:tcW w:w="725" w:type="dxa"/>
            <w:gridSpan w:val="2"/>
            <w:tcBorders>
              <w:top w:val="nil"/>
              <w:left w:val="nil"/>
              <w:bottom w:val="nil"/>
              <w:right w:val="nil"/>
            </w:tcBorders>
            <w:shd w:val="clear" w:color="auto" w:fill="D9D9D9"/>
            <w:vAlign w:val="center"/>
          </w:tcPr>
          <w:p w14:paraId="5C3110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0.71</w:t>
            </w:r>
          </w:p>
        </w:tc>
        <w:tc>
          <w:tcPr>
            <w:tcW w:w="725" w:type="dxa"/>
            <w:tcBorders>
              <w:top w:val="nil"/>
              <w:left w:val="nil"/>
              <w:bottom w:val="nil"/>
              <w:right w:val="nil"/>
            </w:tcBorders>
            <w:shd w:val="clear" w:color="auto" w:fill="auto"/>
            <w:noWrap/>
            <w:vAlign w:val="center"/>
          </w:tcPr>
          <w:p w14:paraId="614A2A9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0.05</w:t>
            </w:r>
          </w:p>
        </w:tc>
        <w:tc>
          <w:tcPr>
            <w:tcW w:w="724" w:type="dxa"/>
            <w:gridSpan w:val="2"/>
            <w:tcBorders>
              <w:top w:val="nil"/>
              <w:left w:val="nil"/>
              <w:bottom w:val="nil"/>
              <w:right w:val="nil"/>
            </w:tcBorders>
            <w:shd w:val="clear" w:color="auto" w:fill="D9D9D9"/>
            <w:vAlign w:val="center"/>
          </w:tcPr>
          <w:p w14:paraId="754FCE0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0.08</w:t>
            </w:r>
          </w:p>
        </w:tc>
        <w:tc>
          <w:tcPr>
            <w:tcW w:w="725" w:type="dxa"/>
            <w:tcBorders>
              <w:top w:val="nil"/>
              <w:left w:val="nil"/>
              <w:bottom w:val="nil"/>
              <w:right w:val="nil"/>
            </w:tcBorders>
            <w:shd w:val="clear" w:color="auto" w:fill="auto"/>
            <w:vAlign w:val="center"/>
          </w:tcPr>
          <w:p w14:paraId="11A0863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2.86</w:t>
            </w:r>
          </w:p>
        </w:tc>
        <w:tc>
          <w:tcPr>
            <w:tcW w:w="725" w:type="dxa"/>
            <w:gridSpan w:val="2"/>
            <w:tcBorders>
              <w:top w:val="nil"/>
              <w:left w:val="nil"/>
              <w:bottom w:val="nil"/>
              <w:right w:val="nil"/>
            </w:tcBorders>
            <w:shd w:val="clear" w:color="auto" w:fill="D9D9D9"/>
            <w:vAlign w:val="center"/>
          </w:tcPr>
          <w:p w14:paraId="564AB0F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4" w:type="dxa"/>
            <w:tcBorders>
              <w:top w:val="nil"/>
              <w:left w:val="nil"/>
              <w:bottom w:val="nil"/>
              <w:right w:val="nil"/>
            </w:tcBorders>
            <w:shd w:val="clear" w:color="auto" w:fill="auto"/>
            <w:noWrap/>
            <w:vAlign w:val="center"/>
          </w:tcPr>
          <w:p w14:paraId="0A73052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7998E5A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1.14</w:t>
            </w:r>
          </w:p>
        </w:tc>
        <w:tc>
          <w:tcPr>
            <w:tcW w:w="725" w:type="dxa"/>
            <w:tcBorders>
              <w:top w:val="nil"/>
              <w:left w:val="nil"/>
              <w:bottom w:val="nil"/>
              <w:right w:val="nil"/>
            </w:tcBorders>
            <w:shd w:val="clear" w:color="auto" w:fill="auto"/>
            <w:noWrap/>
            <w:vAlign w:val="center"/>
          </w:tcPr>
          <w:p w14:paraId="79AF44F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53F6413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293030A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0.02</w:t>
            </w:r>
          </w:p>
        </w:tc>
        <w:tc>
          <w:tcPr>
            <w:tcW w:w="725" w:type="dxa"/>
            <w:tcBorders>
              <w:top w:val="nil"/>
              <w:left w:val="nil"/>
              <w:bottom w:val="nil"/>
              <w:right w:val="nil"/>
            </w:tcBorders>
            <w:shd w:val="clear" w:color="auto" w:fill="D9D9D9"/>
            <w:vAlign w:val="center"/>
          </w:tcPr>
          <w:p w14:paraId="38C7121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-0.16</w:t>
            </w:r>
          </w:p>
        </w:tc>
        <w:tc>
          <w:tcPr>
            <w:tcW w:w="725" w:type="dxa"/>
            <w:gridSpan w:val="2"/>
            <w:tcBorders>
              <w:top w:val="nil"/>
              <w:left w:val="nil"/>
              <w:bottom w:val="nil"/>
              <w:right w:val="nil"/>
            </w:tcBorders>
            <w:shd w:val="clear" w:color="auto" w:fill="auto"/>
            <w:noWrap/>
            <w:vAlign w:val="center"/>
          </w:tcPr>
          <w:p w14:paraId="480DE8A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0.02</w:t>
            </w:r>
          </w:p>
        </w:tc>
        <w:tc>
          <w:tcPr>
            <w:tcW w:w="730" w:type="dxa"/>
            <w:tcBorders>
              <w:top w:val="nil"/>
              <w:left w:val="nil"/>
              <w:bottom w:val="nil"/>
              <w:right w:val="nil"/>
            </w:tcBorders>
            <w:shd w:val="clear" w:color="auto" w:fill="D9D9D9"/>
            <w:vAlign w:val="center"/>
          </w:tcPr>
          <w:p w14:paraId="58A22E0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0.36</w:t>
            </w:r>
          </w:p>
        </w:tc>
      </w:tr>
      <w:tr w:rsidR="00E6060C" w:rsidRPr="00E6060C" w14:paraId="2428CC5B" w14:textId="77777777" w:rsidTr="0035035C">
        <w:trPr>
          <w:trHeight w:val="482"/>
        </w:trPr>
        <w:tc>
          <w:tcPr>
            <w:tcW w:w="1983" w:type="dxa"/>
            <w:shd w:val="clear" w:color="auto" w:fill="auto"/>
            <w:vAlign w:val="center"/>
          </w:tcPr>
          <w:p w14:paraId="1C548C7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Autonomy</w:t>
            </w:r>
          </w:p>
        </w:tc>
        <w:tc>
          <w:tcPr>
            <w:tcW w:w="723" w:type="dxa"/>
            <w:tcBorders>
              <w:top w:val="nil"/>
              <w:left w:val="nil"/>
              <w:bottom w:val="nil"/>
              <w:right w:val="nil"/>
            </w:tcBorders>
            <w:shd w:val="clear" w:color="auto" w:fill="auto"/>
            <w:noWrap/>
            <w:vAlign w:val="center"/>
          </w:tcPr>
          <w:p w14:paraId="729D404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176</w:t>
            </w:r>
          </w:p>
        </w:tc>
        <w:tc>
          <w:tcPr>
            <w:tcW w:w="723" w:type="dxa"/>
            <w:gridSpan w:val="2"/>
            <w:tcBorders>
              <w:top w:val="nil"/>
              <w:left w:val="nil"/>
              <w:bottom w:val="nil"/>
              <w:right w:val="nil"/>
            </w:tcBorders>
            <w:shd w:val="clear" w:color="auto" w:fill="D9D9D9"/>
            <w:vAlign w:val="center"/>
          </w:tcPr>
          <w:p w14:paraId="15B8444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25" w:type="dxa"/>
            <w:tcBorders>
              <w:top w:val="nil"/>
              <w:left w:val="nil"/>
              <w:bottom w:val="nil"/>
              <w:right w:val="nil"/>
            </w:tcBorders>
            <w:shd w:val="clear" w:color="auto" w:fill="auto"/>
            <w:noWrap/>
            <w:vAlign w:val="center"/>
          </w:tcPr>
          <w:p w14:paraId="592039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3.85</w:t>
            </w:r>
          </w:p>
        </w:tc>
        <w:tc>
          <w:tcPr>
            <w:tcW w:w="724" w:type="dxa"/>
            <w:gridSpan w:val="2"/>
            <w:tcBorders>
              <w:top w:val="nil"/>
              <w:left w:val="nil"/>
              <w:bottom w:val="nil"/>
              <w:right w:val="nil"/>
            </w:tcBorders>
            <w:shd w:val="clear" w:color="auto" w:fill="D9D9D9"/>
            <w:vAlign w:val="center"/>
          </w:tcPr>
          <w:p w14:paraId="443C589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4.09</w:t>
            </w:r>
          </w:p>
        </w:tc>
        <w:tc>
          <w:tcPr>
            <w:tcW w:w="725" w:type="dxa"/>
            <w:tcBorders>
              <w:top w:val="nil"/>
              <w:left w:val="nil"/>
              <w:bottom w:val="nil"/>
              <w:right w:val="nil"/>
            </w:tcBorders>
            <w:shd w:val="clear" w:color="auto" w:fill="auto"/>
            <w:noWrap/>
            <w:vAlign w:val="center"/>
          </w:tcPr>
          <w:p w14:paraId="5A1F7C2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0.78</w:t>
            </w:r>
          </w:p>
        </w:tc>
        <w:tc>
          <w:tcPr>
            <w:tcW w:w="725" w:type="dxa"/>
            <w:gridSpan w:val="2"/>
            <w:tcBorders>
              <w:top w:val="nil"/>
              <w:left w:val="nil"/>
              <w:bottom w:val="nil"/>
              <w:right w:val="nil"/>
            </w:tcBorders>
            <w:shd w:val="clear" w:color="auto" w:fill="D9D9D9"/>
            <w:vAlign w:val="center"/>
          </w:tcPr>
          <w:p w14:paraId="04EA180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0.72</w:t>
            </w:r>
          </w:p>
        </w:tc>
        <w:tc>
          <w:tcPr>
            <w:tcW w:w="725" w:type="dxa"/>
            <w:tcBorders>
              <w:top w:val="nil"/>
              <w:left w:val="nil"/>
              <w:bottom w:val="nil"/>
              <w:right w:val="nil"/>
            </w:tcBorders>
            <w:shd w:val="clear" w:color="auto" w:fill="auto"/>
            <w:noWrap/>
            <w:vAlign w:val="center"/>
          </w:tcPr>
          <w:p w14:paraId="23A922D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0.06</w:t>
            </w:r>
          </w:p>
        </w:tc>
        <w:tc>
          <w:tcPr>
            <w:tcW w:w="724" w:type="dxa"/>
            <w:gridSpan w:val="2"/>
            <w:tcBorders>
              <w:top w:val="nil"/>
              <w:left w:val="nil"/>
              <w:bottom w:val="nil"/>
              <w:right w:val="nil"/>
            </w:tcBorders>
            <w:shd w:val="clear" w:color="auto" w:fill="D9D9D9"/>
            <w:vAlign w:val="center"/>
          </w:tcPr>
          <w:p w14:paraId="2AAB02A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0.08</w:t>
            </w:r>
          </w:p>
        </w:tc>
        <w:tc>
          <w:tcPr>
            <w:tcW w:w="725" w:type="dxa"/>
            <w:tcBorders>
              <w:top w:val="nil"/>
              <w:left w:val="nil"/>
              <w:bottom w:val="nil"/>
              <w:right w:val="nil"/>
            </w:tcBorders>
            <w:shd w:val="clear" w:color="auto" w:fill="auto"/>
            <w:vAlign w:val="center"/>
          </w:tcPr>
          <w:p w14:paraId="7D90908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2E04CA0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08C66F1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3FA0A05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103330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16E7A97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505E1A9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-0.80</w:t>
            </w:r>
          </w:p>
        </w:tc>
        <w:tc>
          <w:tcPr>
            <w:tcW w:w="725" w:type="dxa"/>
            <w:tcBorders>
              <w:top w:val="nil"/>
              <w:left w:val="nil"/>
              <w:bottom w:val="nil"/>
              <w:right w:val="nil"/>
            </w:tcBorders>
            <w:shd w:val="clear" w:color="auto" w:fill="D9D9D9"/>
            <w:vAlign w:val="center"/>
          </w:tcPr>
          <w:p w14:paraId="4530030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-1.47</w:t>
            </w:r>
          </w:p>
        </w:tc>
        <w:tc>
          <w:tcPr>
            <w:tcW w:w="725" w:type="dxa"/>
            <w:gridSpan w:val="2"/>
            <w:tcBorders>
              <w:top w:val="nil"/>
              <w:left w:val="nil"/>
              <w:bottom w:val="nil"/>
              <w:right w:val="nil"/>
            </w:tcBorders>
            <w:shd w:val="clear" w:color="auto" w:fill="auto"/>
            <w:noWrap/>
            <w:vAlign w:val="center"/>
          </w:tcPr>
          <w:p w14:paraId="5DF1F9E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1.17</w:t>
            </w:r>
          </w:p>
        </w:tc>
        <w:tc>
          <w:tcPr>
            <w:tcW w:w="730" w:type="dxa"/>
            <w:tcBorders>
              <w:top w:val="nil"/>
              <w:left w:val="nil"/>
              <w:bottom w:val="nil"/>
              <w:right w:val="nil"/>
            </w:tcBorders>
            <w:shd w:val="clear" w:color="auto" w:fill="D9D9D9"/>
            <w:vAlign w:val="center"/>
          </w:tcPr>
          <w:p w14:paraId="270C767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4.39</w:t>
            </w:r>
          </w:p>
        </w:tc>
      </w:tr>
      <w:tr w:rsidR="00E6060C" w:rsidRPr="00E6060C" w14:paraId="2799C6BF" w14:textId="77777777" w:rsidTr="0035035C">
        <w:trPr>
          <w:trHeight w:val="482"/>
        </w:trPr>
        <w:tc>
          <w:tcPr>
            <w:tcW w:w="1983" w:type="dxa"/>
            <w:shd w:val="clear" w:color="auto" w:fill="auto"/>
            <w:vAlign w:val="center"/>
          </w:tcPr>
          <w:p w14:paraId="4C3489D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Competence</w:t>
            </w:r>
          </w:p>
        </w:tc>
        <w:tc>
          <w:tcPr>
            <w:tcW w:w="723" w:type="dxa"/>
            <w:tcBorders>
              <w:top w:val="nil"/>
              <w:left w:val="nil"/>
              <w:bottom w:val="nil"/>
              <w:right w:val="nil"/>
            </w:tcBorders>
            <w:shd w:val="clear" w:color="auto" w:fill="auto"/>
            <w:noWrap/>
            <w:vAlign w:val="center"/>
          </w:tcPr>
          <w:p w14:paraId="1698BB3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175</w:t>
            </w:r>
          </w:p>
        </w:tc>
        <w:tc>
          <w:tcPr>
            <w:tcW w:w="723" w:type="dxa"/>
            <w:gridSpan w:val="2"/>
            <w:tcBorders>
              <w:top w:val="nil"/>
              <w:left w:val="nil"/>
              <w:bottom w:val="nil"/>
              <w:right w:val="nil"/>
            </w:tcBorders>
            <w:shd w:val="clear" w:color="auto" w:fill="D9D9D9"/>
            <w:vAlign w:val="center"/>
          </w:tcPr>
          <w:p w14:paraId="7C53436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81</w:t>
            </w:r>
          </w:p>
        </w:tc>
        <w:tc>
          <w:tcPr>
            <w:tcW w:w="725" w:type="dxa"/>
            <w:tcBorders>
              <w:top w:val="nil"/>
              <w:left w:val="nil"/>
              <w:bottom w:val="nil"/>
              <w:right w:val="nil"/>
            </w:tcBorders>
            <w:shd w:val="clear" w:color="auto" w:fill="auto"/>
            <w:noWrap/>
            <w:vAlign w:val="center"/>
          </w:tcPr>
          <w:p w14:paraId="214EEF5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3.87</w:t>
            </w:r>
          </w:p>
        </w:tc>
        <w:tc>
          <w:tcPr>
            <w:tcW w:w="724" w:type="dxa"/>
            <w:gridSpan w:val="2"/>
            <w:tcBorders>
              <w:top w:val="nil"/>
              <w:left w:val="nil"/>
              <w:bottom w:val="nil"/>
              <w:right w:val="nil"/>
            </w:tcBorders>
            <w:shd w:val="clear" w:color="auto" w:fill="D9D9D9"/>
            <w:vAlign w:val="center"/>
          </w:tcPr>
          <w:p w14:paraId="6C40936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4.05</w:t>
            </w:r>
          </w:p>
        </w:tc>
        <w:tc>
          <w:tcPr>
            <w:tcW w:w="725" w:type="dxa"/>
            <w:tcBorders>
              <w:top w:val="nil"/>
              <w:left w:val="nil"/>
              <w:bottom w:val="nil"/>
              <w:right w:val="nil"/>
            </w:tcBorders>
            <w:shd w:val="clear" w:color="auto" w:fill="auto"/>
            <w:noWrap/>
            <w:vAlign w:val="center"/>
          </w:tcPr>
          <w:p w14:paraId="0462C19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0.80</w:t>
            </w:r>
          </w:p>
        </w:tc>
        <w:tc>
          <w:tcPr>
            <w:tcW w:w="725" w:type="dxa"/>
            <w:gridSpan w:val="2"/>
            <w:tcBorders>
              <w:top w:val="nil"/>
              <w:left w:val="nil"/>
              <w:bottom w:val="nil"/>
              <w:right w:val="nil"/>
            </w:tcBorders>
            <w:shd w:val="clear" w:color="auto" w:fill="D9D9D9"/>
            <w:vAlign w:val="center"/>
          </w:tcPr>
          <w:p w14:paraId="5BAA61B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0.65</w:t>
            </w:r>
          </w:p>
        </w:tc>
        <w:tc>
          <w:tcPr>
            <w:tcW w:w="725" w:type="dxa"/>
            <w:tcBorders>
              <w:top w:val="nil"/>
              <w:left w:val="nil"/>
              <w:bottom w:val="nil"/>
              <w:right w:val="nil"/>
            </w:tcBorders>
            <w:shd w:val="clear" w:color="auto" w:fill="auto"/>
            <w:noWrap/>
            <w:vAlign w:val="center"/>
          </w:tcPr>
          <w:p w14:paraId="3272FCA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0.06</w:t>
            </w:r>
          </w:p>
        </w:tc>
        <w:tc>
          <w:tcPr>
            <w:tcW w:w="724" w:type="dxa"/>
            <w:gridSpan w:val="2"/>
            <w:tcBorders>
              <w:top w:val="nil"/>
              <w:left w:val="nil"/>
              <w:bottom w:val="nil"/>
              <w:right w:val="nil"/>
            </w:tcBorders>
            <w:shd w:val="clear" w:color="auto" w:fill="D9D9D9"/>
            <w:vAlign w:val="center"/>
          </w:tcPr>
          <w:p w14:paraId="00543AD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tcBorders>
              <w:top w:val="nil"/>
              <w:left w:val="nil"/>
              <w:bottom w:val="nil"/>
              <w:right w:val="nil"/>
            </w:tcBorders>
            <w:shd w:val="clear" w:color="auto" w:fill="auto"/>
            <w:vAlign w:val="center"/>
          </w:tcPr>
          <w:p w14:paraId="3A62E4B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7EEDDFD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06B0C6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46CD005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725" w:type="dxa"/>
            <w:tcBorders>
              <w:top w:val="nil"/>
              <w:left w:val="nil"/>
              <w:bottom w:val="nil"/>
              <w:right w:val="nil"/>
            </w:tcBorders>
            <w:shd w:val="clear" w:color="auto" w:fill="auto"/>
            <w:noWrap/>
            <w:vAlign w:val="center"/>
          </w:tcPr>
          <w:p w14:paraId="4193D0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5EB0650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30209F8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-1.07</w:t>
            </w:r>
          </w:p>
        </w:tc>
        <w:tc>
          <w:tcPr>
            <w:tcW w:w="725" w:type="dxa"/>
            <w:tcBorders>
              <w:top w:val="nil"/>
              <w:left w:val="nil"/>
              <w:bottom w:val="nil"/>
              <w:right w:val="nil"/>
            </w:tcBorders>
            <w:shd w:val="clear" w:color="auto" w:fill="D9D9D9"/>
            <w:vAlign w:val="center"/>
          </w:tcPr>
          <w:p w14:paraId="6E95AE2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-0.23</w:t>
            </w:r>
          </w:p>
        </w:tc>
        <w:tc>
          <w:tcPr>
            <w:tcW w:w="725" w:type="dxa"/>
            <w:gridSpan w:val="2"/>
            <w:tcBorders>
              <w:top w:val="nil"/>
              <w:left w:val="nil"/>
              <w:bottom w:val="nil"/>
              <w:right w:val="nil"/>
            </w:tcBorders>
            <w:shd w:val="clear" w:color="auto" w:fill="auto"/>
            <w:noWrap/>
            <w:vAlign w:val="center"/>
          </w:tcPr>
          <w:p w14:paraId="7F47D8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2.26</w:t>
            </w:r>
          </w:p>
        </w:tc>
        <w:tc>
          <w:tcPr>
            <w:tcW w:w="730" w:type="dxa"/>
            <w:tcBorders>
              <w:top w:val="nil"/>
              <w:left w:val="nil"/>
              <w:bottom w:val="nil"/>
              <w:right w:val="nil"/>
            </w:tcBorders>
            <w:shd w:val="clear" w:color="auto" w:fill="D9D9D9"/>
            <w:vAlign w:val="center"/>
          </w:tcPr>
          <w:p w14:paraId="0258E6C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-0.48</w:t>
            </w:r>
          </w:p>
        </w:tc>
      </w:tr>
      <w:tr w:rsidR="00E6060C" w:rsidRPr="00E6060C" w14:paraId="58C5BEBB" w14:textId="77777777" w:rsidTr="0035035C">
        <w:trPr>
          <w:trHeight w:val="482"/>
        </w:trPr>
        <w:tc>
          <w:tcPr>
            <w:tcW w:w="1983" w:type="dxa"/>
            <w:shd w:val="clear" w:color="auto" w:fill="auto"/>
            <w:vAlign w:val="center"/>
          </w:tcPr>
          <w:p w14:paraId="516A433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723" w:type="dxa"/>
            <w:tcBorders>
              <w:top w:val="nil"/>
              <w:left w:val="nil"/>
              <w:bottom w:val="nil"/>
              <w:right w:val="nil"/>
            </w:tcBorders>
            <w:shd w:val="clear" w:color="auto" w:fill="auto"/>
            <w:noWrap/>
            <w:vAlign w:val="center"/>
          </w:tcPr>
          <w:p w14:paraId="74A062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175</w:t>
            </w:r>
          </w:p>
        </w:tc>
        <w:tc>
          <w:tcPr>
            <w:tcW w:w="723" w:type="dxa"/>
            <w:gridSpan w:val="2"/>
            <w:tcBorders>
              <w:top w:val="nil"/>
              <w:left w:val="nil"/>
              <w:bottom w:val="nil"/>
              <w:right w:val="nil"/>
            </w:tcBorders>
            <w:shd w:val="clear" w:color="auto" w:fill="D9D9D9"/>
            <w:vAlign w:val="center"/>
          </w:tcPr>
          <w:p w14:paraId="4800EE4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81</w:t>
            </w:r>
          </w:p>
        </w:tc>
        <w:tc>
          <w:tcPr>
            <w:tcW w:w="725" w:type="dxa"/>
            <w:tcBorders>
              <w:top w:val="nil"/>
              <w:left w:val="nil"/>
              <w:bottom w:val="nil"/>
              <w:right w:val="nil"/>
            </w:tcBorders>
            <w:shd w:val="clear" w:color="auto" w:fill="auto"/>
            <w:noWrap/>
            <w:vAlign w:val="center"/>
          </w:tcPr>
          <w:p w14:paraId="66C2DAB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4.27</w:t>
            </w:r>
          </w:p>
        </w:tc>
        <w:tc>
          <w:tcPr>
            <w:tcW w:w="724" w:type="dxa"/>
            <w:gridSpan w:val="2"/>
            <w:tcBorders>
              <w:top w:val="nil"/>
              <w:left w:val="nil"/>
              <w:bottom w:val="nil"/>
              <w:right w:val="nil"/>
            </w:tcBorders>
            <w:shd w:val="clear" w:color="auto" w:fill="D9D9D9"/>
            <w:vAlign w:val="center"/>
          </w:tcPr>
          <w:p w14:paraId="5C4D50A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4.23</w:t>
            </w:r>
          </w:p>
        </w:tc>
        <w:tc>
          <w:tcPr>
            <w:tcW w:w="725" w:type="dxa"/>
            <w:tcBorders>
              <w:top w:val="nil"/>
              <w:left w:val="nil"/>
              <w:bottom w:val="nil"/>
              <w:right w:val="nil"/>
            </w:tcBorders>
            <w:shd w:val="clear" w:color="auto" w:fill="auto"/>
            <w:noWrap/>
            <w:vAlign w:val="center"/>
          </w:tcPr>
          <w:p w14:paraId="1D1D17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0.58</w:t>
            </w:r>
          </w:p>
        </w:tc>
        <w:tc>
          <w:tcPr>
            <w:tcW w:w="725" w:type="dxa"/>
            <w:gridSpan w:val="2"/>
            <w:tcBorders>
              <w:top w:val="nil"/>
              <w:left w:val="nil"/>
              <w:bottom w:val="nil"/>
              <w:right w:val="nil"/>
            </w:tcBorders>
            <w:shd w:val="clear" w:color="auto" w:fill="D9D9D9"/>
            <w:vAlign w:val="center"/>
          </w:tcPr>
          <w:p w14:paraId="0029BF1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0.50</w:t>
            </w:r>
          </w:p>
        </w:tc>
        <w:tc>
          <w:tcPr>
            <w:tcW w:w="725" w:type="dxa"/>
            <w:tcBorders>
              <w:top w:val="nil"/>
              <w:left w:val="nil"/>
              <w:bottom w:val="nil"/>
              <w:right w:val="nil"/>
            </w:tcBorders>
            <w:shd w:val="clear" w:color="auto" w:fill="auto"/>
            <w:noWrap/>
            <w:vAlign w:val="center"/>
          </w:tcPr>
          <w:p w14:paraId="5C94E9F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0.04</w:t>
            </w:r>
          </w:p>
        </w:tc>
        <w:tc>
          <w:tcPr>
            <w:tcW w:w="724" w:type="dxa"/>
            <w:gridSpan w:val="2"/>
            <w:tcBorders>
              <w:top w:val="nil"/>
              <w:left w:val="nil"/>
              <w:bottom w:val="nil"/>
              <w:right w:val="nil"/>
            </w:tcBorders>
            <w:shd w:val="clear" w:color="auto" w:fill="D9D9D9"/>
            <w:vAlign w:val="center"/>
          </w:tcPr>
          <w:p w14:paraId="57DF7D7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0.06</w:t>
            </w:r>
          </w:p>
        </w:tc>
        <w:tc>
          <w:tcPr>
            <w:tcW w:w="725" w:type="dxa"/>
            <w:tcBorders>
              <w:top w:val="nil"/>
              <w:left w:val="nil"/>
              <w:bottom w:val="nil"/>
              <w:right w:val="nil"/>
            </w:tcBorders>
            <w:shd w:val="clear" w:color="auto" w:fill="auto"/>
            <w:vAlign w:val="center"/>
          </w:tcPr>
          <w:p w14:paraId="33DC5DC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28073DB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38D770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3C0FEBE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725" w:type="dxa"/>
            <w:tcBorders>
              <w:top w:val="nil"/>
              <w:left w:val="nil"/>
              <w:bottom w:val="nil"/>
              <w:right w:val="nil"/>
            </w:tcBorders>
            <w:shd w:val="clear" w:color="auto" w:fill="auto"/>
            <w:noWrap/>
            <w:vAlign w:val="center"/>
          </w:tcPr>
          <w:p w14:paraId="49D8C41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1BE6BC4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7DD1020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-0.93</w:t>
            </w:r>
          </w:p>
        </w:tc>
        <w:tc>
          <w:tcPr>
            <w:tcW w:w="725" w:type="dxa"/>
            <w:tcBorders>
              <w:top w:val="nil"/>
              <w:left w:val="nil"/>
              <w:bottom w:val="nil"/>
              <w:right w:val="nil"/>
            </w:tcBorders>
            <w:shd w:val="clear" w:color="auto" w:fill="D9D9D9"/>
            <w:vAlign w:val="center"/>
          </w:tcPr>
          <w:p w14:paraId="5647760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0.28</w:t>
            </w:r>
          </w:p>
        </w:tc>
        <w:tc>
          <w:tcPr>
            <w:tcW w:w="725" w:type="dxa"/>
            <w:gridSpan w:val="2"/>
            <w:tcBorders>
              <w:top w:val="nil"/>
              <w:left w:val="nil"/>
              <w:bottom w:val="nil"/>
              <w:right w:val="nil"/>
            </w:tcBorders>
            <w:shd w:val="clear" w:color="auto" w:fill="auto"/>
            <w:noWrap/>
            <w:vAlign w:val="center"/>
          </w:tcPr>
          <w:p w14:paraId="0E888A7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4.40</w:t>
            </w:r>
          </w:p>
        </w:tc>
        <w:tc>
          <w:tcPr>
            <w:tcW w:w="730" w:type="dxa"/>
            <w:tcBorders>
              <w:top w:val="nil"/>
              <w:left w:val="nil"/>
              <w:bottom w:val="nil"/>
              <w:right w:val="nil"/>
            </w:tcBorders>
            <w:shd w:val="clear" w:color="auto" w:fill="D9D9D9"/>
            <w:vAlign w:val="center"/>
          </w:tcPr>
          <w:p w14:paraId="2735DF5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-0.70</w:t>
            </w:r>
          </w:p>
        </w:tc>
      </w:tr>
      <w:tr w:rsidR="00E6060C" w:rsidRPr="00E6060C" w14:paraId="50EE0852" w14:textId="77777777" w:rsidTr="0035035C">
        <w:trPr>
          <w:trHeight w:val="482"/>
        </w:trPr>
        <w:tc>
          <w:tcPr>
            <w:tcW w:w="1983" w:type="dxa"/>
            <w:shd w:val="clear" w:color="auto" w:fill="auto"/>
            <w:vAlign w:val="center"/>
          </w:tcPr>
          <w:p w14:paraId="3532F9A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723" w:type="dxa"/>
            <w:tcBorders>
              <w:top w:val="nil"/>
              <w:left w:val="nil"/>
              <w:bottom w:val="nil"/>
              <w:right w:val="nil"/>
            </w:tcBorders>
            <w:shd w:val="clear" w:color="auto" w:fill="auto"/>
            <w:noWrap/>
            <w:vAlign w:val="center"/>
          </w:tcPr>
          <w:p w14:paraId="7F9F6C5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174</w:t>
            </w:r>
          </w:p>
        </w:tc>
        <w:tc>
          <w:tcPr>
            <w:tcW w:w="723" w:type="dxa"/>
            <w:gridSpan w:val="2"/>
            <w:tcBorders>
              <w:top w:val="nil"/>
              <w:left w:val="nil"/>
              <w:bottom w:val="nil"/>
              <w:right w:val="nil"/>
            </w:tcBorders>
            <w:shd w:val="clear" w:color="auto" w:fill="D9D9D9"/>
            <w:vAlign w:val="center"/>
          </w:tcPr>
          <w:p w14:paraId="220BC05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78</w:t>
            </w:r>
          </w:p>
        </w:tc>
        <w:tc>
          <w:tcPr>
            <w:tcW w:w="725" w:type="dxa"/>
            <w:tcBorders>
              <w:top w:val="nil"/>
              <w:left w:val="nil"/>
              <w:bottom w:val="nil"/>
              <w:right w:val="nil"/>
            </w:tcBorders>
            <w:shd w:val="clear" w:color="auto" w:fill="auto"/>
            <w:noWrap/>
            <w:vAlign w:val="center"/>
          </w:tcPr>
          <w:p w14:paraId="37DF6E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5.39</w:t>
            </w:r>
          </w:p>
        </w:tc>
        <w:tc>
          <w:tcPr>
            <w:tcW w:w="724" w:type="dxa"/>
            <w:gridSpan w:val="2"/>
            <w:tcBorders>
              <w:top w:val="nil"/>
              <w:left w:val="nil"/>
              <w:bottom w:val="nil"/>
              <w:right w:val="nil"/>
            </w:tcBorders>
            <w:shd w:val="clear" w:color="auto" w:fill="D9D9D9"/>
            <w:vAlign w:val="center"/>
          </w:tcPr>
          <w:p w14:paraId="11993FE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5.24</w:t>
            </w:r>
          </w:p>
        </w:tc>
        <w:tc>
          <w:tcPr>
            <w:tcW w:w="725" w:type="dxa"/>
            <w:tcBorders>
              <w:top w:val="nil"/>
              <w:left w:val="nil"/>
              <w:bottom w:val="nil"/>
              <w:right w:val="nil"/>
            </w:tcBorders>
            <w:shd w:val="clear" w:color="auto" w:fill="auto"/>
            <w:noWrap/>
            <w:vAlign w:val="center"/>
          </w:tcPr>
          <w:p w14:paraId="3F342B4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1.27</w:t>
            </w:r>
          </w:p>
        </w:tc>
        <w:tc>
          <w:tcPr>
            <w:tcW w:w="725" w:type="dxa"/>
            <w:gridSpan w:val="2"/>
            <w:tcBorders>
              <w:top w:val="nil"/>
              <w:left w:val="nil"/>
              <w:bottom w:val="nil"/>
              <w:right w:val="nil"/>
            </w:tcBorders>
            <w:shd w:val="clear" w:color="auto" w:fill="D9D9D9"/>
            <w:vAlign w:val="center"/>
          </w:tcPr>
          <w:p w14:paraId="4F6DE1E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1.32</w:t>
            </w:r>
          </w:p>
        </w:tc>
        <w:tc>
          <w:tcPr>
            <w:tcW w:w="725" w:type="dxa"/>
            <w:tcBorders>
              <w:top w:val="nil"/>
              <w:left w:val="nil"/>
              <w:bottom w:val="nil"/>
              <w:right w:val="nil"/>
            </w:tcBorders>
            <w:shd w:val="clear" w:color="auto" w:fill="auto"/>
            <w:noWrap/>
            <w:vAlign w:val="center"/>
          </w:tcPr>
          <w:p w14:paraId="4580D0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0.10</w:t>
            </w:r>
          </w:p>
        </w:tc>
        <w:tc>
          <w:tcPr>
            <w:tcW w:w="724" w:type="dxa"/>
            <w:gridSpan w:val="2"/>
            <w:tcBorders>
              <w:top w:val="nil"/>
              <w:left w:val="nil"/>
              <w:bottom w:val="nil"/>
              <w:right w:val="nil"/>
            </w:tcBorders>
            <w:shd w:val="clear" w:color="auto" w:fill="D9D9D9"/>
            <w:vAlign w:val="center"/>
          </w:tcPr>
          <w:p w14:paraId="79B8BC2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0.15</w:t>
            </w:r>
          </w:p>
        </w:tc>
        <w:tc>
          <w:tcPr>
            <w:tcW w:w="725" w:type="dxa"/>
            <w:tcBorders>
              <w:top w:val="nil"/>
              <w:left w:val="nil"/>
              <w:bottom w:val="nil"/>
              <w:right w:val="nil"/>
            </w:tcBorders>
            <w:shd w:val="clear" w:color="auto" w:fill="auto"/>
            <w:vAlign w:val="center"/>
          </w:tcPr>
          <w:p w14:paraId="3F1840A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5.61</w:t>
            </w:r>
          </w:p>
        </w:tc>
        <w:tc>
          <w:tcPr>
            <w:tcW w:w="725" w:type="dxa"/>
            <w:gridSpan w:val="2"/>
            <w:tcBorders>
              <w:top w:val="nil"/>
              <w:left w:val="nil"/>
              <w:bottom w:val="nil"/>
              <w:right w:val="nil"/>
            </w:tcBorders>
            <w:shd w:val="clear" w:color="auto" w:fill="D9D9D9"/>
            <w:vAlign w:val="center"/>
          </w:tcPr>
          <w:p w14:paraId="2074F79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5.61</w:t>
            </w:r>
          </w:p>
        </w:tc>
        <w:tc>
          <w:tcPr>
            <w:tcW w:w="724" w:type="dxa"/>
            <w:tcBorders>
              <w:top w:val="nil"/>
              <w:left w:val="nil"/>
              <w:bottom w:val="nil"/>
              <w:right w:val="nil"/>
            </w:tcBorders>
            <w:shd w:val="clear" w:color="auto" w:fill="auto"/>
            <w:noWrap/>
            <w:vAlign w:val="center"/>
          </w:tcPr>
          <w:p w14:paraId="424B73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639B34A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543F5F6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1E3CCF5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1DEBD2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-0.77</w:t>
            </w:r>
          </w:p>
        </w:tc>
        <w:tc>
          <w:tcPr>
            <w:tcW w:w="725" w:type="dxa"/>
            <w:tcBorders>
              <w:top w:val="nil"/>
              <w:left w:val="nil"/>
              <w:bottom w:val="nil"/>
              <w:right w:val="nil"/>
            </w:tcBorders>
            <w:shd w:val="clear" w:color="auto" w:fill="D9D9D9"/>
            <w:vAlign w:val="center"/>
          </w:tcPr>
          <w:p w14:paraId="7AF5009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-0.91</w:t>
            </w:r>
          </w:p>
        </w:tc>
        <w:tc>
          <w:tcPr>
            <w:tcW w:w="725" w:type="dxa"/>
            <w:gridSpan w:val="2"/>
            <w:tcBorders>
              <w:top w:val="nil"/>
              <w:left w:val="nil"/>
              <w:bottom w:val="nil"/>
              <w:right w:val="nil"/>
            </w:tcBorders>
            <w:shd w:val="clear" w:color="auto" w:fill="auto"/>
            <w:noWrap/>
            <w:vAlign w:val="center"/>
          </w:tcPr>
          <w:p w14:paraId="2425260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0.23</w:t>
            </w:r>
          </w:p>
        </w:tc>
        <w:tc>
          <w:tcPr>
            <w:tcW w:w="730" w:type="dxa"/>
            <w:tcBorders>
              <w:top w:val="nil"/>
              <w:left w:val="nil"/>
              <w:bottom w:val="nil"/>
              <w:right w:val="nil"/>
            </w:tcBorders>
            <w:shd w:val="clear" w:color="auto" w:fill="D9D9D9"/>
            <w:vAlign w:val="center"/>
          </w:tcPr>
          <w:p w14:paraId="4031C8B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0.39</w:t>
            </w:r>
          </w:p>
        </w:tc>
      </w:tr>
      <w:tr w:rsidR="00E6060C" w:rsidRPr="00E6060C" w14:paraId="16084DEF" w14:textId="77777777" w:rsidTr="0035035C">
        <w:trPr>
          <w:trHeight w:val="482"/>
        </w:trPr>
        <w:tc>
          <w:tcPr>
            <w:tcW w:w="1983" w:type="dxa"/>
            <w:shd w:val="clear" w:color="auto" w:fill="auto"/>
            <w:vAlign w:val="center"/>
          </w:tcPr>
          <w:p w14:paraId="56C2049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723" w:type="dxa"/>
            <w:tcBorders>
              <w:top w:val="nil"/>
              <w:left w:val="nil"/>
              <w:bottom w:val="nil"/>
              <w:right w:val="nil"/>
            </w:tcBorders>
            <w:shd w:val="clear" w:color="auto" w:fill="auto"/>
            <w:noWrap/>
            <w:vAlign w:val="center"/>
          </w:tcPr>
          <w:p w14:paraId="6C36BD5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171</w:t>
            </w:r>
          </w:p>
        </w:tc>
        <w:tc>
          <w:tcPr>
            <w:tcW w:w="723" w:type="dxa"/>
            <w:gridSpan w:val="2"/>
            <w:tcBorders>
              <w:top w:val="nil"/>
              <w:left w:val="nil"/>
              <w:bottom w:val="nil"/>
              <w:right w:val="nil"/>
            </w:tcBorders>
            <w:shd w:val="clear" w:color="auto" w:fill="D9D9D9"/>
            <w:vAlign w:val="center"/>
          </w:tcPr>
          <w:p w14:paraId="0B09A99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25" w:type="dxa"/>
            <w:tcBorders>
              <w:top w:val="nil"/>
              <w:left w:val="nil"/>
              <w:bottom w:val="nil"/>
              <w:right w:val="nil"/>
            </w:tcBorders>
            <w:shd w:val="clear" w:color="auto" w:fill="auto"/>
            <w:noWrap/>
            <w:vAlign w:val="center"/>
          </w:tcPr>
          <w:p w14:paraId="0CBACAC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5.48</w:t>
            </w:r>
          </w:p>
        </w:tc>
        <w:tc>
          <w:tcPr>
            <w:tcW w:w="724" w:type="dxa"/>
            <w:gridSpan w:val="2"/>
            <w:tcBorders>
              <w:top w:val="nil"/>
              <w:left w:val="nil"/>
              <w:bottom w:val="nil"/>
              <w:right w:val="nil"/>
            </w:tcBorders>
            <w:shd w:val="clear" w:color="auto" w:fill="D9D9D9"/>
            <w:vAlign w:val="center"/>
          </w:tcPr>
          <w:p w14:paraId="75015F5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5.64</w:t>
            </w:r>
          </w:p>
        </w:tc>
        <w:tc>
          <w:tcPr>
            <w:tcW w:w="725" w:type="dxa"/>
            <w:tcBorders>
              <w:top w:val="nil"/>
              <w:left w:val="nil"/>
              <w:bottom w:val="nil"/>
              <w:right w:val="nil"/>
            </w:tcBorders>
            <w:shd w:val="clear" w:color="auto" w:fill="auto"/>
            <w:noWrap/>
            <w:vAlign w:val="center"/>
          </w:tcPr>
          <w:p w14:paraId="50B2CDB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1.13</w:t>
            </w:r>
          </w:p>
        </w:tc>
        <w:tc>
          <w:tcPr>
            <w:tcW w:w="725" w:type="dxa"/>
            <w:gridSpan w:val="2"/>
            <w:tcBorders>
              <w:top w:val="nil"/>
              <w:left w:val="nil"/>
              <w:bottom w:val="nil"/>
              <w:right w:val="nil"/>
            </w:tcBorders>
            <w:shd w:val="clear" w:color="auto" w:fill="D9D9D9"/>
            <w:vAlign w:val="center"/>
          </w:tcPr>
          <w:p w14:paraId="768BBCB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1.20</w:t>
            </w:r>
          </w:p>
        </w:tc>
        <w:tc>
          <w:tcPr>
            <w:tcW w:w="725" w:type="dxa"/>
            <w:tcBorders>
              <w:top w:val="nil"/>
              <w:left w:val="nil"/>
              <w:bottom w:val="nil"/>
              <w:right w:val="nil"/>
            </w:tcBorders>
            <w:shd w:val="clear" w:color="auto" w:fill="auto"/>
            <w:noWrap/>
            <w:vAlign w:val="center"/>
          </w:tcPr>
          <w:p w14:paraId="69D409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0.09</w:t>
            </w:r>
          </w:p>
        </w:tc>
        <w:tc>
          <w:tcPr>
            <w:tcW w:w="724" w:type="dxa"/>
            <w:gridSpan w:val="2"/>
            <w:tcBorders>
              <w:top w:val="nil"/>
              <w:left w:val="nil"/>
              <w:bottom w:val="nil"/>
              <w:right w:val="nil"/>
            </w:tcBorders>
            <w:shd w:val="clear" w:color="auto" w:fill="D9D9D9"/>
            <w:vAlign w:val="center"/>
          </w:tcPr>
          <w:p w14:paraId="066D387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0.13</w:t>
            </w:r>
          </w:p>
        </w:tc>
        <w:tc>
          <w:tcPr>
            <w:tcW w:w="725" w:type="dxa"/>
            <w:tcBorders>
              <w:top w:val="nil"/>
              <w:left w:val="nil"/>
              <w:bottom w:val="nil"/>
              <w:right w:val="nil"/>
            </w:tcBorders>
            <w:shd w:val="clear" w:color="auto" w:fill="auto"/>
            <w:vAlign w:val="center"/>
          </w:tcPr>
          <w:p w14:paraId="271C95F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5.75</w:t>
            </w:r>
          </w:p>
        </w:tc>
        <w:tc>
          <w:tcPr>
            <w:tcW w:w="725" w:type="dxa"/>
            <w:gridSpan w:val="2"/>
            <w:tcBorders>
              <w:top w:val="nil"/>
              <w:left w:val="nil"/>
              <w:bottom w:val="nil"/>
              <w:right w:val="nil"/>
            </w:tcBorders>
            <w:shd w:val="clear" w:color="auto" w:fill="D9D9D9"/>
            <w:vAlign w:val="center"/>
          </w:tcPr>
          <w:p w14:paraId="0EB1B89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5.75</w:t>
            </w:r>
          </w:p>
        </w:tc>
        <w:tc>
          <w:tcPr>
            <w:tcW w:w="724" w:type="dxa"/>
            <w:tcBorders>
              <w:top w:val="nil"/>
              <w:left w:val="nil"/>
              <w:bottom w:val="nil"/>
              <w:right w:val="nil"/>
            </w:tcBorders>
            <w:shd w:val="clear" w:color="auto" w:fill="auto"/>
            <w:noWrap/>
            <w:vAlign w:val="center"/>
          </w:tcPr>
          <w:p w14:paraId="530331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3C8EE1A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5072A7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59801F4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233BBF8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-1.27</w:t>
            </w:r>
          </w:p>
        </w:tc>
        <w:tc>
          <w:tcPr>
            <w:tcW w:w="725" w:type="dxa"/>
            <w:tcBorders>
              <w:top w:val="nil"/>
              <w:left w:val="nil"/>
              <w:bottom w:val="nil"/>
              <w:right w:val="nil"/>
            </w:tcBorders>
            <w:shd w:val="clear" w:color="auto" w:fill="D9D9D9"/>
            <w:vAlign w:val="center"/>
          </w:tcPr>
          <w:p w14:paraId="4630743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-1.92</w:t>
            </w:r>
          </w:p>
        </w:tc>
        <w:tc>
          <w:tcPr>
            <w:tcW w:w="725" w:type="dxa"/>
            <w:gridSpan w:val="2"/>
            <w:tcBorders>
              <w:top w:val="nil"/>
              <w:left w:val="nil"/>
              <w:bottom w:val="nil"/>
              <w:right w:val="nil"/>
            </w:tcBorders>
            <w:shd w:val="clear" w:color="auto" w:fill="auto"/>
            <w:noWrap/>
            <w:vAlign w:val="center"/>
          </w:tcPr>
          <w:p w14:paraId="4BE8373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2.37</w:t>
            </w:r>
          </w:p>
        </w:tc>
        <w:tc>
          <w:tcPr>
            <w:tcW w:w="730" w:type="dxa"/>
            <w:tcBorders>
              <w:top w:val="nil"/>
              <w:left w:val="nil"/>
              <w:bottom w:val="nil"/>
              <w:right w:val="nil"/>
            </w:tcBorders>
            <w:shd w:val="clear" w:color="auto" w:fill="D9D9D9"/>
            <w:vAlign w:val="center"/>
          </w:tcPr>
          <w:p w14:paraId="269AA71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4.97</w:t>
            </w:r>
          </w:p>
        </w:tc>
      </w:tr>
      <w:tr w:rsidR="00E6060C" w:rsidRPr="00E6060C" w14:paraId="78202D76" w14:textId="77777777" w:rsidTr="0035035C">
        <w:trPr>
          <w:trHeight w:val="482"/>
        </w:trPr>
        <w:tc>
          <w:tcPr>
            <w:tcW w:w="1983" w:type="dxa"/>
            <w:shd w:val="clear" w:color="auto" w:fill="auto"/>
            <w:vAlign w:val="center"/>
          </w:tcPr>
          <w:p w14:paraId="57A28EF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723" w:type="dxa"/>
            <w:tcBorders>
              <w:top w:val="nil"/>
              <w:left w:val="nil"/>
              <w:bottom w:val="nil"/>
              <w:right w:val="nil"/>
            </w:tcBorders>
            <w:shd w:val="clear" w:color="auto" w:fill="auto"/>
            <w:noWrap/>
            <w:vAlign w:val="center"/>
          </w:tcPr>
          <w:p w14:paraId="125426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169</w:t>
            </w:r>
          </w:p>
        </w:tc>
        <w:tc>
          <w:tcPr>
            <w:tcW w:w="723" w:type="dxa"/>
            <w:gridSpan w:val="2"/>
            <w:tcBorders>
              <w:top w:val="nil"/>
              <w:left w:val="nil"/>
              <w:bottom w:val="nil"/>
              <w:right w:val="nil"/>
            </w:tcBorders>
            <w:shd w:val="clear" w:color="auto" w:fill="D9D9D9"/>
            <w:vAlign w:val="center"/>
          </w:tcPr>
          <w:p w14:paraId="4147658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25" w:type="dxa"/>
            <w:tcBorders>
              <w:top w:val="nil"/>
              <w:left w:val="nil"/>
              <w:bottom w:val="nil"/>
              <w:right w:val="nil"/>
            </w:tcBorders>
            <w:shd w:val="clear" w:color="auto" w:fill="auto"/>
            <w:noWrap/>
            <w:vAlign w:val="center"/>
          </w:tcPr>
          <w:p w14:paraId="6B0EC5F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3.76</w:t>
            </w:r>
          </w:p>
        </w:tc>
        <w:tc>
          <w:tcPr>
            <w:tcW w:w="724" w:type="dxa"/>
            <w:gridSpan w:val="2"/>
            <w:tcBorders>
              <w:top w:val="nil"/>
              <w:left w:val="nil"/>
              <w:bottom w:val="nil"/>
              <w:right w:val="nil"/>
            </w:tcBorders>
            <w:shd w:val="clear" w:color="auto" w:fill="D9D9D9"/>
            <w:vAlign w:val="center"/>
          </w:tcPr>
          <w:p w14:paraId="30CD20A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3.97</w:t>
            </w:r>
          </w:p>
        </w:tc>
        <w:tc>
          <w:tcPr>
            <w:tcW w:w="725" w:type="dxa"/>
            <w:tcBorders>
              <w:top w:val="nil"/>
              <w:left w:val="nil"/>
              <w:bottom w:val="nil"/>
              <w:right w:val="nil"/>
            </w:tcBorders>
            <w:shd w:val="clear" w:color="auto" w:fill="auto"/>
            <w:noWrap/>
            <w:vAlign w:val="center"/>
          </w:tcPr>
          <w:p w14:paraId="486A2F4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1.43</w:t>
            </w:r>
          </w:p>
        </w:tc>
        <w:tc>
          <w:tcPr>
            <w:tcW w:w="725" w:type="dxa"/>
            <w:gridSpan w:val="2"/>
            <w:tcBorders>
              <w:top w:val="nil"/>
              <w:left w:val="nil"/>
              <w:bottom w:val="nil"/>
              <w:right w:val="nil"/>
            </w:tcBorders>
            <w:shd w:val="clear" w:color="auto" w:fill="D9D9D9"/>
            <w:vAlign w:val="center"/>
          </w:tcPr>
          <w:p w14:paraId="2CA4D91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1.53</w:t>
            </w:r>
          </w:p>
        </w:tc>
        <w:tc>
          <w:tcPr>
            <w:tcW w:w="725" w:type="dxa"/>
            <w:tcBorders>
              <w:top w:val="nil"/>
              <w:left w:val="nil"/>
              <w:bottom w:val="nil"/>
              <w:right w:val="nil"/>
            </w:tcBorders>
            <w:shd w:val="clear" w:color="auto" w:fill="auto"/>
            <w:noWrap/>
            <w:vAlign w:val="center"/>
          </w:tcPr>
          <w:p w14:paraId="4B290B7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0.11</w:t>
            </w:r>
          </w:p>
        </w:tc>
        <w:tc>
          <w:tcPr>
            <w:tcW w:w="724" w:type="dxa"/>
            <w:gridSpan w:val="2"/>
            <w:tcBorders>
              <w:top w:val="nil"/>
              <w:left w:val="nil"/>
              <w:bottom w:val="nil"/>
              <w:right w:val="nil"/>
            </w:tcBorders>
            <w:shd w:val="clear" w:color="auto" w:fill="D9D9D9"/>
            <w:vAlign w:val="center"/>
          </w:tcPr>
          <w:p w14:paraId="00A9B25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0.17</w:t>
            </w:r>
          </w:p>
        </w:tc>
        <w:tc>
          <w:tcPr>
            <w:tcW w:w="725" w:type="dxa"/>
            <w:tcBorders>
              <w:top w:val="nil"/>
              <w:left w:val="nil"/>
              <w:bottom w:val="nil"/>
              <w:right w:val="nil"/>
            </w:tcBorders>
            <w:shd w:val="clear" w:color="auto" w:fill="auto"/>
            <w:vAlign w:val="center"/>
          </w:tcPr>
          <w:p w14:paraId="092B92D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3.75</w:t>
            </w:r>
          </w:p>
        </w:tc>
        <w:tc>
          <w:tcPr>
            <w:tcW w:w="725" w:type="dxa"/>
            <w:gridSpan w:val="2"/>
            <w:tcBorders>
              <w:top w:val="nil"/>
              <w:left w:val="nil"/>
              <w:bottom w:val="nil"/>
              <w:right w:val="nil"/>
            </w:tcBorders>
            <w:shd w:val="clear" w:color="auto" w:fill="D9D9D9"/>
            <w:vAlign w:val="center"/>
          </w:tcPr>
          <w:p w14:paraId="67AD16C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3.88</w:t>
            </w:r>
          </w:p>
        </w:tc>
        <w:tc>
          <w:tcPr>
            <w:tcW w:w="724" w:type="dxa"/>
            <w:tcBorders>
              <w:top w:val="nil"/>
              <w:left w:val="nil"/>
              <w:bottom w:val="nil"/>
              <w:right w:val="nil"/>
            </w:tcBorders>
            <w:shd w:val="clear" w:color="auto" w:fill="auto"/>
            <w:noWrap/>
            <w:vAlign w:val="center"/>
          </w:tcPr>
          <w:p w14:paraId="764F99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66ADD99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3682277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3A31BCE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2127CEB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0.18</w:t>
            </w:r>
          </w:p>
        </w:tc>
        <w:tc>
          <w:tcPr>
            <w:tcW w:w="725" w:type="dxa"/>
            <w:tcBorders>
              <w:top w:val="nil"/>
              <w:left w:val="nil"/>
              <w:bottom w:val="nil"/>
              <w:right w:val="nil"/>
            </w:tcBorders>
            <w:shd w:val="clear" w:color="auto" w:fill="D9D9D9"/>
            <w:vAlign w:val="center"/>
          </w:tcPr>
          <w:p w14:paraId="0F33220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0.24</w:t>
            </w:r>
          </w:p>
        </w:tc>
        <w:tc>
          <w:tcPr>
            <w:tcW w:w="725" w:type="dxa"/>
            <w:gridSpan w:val="2"/>
            <w:tcBorders>
              <w:top w:val="nil"/>
              <w:left w:val="nil"/>
              <w:bottom w:val="nil"/>
              <w:right w:val="nil"/>
            </w:tcBorders>
            <w:shd w:val="clear" w:color="auto" w:fill="auto"/>
            <w:noWrap/>
            <w:vAlign w:val="center"/>
          </w:tcPr>
          <w:p w14:paraId="37ADE3B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-0.78</w:t>
            </w:r>
          </w:p>
        </w:tc>
        <w:tc>
          <w:tcPr>
            <w:tcW w:w="730" w:type="dxa"/>
            <w:tcBorders>
              <w:top w:val="nil"/>
              <w:left w:val="nil"/>
              <w:bottom w:val="nil"/>
              <w:right w:val="nil"/>
            </w:tcBorders>
            <w:shd w:val="clear" w:color="auto" w:fill="D9D9D9"/>
            <w:vAlign w:val="center"/>
          </w:tcPr>
          <w:p w14:paraId="2506275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-0.92</w:t>
            </w:r>
          </w:p>
        </w:tc>
      </w:tr>
      <w:tr w:rsidR="00E6060C" w:rsidRPr="00E6060C" w14:paraId="2D9FFE45" w14:textId="77777777" w:rsidTr="0035035C">
        <w:trPr>
          <w:trHeight w:val="482"/>
        </w:trPr>
        <w:tc>
          <w:tcPr>
            <w:tcW w:w="1983" w:type="dxa"/>
            <w:tcBorders>
              <w:bottom w:val="nil"/>
            </w:tcBorders>
            <w:shd w:val="clear" w:color="auto" w:fill="auto"/>
            <w:vAlign w:val="center"/>
          </w:tcPr>
          <w:p w14:paraId="057D078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723" w:type="dxa"/>
            <w:tcBorders>
              <w:top w:val="nil"/>
              <w:left w:val="nil"/>
              <w:bottom w:val="nil"/>
              <w:right w:val="nil"/>
            </w:tcBorders>
            <w:shd w:val="clear" w:color="auto" w:fill="auto"/>
            <w:noWrap/>
            <w:vAlign w:val="center"/>
          </w:tcPr>
          <w:p w14:paraId="28974D1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167</w:t>
            </w:r>
          </w:p>
        </w:tc>
        <w:tc>
          <w:tcPr>
            <w:tcW w:w="723" w:type="dxa"/>
            <w:gridSpan w:val="2"/>
            <w:tcBorders>
              <w:top w:val="nil"/>
              <w:left w:val="nil"/>
              <w:bottom w:val="nil"/>
              <w:right w:val="nil"/>
            </w:tcBorders>
            <w:shd w:val="clear" w:color="auto" w:fill="D9D9D9"/>
            <w:vAlign w:val="center"/>
          </w:tcPr>
          <w:p w14:paraId="4F7647C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75</w:t>
            </w:r>
          </w:p>
        </w:tc>
        <w:tc>
          <w:tcPr>
            <w:tcW w:w="725" w:type="dxa"/>
            <w:tcBorders>
              <w:top w:val="nil"/>
              <w:left w:val="nil"/>
              <w:bottom w:val="nil"/>
              <w:right w:val="nil"/>
            </w:tcBorders>
            <w:shd w:val="clear" w:color="auto" w:fill="auto"/>
            <w:noWrap/>
            <w:vAlign w:val="center"/>
          </w:tcPr>
          <w:p w14:paraId="07AC428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5.91</w:t>
            </w:r>
          </w:p>
        </w:tc>
        <w:tc>
          <w:tcPr>
            <w:tcW w:w="724" w:type="dxa"/>
            <w:gridSpan w:val="2"/>
            <w:tcBorders>
              <w:top w:val="nil"/>
              <w:left w:val="nil"/>
              <w:bottom w:val="nil"/>
              <w:right w:val="nil"/>
            </w:tcBorders>
            <w:shd w:val="clear" w:color="auto" w:fill="D9D9D9"/>
            <w:vAlign w:val="center"/>
          </w:tcPr>
          <w:p w14:paraId="76813FC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5.97</w:t>
            </w:r>
          </w:p>
        </w:tc>
        <w:tc>
          <w:tcPr>
            <w:tcW w:w="725" w:type="dxa"/>
            <w:tcBorders>
              <w:top w:val="nil"/>
              <w:left w:val="nil"/>
              <w:bottom w:val="nil"/>
              <w:right w:val="nil"/>
            </w:tcBorders>
            <w:shd w:val="clear" w:color="auto" w:fill="auto"/>
            <w:noWrap/>
            <w:vAlign w:val="center"/>
          </w:tcPr>
          <w:p w14:paraId="5779D1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1.02</w:t>
            </w:r>
          </w:p>
        </w:tc>
        <w:tc>
          <w:tcPr>
            <w:tcW w:w="725" w:type="dxa"/>
            <w:gridSpan w:val="2"/>
            <w:tcBorders>
              <w:top w:val="nil"/>
              <w:left w:val="nil"/>
              <w:bottom w:val="nil"/>
              <w:right w:val="nil"/>
            </w:tcBorders>
            <w:shd w:val="clear" w:color="auto" w:fill="D9D9D9"/>
            <w:vAlign w:val="center"/>
          </w:tcPr>
          <w:p w14:paraId="776030F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1.13</w:t>
            </w:r>
          </w:p>
        </w:tc>
        <w:tc>
          <w:tcPr>
            <w:tcW w:w="725" w:type="dxa"/>
            <w:tcBorders>
              <w:top w:val="nil"/>
              <w:left w:val="nil"/>
              <w:bottom w:val="nil"/>
              <w:right w:val="nil"/>
            </w:tcBorders>
            <w:shd w:val="clear" w:color="auto" w:fill="auto"/>
            <w:noWrap/>
            <w:vAlign w:val="center"/>
          </w:tcPr>
          <w:p w14:paraId="40448A4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0.08</w:t>
            </w:r>
          </w:p>
        </w:tc>
        <w:tc>
          <w:tcPr>
            <w:tcW w:w="724" w:type="dxa"/>
            <w:gridSpan w:val="2"/>
            <w:tcBorders>
              <w:top w:val="nil"/>
              <w:left w:val="nil"/>
              <w:bottom w:val="nil"/>
              <w:right w:val="nil"/>
            </w:tcBorders>
            <w:shd w:val="clear" w:color="auto" w:fill="D9D9D9"/>
            <w:vAlign w:val="center"/>
          </w:tcPr>
          <w:p w14:paraId="207A293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0.13</w:t>
            </w:r>
          </w:p>
        </w:tc>
        <w:tc>
          <w:tcPr>
            <w:tcW w:w="725" w:type="dxa"/>
            <w:tcBorders>
              <w:top w:val="nil"/>
              <w:left w:val="nil"/>
              <w:bottom w:val="nil"/>
              <w:right w:val="nil"/>
            </w:tcBorders>
            <w:shd w:val="clear" w:color="auto" w:fill="auto"/>
            <w:vAlign w:val="center"/>
          </w:tcPr>
          <w:p w14:paraId="098B6E1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6.00</w:t>
            </w:r>
          </w:p>
        </w:tc>
        <w:tc>
          <w:tcPr>
            <w:tcW w:w="725" w:type="dxa"/>
            <w:gridSpan w:val="2"/>
            <w:tcBorders>
              <w:top w:val="nil"/>
              <w:left w:val="nil"/>
              <w:bottom w:val="nil"/>
              <w:right w:val="nil"/>
            </w:tcBorders>
            <w:shd w:val="clear" w:color="auto" w:fill="D9D9D9"/>
            <w:vAlign w:val="center"/>
          </w:tcPr>
          <w:p w14:paraId="450AEC5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6.25</w:t>
            </w:r>
          </w:p>
        </w:tc>
        <w:tc>
          <w:tcPr>
            <w:tcW w:w="724" w:type="dxa"/>
            <w:tcBorders>
              <w:top w:val="nil"/>
              <w:left w:val="nil"/>
              <w:bottom w:val="nil"/>
              <w:right w:val="nil"/>
            </w:tcBorders>
            <w:shd w:val="clear" w:color="auto" w:fill="auto"/>
            <w:noWrap/>
            <w:vAlign w:val="center"/>
          </w:tcPr>
          <w:p w14:paraId="4F191E0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11A2696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1EB38E3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69635AA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239972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-1.66</w:t>
            </w:r>
          </w:p>
        </w:tc>
        <w:tc>
          <w:tcPr>
            <w:tcW w:w="725" w:type="dxa"/>
            <w:tcBorders>
              <w:top w:val="nil"/>
              <w:left w:val="nil"/>
              <w:bottom w:val="nil"/>
              <w:right w:val="nil"/>
            </w:tcBorders>
            <w:shd w:val="clear" w:color="auto" w:fill="D9D9D9"/>
            <w:vAlign w:val="center"/>
          </w:tcPr>
          <w:p w14:paraId="50CAEE1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-1.92</w:t>
            </w:r>
          </w:p>
        </w:tc>
        <w:tc>
          <w:tcPr>
            <w:tcW w:w="725" w:type="dxa"/>
            <w:gridSpan w:val="2"/>
            <w:tcBorders>
              <w:top w:val="nil"/>
              <w:left w:val="nil"/>
              <w:bottom w:val="nil"/>
              <w:right w:val="nil"/>
            </w:tcBorders>
            <w:shd w:val="clear" w:color="auto" w:fill="auto"/>
            <w:noWrap/>
            <w:vAlign w:val="center"/>
          </w:tcPr>
          <w:p w14:paraId="141DEFA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4.70</w:t>
            </w:r>
          </w:p>
        </w:tc>
        <w:tc>
          <w:tcPr>
            <w:tcW w:w="730" w:type="dxa"/>
            <w:tcBorders>
              <w:top w:val="nil"/>
              <w:left w:val="nil"/>
              <w:bottom w:val="nil"/>
              <w:right w:val="nil"/>
            </w:tcBorders>
            <w:shd w:val="clear" w:color="auto" w:fill="D9D9D9"/>
            <w:vAlign w:val="center"/>
          </w:tcPr>
          <w:p w14:paraId="5B7EE18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5.14</w:t>
            </w:r>
          </w:p>
        </w:tc>
      </w:tr>
      <w:tr w:rsidR="00E6060C" w:rsidRPr="00E6060C" w14:paraId="4133F557" w14:textId="77777777" w:rsidTr="0035035C">
        <w:trPr>
          <w:trHeight w:val="482"/>
        </w:trPr>
        <w:tc>
          <w:tcPr>
            <w:tcW w:w="1983" w:type="dxa"/>
            <w:tcBorders>
              <w:top w:val="nil"/>
              <w:bottom w:val="single" w:sz="4" w:space="0" w:color="auto"/>
            </w:tcBorders>
            <w:shd w:val="clear" w:color="auto" w:fill="auto"/>
            <w:vAlign w:val="center"/>
          </w:tcPr>
          <w:p w14:paraId="6DEA764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723" w:type="dxa"/>
            <w:tcBorders>
              <w:top w:val="nil"/>
              <w:left w:val="nil"/>
              <w:bottom w:val="single" w:sz="4" w:space="0" w:color="auto"/>
              <w:right w:val="nil"/>
            </w:tcBorders>
            <w:shd w:val="clear" w:color="auto" w:fill="auto"/>
            <w:noWrap/>
            <w:vAlign w:val="center"/>
          </w:tcPr>
          <w:p w14:paraId="56C974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169</w:t>
            </w:r>
          </w:p>
        </w:tc>
        <w:tc>
          <w:tcPr>
            <w:tcW w:w="723" w:type="dxa"/>
            <w:gridSpan w:val="2"/>
            <w:tcBorders>
              <w:top w:val="nil"/>
              <w:left w:val="nil"/>
              <w:bottom w:val="single" w:sz="4" w:space="0" w:color="auto"/>
              <w:right w:val="nil"/>
            </w:tcBorders>
            <w:shd w:val="clear" w:color="auto" w:fill="D9D9D9"/>
            <w:vAlign w:val="center"/>
          </w:tcPr>
          <w:p w14:paraId="0999E20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25" w:type="dxa"/>
            <w:tcBorders>
              <w:top w:val="nil"/>
              <w:left w:val="nil"/>
              <w:bottom w:val="single" w:sz="4" w:space="0" w:color="auto"/>
              <w:right w:val="nil"/>
            </w:tcBorders>
            <w:shd w:val="clear" w:color="auto" w:fill="auto"/>
            <w:noWrap/>
            <w:vAlign w:val="center"/>
          </w:tcPr>
          <w:p w14:paraId="6F820C3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3.63</w:t>
            </w:r>
          </w:p>
        </w:tc>
        <w:tc>
          <w:tcPr>
            <w:tcW w:w="724" w:type="dxa"/>
            <w:gridSpan w:val="2"/>
            <w:tcBorders>
              <w:top w:val="nil"/>
              <w:left w:val="nil"/>
              <w:bottom w:val="single" w:sz="4" w:space="0" w:color="auto"/>
              <w:right w:val="nil"/>
            </w:tcBorders>
            <w:shd w:val="clear" w:color="auto" w:fill="D9D9D9"/>
            <w:vAlign w:val="center"/>
          </w:tcPr>
          <w:p w14:paraId="6B1CD2E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3.90</w:t>
            </w:r>
          </w:p>
        </w:tc>
        <w:tc>
          <w:tcPr>
            <w:tcW w:w="725" w:type="dxa"/>
            <w:tcBorders>
              <w:top w:val="nil"/>
              <w:left w:val="nil"/>
              <w:bottom w:val="single" w:sz="4" w:space="0" w:color="auto"/>
              <w:right w:val="nil"/>
            </w:tcBorders>
            <w:shd w:val="clear" w:color="auto" w:fill="auto"/>
            <w:noWrap/>
            <w:vAlign w:val="center"/>
          </w:tcPr>
          <w:p w14:paraId="4BD4F30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1.32</w:t>
            </w:r>
          </w:p>
        </w:tc>
        <w:tc>
          <w:tcPr>
            <w:tcW w:w="725" w:type="dxa"/>
            <w:gridSpan w:val="2"/>
            <w:tcBorders>
              <w:top w:val="nil"/>
              <w:left w:val="nil"/>
              <w:bottom w:val="single" w:sz="4" w:space="0" w:color="auto"/>
              <w:right w:val="nil"/>
            </w:tcBorders>
            <w:shd w:val="clear" w:color="auto" w:fill="D9D9D9"/>
            <w:vAlign w:val="center"/>
          </w:tcPr>
          <w:p w14:paraId="437BB25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1.27</w:t>
            </w:r>
          </w:p>
        </w:tc>
        <w:tc>
          <w:tcPr>
            <w:tcW w:w="725" w:type="dxa"/>
            <w:tcBorders>
              <w:top w:val="nil"/>
              <w:left w:val="nil"/>
              <w:bottom w:val="single" w:sz="4" w:space="0" w:color="auto"/>
              <w:right w:val="nil"/>
            </w:tcBorders>
            <w:shd w:val="clear" w:color="auto" w:fill="auto"/>
            <w:noWrap/>
            <w:vAlign w:val="center"/>
          </w:tcPr>
          <w:p w14:paraId="7B75EEA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0.10</w:t>
            </w:r>
          </w:p>
        </w:tc>
        <w:tc>
          <w:tcPr>
            <w:tcW w:w="724" w:type="dxa"/>
            <w:gridSpan w:val="2"/>
            <w:tcBorders>
              <w:top w:val="nil"/>
              <w:left w:val="nil"/>
              <w:bottom w:val="single" w:sz="4" w:space="0" w:color="auto"/>
              <w:right w:val="nil"/>
            </w:tcBorders>
            <w:shd w:val="clear" w:color="auto" w:fill="D9D9D9"/>
            <w:vAlign w:val="center"/>
          </w:tcPr>
          <w:p w14:paraId="7650585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0.14</w:t>
            </w:r>
          </w:p>
        </w:tc>
        <w:tc>
          <w:tcPr>
            <w:tcW w:w="725" w:type="dxa"/>
            <w:tcBorders>
              <w:top w:val="nil"/>
              <w:left w:val="nil"/>
              <w:bottom w:val="single" w:sz="4" w:space="0" w:color="auto"/>
              <w:right w:val="nil"/>
            </w:tcBorders>
            <w:shd w:val="clear" w:color="auto" w:fill="auto"/>
            <w:vAlign w:val="center"/>
          </w:tcPr>
          <w:p w14:paraId="035A41A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3.50</w:t>
            </w:r>
          </w:p>
        </w:tc>
        <w:tc>
          <w:tcPr>
            <w:tcW w:w="725" w:type="dxa"/>
            <w:gridSpan w:val="2"/>
            <w:tcBorders>
              <w:top w:val="nil"/>
              <w:left w:val="nil"/>
              <w:bottom w:val="single" w:sz="4" w:space="0" w:color="auto"/>
              <w:right w:val="nil"/>
            </w:tcBorders>
            <w:shd w:val="clear" w:color="auto" w:fill="D9D9D9"/>
            <w:vAlign w:val="center"/>
          </w:tcPr>
          <w:p w14:paraId="389545C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4.13</w:t>
            </w:r>
          </w:p>
        </w:tc>
        <w:tc>
          <w:tcPr>
            <w:tcW w:w="724" w:type="dxa"/>
            <w:tcBorders>
              <w:top w:val="nil"/>
              <w:left w:val="nil"/>
              <w:bottom w:val="single" w:sz="4" w:space="0" w:color="auto"/>
              <w:right w:val="nil"/>
            </w:tcBorders>
            <w:shd w:val="clear" w:color="auto" w:fill="auto"/>
            <w:noWrap/>
            <w:vAlign w:val="center"/>
          </w:tcPr>
          <w:p w14:paraId="51A2161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single" w:sz="4" w:space="0" w:color="auto"/>
              <w:right w:val="nil"/>
            </w:tcBorders>
            <w:shd w:val="clear" w:color="auto" w:fill="D9D9D9"/>
            <w:vAlign w:val="center"/>
          </w:tcPr>
          <w:p w14:paraId="5237534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single" w:sz="4" w:space="0" w:color="auto"/>
              <w:right w:val="nil"/>
            </w:tcBorders>
            <w:shd w:val="clear" w:color="auto" w:fill="auto"/>
            <w:noWrap/>
            <w:vAlign w:val="center"/>
          </w:tcPr>
          <w:p w14:paraId="2F83284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single" w:sz="4" w:space="0" w:color="auto"/>
              <w:right w:val="nil"/>
            </w:tcBorders>
            <w:shd w:val="clear" w:color="auto" w:fill="D9D9D9"/>
            <w:vAlign w:val="center"/>
          </w:tcPr>
          <w:p w14:paraId="55AD294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6.75</w:t>
            </w:r>
          </w:p>
        </w:tc>
        <w:tc>
          <w:tcPr>
            <w:tcW w:w="724" w:type="dxa"/>
            <w:tcBorders>
              <w:top w:val="nil"/>
              <w:left w:val="nil"/>
              <w:bottom w:val="single" w:sz="4" w:space="0" w:color="auto"/>
              <w:right w:val="nil"/>
            </w:tcBorders>
            <w:shd w:val="clear" w:color="auto" w:fill="auto"/>
            <w:noWrap/>
            <w:vAlign w:val="center"/>
          </w:tcPr>
          <w:p w14:paraId="6F162BF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0.32</w:t>
            </w:r>
          </w:p>
        </w:tc>
        <w:tc>
          <w:tcPr>
            <w:tcW w:w="725" w:type="dxa"/>
            <w:tcBorders>
              <w:top w:val="nil"/>
              <w:left w:val="nil"/>
              <w:bottom w:val="single" w:sz="4" w:space="0" w:color="auto"/>
              <w:right w:val="nil"/>
            </w:tcBorders>
            <w:shd w:val="clear" w:color="auto" w:fill="D9D9D9"/>
            <w:vAlign w:val="center"/>
          </w:tcPr>
          <w:p w14:paraId="40A1770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-0.30</w:t>
            </w:r>
          </w:p>
        </w:tc>
        <w:tc>
          <w:tcPr>
            <w:tcW w:w="725" w:type="dxa"/>
            <w:gridSpan w:val="2"/>
            <w:tcBorders>
              <w:top w:val="nil"/>
              <w:left w:val="nil"/>
              <w:bottom w:val="single" w:sz="4" w:space="0" w:color="auto"/>
              <w:right w:val="nil"/>
            </w:tcBorders>
            <w:shd w:val="clear" w:color="auto" w:fill="auto"/>
            <w:noWrap/>
            <w:vAlign w:val="center"/>
          </w:tcPr>
          <w:p w14:paraId="0D60085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-0.60</w:t>
            </w:r>
          </w:p>
        </w:tc>
        <w:tc>
          <w:tcPr>
            <w:tcW w:w="730" w:type="dxa"/>
            <w:tcBorders>
              <w:top w:val="nil"/>
              <w:left w:val="nil"/>
              <w:bottom w:val="single" w:sz="4" w:space="0" w:color="auto"/>
              <w:right w:val="nil"/>
            </w:tcBorders>
            <w:shd w:val="clear" w:color="auto" w:fill="D9D9D9"/>
            <w:vAlign w:val="center"/>
          </w:tcPr>
          <w:p w14:paraId="382D697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-0.41</w:t>
            </w:r>
          </w:p>
        </w:tc>
      </w:tr>
    </w:tbl>
    <w:p w14:paraId="0157CECB" w14:textId="77777777" w:rsidR="00E6060C" w:rsidRPr="00E6060C" w:rsidRDefault="00E6060C" w:rsidP="00E6060C">
      <w:pPr>
        <w:spacing w:after="200" w:line="240" w:lineRule="auto"/>
        <w:ind w:left="-426"/>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and resources and demands, were scored on a scale of 1 to 5. All other variables were scored on a scale of 1 to 7. For all scales, higher scores indicate better results.</w:t>
      </w:r>
    </w:p>
    <w:p w14:paraId="20A50077" w14:textId="77777777" w:rsidR="00E6060C" w:rsidRPr="00E6060C" w:rsidRDefault="00E6060C" w:rsidP="00E6060C">
      <w:pPr>
        <w:spacing w:after="200" w:line="240" w:lineRule="auto"/>
        <w:ind w:left="-426"/>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SD</w:t>
      </w:r>
      <w:r w:rsidRPr="00E6060C">
        <w:rPr>
          <w:rFonts w:ascii="Calibri" w:eastAsia="Calibri" w:hAnsi="Calibri" w:cs="Times New Roman"/>
        </w:rPr>
        <w:t xml:space="preserve">=standard deviation of the mean; </w:t>
      </w:r>
      <w:r w:rsidRPr="00E6060C">
        <w:rPr>
          <w:rFonts w:ascii="Calibri" w:eastAsia="Calibri" w:hAnsi="Calibri" w:cs="Times New Roman"/>
          <w:i/>
        </w:rPr>
        <w:t>SE</w:t>
      </w:r>
      <w:r w:rsidRPr="00E6060C">
        <w:rPr>
          <w:rFonts w:ascii="Calibri" w:eastAsia="Calibri" w:hAnsi="Calibri" w:cs="Times New Roman"/>
        </w:rPr>
        <w:t>=standard error of the mean; Min=Minimum value; Max=Maximum value; C=control group; I=intervention group</w:t>
      </w:r>
    </w:p>
    <w:p w14:paraId="750F89FA" w14:textId="77777777" w:rsidR="00E6060C" w:rsidRPr="00E6060C" w:rsidRDefault="00E6060C" w:rsidP="00E6060C">
      <w:pPr>
        <w:spacing w:after="200" w:line="276" w:lineRule="auto"/>
        <w:rPr>
          <w:rFonts w:ascii="Calibri" w:eastAsia="Calibri" w:hAnsi="Calibri" w:cs="Times New Roman"/>
          <w:color w:val="000000"/>
        </w:rPr>
      </w:pPr>
    </w:p>
    <w:p w14:paraId="60E5C7F6" w14:textId="6733A865" w:rsidR="0035035C" w:rsidRDefault="0035035C" w:rsidP="005852AD">
      <w:pPr>
        <w:pStyle w:val="Figurestyle"/>
      </w:pPr>
      <w:bookmarkStart w:id="405" w:name="_Ref453589638"/>
      <w:bookmarkStart w:id="406" w:name="_Toc468286079"/>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5</w:t>
      </w:r>
      <w:r w:rsidR="00245D68">
        <w:rPr>
          <w:noProof/>
        </w:rPr>
        <w:fldChar w:fldCharType="end"/>
      </w:r>
      <w:bookmarkEnd w:id="405"/>
      <w:r>
        <w:t xml:space="preserve"> </w:t>
      </w:r>
      <w:r w:rsidRPr="00B54BFD">
        <w:t>Descriptive statistics of the research variables for the intervention and control group at Time 1 (N=179)</w:t>
      </w:r>
      <w:bookmarkEnd w:id="406"/>
    </w:p>
    <w:p w14:paraId="2CDE34AD" w14:textId="77777777" w:rsidR="0035035C" w:rsidRDefault="0035035C" w:rsidP="005852AD">
      <w:pPr>
        <w:pStyle w:val="Figurestyle"/>
      </w:pPr>
    </w:p>
    <w:tbl>
      <w:tblPr>
        <w:tblW w:w="15030" w:type="dxa"/>
        <w:tblInd w:w="-426" w:type="dxa"/>
        <w:tblBorders>
          <w:top w:val="single" w:sz="4" w:space="0" w:color="auto"/>
          <w:bottom w:val="single" w:sz="4" w:space="0" w:color="auto"/>
        </w:tblBorders>
        <w:tblLayout w:type="fixed"/>
        <w:tblLook w:val="04A0" w:firstRow="1" w:lastRow="0" w:firstColumn="1" w:lastColumn="0" w:noHBand="0" w:noVBand="1"/>
      </w:tblPr>
      <w:tblGrid>
        <w:gridCol w:w="1983"/>
        <w:gridCol w:w="723"/>
        <w:gridCol w:w="409"/>
        <w:gridCol w:w="314"/>
        <w:gridCol w:w="725"/>
        <w:gridCol w:w="454"/>
        <w:gridCol w:w="270"/>
        <w:gridCol w:w="725"/>
        <w:gridCol w:w="441"/>
        <w:gridCol w:w="284"/>
        <w:gridCol w:w="725"/>
        <w:gridCol w:w="331"/>
        <w:gridCol w:w="393"/>
        <w:gridCol w:w="725"/>
        <w:gridCol w:w="491"/>
        <w:gridCol w:w="234"/>
        <w:gridCol w:w="724"/>
        <w:gridCol w:w="627"/>
        <w:gridCol w:w="98"/>
        <w:gridCol w:w="725"/>
        <w:gridCol w:w="725"/>
        <w:gridCol w:w="724"/>
        <w:gridCol w:w="725"/>
        <w:gridCol w:w="19"/>
        <w:gridCol w:w="706"/>
        <w:gridCol w:w="730"/>
      </w:tblGrid>
      <w:tr w:rsidR="00E6060C" w:rsidRPr="00E6060C" w14:paraId="211B62B8" w14:textId="77777777" w:rsidTr="007803A3">
        <w:trPr>
          <w:trHeight w:val="286"/>
        </w:trPr>
        <w:tc>
          <w:tcPr>
            <w:tcW w:w="1983" w:type="dxa"/>
            <w:vMerge w:val="restart"/>
            <w:tcBorders>
              <w:top w:val="single" w:sz="4" w:space="0" w:color="auto"/>
              <w:bottom w:val="single" w:sz="4" w:space="0" w:color="auto"/>
            </w:tcBorders>
            <w:shd w:val="clear" w:color="auto" w:fill="auto"/>
            <w:hideMark/>
          </w:tcPr>
          <w:p w14:paraId="42C570AE"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132" w:type="dxa"/>
            <w:gridSpan w:val="2"/>
            <w:tcBorders>
              <w:top w:val="single" w:sz="4" w:space="0" w:color="auto"/>
              <w:bottom w:val="single" w:sz="4" w:space="0" w:color="auto"/>
            </w:tcBorders>
            <w:shd w:val="clear" w:color="auto" w:fill="auto"/>
            <w:vAlign w:val="center"/>
            <w:hideMark/>
          </w:tcPr>
          <w:p w14:paraId="2B80A09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493" w:type="dxa"/>
            <w:gridSpan w:val="3"/>
            <w:tcBorders>
              <w:top w:val="single" w:sz="4" w:space="0" w:color="auto"/>
              <w:bottom w:val="single" w:sz="4" w:space="0" w:color="auto"/>
            </w:tcBorders>
            <w:shd w:val="clear" w:color="auto" w:fill="auto"/>
            <w:vAlign w:val="center"/>
            <w:hideMark/>
          </w:tcPr>
          <w:p w14:paraId="009CE752" w14:textId="77777777" w:rsidR="00E6060C" w:rsidRPr="00E6060C" w:rsidRDefault="00E6060C" w:rsidP="00E6060C">
            <w:pPr>
              <w:spacing w:line="240" w:lineRule="auto"/>
              <w:jc w:val="center"/>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Mean</w:t>
            </w:r>
          </w:p>
        </w:tc>
        <w:tc>
          <w:tcPr>
            <w:tcW w:w="1436" w:type="dxa"/>
            <w:gridSpan w:val="3"/>
            <w:tcBorders>
              <w:top w:val="single" w:sz="4" w:space="0" w:color="auto"/>
              <w:bottom w:val="single" w:sz="4" w:space="0" w:color="auto"/>
            </w:tcBorders>
            <w:shd w:val="clear" w:color="auto" w:fill="auto"/>
            <w:vAlign w:val="center"/>
            <w:hideMark/>
          </w:tcPr>
          <w:p w14:paraId="1E62E5F2"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3"/>
            <w:tcBorders>
              <w:top w:val="single" w:sz="4" w:space="0" w:color="auto"/>
              <w:bottom w:val="single" w:sz="4" w:space="0" w:color="auto"/>
            </w:tcBorders>
            <w:shd w:val="clear" w:color="auto" w:fill="auto"/>
            <w:vAlign w:val="center"/>
            <w:hideMark/>
          </w:tcPr>
          <w:p w14:paraId="531C2E62"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609" w:type="dxa"/>
            <w:gridSpan w:val="3"/>
            <w:tcBorders>
              <w:top w:val="single" w:sz="4" w:space="0" w:color="auto"/>
              <w:bottom w:val="single" w:sz="4" w:space="0" w:color="auto"/>
            </w:tcBorders>
          </w:tcPr>
          <w:p w14:paraId="7B2C572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1585" w:type="dxa"/>
            <w:gridSpan w:val="3"/>
            <w:tcBorders>
              <w:top w:val="single" w:sz="4" w:space="0" w:color="auto"/>
              <w:bottom w:val="single" w:sz="4" w:space="0" w:color="auto"/>
            </w:tcBorders>
            <w:shd w:val="clear" w:color="auto" w:fill="auto"/>
            <w:vAlign w:val="center"/>
            <w:hideMark/>
          </w:tcPr>
          <w:p w14:paraId="6F186AC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48" w:type="dxa"/>
            <w:gridSpan w:val="3"/>
            <w:tcBorders>
              <w:top w:val="single" w:sz="4" w:space="0" w:color="auto"/>
              <w:bottom w:val="single" w:sz="4" w:space="0" w:color="auto"/>
            </w:tcBorders>
            <w:shd w:val="clear" w:color="auto" w:fill="auto"/>
            <w:vAlign w:val="center"/>
            <w:hideMark/>
          </w:tcPr>
          <w:p w14:paraId="16C4440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8" w:type="dxa"/>
            <w:gridSpan w:val="3"/>
            <w:tcBorders>
              <w:top w:val="single" w:sz="4" w:space="0" w:color="auto"/>
              <w:bottom w:val="single" w:sz="4" w:space="0" w:color="auto"/>
            </w:tcBorders>
            <w:shd w:val="clear" w:color="auto" w:fill="auto"/>
            <w:vAlign w:val="center"/>
            <w:hideMark/>
          </w:tcPr>
          <w:p w14:paraId="0273B41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436" w:type="dxa"/>
            <w:gridSpan w:val="2"/>
            <w:tcBorders>
              <w:top w:val="single" w:sz="4" w:space="0" w:color="auto"/>
              <w:bottom w:val="single" w:sz="4" w:space="0" w:color="auto"/>
            </w:tcBorders>
            <w:shd w:val="clear" w:color="auto" w:fill="auto"/>
            <w:vAlign w:val="center"/>
            <w:hideMark/>
          </w:tcPr>
          <w:p w14:paraId="2BD18D0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09434B94" w14:textId="77777777" w:rsidTr="007803A3">
        <w:trPr>
          <w:trHeight w:val="286"/>
        </w:trPr>
        <w:tc>
          <w:tcPr>
            <w:tcW w:w="1983" w:type="dxa"/>
            <w:vMerge/>
            <w:tcBorders>
              <w:top w:val="single" w:sz="4" w:space="0" w:color="auto"/>
              <w:bottom w:val="single" w:sz="4" w:space="0" w:color="auto"/>
            </w:tcBorders>
            <w:shd w:val="clear" w:color="auto" w:fill="auto"/>
            <w:vAlign w:val="center"/>
            <w:hideMark/>
          </w:tcPr>
          <w:p w14:paraId="32A6E0E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723" w:type="dxa"/>
            <w:tcBorders>
              <w:top w:val="single" w:sz="4" w:space="0" w:color="auto"/>
              <w:bottom w:val="single" w:sz="4" w:space="0" w:color="auto"/>
            </w:tcBorders>
            <w:shd w:val="clear" w:color="auto" w:fill="auto"/>
            <w:vAlign w:val="center"/>
            <w:hideMark/>
          </w:tcPr>
          <w:p w14:paraId="470F7A6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3" w:type="dxa"/>
            <w:gridSpan w:val="2"/>
            <w:tcBorders>
              <w:top w:val="single" w:sz="4" w:space="0" w:color="auto"/>
              <w:bottom w:val="single" w:sz="4" w:space="0" w:color="auto"/>
            </w:tcBorders>
            <w:shd w:val="clear" w:color="auto" w:fill="D9D9D9"/>
            <w:vAlign w:val="center"/>
          </w:tcPr>
          <w:p w14:paraId="37D8866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08A82ED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37192A9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5B83F02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6FA1917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2457498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43AC366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vAlign w:val="center"/>
          </w:tcPr>
          <w:p w14:paraId="40AEF08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124DEA8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522ABFB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4D0AA42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2C494F7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137AE23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6C44811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1B18280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gridSpan w:val="2"/>
            <w:tcBorders>
              <w:top w:val="single" w:sz="4" w:space="0" w:color="auto"/>
              <w:bottom w:val="single" w:sz="4" w:space="0" w:color="auto"/>
            </w:tcBorders>
            <w:shd w:val="clear" w:color="auto" w:fill="auto"/>
            <w:vAlign w:val="center"/>
            <w:hideMark/>
          </w:tcPr>
          <w:p w14:paraId="08C4F0C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30" w:type="dxa"/>
            <w:tcBorders>
              <w:top w:val="single" w:sz="4" w:space="0" w:color="auto"/>
              <w:bottom w:val="single" w:sz="4" w:space="0" w:color="auto"/>
            </w:tcBorders>
            <w:shd w:val="clear" w:color="auto" w:fill="D9D9D9"/>
            <w:vAlign w:val="center"/>
          </w:tcPr>
          <w:p w14:paraId="0655164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r>
      <w:tr w:rsidR="00E6060C" w:rsidRPr="00E6060C" w14:paraId="136662D6" w14:textId="77777777" w:rsidTr="007803A3">
        <w:trPr>
          <w:trHeight w:val="327"/>
        </w:trPr>
        <w:tc>
          <w:tcPr>
            <w:tcW w:w="1983" w:type="dxa"/>
            <w:shd w:val="clear" w:color="auto" w:fill="auto"/>
            <w:vAlign w:val="center"/>
          </w:tcPr>
          <w:p w14:paraId="75B7145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Colleague support</w:t>
            </w:r>
          </w:p>
        </w:tc>
        <w:tc>
          <w:tcPr>
            <w:tcW w:w="723" w:type="dxa"/>
            <w:tcBorders>
              <w:top w:val="nil"/>
              <w:left w:val="nil"/>
              <w:bottom w:val="nil"/>
              <w:right w:val="nil"/>
            </w:tcBorders>
            <w:shd w:val="clear" w:color="auto" w:fill="auto"/>
            <w:noWrap/>
            <w:vAlign w:val="center"/>
          </w:tcPr>
          <w:p w14:paraId="0B93B0C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64</w:t>
            </w:r>
          </w:p>
        </w:tc>
        <w:tc>
          <w:tcPr>
            <w:tcW w:w="723" w:type="dxa"/>
            <w:gridSpan w:val="2"/>
            <w:tcBorders>
              <w:top w:val="single" w:sz="4" w:space="0" w:color="auto"/>
              <w:left w:val="nil"/>
              <w:bottom w:val="nil"/>
              <w:right w:val="nil"/>
            </w:tcBorders>
            <w:shd w:val="clear" w:color="auto" w:fill="D9D9D9"/>
            <w:vAlign w:val="center"/>
          </w:tcPr>
          <w:p w14:paraId="3BF0DF0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113</w:t>
            </w:r>
          </w:p>
        </w:tc>
        <w:tc>
          <w:tcPr>
            <w:tcW w:w="725" w:type="dxa"/>
            <w:tcBorders>
              <w:top w:val="nil"/>
              <w:left w:val="nil"/>
              <w:bottom w:val="nil"/>
              <w:right w:val="nil"/>
            </w:tcBorders>
            <w:shd w:val="clear" w:color="auto" w:fill="auto"/>
            <w:noWrap/>
            <w:vAlign w:val="center"/>
          </w:tcPr>
          <w:p w14:paraId="22A85C7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3.66</w:t>
            </w:r>
          </w:p>
        </w:tc>
        <w:tc>
          <w:tcPr>
            <w:tcW w:w="724" w:type="dxa"/>
            <w:gridSpan w:val="2"/>
            <w:tcBorders>
              <w:top w:val="single" w:sz="4" w:space="0" w:color="auto"/>
              <w:left w:val="nil"/>
              <w:bottom w:val="nil"/>
              <w:right w:val="nil"/>
            </w:tcBorders>
            <w:shd w:val="clear" w:color="auto" w:fill="D9D9D9"/>
            <w:vAlign w:val="center"/>
          </w:tcPr>
          <w:p w14:paraId="2FEF398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3.59</w:t>
            </w:r>
          </w:p>
        </w:tc>
        <w:tc>
          <w:tcPr>
            <w:tcW w:w="725" w:type="dxa"/>
            <w:tcBorders>
              <w:top w:val="nil"/>
              <w:left w:val="nil"/>
              <w:bottom w:val="nil"/>
              <w:right w:val="nil"/>
            </w:tcBorders>
            <w:shd w:val="clear" w:color="auto" w:fill="auto"/>
            <w:noWrap/>
            <w:vAlign w:val="center"/>
          </w:tcPr>
          <w:p w14:paraId="077F187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0.89</w:t>
            </w:r>
          </w:p>
        </w:tc>
        <w:tc>
          <w:tcPr>
            <w:tcW w:w="725" w:type="dxa"/>
            <w:gridSpan w:val="2"/>
            <w:tcBorders>
              <w:top w:val="single" w:sz="4" w:space="0" w:color="auto"/>
              <w:left w:val="nil"/>
              <w:bottom w:val="nil"/>
              <w:right w:val="nil"/>
            </w:tcBorders>
            <w:shd w:val="clear" w:color="auto" w:fill="D9D9D9"/>
            <w:vAlign w:val="center"/>
          </w:tcPr>
          <w:p w14:paraId="31DB0D1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0.97</w:t>
            </w:r>
          </w:p>
        </w:tc>
        <w:tc>
          <w:tcPr>
            <w:tcW w:w="725" w:type="dxa"/>
            <w:tcBorders>
              <w:top w:val="nil"/>
              <w:left w:val="nil"/>
              <w:bottom w:val="nil"/>
              <w:right w:val="nil"/>
            </w:tcBorders>
            <w:shd w:val="clear" w:color="auto" w:fill="auto"/>
            <w:noWrap/>
            <w:vAlign w:val="center"/>
          </w:tcPr>
          <w:p w14:paraId="3B92D0A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0.11</w:t>
            </w:r>
          </w:p>
        </w:tc>
        <w:tc>
          <w:tcPr>
            <w:tcW w:w="724" w:type="dxa"/>
            <w:gridSpan w:val="2"/>
            <w:tcBorders>
              <w:top w:val="single" w:sz="4" w:space="0" w:color="auto"/>
              <w:left w:val="nil"/>
              <w:bottom w:val="nil"/>
              <w:right w:val="nil"/>
            </w:tcBorders>
            <w:shd w:val="clear" w:color="auto" w:fill="D9D9D9"/>
            <w:vAlign w:val="center"/>
          </w:tcPr>
          <w:p w14:paraId="0A5A61B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0.09</w:t>
            </w:r>
          </w:p>
        </w:tc>
        <w:tc>
          <w:tcPr>
            <w:tcW w:w="725" w:type="dxa"/>
            <w:tcBorders>
              <w:top w:val="nil"/>
              <w:left w:val="nil"/>
              <w:bottom w:val="nil"/>
              <w:right w:val="nil"/>
            </w:tcBorders>
            <w:shd w:val="clear" w:color="auto" w:fill="auto"/>
            <w:vAlign w:val="center"/>
          </w:tcPr>
          <w:p w14:paraId="4863904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single" w:sz="4" w:space="0" w:color="auto"/>
              <w:left w:val="nil"/>
              <w:bottom w:val="nil"/>
              <w:right w:val="nil"/>
            </w:tcBorders>
            <w:shd w:val="clear" w:color="auto" w:fill="D9D9D9"/>
            <w:vAlign w:val="center"/>
          </w:tcPr>
          <w:p w14:paraId="2EA2FC1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3DADC15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5" w:type="dxa"/>
            <w:gridSpan w:val="2"/>
            <w:tcBorders>
              <w:top w:val="single" w:sz="4" w:space="0" w:color="auto"/>
              <w:left w:val="nil"/>
              <w:bottom w:val="nil"/>
              <w:right w:val="nil"/>
            </w:tcBorders>
            <w:shd w:val="clear" w:color="auto" w:fill="D9D9D9"/>
            <w:vAlign w:val="center"/>
          </w:tcPr>
          <w:p w14:paraId="4DDF0F4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1.33</w:t>
            </w:r>
          </w:p>
        </w:tc>
        <w:tc>
          <w:tcPr>
            <w:tcW w:w="725" w:type="dxa"/>
            <w:tcBorders>
              <w:top w:val="nil"/>
              <w:left w:val="nil"/>
              <w:bottom w:val="nil"/>
              <w:right w:val="nil"/>
            </w:tcBorders>
            <w:shd w:val="clear" w:color="auto" w:fill="auto"/>
            <w:noWrap/>
            <w:vAlign w:val="center"/>
          </w:tcPr>
          <w:p w14:paraId="015A0D7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5" w:type="dxa"/>
            <w:tcBorders>
              <w:top w:val="single" w:sz="4" w:space="0" w:color="auto"/>
              <w:left w:val="nil"/>
              <w:bottom w:val="nil"/>
              <w:right w:val="nil"/>
            </w:tcBorders>
            <w:shd w:val="clear" w:color="auto" w:fill="D9D9D9"/>
            <w:vAlign w:val="center"/>
          </w:tcPr>
          <w:p w14:paraId="76C3F6B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56DD55F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-0.40</w:t>
            </w:r>
          </w:p>
        </w:tc>
        <w:tc>
          <w:tcPr>
            <w:tcW w:w="725" w:type="dxa"/>
            <w:tcBorders>
              <w:top w:val="single" w:sz="4" w:space="0" w:color="auto"/>
              <w:left w:val="nil"/>
              <w:bottom w:val="nil"/>
              <w:right w:val="nil"/>
            </w:tcBorders>
            <w:shd w:val="clear" w:color="auto" w:fill="D9D9D9"/>
            <w:vAlign w:val="center"/>
          </w:tcPr>
          <w:p w14:paraId="0438285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-0.60</w:t>
            </w:r>
          </w:p>
        </w:tc>
        <w:tc>
          <w:tcPr>
            <w:tcW w:w="725" w:type="dxa"/>
            <w:gridSpan w:val="2"/>
            <w:tcBorders>
              <w:top w:val="nil"/>
              <w:left w:val="nil"/>
              <w:bottom w:val="nil"/>
              <w:right w:val="nil"/>
            </w:tcBorders>
            <w:shd w:val="clear" w:color="auto" w:fill="auto"/>
            <w:noWrap/>
            <w:vAlign w:val="center"/>
          </w:tcPr>
          <w:p w14:paraId="7971821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-0.50</w:t>
            </w:r>
          </w:p>
        </w:tc>
        <w:tc>
          <w:tcPr>
            <w:tcW w:w="730" w:type="dxa"/>
            <w:tcBorders>
              <w:top w:val="single" w:sz="4" w:space="0" w:color="auto"/>
              <w:left w:val="nil"/>
              <w:bottom w:val="nil"/>
              <w:right w:val="nil"/>
            </w:tcBorders>
            <w:shd w:val="clear" w:color="auto" w:fill="D9D9D9"/>
            <w:vAlign w:val="center"/>
          </w:tcPr>
          <w:p w14:paraId="1299052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-0.42</w:t>
            </w:r>
          </w:p>
        </w:tc>
      </w:tr>
      <w:tr w:rsidR="00E6060C" w:rsidRPr="00E6060C" w14:paraId="335E3952" w14:textId="77777777" w:rsidTr="007803A3">
        <w:trPr>
          <w:trHeight w:val="482"/>
        </w:trPr>
        <w:tc>
          <w:tcPr>
            <w:tcW w:w="1983" w:type="dxa"/>
            <w:shd w:val="clear" w:color="auto" w:fill="auto"/>
            <w:vAlign w:val="center"/>
          </w:tcPr>
          <w:p w14:paraId="59EA66C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Influence in decision-making</w:t>
            </w:r>
          </w:p>
        </w:tc>
        <w:tc>
          <w:tcPr>
            <w:tcW w:w="723" w:type="dxa"/>
            <w:tcBorders>
              <w:top w:val="nil"/>
              <w:left w:val="nil"/>
              <w:bottom w:val="nil"/>
              <w:right w:val="nil"/>
            </w:tcBorders>
            <w:shd w:val="clear" w:color="auto" w:fill="auto"/>
            <w:noWrap/>
            <w:vAlign w:val="center"/>
          </w:tcPr>
          <w:p w14:paraId="10760BF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64</w:t>
            </w:r>
          </w:p>
        </w:tc>
        <w:tc>
          <w:tcPr>
            <w:tcW w:w="723" w:type="dxa"/>
            <w:gridSpan w:val="2"/>
            <w:tcBorders>
              <w:top w:val="nil"/>
              <w:left w:val="nil"/>
              <w:bottom w:val="nil"/>
              <w:right w:val="nil"/>
            </w:tcBorders>
            <w:shd w:val="clear" w:color="auto" w:fill="D9D9D9"/>
            <w:vAlign w:val="center"/>
          </w:tcPr>
          <w:p w14:paraId="1BB56EC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114</w:t>
            </w:r>
          </w:p>
        </w:tc>
        <w:tc>
          <w:tcPr>
            <w:tcW w:w="725" w:type="dxa"/>
            <w:tcBorders>
              <w:top w:val="nil"/>
              <w:left w:val="nil"/>
              <w:bottom w:val="nil"/>
              <w:right w:val="nil"/>
            </w:tcBorders>
            <w:shd w:val="clear" w:color="auto" w:fill="auto"/>
            <w:noWrap/>
            <w:vAlign w:val="center"/>
          </w:tcPr>
          <w:p w14:paraId="1A687C2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2.79</w:t>
            </w:r>
          </w:p>
        </w:tc>
        <w:tc>
          <w:tcPr>
            <w:tcW w:w="724" w:type="dxa"/>
            <w:gridSpan w:val="2"/>
            <w:tcBorders>
              <w:top w:val="nil"/>
              <w:left w:val="nil"/>
              <w:bottom w:val="nil"/>
              <w:right w:val="nil"/>
            </w:tcBorders>
            <w:shd w:val="clear" w:color="auto" w:fill="D9D9D9"/>
            <w:vAlign w:val="center"/>
          </w:tcPr>
          <w:p w14:paraId="35708BB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2.86</w:t>
            </w:r>
          </w:p>
        </w:tc>
        <w:tc>
          <w:tcPr>
            <w:tcW w:w="725" w:type="dxa"/>
            <w:tcBorders>
              <w:top w:val="nil"/>
              <w:left w:val="nil"/>
              <w:bottom w:val="nil"/>
              <w:right w:val="nil"/>
            </w:tcBorders>
            <w:shd w:val="clear" w:color="auto" w:fill="auto"/>
            <w:noWrap/>
            <w:vAlign w:val="center"/>
          </w:tcPr>
          <w:p w14:paraId="39ABA16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1.03</w:t>
            </w:r>
          </w:p>
        </w:tc>
        <w:tc>
          <w:tcPr>
            <w:tcW w:w="725" w:type="dxa"/>
            <w:gridSpan w:val="2"/>
            <w:tcBorders>
              <w:top w:val="nil"/>
              <w:left w:val="nil"/>
              <w:bottom w:val="nil"/>
              <w:right w:val="nil"/>
            </w:tcBorders>
            <w:shd w:val="clear" w:color="auto" w:fill="D9D9D9"/>
            <w:vAlign w:val="center"/>
          </w:tcPr>
          <w:p w14:paraId="085BA45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0.98</w:t>
            </w:r>
          </w:p>
        </w:tc>
        <w:tc>
          <w:tcPr>
            <w:tcW w:w="725" w:type="dxa"/>
            <w:tcBorders>
              <w:top w:val="nil"/>
              <w:left w:val="nil"/>
              <w:bottom w:val="nil"/>
              <w:right w:val="nil"/>
            </w:tcBorders>
            <w:shd w:val="clear" w:color="auto" w:fill="auto"/>
            <w:noWrap/>
            <w:vAlign w:val="center"/>
          </w:tcPr>
          <w:p w14:paraId="3EBB7E3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0.13</w:t>
            </w:r>
          </w:p>
        </w:tc>
        <w:tc>
          <w:tcPr>
            <w:tcW w:w="724" w:type="dxa"/>
            <w:gridSpan w:val="2"/>
            <w:tcBorders>
              <w:top w:val="nil"/>
              <w:left w:val="nil"/>
              <w:bottom w:val="nil"/>
              <w:right w:val="nil"/>
            </w:tcBorders>
            <w:shd w:val="clear" w:color="auto" w:fill="D9D9D9"/>
            <w:vAlign w:val="center"/>
          </w:tcPr>
          <w:p w14:paraId="39E6903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0.09</w:t>
            </w:r>
          </w:p>
        </w:tc>
        <w:tc>
          <w:tcPr>
            <w:tcW w:w="725" w:type="dxa"/>
            <w:tcBorders>
              <w:top w:val="nil"/>
              <w:left w:val="nil"/>
              <w:bottom w:val="nil"/>
              <w:right w:val="nil"/>
            </w:tcBorders>
            <w:shd w:val="clear" w:color="auto" w:fill="auto"/>
            <w:vAlign w:val="center"/>
          </w:tcPr>
          <w:p w14:paraId="5D37BF0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2.67</w:t>
            </w:r>
          </w:p>
        </w:tc>
        <w:tc>
          <w:tcPr>
            <w:tcW w:w="725" w:type="dxa"/>
            <w:gridSpan w:val="2"/>
            <w:tcBorders>
              <w:top w:val="nil"/>
              <w:left w:val="nil"/>
              <w:bottom w:val="nil"/>
              <w:right w:val="nil"/>
            </w:tcBorders>
            <w:shd w:val="clear" w:color="auto" w:fill="D9D9D9"/>
            <w:vAlign w:val="center"/>
          </w:tcPr>
          <w:p w14:paraId="3EA89E6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2.67</w:t>
            </w:r>
          </w:p>
        </w:tc>
        <w:tc>
          <w:tcPr>
            <w:tcW w:w="724" w:type="dxa"/>
            <w:tcBorders>
              <w:top w:val="nil"/>
              <w:left w:val="nil"/>
              <w:bottom w:val="nil"/>
              <w:right w:val="nil"/>
            </w:tcBorders>
            <w:shd w:val="clear" w:color="auto" w:fill="auto"/>
            <w:noWrap/>
            <w:vAlign w:val="center"/>
          </w:tcPr>
          <w:p w14:paraId="65D2937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5A70FEB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3BE8D0A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6D99818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350A7F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-0.06</w:t>
            </w:r>
          </w:p>
        </w:tc>
        <w:tc>
          <w:tcPr>
            <w:tcW w:w="725" w:type="dxa"/>
            <w:tcBorders>
              <w:top w:val="nil"/>
              <w:left w:val="nil"/>
              <w:bottom w:val="nil"/>
              <w:right w:val="nil"/>
            </w:tcBorders>
            <w:shd w:val="clear" w:color="auto" w:fill="D9D9D9"/>
            <w:vAlign w:val="center"/>
          </w:tcPr>
          <w:p w14:paraId="6ECBC23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0.27</w:t>
            </w:r>
          </w:p>
        </w:tc>
        <w:tc>
          <w:tcPr>
            <w:tcW w:w="725" w:type="dxa"/>
            <w:gridSpan w:val="2"/>
            <w:tcBorders>
              <w:top w:val="nil"/>
              <w:left w:val="nil"/>
              <w:bottom w:val="nil"/>
              <w:right w:val="nil"/>
            </w:tcBorders>
            <w:shd w:val="clear" w:color="auto" w:fill="auto"/>
            <w:noWrap/>
            <w:vAlign w:val="center"/>
          </w:tcPr>
          <w:p w14:paraId="19E5FC0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-0.80</w:t>
            </w:r>
          </w:p>
        </w:tc>
        <w:tc>
          <w:tcPr>
            <w:tcW w:w="730" w:type="dxa"/>
            <w:tcBorders>
              <w:top w:val="nil"/>
              <w:left w:val="nil"/>
              <w:bottom w:val="nil"/>
              <w:right w:val="nil"/>
            </w:tcBorders>
            <w:shd w:val="clear" w:color="auto" w:fill="D9D9D9"/>
            <w:vAlign w:val="center"/>
          </w:tcPr>
          <w:p w14:paraId="2702D97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-0.45</w:t>
            </w:r>
          </w:p>
        </w:tc>
      </w:tr>
      <w:tr w:rsidR="00E6060C" w:rsidRPr="00E6060C" w14:paraId="030BCAA8" w14:textId="77777777" w:rsidTr="007803A3">
        <w:trPr>
          <w:trHeight w:val="482"/>
        </w:trPr>
        <w:tc>
          <w:tcPr>
            <w:tcW w:w="1983" w:type="dxa"/>
            <w:shd w:val="clear" w:color="auto" w:fill="auto"/>
            <w:vAlign w:val="center"/>
          </w:tcPr>
          <w:p w14:paraId="40C9DF5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Resources and demands</w:t>
            </w:r>
          </w:p>
        </w:tc>
        <w:tc>
          <w:tcPr>
            <w:tcW w:w="723" w:type="dxa"/>
            <w:tcBorders>
              <w:top w:val="nil"/>
              <w:left w:val="nil"/>
              <w:bottom w:val="nil"/>
              <w:right w:val="nil"/>
            </w:tcBorders>
            <w:shd w:val="clear" w:color="auto" w:fill="auto"/>
            <w:noWrap/>
            <w:vAlign w:val="center"/>
          </w:tcPr>
          <w:p w14:paraId="1B8B1E8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64</w:t>
            </w:r>
          </w:p>
        </w:tc>
        <w:tc>
          <w:tcPr>
            <w:tcW w:w="723" w:type="dxa"/>
            <w:gridSpan w:val="2"/>
            <w:tcBorders>
              <w:top w:val="nil"/>
              <w:left w:val="nil"/>
              <w:bottom w:val="nil"/>
              <w:right w:val="nil"/>
            </w:tcBorders>
            <w:shd w:val="clear" w:color="auto" w:fill="D9D9D9"/>
            <w:vAlign w:val="center"/>
          </w:tcPr>
          <w:p w14:paraId="431EBA7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115</w:t>
            </w:r>
          </w:p>
        </w:tc>
        <w:tc>
          <w:tcPr>
            <w:tcW w:w="725" w:type="dxa"/>
            <w:tcBorders>
              <w:top w:val="nil"/>
              <w:left w:val="nil"/>
              <w:bottom w:val="nil"/>
              <w:right w:val="nil"/>
            </w:tcBorders>
            <w:shd w:val="clear" w:color="auto" w:fill="auto"/>
            <w:noWrap/>
            <w:vAlign w:val="center"/>
          </w:tcPr>
          <w:p w14:paraId="0CE370F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2.82</w:t>
            </w:r>
          </w:p>
        </w:tc>
        <w:tc>
          <w:tcPr>
            <w:tcW w:w="724" w:type="dxa"/>
            <w:gridSpan w:val="2"/>
            <w:tcBorders>
              <w:top w:val="nil"/>
              <w:left w:val="nil"/>
              <w:bottom w:val="nil"/>
              <w:right w:val="nil"/>
            </w:tcBorders>
            <w:shd w:val="clear" w:color="auto" w:fill="D9D9D9"/>
            <w:vAlign w:val="center"/>
          </w:tcPr>
          <w:p w14:paraId="0C72A85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2.87</w:t>
            </w:r>
          </w:p>
        </w:tc>
        <w:tc>
          <w:tcPr>
            <w:tcW w:w="725" w:type="dxa"/>
            <w:tcBorders>
              <w:top w:val="nil"/>
              <w:left w:val="nil"/>
              <w:bottom w:val="nil"/>
              <w:right w:val="nil"/>
            </w:tcBorders>
            <w:shd w:val="clear" w:color="auto" w:fill="auto"/>
            <w:noWrap/>
            <w:vAlign w:val="center"/>
          </w:tcPr>
          <w:p w14:paraId="25B143A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0.71</w:t>
            </w:r>
          </w:p>
        </w:tc>
        <w:tc>
          <w:tcPr>
            <w:tcW w:w="725" w:type="dxa"/>
            <w:gridSpan w:val="2"/>
            <w:tcBorders>
              <w:top w:val="nil"/>
              <w:left w:val="nil"/>
              <w:bottom w:val="nil"/>
              <w:right w:val="nil"/>
            </w:tcBorders>
            <w:shd w:val="clear" w:color="auto" w:fill="D9D9D9"/>
            <w:vAlign w:val="center"/>
          </w:tcPr>
          <w:p w14:paraId="1C7C8D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0.74</w:t>
            </w:r>
          </w:p>
        </w:tc>
        <w:tc>
          <w:tcPr>
            <w:tcW w:w="725" w:type="dxa"/>
            <w:tcBorders>
              <w:top w:val="nil"/>
              <w:left w:val="nil"/>
              <w:bottom w:val="nil"/>
              <w:right w:val="nil"/>
            </w:tcBorders>
            <w:shd w:val="clear" w:color="auto" w:fill="auto"/>
            <w:noWrap/>
            <w:vAlign w:val="center"/>
          </w:tcPr>
          <w:p w14:paraId="715B6CB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0.09</w:t>
            </w:r>
          </w:p>
        </w:tc>
        <w:tc>
          <w:tcPr>
            <w:tcW w:w="724" w:type="dxa"/>
            <w:gridSpan w:val="2"/>
            <w:tcBorders>
              <w:top w:val="nil"/>
              <w:left w:val="nil"/>
              <w:bottom w:val="nil"/>
              <w:right w:val="nil"/>
            </w:tcBorders>
            <w:shd w:val="clear" w:color="auto" w:fill="D9D9D9"/>
            <w:vAlign w:val="center"/>
          </w:tcPr>
          <w:p w14:paraId="5B65A37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tcBorders>
              <w:top w:val="nil"/>
              <w:left w:val="nil"/>
              <w:bottom w:val="nil"/>
              <w:right w:val="nil"/>
            </w:tcBorders>
            <w:shd w:val="clear" w:color="auto" w:fill="auto"/>
            <w:vAlign w:val="center"/>
          </w:tcPr>
          <w:p w14:paraId="653D962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5" w:type="dxa"/>
            <w:gridSpan w:val="2"/>
            <w:tcBorders>
              <w:top w:val="nil"/>
              <w:left w:val="nil"/>
              <w:bottom w:val="nil"/>
              <w:right w:val="nil"/>
            </w:tcBorders>
            <w:shd w:val="clear" w:color="auto" w:fill="D9D9D9"/>
            <w:vAlign w:val="center"/>
          </w:tcPr>
          <w:p w14:paraId="06B6224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2.86</w:t>
            </w:r>
          </w:p>
        </w:tc>
        <w:tc>
          <w:tcPr>
            <w:tcW w:w="724" w:type="dxa"/>
            <w:tcBorders>
              <w:top w:val="nil"/>
              <w:left w:val="nil"/>
              <w:bottom w:val="nil"/>
              <w:right w:val="nil"/>
            </w:tcBorders>
            <w:shd w:val="clear" w:color="auto" w:fill="auto"/>
            <w:noWrap/>
            <w:vAlign w:val="center"/>
          </w:tcPr>
          <w:p w14:paraId="144E86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237A067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1.29</w:t>
            </w:r>
          </w:p>
        </w:tc>
        <w:tc>
          <w:tcPr>
            <w:tcW w:w="725" w:type="dxa"/>
            <w:tcBorders>
              <w:top w:val="nil"/>
              <w:left w:val="nil"/>
              <w:bottom w:val="nil"/>
              <w:right w:val="nil"/>
            </w:tcBorders>
            <w:shd w:val="clear" w:color="auto" w:fill="auto"/>
            <w:noWrap/>
            <w:vAlign w:val="center"/>
          </w:tcPr>
          <w:p w14:paraId="1B56668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4.29</w:t>
            </w:r>
          </w:p>
        </w:tc>
        <w:tc>
          <w:tcPr>
            <w:tcW w:w="725" w:type="dxa"/>
            <w:tcBorders>
              <w:top w:val="nil"/>
              <w:left w:val="nil"/>
              <w:bottom w:val="nil"/>
              <w:right w:val="nil"/>
            </w:tcBorders>
            <w:shd w:val="clear" w:color="auto" w:fill="D9D9D9"/>
            <w:vAlign w:val="center"/>
          </w:tcPr>
          <w:p w14:paraId="5CA859C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418A0AF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-0.55</w:t>
            </w:r>
          </w:p>
        </w:tc>
        <w:tc>
          <w:tcPr>
            <w:tcW w:w="725" w:type="dxa"/>
            <w:tcBorders>
              <w:top w:val="nil"/>
              <w:left w:val="nil"/>
              <w:bottom w:val="nil"/>
              <w:right w:val="nil"/>
            </w:tcBorders>
            <w:shd w:val="clear" w:color="auto" w:fill="D9D9D9"/>
            <w:vAlign w:val="center"/>
          </w:tcPr>
          <w:p w14:paraId="67D3FC2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0.29</w:t>
            </w:r>
          </w:p>
        </w:tc>
        <w:tc>
          <w:tcPr>
            <w:tcW w:w="725" w:type="dxa"/>
            <w:gridSpan w:val="2"/>
            <w:tcBorders>
              <w:top w:val="nil"/>
              <w:left w:val="nil"/>
              <w:bottom w:val="nil"/>
              <w:right w:val="nil"/>
            </w:tcBorders>
            <w:shd w:val="clear" w:color="auto" w:fill="auto"/>
            <w:noWrap/>
            <w:vAlign w:val="center"/>
          </w:tcPr>
          <w:p w14:paraId="4A7E1EA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0.07</w:t>
            </w:r>
          </w:p>
        </w:tc>
        <w:tc>
          <w:tcPr>
            <w:tcW w:w="730" w:type="dxa"/>
            <w:tcBorders>
              <w:top w:val="nil"/>
              <w:left w:val="nil"/>
              <w:bottom w:val="nil"/>
              <w:right w:val="nil"/>
            </w:tcBorders>
            <w:shd w:val="clear" w:color="auto" w:fill="D9D9D9"/>
            <w:vAlign w:val="center"/>
          </w:tcPr>
          <w:p w14:paraId="636A60A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-0.05</w:t>
            </w:r>
          </w:p>
        </w:tc>
      </w:tr>
      <w:tr w:rsidR="00E6060C" w:rsidRPr="00E6060C" w14:paraId="6B704295" w14:textId="77777777" w:rsidTr="007803A3">
        <w:trPr>
          <w:trHeight w:val="482"/>
        </w:trPr>
        <w:tc>
          <w:tcPr>
            <w:tcW w:w="1983" w:type="dxa"/>
            <w:shd w:val="clear" w:color="auto" w:fill="auto"/>
            <w:vAlign w:val="center"/>
          </w:tcPr>
          <w:p w14:paraId="766A4188"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Autonomy</w:t>
            </w:r>
          </w:p>
        </w:tc>
        <w:tc>
          <w:tcPr>
            <w:tcW w:w="723" w:type="dxa"/>
            <w:tcBorders>
              <w:top w:val="nil"/>
              <w:left w:val="nil"/>
              <w:bottom w:val="nil"/>
              <w:right w:val="nil"/>
            </w:tcBorders>
            <w:shd w:val="clear" w:color="auto" w:fill="auto"/>
            <w:noWrap/>
            <w:vAlign w:val="center"/>
          </w:tcPr>
          <w:p w14:paraId="6560E89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723" w:type="dxa"/>
            <w:gridSpan w:val="2"/>
            <w:tcBorders>
              <w:top w:val="nil"/>
              <w:left w:val="nil"/>
              <w:bottom w:val="nil"/>
              <w:right w:val="nil"/>
            </w:tcBorders>
            <w:shd w:val="clear" w:color="auto" w:fill="D9D9D9"/>
            <w:vAlign w:val="center"/>
          </w:tcPr>
          <w:p w14:paraId="51C7755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113</w:t>
            </w:r>
          </w:p>
        </w:tc>
        <w:tc>
          <w:tcPr>
            <w:tcW w:w="725" w:type="dxa"/>
            <w:tcBorders>
              <w:top w:val="nil"/>
              <w:left w:val="nil"/>
              <w:bottom w:val="nil"/>
              <w:right w:val="nil"/>
            </w:tcBorders>
            <w:shd w:val="clear" w:color="auto" w:fill="auto"/>
            <w:noWrap/>
            <w:vAlign w:val="center"/>
          </w:tcPr>
          <w:p w14:paraId="6BEE7DC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3.75</w:t>
            </w:r>
          </w:p>
        </w:tc>
        <w:tc>
          <w:tcPr>
            <w:tcW w:w="724" w:type="dxa"/>
            <w:gridSpan w:val="2"/>
            <w:tcBorders>
              <w:top w:val="nil"/>
              <w:left w:val="nil"/>
              <w:bottom w:val="nil"/>
              <w:right w:val="nil"/>
            </w:tcBorders>
            <w:shd w:val="clear" w:color="auto" w:fill="D9D9D9"/>
            <w:vAlign w:val="center"/>
          </w:tcPr>
          <w:p w14:paraId="375CF57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3.90</w:t>
            </w:r>
          </w:p>
        </w:tc>
        <w:tc>
          <w:tcPr>
            <w:tcW w:w="725" w:type="dxa"/>
            <w:tcBorders>
              <w:top w:val="nil"/>
              <w:left w:val="nil"/>
              <w:bottom w:val="nil"/>
              <w:right w:val="nil"/>
            </w:tcBorders>
            <w:shd w:val="clear" w:color="auto" w:fill="auto"/>
            <w:noWrap/>
            <w:vAlign w:val="center"/>
          </w:tcPr>
          <w:p w14:paraId="0441C7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0.86</w:t>
            </w:r>
          </w:p>
        </w:tc>
        <w:tc>
          <w:tcPr>
            <w:tcW w:w="725" w:type="dxa"/>
            <w:gridSpan w:val="2"/>
            <w:tcBorders>
              <w:top w:val="nil"/>
              <w:left w:val="nil"/>
              <w:bottom w:val="nil"/>
              <w:right w:val="nil"/>
            </w:tcBorders>
            <w:shd w:val="clear" w:color="auto" w:fill="D9D9D9"/>
            <w:vAlign w:val="center"/>
          </w:tcPr>
          <w:p w14:paraId="6A9E8B1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0.73</w:t>
            </w:r>
          </w:p>
        </w:tc>
        <w:tc>
          <w:tcPr>
            <w:tcW w:w="725" w:type="dxa"/>
            <w:tcBorders>
              <w:top w:val="nil"/>
              <w:left w:val="nil"/>
              <w:bottom w:val="nil"/>
              <w:right w:val="nil"/>
            </w:tcBorders>
            <w:shd w:val="clear" w:color="auto" w:fill="auto"/>
            <w:noWrap/>
            <w:vAlign w:val="center"/>
          </w:tcPr>
          <w:p w14:paraId="5F4A9E3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0.11</w:t>
            </w:r>
          </w:p>
        </w:tc>
        <w:tc>
          <w:tcPr>
            <w:tcW w:w="724" w:type="dxa"/>
            <w:gridSpan w:val="2"/>
            <w:tcBorders>
              <w:top w:val="nil"/>
              <w:left w:val="nil"/>
              <w:bottom w:val="nil"/>
              <w:right w:val="nil"/>
            </w:tcBorders>
            <w:shd w:val="clear" w:color="auto" w:fill="D9D9D9"/>
            <w:vAlign w:val="center"/>
          </w:tcPr>
          <w:p w14:paraId="4CA55C6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tcBorders>
              <w:top w:val="nil"/>
              <w:left w:val="nil"/>
              <w:bottom w:val="nil"/>
              <w:right w:val="nil"/>
            </w:tcBorders>
            <w:shd w:val="clear" w:color="auto" w:fill="auto"/>
            <w:vAlign w:val="center"/>
          </w:tcPr>
          <w:p w14:paraId="7ED7D2B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38BC49E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2A6C8B1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2121FA6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2F9123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6E09FCA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102E282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-1.09</w:t>
            </w:r>
          </w:p>
        </w:tc>
        <w:tc>
          <w:tcPr>
            <w:tcW w:w="725" w:type="dxa"/>
            <w:tcBorders>
              <w:top w:val="nil"/>
              <w:left w:val="nil"/>
              <w:bottom w:val="nil"/>
              <w:right w:val="nil"/>
            </w:tcBorders>
            <w:shd w:val="clear" w:color="auto" w:fill="D9D9D9"/>
            <w:vAlign w:val="center"/>
          </w:tcPr>
          <w:p w14:paraId="55C7FEE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-0.47</w:t>
            </w:r>
          </w:p>
        </w:tc>
        <w:tc>
          <w:tcPr>
            <w:tcW w:w="725" w:type="dxa"/>
            <w:gridSpan w:val="2"/>
            <w:tcBorders>
              <w:top w:val="nil"/>
              <w:left w:val="nil"/>
              <w:bottom w:val="nil"/>
              <w:right w:val="nil"/>
            </w:tcBorders>
            <w:shd w:val="clear" w:color="auto" w:fill="auto"/>
            <w:noWrap/>
            <w:vAlign w:val="center"/>
          </w:tcPr>
          <w:p w14:paraId="748B5C8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1.25</w:t>
            </w:r>
          </w:p>
        </w:tc>
        <w:tc>
          <w:tcPr>
            <w:tcW w:w="730" w:type="dxa"/>
            <w:tcBorders>
              <w:top w:val="nil"/>
              <w:left w:val="nil"/>
              <w:bottom w:val="nil"/>
              <w:right w:val="nil"/>
            </w:tcBorders>
            <w:shd w:val="clear" w:color="auto" w:fill="D9D9D9"/>
            <w:vAlign w:val="center"/>
          </w:tcPr>
          <w:p w14:paraId="21699B1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0.64</w:t>
            </w:r>
          </w:p>
        </w:tc>
      </w:tr>
      <w:tr w:rsidR="00E6060C" w:rsidRPr="00E6060C" w14:paraId="0145B546" w14:textId="77777777" w:rsidTr="007803A3">
        <w:trPr>
          <w:trHeight w:val="482"/>
        </w:trPr>
        <w:tc>
          <w:tcPr>
            <w:tcW w:w="1983" w:type="dxa"/>
            <w:shd w:val="clear" w:color="auto" w:fill="auto"/>
            <w:vAlign w:val="center"/>
          </w:tcPr>
          <w:p w14:paraId="4CB73DE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Competence</w:t>
            </w:r>
          </w:p>
        </w:tc>
        <w:tc>
          <w:tcPr>
            <w:tcW w:w="723" w:type="dxa"/>
            <w:tcBorders>
              <w:top w:val="nil"/>
              <w:left w:val="nil"/>
              <w:bottom w:val="nil"/>
              <w:right w:val="nil"/>
            </w:tcBorders>
            <w:shd w:val="clear" w:color="auto" w:fill="auto"/>
            <w:noWrap/>
            <w:vAlign w:val="center"/>
          </w:tcPr>
          <w:p w14:paraId="2CCF60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723" w:type="dxa"/>
            <w:gridSpan w:val="2"/>
            <w:tcBorders>
              <w:top w:val="nil"/>
              <w:left w:val="nil"/>
              <w:bottom w:val="nil"/>
              <w:right w:val="nil"/>
            </w:tcBorders>
            <w:shd w:val="clear" w:color="auto" w:fill="D9D9D9"/>
            <w:vAlign w:val="center"/>
          </w:tcPr>
          <w:p w14:paraId="2AC4388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112</w:t>
            </w:r>
          </w:p>
        </w:tc>
        <w:tc>
          <w:tcPr>
            <w:tcW w:w="725" w:type="dxa"/>
            <w:tcBorders>
              <w:top w:val="nil"/>
              <w:left w:val="nil"/>
              <w:bottom w:val="nil"/>
              <w:right w:val="nil"/>
            </w:tcBorders>
            <w:shd w:val="clear" w:color="auto" w:fill="auto"/>
            <w:noWrap/>
            <w:vAlign w:val="center"/>
          </w:tcPr>
          <w:p w14:paraId="44BA8ED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3.79</w:t>
            </w:r>
          </w:p>
        </w:tc>
        <w:tc>
          <w:tcPr>
            <w:tcW w:w="724" w:type="dxa"/>
            <w:gridSpan w:val="2"/>
            <w:tcBorders>
              <w:top w:val="nil"/>
              <w:left w:val="nil"/>
              <w:bottom w:val="nil"/>
              <w:right w:val="nil"/>
            </w:tcBorders>
            <w:shd w:val="clear" w:color="auto" w:fill="D9D9D9"/>
            <w:vAlign w:val="center"/>
          </w:tcPr>
          <w:p w14:paraId="4407374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3.92</w:t>
            </w:r>
          </w:p>
        </w:tc>
        <w:tc>
          <w:tcPr>
            <w:tcW w:w="725" w:type="dxa"/>
            <w:tcBorders>
              <w:top w:val="nil"/>
              <w:left w:val="nil"/>
              <w:bottom w:val="nil"/>
              <w:right w:val="nil"/>
            </w:tcBorders>
            <w:shd w:val="clear" w:color="auto" w:fill="auto"/>
            <w:noWrap/>
            <w:vAlign w:val="center"/>
          </w:tcPr>
          <w:p w14:paraId="63E0A9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0.91</w:t>
            </w:r>
          </w:p>
        </w:tc>
        <w:tc>
          <w:tcPr>
            <w:tcW w:w="725" w:type="dxa"/>
            <w:gridSpan w:val="2"/>
            <w:tcBorders>
              <w:top w:val="nil"/>
              <w:left w:val="nil"/>
              <w:bottom w:val="nil"/>
              <w:right w:val="nil"/>
            </w:tcBorders>
            <w:shd w:val="clear" w:color="auto" w:fill="D9D9D9"/>
            <w:vAlign w:val="center"/>
          </w:tcPr>
          <w:p w14:paraId="3CC75CB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0.74</w:t>
            </w:r>
          </w:p>
        </w:tc>
        <w:tc>
          <w:tcPr>
            <w:tcW w:w="725" w:type="dxa"/>
            <w:tcBorders>
              <w:top w:val="nil"/>
              <w:left w:val="nil"/>
              <w:bottom w:val="nil"/>
              <w:right w:val="nil"/>
            </w:tcBorders>
            <w:shd w:val="clear" w:color="auto" w:fill="auto"/>
            <w:noWrap/>
            <w:vAlign w:val="center"/>
          </w:tcPr>
          <w:p w14:paraId="473CE73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0.11</w:t>
            </w:r>
          </w:p>
        </w:tc>
        <w:tc>
          <w:tcPr>
            <w:tcW w:w="724" w:type="dxa"/>
            <w:gridSpan w:val="2"/>
            <w:tcBorders>
              <w:top w:val="nil"/>
              <w:left w:val="nil"/>
              <w:bottom w:val="nil"/>
              <w:right w:val="nil"/>
            </w:tcBorders>
            <w:shd w:val="clear" w:color="auto" w:fill="D9D9D9"/>
            <w:vAlign w:val="center"/>
          </w:tcPr>
          <w:p w14:paraId="067F2A2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tcBorders>
              <w:top w:val="nil"/>
              <w:left w:val="nil"/>
              <w:bottom w:val="nil"/>
              <w:right w:val="nil"/>
            </w:tcBorders>
            <w:shd w:val="clear" w:color="auto" w:fill="auto"/>
            <w:vAlign w:val="center"/>
          </w:tcPr>
          <w:p w14:paraId="5781201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0FB7F65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1F72D42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1341C6D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5D76FF4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392CFFD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0E5FD74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-1.29</w:t>
            </w:r>
          </w:p>
        </w:tc>
        <w:tc>
          <w:tcPr>
            <w:tcW w:w="725" w:type="dxa"/>
            <w:tcBorders>
              <w:top w:val="nil"/>
              <w:left w:val="nil"/>
              <w:bottom w:val="nil"/>
              <w:right w:val="nil"/>
            </w:tcBorders>
            <w:shd w:val="clear" w:color="auto" w:fill="D9D9D9"/>
            <w:vAlign w:val="center"/>
          </w:tcPr>
          <w:p w14:paraId="0DD1FE5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-0.76</w:t>
            </w:r>
          </w:p>
        </w:tc>
        <w:tc>
          <w:tcPr>
            <w:tcW w:w="725" w:type="dxa"/>
            <w:gridSpan w:val="2"/>
            <w:tcBorders>
              <w:top w:val="nil"/>
              <w:left w:val="nil"/>
              <w:bottom w:val="nil"/>
              <w:right w:val="nil"/>
            </w:tcBorders>
            <w:shd w:val="clear" w:color="auto" w:fill="auto"/>
            <w:noWrap/>
            <w:vAlign w:val="center"/>
          </w:tcPr>
          <w:p w14:paraId="4C17BAC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1.90</w:t>
            </w:r>
          </w:p>
        </w:tc>
        <w:tc>
          <w:tcPr>
            <w:tcW w:w="730" w:type="dxa"/>
            <w:tcBorders>
              <w:top w:val="nil"/>
              <w:left w:val="nil"/>
              <w:bottom w:val="nil"/>
              <w:right w:val="nil"/>
            </w:tcBorders>
            <w:shd w:val="clear" w:color="auto" w:fill="D9D9D9"/>
            <w:vAlign w:val="center"/>
          </w:tcPr>
          <w:p w14:paraId="4566513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2.13</w:t>
            </w:r>
          </w:p>
        </w:tc>
      </w:tr>
      <w:tr w:rsidR="00E6060C" w:rsidRPr="00E6060C" w14:paraId="6E8193B0" w14:textId="77777777" w:rsidTr="007803A3">
        <w:trPr>
          <w:trHeight w:val="482"/>
        </w:trPr>
        <w:tc>
          <w:tcPr>
            <w:tcW w:w="1983" w:type="dxa"/>
            <w:shd w:val="clear" w:color="auto" w:fill="auto"/>
            <w:vAlign w:val="center"/>
          </w:tcPr>
          <w:p w14:paraId="6A47E43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723" w:type="dxa"/>
            <w:tcBorders>
              <w:top w:val="nil"/>
              <w:left w:val="nil"/>
              <w:bottom w:val="nil"/>
              <w:right w:val="nil"/>
            </w:tcBorders>
            <w:shd w:val="clear" w:color="auto" w:fill="auto"/>
            <w:noWrap/>
            <w:vAlign w:val="center"/>
          </w:tcPr>
          <w:p w14:paraId="630A1A9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723" w:type="dxa"/>
            <w:gridSpan w:val="2"/>
            <w:tcBorders>
              <w:top w:val="nil"/>
              <w:left w:val="nil"/>
              <w:bottom w:val="nil"/>
              <w:right w:val="nil"/>
            </w:tcBorders>
            <w:shd w:val="clear" w:color="auto" w:fill="D9D9D9"/>
            <w:vAlign w:val="center"/>
          </w:tcPr>
          <w:p w14:paraId="15AC1D8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112</w:t>
            </w:r>
          </w:p>
        </w:tc>
        <w:tc>
          <w:tcPr>
            <w:tcW w:w="725" w:type="dxa"/>
            <w:tcBorders>
              <w:top w:val="nil"/>
              <w:left w:val="nil"/>
              <w:bottom w:val="nil"/>
              <w:right w:val="nil"/>
            </w:tcBorders>
            <w:shd w:val="clear" w:color="auto" w:fill="auto"/>
            <w:noWrap/>
            <w:vAlign w:val="center"/>
          </w:tcPr>
          <w:p w14:paraId="06F4AC3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4.19</w:t>
            </w:r>
          </w:p>
        </w:tc>
        <w:tc>
          <w:tcPr>
            <w:tcW w:w="724" w:type="dxa"/>
            <w:gridSpan w:val="2"/>
            <w:tcBorders>
              <w:top w:val="nil"/>
              <w:left w:val="nil"/>
              <w:bottom w:val="nil"/>
              <w:right w:val="nil"/>
            </w:tcBorders>
            <w:shd w:val="clear" w:color="auto" w:fill="D9D9D9"/>
            <w:vAlign w:val="center"/>
          </w:tcPr>
          <w:p w14:paraId="738079D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4.32</w:t>
            </w:r>
          </w:p>
        </w:tc>
        <w:tc>
          <w:tcPr>
            <w:tcW w:w="725" w:type="dxa"/>
            <w:tcBorders>
              <w:top w:val="nil"/>
              <w:left w:val="nil"/>
              <w:bottom w:val="nil"/>
              <w:right w:val="nil"/>
            </w:tcBorders>
            <w:shd w:val="clear" w:color="auto" w:fill="auto"/>
            <w:noWrap/>
            <w:vAlign w:val="center"/>
          </w:tcPr>
          <w:p w14:paraId="22CF63E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0.60</w:t>
            </w:r>
          </w:p>
        </w:tc>
        <w:tc>
          <w:tcPr>
            <w:tcW w:w="725" w:type="dxa"/>
            <w:gridSpan w:val="2"/>
            <w:tcBorders>
              <w:top w:val="nil"/>
              <w:left w:val="nil"/>
              <w:bottom w:val="nil"/>
              <w:right w:val="nil"/>
            </w:tcBorders>
            <w:shd w:val="clear" w:color="auto" w:fill="D9D9D9"/>
            <w:vAlign w:val="center"/>
          </w:tcPr>
          <w:p w14:paraId="0939831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0.56</w:t>
            </w:r>
          </w:p>
        </w:tc>
        <w:tc>
          <w:tcPr>
            <w:tcW w:w="725" w:type="dxa"/>
            <w:tcBorders>
              <w:top w:val="nil"/>
              <w:left w:val="nil"/>
              <w:bottom w:val="nil"/>
              <w:right w:val="nil"/>
            </w:tcBorders>
            <w:shd w:val="clear" w:color="auto" w:fill="auto"/>
            <w:noWrap/>
            <w:vAlign w:val="center"/>
          </w:tcPr>
          <w:p w14:paraId="7E66FD3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0.08</w:t>
            </w:r>
          </w:p>
        </w:tc>
        <w:tc>
          <w:tcPr>
            <w:tcW w:w="724" w:type="dxa"/>
            <w:gridSpan w:val="2"/>
            <w:tcBorders>
              <w:top w:val="nil"/>
              <w:left w:val="nil"/>
              <w:bottom w:val="nil"/>
              <w:right w:val="nil"/>
            </w:tcBorders>
            <w:shd w:val="clear" w:color="auto" w:fill="D9D9D9"/>
            <w:vAlign w:val="center"/>
          </w:tcPr>
          <w:p w14:paraId="500C39F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0.05</w:t>
            </w:r>
          </w:p>
        </w:tc>
        <w:tc>
          <w:tcPr>
            <w:tcW w:w="725" w:type="dxa"/>
            <w:tcBorders>
              <w:top w:val="nil"/>
              <w:left w:val="nil"/>
              <w:bottom w:val="nil"/>
              <w:right w:val="nil"/>
            </w:tcBorders>
            <w:shd w:val="clear" w:color="auto" w:fill="auto"/>
            <w:vAlign w:val="center"/>
          </w:tcPr>
          <w:p w14:paraId="0018614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425851C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4.33</w:t>
            </w:r>
          </w:p>
        </w:tc>
        <w:tc>
          <w:tcPr>
            <w:tcW w:w="724" w:type="dxa"/>
            <w:tcBorders>
              <w:top w:val="nil"/>
              <w:left w:val="nil"/>
              <w:bottom w:val="nil"/>
              <w:right w:val="nil"/>
            </w:tcBorders>
            <w:shd w:val="clear" w:color="auto" w:fill="auto"/>
            <w:noWrap/>
            <w:vAlign w:val="center"/>
          </w:tcPr>
          <w:p w14:paraId="51473F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355A10A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725" w:type="dxa"/>
            <w:tcBorders>
              <w:top w:val="nil"/>
              <w:left w:val="nil"/>
              <w:bottom w:val="nil"/>
              <w:right w:val="nil"/>
            </w:tcBorders>
            <w:shd w:val="clear" w:color="auto" w:fill="auto"/>
            <w:noWrap/>
            <w:vAlign w:val="center"/>
          </w:tcPr>
          <w:p w14:paraId="5B3E4D8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00322DD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201517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-2.08</w:t>
            </w:r>
          </w:p>
        </w:tc>
        <w:tc>
          <w:tcPr>
            <w:tcW w:w="725" w:type="dxa"/>
            <w:tcBorders>
              <w:top w:val="nil"/>
              <w:left w:val="nil"/>
              <w:bottom w:val="nil"/>
              <w:right w:val="nil"/>
            </w:tcBorders>
            <w:shd w:val="clear" w:color="auto" w:fill="D9D9D9"/>
            <w:vAlign w:val="center"/>
          </w:tcPr>
          <w:p w14:paraId="643DE72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-0.14</w:t>
            </w:r>
          </w:p>
        </w:tc>
        <w:tc>
          <w:tcPr>
            <w:tcW w:w="725" w:type="dxa"/>
            <w:gridSpan w:val="2"/>
            <w:tcBorders>
              <w:top w:val="nil"/>
              <w:left w:val="nil"/>
              <w:bottom w:val="nil"/>
              <w:right w:val="nil"/>
            </w:tcBorders>
            <w:shd w:val="clear" w:color="auto" w:fill="auto"/>
            <w:noWrap/>
            <w:vAlign w:val="center"/>
          </w:tcPr>
          <w:p w14:paraId="35D91AA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11.60</w:t>
            </w:r>
          </w:p>
        </w:tc>
        <w:tc>
          <w:tcPr>
            <w:tcW w:w="730" w:type="dxa"/>
            <w:tcBorders>
              <w:top w:val="nil"/>
              <w:left w:val="nil"/>
              <w:bottom w:val="nil"/>
              <w:right w:val="nil"/>
            </w:tcBorders>
            <w:shd w:val="clear" w:color="auto" w:fill="D9D9D9"/>
            <w:vAlign w:val="center"/>
          </w:tcPr>
          <w:p w14:paraId="64DF886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-1.16</w:t>
            </w:r>
          </w:p>
        </w:tc>
      </w:tr>
      <w:tr w:rsidR="00E6060C" w:rsidRPr="00E6060C" w14:paraId="59353E0C" w14:textId="77777777" w:rsidTr="007803A3">
        <w:trPr>
          <w:trHeight w:val="482"/>
        </w:trPr>
        <w:tc>
          <w:tcPr>
            <w:tcW w:w="1983" w:type="dxa"/>
            <w:shd w:val="clear" w:color="auto" w:fill="auto"/>
            <w:vAlign w:val="center"/>
          </w:tcPr>
          <w:p w14:paraId="7C0BBBD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723" w:type="dxa"/>
            <w:tcBorders>
              <w:top w:val="nil"/>
              <w:left w:val="nil"/>
              <w:bottom w:val="nil"/>
              <w:right w:val="nil"/>
            </w:tcBorders>
            <w:shd w:val="clear" w:color="auto" w:fill="auto"/>
            <w:noWrap/>
            <w:vAlign w:val="center"/>
          </w:tcPr>
          <w:p w14:paraId="693175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64</w:t>
            </w:r>
          </w:p>
        </w:tc>
        <w:tc>
          <w:tcPr>
            <w:tcW w:w="723" w:type="dxa"/>
            <w:gridSpan w:val="2"/>
            <w:tcBorders>
              <w:top w:val="nil"/>
              <w:left w:val="nil"/>
              <w:bottom w:val="nil"/>
              <w:right w:val="nil"/>
            </w:tcBorders>
            <w:shd w:val="clear" w:color="auto" w:fill="D9D9D9"/>
            <w:vAlign w:val="center"/>
          </w:tcPr>
          <w:p w14:paraId="296D06B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110</w:t>
            </w:r>
          </w:p>
        </w:tc>
        <w:tc>
          <w:tcPr>
            <w:tcW w:w="725" w:type="dxa"/>
            <w:tcBorders>
              <w:top w:val="nil"/>
              <w:left w:val="nil"/>
              <w:bottom w:val="nil"/>
              <w:right w:val="nil"/>
            </w:tcBorders>
            <w:shd w:val="clear" w:color="auto" w:fill="auto"/>
            <w:noWrap/>
            <w:vAlign w:val="center"/>
          </w:tcPr>
          <w:p w14:paraId="56A7D08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5.30</w:t>
            </w:r>
          </w:p>
        </w:tc>
        <w:tc>
          <w:tcPr>
            <w:tcW w:w="724" w:type="dxa"/>
            <w:gridSpan w:val="2"/>
            <w:tcBorders>
              <w:top w:val="nil"/>
              <w:left w:val="nil"/>
              <w:bottom w:val="nil"/>
              <w:right w:val="nil"/>
            </w:tcBorders>
            <w:shd w:val="clear" w:color="auto" w:fill="D9D9D9"/>
            <w:vAlign w:val="center"/>
          </w:tcPr>
          <w:p w14:paraId="7EF8C04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5.43</w:t>
            </w:r>
          </w:p>
        </w:tc>
        <w:tc>
          <w:tcPr>
            <w:tcW w:w="725" w:type="dxa"/>
            <w:tcBorders>
              <w:top w:val="nil"/>
              <w:left w:val="nil"/>
              <w:bottom w:val="nil"/>
              <w:right w:val="nil"/>
            </w:tcBorders>
            <w:shd w:val="clear" w:color="auto" w:fill="auto"/>
            <w:noWrap/>
            <w:vAlign w:val="center"/>
          </w:tcPr>
          <w:p w14:paraId="27F49A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1.39</w:t>
            </w:r>
          </w:p>
        </w:tc>
        <w:tc>
          <w:tcPr>
            <w:tcW w:w="725" w:type="dxa"/>
            <w:gridSpan w:val="2"/>
            <w:tcBorders>
              <w:top w:val="nil"/>
              <w:left w:val="nil"/>
              <w:bottom w:val="nil"/>
              <w:right w:val="nil"/>
            </w:tcBorders>
            <w:shd w:val="clear" w:color="auto" w:fill="D9D9D9"/>
            <w:vAlign w:val="center"/>
          </w:tcPr>
          <w:p w14:paraId="6DDE3AC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1.21</w:t>
            </w:r>
          </w:p>
        </w:tc>
        <w:tc>
          <w:tcPr>
            <w:tcW w:w="725" w:type="dxa"/>
            <w:tcBorders>
              <w:top w:val="nil"/>
              <w:left w:val="nil"/>
              <w:bottom w:val="nil"/>
              <w:right w:val="nil"/>
            </w:tcBorders>
            <w:shd w:val="clear" w:color="auto" w:fill="auto"/>
            <w:noWrap/>
            <w:vAlign w:val="center"/>
          </w:tcPr>
          <w:p w14:paraId="0182E2E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0.17</w:t>
            </w:r>
          </w:p>
        </w:tc>
        <w:tc>
          <w:tcPr>
            <w:tcW w:w="724" w:type="dxa"/>
            <w:gridSpan w:val="2"/>
            <w:tcBorders>
              <w:top w:val="nil"/>
              <w:left w:val="nil"/>
              <w:bottom w:val="nil"/>
              <w:right w:val="nil"/>
            </w:tcBorders>
            <w:shd w:val="clear" w:color="auto" w:fill="D9D9D9"/>
            <w:vAlign w:val="center"/>
          </w:tcPr>
          <w:p w14:paraId="154696E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0.12</w:t>
            </w:r>
          </w:p>
        </w:tc>
        <w:tc>
          <w:tcPr>
            <w:tcW w:w="725" w:type="dxa"/>
            <w:tcBorders>
              <w:top w:val="nil"/>
              <w:left w:val="nil"/>
              <w:bottom w:val="nil"/>
              <w:right w:val="nil"/>
            </w:tcBorders>
            <w:shd w:val="clear" w:color="auto" w:fill="auto"/>
            <w:vAlign w:val="center"/>
          </w:tcPr>
          <w:p w14:paraId="5017C22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5.67</w:t>
            </w:r>
          </w:p>
        </w:tc>
        <w:tc>
          <w:tcPr>
            <w:tcW w:w="725" w:type="dxa"/>
            <w:gridSpan w:val="2"/>
            <w:tcBorders>
              <w:top w:val="nil"/>
              <w:left w:val="nil"/>
              <w:bottom w:val="nil"/>
              <w:right w:val="nil"/>
            </w:tcBorders>
            <w:shd w:val="clear" w:color="auto" w:fill="D9D9D9"/>
            <w:vAlign w:val="center"/>
          </w:tcPr>
          <w:p w14:paraId="3A7F69C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5.56</w:t>
            </w:r>
          </w:p>
        </w:tc>
        <w:tc>
          <w:tcPr>
            <w:tcW w:w="724" w:type="dxa"/>
            <w:tcBorders>
              <w:top w:val="nil"/>
              <w:left w:val="nil"/>
              <w:bottom w:val="nil"/>
              <w:right w:val="nil"/>
            </w:tcBorders>
            <w:shd w:val="clear" w:color="auto" w:fill="auto"/>
            <w:noWrap/>
            <w:vAlign w:val="center"/>
          </w:tcPr>
          <w:p w14:paraId="4508F9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0460AAD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2.22</w:t>
            </w:r>
          </w:p>
        </w:tc>
        <w:tc>
          <w:tcPr>
            <w:tcW w:w="725" w:type="dxa"/>
            <w:tcBorders>
              <w:top w:val="nil"/>
              <w:left w:val="nil"/>
              <w:bottom w:val="nil"/>
              <w:right w:val="nil"/>
            </w:tcBorders>
            <w:shd w:val="clear" w:color="auto" w:fill="auto"/>
            <w:noWrap/>
            <w:vAlign w:val="center"/>
          </w:tcPr>
          <w:p w14:paraId="0B86A6E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47BE2A5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656A079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-0.99</w:t>
            </w:r>
          </w:p>
        </w:tc>
        <w:tc>
          <w:tcPr>
            <w:tcW w:w="725" w:type="dxa"/>
            <w:tcBorders>
              <w:top w:val="nil"/>
              <w:left w:val="nil"/>
              <w:bottom w:val="nil"/>
              <w:right w:val="nil"/>
            </w:tcBorders>
            <w:shd w:val="clear" w:color="auto" w:fill="D9D9D9"/>
            <w:vAlign w:val="center"/>
          </w:tcPr>
          <w:p w14:paraId="2FB2257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-0.55</w:t>
            </w:r>
          </w:p>
        </w:tc>
        <w:tc>
          <w:tcPr>
            <w:tcW w:w="725" w:type="dxa"/>
            <w:gridSpan w:val="2"/>
            <w:tcBorders>
              <w:top w:val="nil"/>
              <w:left w:val="nil"/>
              <w:bottom w:val="nil"/>
              <w:right w:val="nil"/>
            </w:tcBorders>
            <w:shd w:val="clear" w:color="auto" w:fill="auto"/>
            <w:noWrap/>
            <w:vAlign w:val="center"/>
          </w:tcPr>
          <w:p w14:paraId="605418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0.69</w:t>
            </w:r>
          </w:p>
        </w:tc>
        <w:tc>
          <w:tcPr>
            <w:tcW w:w="730" w:type="dxa"/>
            <w:tcBorders>
              <w:top w:val="nil"/>
              <w:left w:val="nil"/>
              <w:bottom w:val="nil"/>
              <w:right w:val="nil"/>
            </w:tcBorders>
            <w:shd w:val="clear" w:color="auto" w:fill="D9D9D9"/>
            <w:vAlign w:val="center"/>
          </w:tcPr>
          <w:p w14:paraId="153CD14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-0.40</w:t>
            </w:r>
          </w:p>
        </w:tc>
      </w:tr>
      <w:tr w:rsidR="00E6060C" w:rsidRPr="00E6060C" w14:paraId="1E4166F5" w14:textId="77777777" w:rsidTr="007803A3">
        <w:trPr>
          <w:trHeight w:val="482"/>
        </w:trPr>
        <w:tc>
          <w:tcPr>
            <w:tcW w:w="1983" w:type="dxa"/>
            <w:shd w:val="clear" w:color="auto" w:fill="auto"/>
            <w:vAlign w:val="center"/>
          </w:tcPr>
          <w:p w14:paraId="6A9A4778"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723" w:type="dxa"/>
            <w:tcBorders>
              <w:top w:val="nil"/>
              <w:left w:val="nil"/>
              <w:bottom w:val="nil"/>
              <w:right w:val="nil"/>
            </w:tcBorders>
            <w:shd w:val="clear" w:color="auto" w:fill="auto"/>
            <w:noWrap/>
            <w:vAlign w:val="center"/>
          </w:tcPr>
          <w:p w14:paraId="3BB4C3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w:t>
            </w:r>
          </w:p>
        </w:tc>
        <w:tc>
          <w:tcPr>
            <w:tcW w:w="723" w:type="dxa"/>
            <w:gridSpan w:val="2"/>
            <w:tcBorders>
              <w:top w:val="nil"/>
              <w:left w:val="nil"/>
              <w:bottom w:val="nil"/>
              <w:right w:val="nil"/>
            </w:tcBorders>
            <w:shd w:val="clear" w:color="auto" w:fill="D9D9D9"/>
            <w:vAlign w:val="center"/>
          </w:tcPr>
          <w:p w14:paraId="20AE781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111</w:t>
            </w:r>
          </w:p>
        </w:tc>
        <w:tc>
          <w:tcPr>
            <w:tcW w:w="725" w:type="dxa"/>
            <w:tcBorders>
              <w:top w:val="nil"/>
              <w:left w:val="nil"/>
              <w:bottom w:val="nil"/>
              <w:right w:val="nil"/>
            </w:tcBorders>
            <w:shd w:val="clear" w:color="auto" w:fill="auto"/>
            <w:noWrap/>
            <w:vAlign w:val="center"/>
          </w:tcPr>
          <w:p w14:paraId="6042FA6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5.50</w:t>
            </w:r>
          </w:p>
        </w:tc>
        <w:tc>
          <w:tcPr>
            <w:tcW w:w="724" w:type="dxa"/>
            <w:gridSpan w:val="2"/>
            <w:tcBorders>
              <w:top w:val="nil"/>
              <w:left w:val="nil"/>
              <w:bottom w:val="nil"/>
              <w:right w:val="nil"/>
            </w:tcBorders>
            <w:shd w:val="clear" w:color="auto" w:fill="D9D9D9"/>
            <w:vAlign w:val="center"/>
          </w:tcPr>
          <w:p w14:paraId="048D23A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5.47</w:t>
            </w:r>
          </w:p>
        </w:tc>
        <w:tc>
          <w:tcPr>
            <w:tcW w:w="725" w:type="dxa"/>
            <w:tcBorders>
              <w:top w:val="nil"/>
              <w:left w:val="nil"/>
              <w:bottom w:val="nil"/>
              <w:right w:val="nil"/>
            </w:tcBorders>
            <w:shd w:val="clear" w:color="auto" w:fill="auto"/>
            <w:noWrap/>
            <w:vAlign w:val="center"/>
          </w:tcPr>
          <w:p w14:paraId="359D762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1.31</w:t>
            </w:r>
          </w:p>
        </w:tc>
        <w:tc>
          <w:tcPr>
            <w:tcW w:w="725" w:type="dxa"/>
            <w:gridSpan w:val="2"/>
            <w:tcBorders>
              <w:top w:val="nil"/>
              <w:left w:val="nil"/>
              <w:bottom w:val="nil"/>
              <w:right w:val="nil"/>
            </w:tcBorders>
            <w:shd w:val="clear" w:color="auto" w:fill="D9D9D9"/>
            <w:vAlign w:val="center"/>
          </w:tcPr>
          <w:p w14:paraId="74CB017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1.02</w:t>
            </w:r>
          </w:p>
        </w:tc>
        <w:tc>
          <w:tcPr>
            <w:tcW w:w="725" w:type="dxa"/>
            <w:tcBorders>
              <w:top w:val="nil"/>
              <w:left w:val="nil"/>
              <w:bottom w:val="nil"/>
              <w:right w:val="nil"/>
            </w:tcBorders>
            <w:shd w:val="clear" w:color="auto" w:fill="auto"/>
            <w:noWrap/>
            <w:vAlign w:val="center"/>
          </w:tcPr>
          <w:p w14:paraId="2B036A9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0.17</w:t>
            </w:r>
          </w:p>
        </w:tc>
        <w:tc>
          <w:tcPr>
            <w:tcW w:w="724" w:type="dxa"/>
            <w:gridSpan w:val="2"/>
            <w:tcBorders>
              <w:top w:val="nil"/>
              <w:left w:val="nil"/>
              <w:bottom w:val="nil"/>
              <w:right w:val="nil"/>
            </w:tcBorders>
            <w:shd w:val="clear" w:color="auto" w:fill="D9D9D9"/>
            <w:vAlign w:val="center"/>
          </w:tcPr>
          <w:p w14:paraId="3D1D56E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0.10</w:t>
            </w:r>
          </w:p>
        </w:tc>
        <w:tc>
          <w:tcPr>
            <w:tcW w:w="725" w:type="dxa"/>
            <w:tcBorders>
              <w:top w:val="nil"/>
              <w:left w:val="nil"/>
              <w:bottom w:val="nil"/>
              <w:right w:val="nil"/>
            </w:tcBorders>
            <w:shd w:val="clear" w:color="auto" w:fill="auto"/>
            <w:vAlign w:val="center"/>
          </w:tcPr>
          <w:p w14:paraId="299BEEA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5.75</w:t>
            </w:r>
          </w:p>
        </w:tc>
        <w:tc>
          <w:tcPr>
            <w:tcW w:w="725" w:type="dxa"/>
            <w:gridSpan w:val="2"/>
            <w:tcBorders>
              <w:top w:val="nil"/>
              <w:left w:val="nil"/>
              <w:bottom w:val="nil"/>
              <w:right w:val="nil"/>
            </w:tcBorders>
            <w:shd w:val="clear" w:color="auto" w:fill="D9D9D9"/>
            <w:vAlign w:val="center"/>
          </w:tcPr>
          <w:p w14:paraId="5E1E62F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5.75</w:t>
            </w:r>
          </w:p>
        </w:tc>
        <w:tc>
          <w:tcPr>
            <w:tcW w:w="724" w:type="dxa"/>
            <w:tcBorders>
              <w:top w:val="nil"/>
              <w:left w:val="nil"/>
              <w:bottom w:val="nil"/>
              <w:right w:val="nil"/>
            </w:tcBorders>
            <w:shd w:val="clear" w:color="auto" w:fill="auto"/>
            <w:noWrap/>
            <w:vAlign w:val="center"/>
          </w:tcPr>
          <w:p w14:paraId="4EC86F3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7A5F224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725" w:type="dxa"/>
            <w:tcBorders>
              <w:top w:val="nil"/>
              <w:left w:val="nil"/>
              <w:bottom w:val="nil"/>
              <w:right w:val="nil"/>
            </w:tcBorders>
            <w:shd w:val="clear" w:color="auto" w:fill="auto"/>
            <w:noWrap/>
            <w:vAlign w:val="center"/>
          </w:tcPr>
          <w:p w14:paraId="2EB3492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2F0A0FB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300ADD2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-1.58</w:t>
            </w:r>
          </w:p>
        </w:tc>
        <w:tc>
          <w:tcPr>
            <w:tcW w:w="725" w:type="dxa"/>
            <w:tcBorders>
              <w:top w:val="nil"/>
              <w:left w:val="nil"/>
              <w:bottom w:val="nil"/>
              <w:right w:val="nil"/>
            </w:tcBorders>
            <w:shd w:val="clear" w:color="auto" w:fill="D9D9D9"/>
            <w:vAlign w:val="center"/>
          </w:tcPr>
          <w:p w14:paraId="2BD378B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-0.90</w:t>
            </w:r>
          </w:p>
        </w:tc>
        <w:tc>
          <w:tcPr>
            <w:tcW w:w="725" w:type="dxa"/>
            <w:gridSpan w:val="2"/>
            <w:tcBorders>
              <w:top w:val="nil"/>
              <w:left w:val="nil"/>
              <w:bottom w:val="nil"/>
              <w:right w:val="nil"/>
            </w:tcBorders>
            <w:shd w:val="clear" w:color="auto" w:fill="auto"/>
            <w:noWrap/>
            <w:vAlign w:val="center"/>
          </w:tcPr>
          <w:p w14:paraId="6ACBB46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3.28</w:t>
            </w:r>
          </w:p>
        </w:tc>
        <w:tc>
          <w:tcPr>
            <w:tcW w:w="730" w:type="dxa"/>
            <w:tcBorders>
              <w:top w:val="nil"/>
              <w:left w:val="nil"/>
              <w:bottom w:val="nil"/>
              <w:right w:val="nil"/>
            </w:tcBorders>
            <w:shd w:val="clear" w:color="auto" w:fill="D9D9D9"/>
            <w:vAlign w:val="center"/>
          </w:tcPr>
          <w:p w14:paraId="23D42FF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0.70</w:t>
            </w:r>
          </w:p>
        </w:tc>
      </w:tr>
      <w:tr w:rsidR="00E6060C" w:rsidRPr="00E6060C" w14:paraId="4944C94A" w14:textId="77777777" w:rsidTr="007803A3">
        <w:trPr>
          <w:trHeight w:val="482"/>
        </w:trPr>
        <w:tc>
          <w:tcPr>
            <w:tcW w:w="1983" w:type="dxa"/>
            <w:shd w:val="clear" w:color="auto" w:fill="auto"/>
            <w:vAlign w:val="center"/>
          </w:tcPr>
          <w:p w14:paraId="4E17966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723" w:type="dxa"/>
            <w:tcBorders>
              <w:top w:val="nil"/>
              <w:left w:val="nil"/>
              <w:bottom w:val="nil"/>
              <w:right w:val="nil"/>
            </w:tcBorders>
            <w:shd w:val="clear" w:color="auto" w:fill="auto"/>
            <w:noWrap/>
            <w:vAlign w:val="center"/>
          </w:tcPr>
          <w:p w14:paraId="79F0C4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w:t>
            </w:r>
          </w:p>
        </w:tc>
        <w:tc>
          <w:tcPr>
            <w:tcW w:w="723" w:type="dxa"/>
            <w:gridSpan w:val="2"/>
            <w:tcBorders>
              <w:top w:val="nil"/>
              <w:left w:val="nil"/>
              <w:bottom w:val="nil"/>
              <w:right w:val="nil"/>
            </w:tcBorders>
            <w:shd w:val="clear" w:color="auto" w:fill="D9D9D9"/>
            <w:vAlign w:val="center"/>
          </w:tcPr>
          <w:p w14:paraId="24B8FED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109</w:t>
            </w:r>
          </w:p>
        </w:tc>
        <w:tc>
          <w:tcPr>
            <w:tcW w:w="725" w:type="dxa"/>
            <w:tcBorders>
              <w:top w:val="nil"/>
              <w:left w:val="nil"/>
              <w:bottom w:val="nil"/>
              <w:right w:val="nil"/>
            </w:tcBorders>
            <w:shd w:val="clear" w:color="auto" w:fill="auto"/>
            <w:noWrap/>
            <w:vAlign w:val="center"/>
          </w:tcPr>
          <w:p w14:paraId="6814AE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3.90</w:t>
            </w:r>
          </w:p>
        </w:tc>
        <w:tc>
          <w:tcPr>
            <w:tcW w:w="724" w:type="dxa"/>
            <w:gridSpan w:val="2"/>
            <w:tcBorders>
              <w:top w:val="nil"/>
              <w:left w:val="nil"/>
              <w:bottom w:val="nil"/>
              <w:right w:val="nil"/>
            </w:tcBorders>
            <w:shd w:val="clear" w:color="auto" w:fill="D9D9D9"/>
            <w:vAlign w:val="center"/>
          </w:tcPr>
          <w:p w14:paraId="7C86D45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3.68</w:t>
            </w:r>
          </w:p>
        </w:tc>
        <w:tc>
          <w:tcPr>
            <w:tcW w:w="725" w:type="dxa"/>
            <w:tcBorders>
              <w:top w:val="nil"/>
              <w:left w:val="nil"/>
              <w:bottom w:val="nil"/>
              <w:right w:val="nil"/>
            </w:tcBorders>
            <w:shd w:val="clear" w:color="auto" w:fill="auto"/>
            <w:noWrap/>
            <w:vAlign w:val="center"/>
          </w:tcPr>
          <w:p w14:paraId="5B8D1A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1.54</w:t>
            </w:r>
          </w:p>
        </w:tc>
        <w:tc>
          <w:tcPr>
            <w:tcW w:w="725" w:type="dxa"/>
            <w:gridSpan w:val="2"/>
            <w:tcBorders>
              <w:top w:val="nil"/>
              <w:left w:val="nil"/>
              <w:bottom w:val="nil"/>
              <w:right w:val="nil"/>
            </w:tcBorders>
            <w:shd w:val="clear" w:color="auto" w:fill="D9D9D9"/>
            <w:vAlign w:val="center"/>
          </w:tcPr>
          <w:p w14:paraId="4F4039F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1.36</w:t>
            </w:r>
          </w:p>
        </w:tc>
        <w:tc>
          <w:tcPr>
            <w:tcW w:w="725" w:type="dxa"/>
            <w:tcBorders>
              <w:top w:val="nil"/>
              <w:left w:val="nil"/>
              <w:bottom w:val="nil"/>
              <w:right w:val="nil"/>
            </w:tcBorders>
            <w:shd w:val="clear" w:color="auto" w:fill="auto"/>
            <w:noWrap/>
            <w:vAlign w:val="center"/>
          </w:tcPr>
          <w:p w14:paraId="6DFC68A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0.20</w:t>
            </w:r>
          </w:p>
        </w:tc>
        <w:tc>
          <w:tcPr>
            <w:tcW w:w="724" w:type="dxa"/>
            <w:gridSpan w:val="2"/>
            <w:tcBorders>
              <w:top w:val="nil"/>
              <w:left w:val="nil"/>
              <w:bottom w:val="nil"/>
              <w:right w:val="nil"/>
            </w:tcBorders>
            <w:shd w:val="clear" w:color="auto" w:fill="D9D9D9"/>
            <w:vAlign w:val="center"/>
          </w:tcPr>
          <w:p w14:paraId="0748E50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0.13</w:t>
            </w:r>
          </w:p>
        </w:tc>
        <w:tc>
          <w:tcPr>
            <w:tcW w:w="725" w:type="dxa"/>
            <w:tcBorders>
              <w:top w:val="nil"/>
              <w:left w:val="nil"/>
              <w:bottom w:val="nil"/>
              <w:right w:val="nil"/>
            </w:tcBorders>
            <w:shd w:val="clear" w:color="auto" w:fill="auto"/>
            <w:vAlign w:val="center"/>
          </w:tcPr>
          <w:p w14:paraId="128632B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3.75</w:t>
            </w:r>
          </w:p>
        </w:tc>
        <w:tc>
          <w:tcPr>
            <w:tcW w:w="725" w:type="dxa"/>
            <w:gridSpan w:val="2"/>
            <w:tcBorders>
              <w:top w:val="nil"/>
              <w:left w:val="nil"/>
              <w:bottom w:val="nil"/>
              <w:right w:val="nil"/>
            </w:tcBorders>
            <w:shd w:val="clear" w:color="auto" w:fill="D9D9D9"/>
            <w:vAlign w:val="center"/>
          </w:tcPr>
          <w:p w14:paraId="4153E6F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3.75</w:t>
            </w:r>
          </w:p>
        </w:tc>
        <w:tc>
          <w:tcPr>
            <w:tcW w:w="724" w:type="dxa"/>
            <w:tcBorders>
              <w:top w:val="nil"/>
              <w:left w:val="nil"/>
              <w:bottom w:val="nil"/>
              <w:right w:val="nil"/>
            </w:tcBorders>
            <w:shd w:val="clear" w:color="auto" w:fill="auto"/>
            <w:noWrap/>
            <w:vAlign w:val="center"/>
          </w:tcPr>
          <w:p w14:paraId="4AD0D8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490F15A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1.00</w:t>
            </w:r>
          </w:p>
        </w:tc>
        <w:tc>
          <w:tcPr>
            <w:tcW w:w="725" w:type="dxa"/>
            <w:tcBorders>
              <w:top w:val="nil"/>
              <w:left w:val="nil"/>
              <w:bottom w:val="nil"/>
              <w:right w:val="nil"/>
            </w:tcBorders>
            <w:shd w:val="clear" w:color="auto" w:fill="auto"/>
            <w:noWrap/>
            <w:vAlign w:val="center"/>
          </w:tcPr>
          <w:p w14:paraId="62BF398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5D0EEC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208B196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-0.02</w:t>
            </w:r>
          </w:p>
        </w:tc>
        <w:tc>
          <w:tcPr>
            <w:tcW w:w="725" w:type="dxa"/>
            <w:tcBorders>
              <w:top w:val="nil"/>
              <w:left w:val="nil"/>
              <w:bottom w:val="nil"/>
              <w:right w:val="nil"/>
            </w:tcBorders>
            <w:shd w:val="clear" w:color="auto" w:fill="D9D9D9"/>
            <w:vAlign w:val="center"/>
          </w:tcPr>
          <w:p w14:paraId="135AC52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0.29</w:t>
            </w:r>
          </w:p>
        </w:tc>
        <w:tc>
          <w:tcPr>
            <w:tcW w:w="725" w:type="dxa"/>
            <w:gridSpan w:val="2"/>
            <w:tcBorders>
              <w:top w:val="nil"/>
              <w:left w:val="nil"/>
              <w:bottom w:val="nil"/>
              <w:right w:val="nil"/>
            </w:tcBorders>
            <w:shd w:val="clear" w:color="auto" w:fill="auto"/>
            <w:noWrap/>
            <w:vAlign w:val="center"/>
          </w:tcPr>
          <w:p w14:paraId="1C498A1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-1.06</w:t>
            </w:r>
          </w:p>
        </w:tc>
        <w:tc>
          <w:tcPr>
            <w:tcW w:w="730" w:type="dxa"/>
            <w:tcBorders>
              <w:top w:val="nil"/>
              <w:left w:val="nil"/>
              <w:bottom w:val="nil"/>
              <w:right w:val="nil"/>
            </w:tcBorders>
            <w:shd w:val="clear" w:color="auto" w:fill="D9D9D9"/>
            <w:vAlign w:val="center"/>
          </w:tcPr>
          <w:p w14:paraId="4C43349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-0.53</w:t>
            </w:r>
          </w:p>
        </w:tc>
      </w:tr>
      <w:tr w:rsidR="00E6060C" w:rsidRPr="00E6060C" w14:paraId="6D2F391C" w14:textId="77777777" w:rsidTr="007803A3">
        <w:trPr>
          <w:trHeight w:val="482"/>
        </w:trPr>
        <w:tc>
          <w:tcPr>
            <w:tcW w:w="1983" w:type="dxa"/>
            <w:tcBorders>
              <w:bottom w:val="nil"/>
            </w:tcBorders>
            <w:shd w:val="clear" w:color="auto" w:fill="auto"/>
            <w:vAlign w:val="center"/>
          </w:tcPr>
          <w:p w14:paraId="6EEAE63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723" w:type="dxa"/>
            <w:tcBorders>
              <w:top w:val="nil"/>
              <w:left w:val="nil"/>
              <w:bottom w:val="nil"/>
              <w:right w:val="nil"/>
            </w:tcBorders>
            <w:shd w:val="clear" w:color="auto" w:fill="auto"/>
            <w:noWrap/>
            <w:vAlign w:val="center"/>
          </w:tcPr>
          <w:p w14:paraId="448E86A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59</w:t>
            </w:r>
          </w:p>
        </w:tc>
        <w:tc>
          <w:tcPr>
            <w:tcW w:w="723" w:type="dxa"/>
            <w:gridSpan w:val="2"/>
            <w:tcBorders>
              <w:top w:val="nil"/>
              <w:left w:val="nil"/>
              <w:bottom w:val="nil"/>
              <w:right w:val="nil"/>
            </w:tcBorders>
            <w:shd w:val="clear" w:color="auto" w:fill="D9D9D9"/>
            <w:vAlign w:val="center"/>
          </w:tcPr>
          <w:p w14:paraId="2AD070D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108</w:t>
            </w:r>
          </w:p>
        </w:tc>
        <w:tc>
          <w:tcPr>
            <w:tcW w:w="725" w:type="dxa"/>
            <w:tcBorders>
              <w:top w:val="nil"/>
              <w:left w:val="nil"/>
              <w:bottom w:val="nil"/>
              <w:right w:val="nil"/>
            </w:tcBorders>
            <w:shd w:val="clear" w:color="auto" w:fill="auto"/>
            <w:noWrap/>
            <w:vAlign w:val="center"/>
          </w:tcPr>
          <w:p w14:paraId="1985961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5.85</w:t>
            </w:r>
          </w:p>
        </w:tc>
        <w:tc>
          <w:tcPr>
            <w:tcW w:w="724" w:type="dxa"/>
            <w:gridSpan w:val="2"/>
            <w:tcBorders>
              <w:top w:val="nil"/>
              <w:left w:val="nil"/>
              <w:bottom w:val="nil"/>
              <w:right w:val="nil"/>
            </w:tcBorders>
            <w:shd w:val="clear" w:color="auto" w:fill="D9D9D9"/>
            <w:vAlign w:val="center"/>
          </w:tcPr>
          <w:p w14:paraId="34DC9E3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5.95</w:t>
            </w:r>
          </w:p>
        </w:tc>
        <w:tc>
          <w:tcPr>
            <w:tcW w:w="725" w:type="dxa"/>
            <w:tcBorders>
              <w:top w:val="nil"/>
              <w:left w:val="nil"/>
              <w:bottom w:val="nil"/>
              <w:right w:val="nil"/>
            </w:tcBorders>
            <w:shd w:val="clear" w:color="auto" w:fill="auto"/>
            <w:noWrap/>
            <w:vAlign w:val="center"/>
          </w:tcPr>
          <w:p w14:paraId="0EAF83D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1.15</w:t>
            </w:r>
          </w:p>
        </w:tc>
        <w:tc>
          <w:tcPr>
            <w:tcW w:w="725" w:type="dxa"/>
            <w:gridSpan w:val="2"/>
            <w:tcBorders>
              <w:top w:val="nil"/>
              <w:left w:val="nil"/>
              <w:bottom w:val="nil"/>
              <w:right w:val="nil"/>
            </w:tcBorders>
            <w:shd w:val="clear" w:color="auto" w:fill="D9D9D9"/>
            <w:vAlign w:val="center"/>
          </w:tcPr>
          <w:p w14:paraId="7E61CEB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0.93</w:t>
            </w:r>
          </w:p>
        </w:tc>
        <w:tc>
          <w:tcPr>
            <w:tcW w:w="725" w:type="dxa"/>
            <w:tcBorders>
              <w:top w:val="nil"/>
              <w:left w:val="nil"/>
              <w:bottom w:val="nil"/>
              <w:right w:val="nil"/>
            </w:tcBorders>
            <w:shd w:val="clear" w:color="auto" w:fill="auto"/>
            <w:noWrap/>
            <w:vAlign w:val="center"/>
          </w:tcPr>
          <w:p w14:paraId="0943DC6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0.15</w:t>
            </w:r>
          </w:p>
        </w:tc>
        <w:tc>
          <w:tcPr>
            <w:tcW w:w="724" w:type="dxa"/>
            <w:gridSpan w:val="2"/>
            <w:tcBorders>
              <w:top w:val="nil"/>
              <w:left w:val="nil"/>
              <w:bottom w:val="nil"/>
              <w:right w:val="nil"/>
            </w:tcBorders>
            <w:shd w:val="clear" w:color="auto" w:fill="D9D9D9"/>
            <w:vAlign w:val="center"/>
          </w:tcPr>
          <w:p w14:paraId="0B6B55E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0.09</w:t>
            </w:r>
          </w:p>
        </w:tc>
        <w:tc>
          <w:tcPr>
            <w:tcW w:w="725" w:type="dxa"/>
            <w:tcBorders>
              <w:top w:val="nil"/>
              <w:left w:val="nil"/>
              <w:bottom w:val="nil"/>
              <w:right w:val="nil"/>
            </w:tcBorders>
            <w:shd w:val="clear" w:color="auto" w:fill="auto"/>
            <w:vAlign w:val="center"/>
          </w:tcPr>
          <w:p w14:paraId="2FCC3E4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6.00</w:t>
            </w:r>
          </w:p>
        </w:tc>
        <w:tc>
          <w:tcPr>
            <w:tcW w:w="725" w:type="dxa"/>
            <w:gridSpan w:val="2"/>
            <w:tcBorders>
              <w:top w:val="nil"/>
              <w:left w:val="nil"/>
              <w:bottom w:val="nil"/>
              <w:right w:val="nil"/>
            </w:tcBorders>
            <w:shd w:val="clear" w:color="auto" w:fill="D9D9D9"/>
            <w:vAlign w:val="center"/>
          </w:tcPr>
          <w:p w14:paraId="497D700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6.13</w:t>
            </w:r>
          </w:p>
        </w:tc>
        <w:tc>
          <w:tcPr>
            <w:tcW w:w="724" w:type="dxa"/>
            <w:tcBorders>
              <w:top w:val="nil"/>
              <w:left w:val="nil"/>
              <w:bottom w:val="nil"/>
              <w:right w:val="nil"/>
            </w:tcBorders>
            <w:shd w:val="clear" w:color="auto" w:fill="auto"/>
            <w:noWrap/>
            <w:vAlign w:val="center"/>
          </w:tcPr>
          <w:p w14:paraId="6C3F6E4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5877247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1.75</w:t>
            </w:r>
          </w:p>
        </w:tc>
        <w:tc>
          <w:tcPr>
            <w:tcW w:w="725" w:type="dxa"/>
            <w:tcBorders>
              <w:top w:val="nil"/>
              <w:left w:val="nil"/>
              <w:bottom w:val="nil"/>
              <w:right w:val="nil"/>
            </w:tcBorders>
            <w:shd w:val="clear" w:color="auto" w:fill="auto"/>
            <w:noWrap/>
            <w:vAlign w:val="center"/>
          </w:tcPr>
          <w:p w14:paraId="6DBEAE6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4734FE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5723D6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-1.96</w:t>
            </w:r>
          </w:p>
        </w:tc>
        <w:tc>
          <w:tcPr>
            <w:tcW w:w="725" w:type="dxa"/>
            <w:tcBorders>
              <w:top w:val="nil"/>
              <w:left w:val="nil"/>
              <w:bottom w:val="nil"/>
              <w:right w:val="nil"/>
            </w:tcBorders>
            <w:shd w:val="clear" w:color="auto" w:fill="D9D9D9"/>
            <w:vAlign w:val="center"/>
          </w:tcPr>
          <w:p w14:paraId="14E262B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-1.29</w:t>
            </w:r>
          </w:p>
        </w:tc>
        <w:tc>
          <w:tcPr>
            <w:tcW w:w="725" w:type="dxa"/>
            <w:gridSpan w:val="2"/>
            <w:tcBorders>
              <w:top w:val="nil"/>
              <w:left w:val="nil"/>
              <w:bottom w:val="nil"/>
              <w:right w:val="nil"/>
            </w:tcBorders>
            <w:shd w:val="clear" w:color="auto" w:fill="auto"/>
            <w:noWrap/>
            <w:vAlign w:val="center"/>
          </w:tcPr>
          <w:p w14:paraId="4BF270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5.75</w:t>
            </w:r>
          </w:p>
        </w:tc>
        <w:tc>
          <w:tcPr>
            <w:tcW w:w="730" w:type="dxa"/>
            <w:tcBorders>
              <w:top w:val="nil"/>
              <w:left w:val="nil"/>
              <w:bottom w:val="nil"/>
              <w:right w:val="nil"/>
            </w:tcBorders>
            <w:shd w:val="clear" w:color="auto" w:fill="D9D9D9"/>
            <w:vAlign w:val="center"/>
          </w:tcPr>
          <w:p w14:paraId="2ECC42E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2.88</w:t>
            </w:r>
          </w:p>
        </w:tc>
      </w:tr>
      <w:tr w:rsidR="00E6060C" w:rsidRPr="00E6060C" w14:paraId="3E0E24D5" w14:textId="77777777" w:rsidTr="007803A3">
        <w:trPr>
          <w:trHeight w:val="482"/>
        </w:trPr>
        <w:tc>
          <w:tcPr>
            <w:tcW w:w="1983" w:type="dxa"/>
            <w:tcBorders>
              <w:top w:val="nil"/>
              <w:bottom w:val="single" w:sz="4" w:space="0" w:color="auto"/>
            </w:tcBorders>
            <w:shd w:val="clear" w:color="auto" w:fill="auto"/>
            <w:vAlign w:val="center"/>
          </w:tcPr>
          <w:p w14:paraId="47AED2E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723" w:type="dxa"/>
            <w:tcBorders>
              <w:top w:val="nil"/>
              <w:left w:val="nil"/>
              <w:bottom w:val="single" w:sz="4" w:space="0" w:color="auto"/>
              <w:right w:val="nil"/>
            </w:tcBorders>
            <w:shd w:val="clear" w:color="auto" w:fill="auto"/>
            <w:noWrap/>
            <w:vAlign w:val="center"/>
          </w:tcPr>
          <w:p w14:paraId="18DE630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w:t>
            </w:r>
          </w:p>
        </w:tc>
        <w:tc>
          <w:tcPr>
            <w:tcW w:w="723" w:type="dxa"/>
            <w:gridSpan w:val="2"/>
            <w:tcBorders>
              <w:top w:val="nil"/>
              <w:left w:val="nil"/>
              <w:bottom w:val="single" w:sz="4" w:space="0" w:color="auto"/>
              <w:right w:val="nil"/>
            </w:tcBorders>
            <w:shd w:val="clear" w:color="auto" w:fill="D9D9D9"/>
            <w:vAlign w:val="center"/>
          </w:tcPr>
          <w:p w14:paraId="2688EAD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109</w:t>
            </w:r>
          </w:p>
        </w:tc>
        <w:tc>
          <w:tcPr>
            <w:tcW w:w="725" w:type="dxa"/>
            <w:tcBorders>
              <w:top w:val="nil"/>
              <w:left w:val="nil"/>
              <w:bottom w:val="single" w:sz="4" w:space="0" w:color="auto"/>
              <w:right w:val="nil"/>
            </w:tcBorders>
            <w:shd w:val="clear" w:color="auto" w:fill="auto"/>
            <w:noWrap/>
            <w:vAlign w:val="center"/>
          </w:tcPr>
          <w:p w14:paraId="6DA60C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3.59</w:t>
            </w:r>
          </w:p>
        </w:tc>
        <w:tc>
          <w:tcPr>
            <w:tcW w:w="724" w:type="dxa"/>
            <w:gridSpan w:val="2"/>
            <w:tcBorders>
              <w:top w:val="nil"/>
              <w:left w:val="nil"/>
              <w:bottom w:val="single" w:sz="4" w:space="0" w:color="auto"/>
              <w:right w:val="nil"/>
            </w:tcBorders>
            <w:shd w:val="clear" w:color="auto" w:fill="D9D9D9"/>
            <w:vAlign w:val="center"/>
          </w:tcPr>
          <w:p w14:paraId="1649C8B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3.65</w:t>
            </w:r>
          </w:p>
        </w:tc>
        <w:tc>
          <w:tcPr>
            <w:tcW w:w="725" w:type="dxa"/>
            <w:tcBorders>
              <w:top w:val="nil"/>
              <w:left w:val="nil"/>
              <w:bottom w:val="single" w:sz="4" w:space="0" w:color="auto"/>
              <w:right w:val="nil"/>
            </w:tcBorders>
            <w:shd w:val="clear" w:color="auto" w:fill="auto"/>
            <w:noWrap/>
            <w:vAlign w:val="center"/>
          </w:tcPr>
          <w:p w14:paraId="27A6FE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1.25</w:t>
            </w:r>
          </w:p>
        </w:tc>
        <w:tc>
          <w:tcPr>
            <w:tcW w:w="725" w:type="dxa"/>
            <w:gridSpan w:val="2"/>
            <w:tcBorders>
              <w:top w:val="nil"/>
              <w:left w:val="nil"/>
              <w:bottom w:val="single" w:sz="4" w:space="0" w:color="auto"/>
              <w:right w:val="nil"/>
            </w:tcBorders>
            <w:shd w:val="clear" w:color="auto" w:fill="D9D9D9"/>
            <w:vAlign w:val="center"/>
          </w:tcPr>
          <w:p w14:paraId="4C713C4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1.36</w:t>
            </w:r>
          </w:p>
        </w:tc>
        <w:tc>
          <w:tcPr>
            <w:tcW w:w="725" w:type="dxa"/>
            <w:tcBorders>
              <w:top w:val="nil"/>
              <w:left w:val="nil"/>
              <w:bottom w:val="single" w:sz="4" w:space="0" w:color="auto"/>
              <w:right w:val="nil"/>
            </w:tcBorders>
            <w:shd w:val="clear" w:color="auto" w:fill="auto"/>
            <w:noWrap/>
            <w:vAlign w:val="center"/>
          </w:tcPr>
          <w:p w14:paraId="2F21E09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0.16</w:t>
            </w:r>
          </w:p>
        </w:tc>
        <w:tc>
          <w:tcPr>
            <w:tcW w:w="724" w:type="dxa"/>
            <w:gridSpan w:val="2"/>
            <w:tcBorders>
              <w:top w:val="nil"/>
              <w:left w:val="nil"/>
              <w:bottom w:val="single" w:sz="4" w:space="0" w:color="auto"/>
              <w:right w:val="nil"/>
            </w:tcBorders>
            <w:shd w:val="clear" w:color="auto" w:fill="D9D9D9"/>
            <w:vAlign w:val="center"/>
          </w:tcPr>
          <w:p w14:paraId="41B192D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0.13</w:t>
            </w:r>
          </w:p>
        </w:tc>
        <w:tc>
          <w:tcPr>
            <w:tcW w:w="725" w:type="dxa"/>
            <w:tcBorders>
              <w:top w:val="nil"/>
              <w:left w:val="nil"/>
              <w:bottom w:val="single" w:sz="4" w:space="0" w:color="auto"/>
              <w:right w:val="nil"/>
            </w:tcBorders>
            <w:shd w:val="clear" w:color="auto" w:fill="auto"/>
            <w:vAlign w:val="center"/>
          </w:tcPr>
          <w:p w14:paraId="545B0C5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3.50</w:t>
            </w:r>
          </w:p>
        </w:tc>
        <w:tc>
          <w:tcPr>
            <w:tcW w:w="725" w:type="dxa"/>
            <w:gridSpan w:val="2"/>
            <w:tcBorders>
              <w:top w:val="nil"/>
              <w:left w:val="nil"/>
              <w:bottom w:val="single" w:sz="4" w:space="0" w:color="auto"/>
              <w:right w:val="nil"/>
            </w:tcBorders>
            <w:shd w:val="clear" w:color="auto" w:fill="D9D9D9"/>
            <w:vAlign w:val="center"/>
          </w:tcPr>
          <w:p w14:paraId="43F5FF7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3.50</w:t>
            </w:r>
          </w:p>
        </w:tc>
        <w:tc>
          <w:tcPr>
            <w:tcW w:w="724" w:type="dxa"/>
            <w:tcBorders>
              <w:top w:val="nil"/>
              <w:left w:val="nil"/>
              <w:bottom w:val="single" w:sz="4" w:space="0" w:color="auto"/>
              <w:right w:val="nil"/>
            </w:tcBorders>
            <w:shd w:val="clear" w:color="auto" w:fill="auto"/>
            <w:noWrap/>
            <w:vAlign w:val="center"/>
          </w:tcPr>
          <w:p w14:paraId="4F571EA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single" w:sz="4" w:space="0" w:color="auto"/>
              <w:right w:val="nil"/>
            </w:tcBorders>
            <w:shd w:val="clear" w:color="auto" w:fill="D9D9D9"/>
            <w:vAlign w:val="center"/>
          </w:tcPr>
          <w:p w14:paraId="5C3EAD2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1.25</w:t>
            </w:r>
          </w:p>
        </w:tc>
        <w:tc>
          <w:tcPr>
            <w:tcW w:w="725" w:type="dxa"/>
            <w:tcBorders>
              <w:top w:val="nil"/>
              <w:left w:val="nil"/>
              <w:bottom w:val="single" w:sz="4" w:space="0" w:color="auto"/>
              <w:right w:val="nil"/>
            </w:tcBorders>
            <w:shd w:val="clear" w:color="auto" w:fill="auto"/>
            <w:noWrap/>
            <w:vAlign w:val="center"/>
          </w:tcPr>
          <w:p w14:paraId="6B8580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6.25</w:t>
            </w:r>
          </w:p>
        </w:tc>
        <w:tc>
          <w:tcPr>
            <w:tcW w:w="725" w:type="dxa"/>
            <w:tcBorders>
              <w:top w:val="nil"/>
              <w:left w:val="nil"/>
              <w:bottom w:val="single" w:sz="4" w:space="0" w:color="auto"/>
              <w:right w:val="nil"/>
            </w:tcBorders>
            <w:shd w:val="clear" w:color="auto" w:fill="D9D9D9"/>
            <w:vAlign w:val="center"/>
          </w:tcPr>
          <w:p w14:paraId="7BA02F8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single" w:sz="4" w:space="0" w:color="auto"/>
              <w:right w:val="nil"/>
            </w:tcBorders>
            <w:shd w:val="clear" w:color="auto" w:fill="auto"/>
            <w:noWrap/>
            <w:vAlign w:val="center"/>
          </w:tcPr>
          <w:p w14:paraId="4B4B42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0.23</w:t>
            </w:r>
          </w:p>
        </w:tc>
        <w:tc>
          <w:tcPr>
            <w:tcW w:w="725" w:type="dxa"/>
            <w:tcBorders>
              <w:top w:val="nil"/>
              <w:left w:val="nil"/>
              <w:bottom w:val="single" w:sz="4" w:space="0" w:color="auto"/>
              <w:right w:val="nil"/>
            </w:tcBorders>
            <w:shd w:val="clear" w:color="auto" w:fill="D9D9D9"/>
            <w:vAlign w:val="center"/>
          </w:tcPr>
          <w:p w14:paraId="2152661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0.36</w:t>
            </w:r>
          </w:p>
        </w:tc>
        <w:tc>
          <w:tcPr>
            <w:tcW w:w="725" w:type="dxa"/>
            <w:gridSpan w:val="2"/>
            <w:tcBorders>
              <w:top w:val="nil"/>
              <w:left w:val="nil"/>
              <w:bottom w:val="single" w:sz="4" w:space="0" w:color="auto"/>
              <w:right w:val="nil"/>
            </w:tcBorders>
            <w:shd w:val="clear" w:color="auto" w:fill="auto"/>
            <w:noWrap/>
            <w:vAlign w:val="center"/>
          </w:tcPr>
          <w:p w14:paraId="7122855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-0.78</w:t>
            </w:r>
          </w:p>
        </w:tc>
        <w:tc>
          <w:tcPr>
            <w:tcW w:w="730" w:type="dxa"/>
            <w:tcBorders>
              <w:top w:val="nil"/>
              <w:left w:val="nil"/>
              <w:bottom w:val="single" w:sz="4" w:space="0" w:color="auto"/>
              <w:right w:val="nil"/>
            </w:tcBorders>
            <w:shd w:val="clear" w:color="auto" w:fill="D9D9D9"/>
            <w:vAlign w:val="center"/>
          </w:tcPr>
          <w:p w14:paraId="5461914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-0.54</w:t>
            </w:r>
          </w:p>
        </w:tc>
      </w:tr>
    </w:tbl>
    <w:p w14:paraId="3FA7DE63" w14:textId="77777777" w:rsidR="00E6060C" w:rsidRPr="00E6060C" w:rsidRDefault="00E6060C" w:rsidP="005852AD">
      <w:pPr>
        <w:spacing w:after="200" w:line="240" w:lineRule="auto"/>
        <w:ind w:left="-426"/>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and resources and demands, were scored on a scale of 1 to 5. All other variables were scored on a scale of 1 to 7. For all scales, higher scores indicate better results.</w:t>
      </w:r>
    </w:p>
    <w:p w14:paraId="260B6218" w14:textId="77777777" w:rsidR="00E6060C" w:rsidRPr="00E6060C" w:rsidRDefault="00E6060C" w:rsidP="005852AD">
      <w:pPr>
        <w:spacing w:after="200" w:line="240" w:lineRule="auto"/>
        <w:ind w:left="-426"/>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SD</w:t>
      </w:r>
      <w:r w:rsidRPr="00E6060C">
        <w:rPr>
          <w:rFonts w:ascii="Calibri" w:eastAsia="Calibri" w:hAnsi="Calibri" w:cs="Times New Roman"/>
        </w:rPr>
        <w:t xml:space="preserve">=standard deviation of the mean; </w:t>
      </w:r>
      <w:r w:rsidRPr="00E6060C">
        <w:rPr>
          <w:rFonts w:ascii="Calibri" w:eastAsia="Calibri" w:hAnsi="Calibri" w:cs="Times New Roman"/>
          <w:i/>
        </w:rPr>
        <w:t>SE</w:t>
      </w:r>
      <w:r w:rsidRPr="00E6060C">
        <w:rPr>
          <w:rFonts w:ascii="Calibri" w:eastAsia="Calibri" w:hAnsi="Calibri" w:cs="Times New Roman"/>
        </w:rPr>
        <w:t>=standard error of the mean; Min=Minimum value; Max=Maximum value; C=control group; I=intervention group</w:t>
      </w:r>
    </w:p>
    <w:p w14:paraId="1DBEFC4D" w14:textId="77777777" w:rsidR="00E6060C" w:rsidRPr="00E6060C" w:rsidRDefault="00E6060C" w:rsidP="00E6060C">
      <w:pPr>
        <w:spacing w:after="200" w:line="360" w:lineRule="auto"/>
        <w:contextualSpacing/>
        <w:rPr>
          <w:rFonts w:ascii="Calibri" w:eastAsia="Calibri" w:hAnsi="Calibri" w:cs="Times New Roman"/>
        </w:rPr>
      </w:pPr>
    </w:p>
    <w:p w14:paraId="42E1D7AF" w14:textId="77777777" w:rsidR="00E6060C" w:rsidRPr="00E6060C" w:rsidRDefault="00E6060C" w:rsidP="005852AD">
      <w:pPr>
        <w:spacing w:after="200" w:line="360" w:lineRule="auto"/>
        <w:ind w:left="851"/>
        <w:contextualSpacing/>
        <w:rPr>
          <w:rFonts w:ascii="Calibri" w:eastAsia="Calibri" w:hAnsi="Calibri" w:cs="Times New Roman"/>
        </w:rPr>
      </w:pPr>
    </w:p>
    <w:p w14:paraId="36EC84DC" w14:textId="332D5959" w:rsidR="0035035C" w:rsidRDefault="0035035C" w:rsidP="005852AD">
      <w:pPr>
        <w:pStyle w:val="Figurestyle"/>
      </w:pPr>
      <w:bookmarkStart w:id="407" w:name="_Ref453589659"/>
      <w:bookmarkStart w:id="408" w:name="_Toc468286080"/>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6</w:t>
      </w:r>
      <w:r w:rsidR="00245D68">
        <w:rPr>
          <w:noProof/>
        </w:rPr>
        <w:fldChar w:fldCharType="end"/>
      </w:r>
      <w:bookmarkEnd w:id="407"/>
      <w:r>
        <w:t xml:space="preserve"> </w:t>
      </w:r>
      <w:r w:rsidRPr="005C00C0">
        <w:t>Descriptive statistics of the research variables for the intervention and control group at Time 2 (N=83)</w:t>
      </w:r>
      <w:bookmarkEnd w:id="408"/>
    </w:p>
    <w:p w14:paraId="67ECE94A" w14:textId="77777777" w:rsidR="0035035C" w:rsidRDefault="0035035C" w:rsidP="005852AD">
      <w:pPr>
        <w:pStyle w:val="Figurestyle"/>
      </w:pPr>
    </w:p>
    <w:tbl>
      <w:tblPr>
        <w:tblW w:w="15030" w:type="dxa"/>
        <w:tblInd w:w="-426" w:type="dxa"/>
        <w:tblBorders>
          <w:top w:val="single" w:sz="4" w:space="0" w:color="auto"/>
          <w:bottom w:val="single" w:sz="4" w:space="0" w:color="auto"/>
        </w:tblBorders>
        <w:tblLayout w:type="fixed"/>
        <w:tblLook w:val="04A0" w:firstRow="1" w:lastRow="0" w:firstColumn="1" w:lastColumn="0" w:noHBand="0" w:noVBand="1"/>
      </w:tblPr>
      <w:tblGrid>
        <w:gridCol w:w="1983"/>
        <w:gridCol w:w="723"/>
        <w:gridCol w:w="409"/>
        <w:gridCol w:w="314"/>
        <w:gridCol w:w="725"/>
        <w:gridCol w:w="454"/>
        <w:gridCol w:w="270"/>
        <w:gridCol w:w="725"/>
        <w:gridCol w:w="441"/>
        <w:gridCol w:w="284"/>
        <w:gridCol w:w="725"/>
        <w:gridCol w:w="331"/>
        <w:gridCol w:w="393"/>
        <w:gridCol w:w="725"/>
        <w:gridCol w:w="491"/>
        <w:gridCol w:w="234"/>
        <w:gridCol w:w="724"/>
        <w:gridCol w:w="627"/>
        <w:gridCol w:w="98"/>
        <w:gridCol w:w="725"/>
        <w:gridCol w:w="725"/>
        <w:gridCol w:w="724"/>
        <w:gridCol w:w="725"/>
        <w:gridCol w:w="19"/>
        <w:gridCol w:w="706"/>
        <w:gridCol w:w="730"/>
      </w:tblGrid>
      <w:tr w:rsidR="00E6060C" w:rsidRPr="00E6060C" w14:paraId="31764BB2" w14:textId="77777777" w:rsidTr="001B5BAE">
        <w:trPr>
          <w:trHeight w:val="286"/>
        </w:trPr>
        <w:tc>
          <w:tcPr>
            <w:tcW w:w="1983" w:type="dxa"/>
            <w:vMerge w:val="restart"/>
            <w:tcBorders>
              <w:top w:val="single" w:sz="4" w:space="0" w:color="auto"/>
              <w:bottom w:val="single" w:sz="4" w:space="0" w:color="auto"/>
            </w:tcBorders>
            <w:shd w:val="clear" w:color="auto" w:fill="auto"/>
            <w:hideMark/>
          </w:tcPr>
          <w:p w14:paraId="6A648972"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132" w:type="dxa"/>
            <w:gridSpan w:val="2"/>
            <w:tcBorders>
              <w:top w:val="single" w:sz="4" w:space="0" w:color="auto"/>
              <w:bottom w:val="single" w:sz="4" w:space="0" w:color="auto"/>
            </w:tcBorders>
            <w:shd w:val="clear" w:color="auto" w:fill="auto"/>
            <w:vAlign w:val="center"/>
            <w:hideMark/>
          </w:tcPr>
          <w:p w14:paraId="2DF9C2A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493" w:type="dxa"/>
            <w:gridSpan w:val="3"/>
            <w:tcBorders>
              <w:top w:val="single" w:sz="4" w:space="0" w:color="auto"/>
              <w:bottom w:val="single" w:sz="4" w:space="0" w:color="auto"/>
            </w:tcBorders>
            <w:shd w:val="clear" w:color="auto" w:fill="auto"/>
            <w:vAlign w:val="center"/>
            <w:hideMark/>
          </w:tcPr>
          <w:p w14:paraId="61ACDA74" w14:textId="77777777" w:rsidR="00E6060C" w:rsidRPr="00E6060C" w:rsidRDefault="00E6060C" w:rsidP="00E6060C">
            <w:pPr>
              <w:spacing w:line="240" w:lineRule="auto"/>
              <w:jc w:val="center"/>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Mean</w:t>
            </w:r>
          </w:p>
        </w:tc>
        <w:tc>
          <w:tcPr>
            <w:tcW w:w="1436" w:type="dxa"/>
            <w:gridSpan w:val="3"/>
            <w:tcBorders>
              <w:top w:val="single" w:sz="4" w:space="0" w:color="auto"/>
              <w:bottom w:val="single" w:sz="4" w:space="0" w:color="auto"/>
            </w:tcBorders>
            <w:shd w:val="clear" w:color="auto" w:fill="auto"/>
            <w:vAlign w:val="center"/>
            <w:hideMark/>
          </w:tcPr>
          <w:p w14:paraId="3F457BEB"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3"/>
            <w:tcBorders>
              <w:top w:val="single" w:sz="4" w:space="0" w:color="auto"/>
              <w:bottom w:val="single" w:sz="4" w:space="0" w:color="auto"/>
            </w:tcBorders>
            <w:shd w:val="clear" w:color="auto" w:fill="auto"/>
            <w:vAlign w:val="center"/>
            <w:hideMark/>
          </w:tcPr>
          <w:p w14:paraId="67AFAFCC"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609" w:type="dxa"/>
            <w:gridSpan w:val="3"/>
            <w:tcBorders>
              <w:top w:val="single" w:sz="4" w:space="0" w:color="auto"/>
              <w:bottom w:val="single" w:sz="4" w:space="0" w:color="auto"/>
            </w:tcBorders>
          </w:tcPr>
          <w:p w14:paraId="59F8259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1585" w:type="dxa"/>
            <w:gridSpan w:val="3"/>
            <w:tcBorders>
              <w:top w:val="single" w:sz="4" w:space="0" w:color="auto"/>
              <w:bottom w:val="single" w:sz="4" w:space="0" w:color="auto"/>
            </w:tcBorders>
            <w:shd w:val="clear" w:color="auto" w:fill="auto"/>
            <w:vAlign w:val="center"/>
            <w:hideMark/>
          </w:tcPr>
          <w:p w14:paraId="1FC7BF3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48" w:type="dxa"/>
            <w:gridSpan w:val="3"/>
            <w:tcBorders>
              <w:top w:val="single" w:sz="4" w:space="0" w:color="auto"/>
              <w:bottom w:val="single" w:sz="4" w:space="0" w:color="auto"/>
            </w:tcBorders>
            <w:shd w:val="clear" w:color="auto" w:fill="auto"/>
            <w:vAlign w:val="center"/>
            <w:hideMark/>
          </w:tcPr>
          <w:p w14:paraId="4CFF904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8" w:type="dxa"/>
            <w:gridSpan w:val="3"/>
            <w:tcBorders>
              <w:top w:val="single" w:sz="4" w:space="0" w:color="auto"/>
              <w:bottom w:val="single" w:sz="4" w:space="0" w:color="auto"/>
            </w:tcBorders>
            <w:shd w:val="clear" w:color="auto" w:fill="auto"/>
            <w:vAlign w:val="center"/>
            <w:hideMark/>
          </w:tcPr>
          <w:p w14:paraId="034DB6F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436" w:type="dxa"/>
            <w:gridSpan w:val="2"/>
            <w:tcBorders>
              <w:top w:val="single" w:sz="4" w:space="0" w:color="auto"/>
              <w:bottom w:val="single" w:sz="4" w:space="0" w:color="auto"/>
            </w:tcBorders>
            <w:shd w:val="clear" w:color="auto" w:fill="auto"/>
            <w:vAlign w:val="center"/>
            <w:hideMark/>
          </w:tcPr>
          <w:p w14:paraId="5771527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61E7B870" w14:textId="77777777" w:rsidTr="001B5BAE">
        <w:trPr>
          <w:trHeight w:val="286"/>
        </w:trPr>
        <w:tc>
          <w:tcPr>
            <w:tcW w:w="1983" w:type="dxa"/>
            <w:vMerge/>
            <w:tcBorders>
              <w:top w:val="single" w:sz="4" w:space="0" w:color="auto"/>
              <w:bottom w:val="single" w:sz="4" w:space="0" w:color="auto"/>
            </w:tcBorders>
            <w:shd w:val="clear" w:color="auto" w:fill="auto"/>
            <w:vAlign w:val="center"/>
            <w:hideMark/>
          </w:tcPr>
          <w:p w14:paraId="2242C4A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723" w:type="dxa"/>
            <w:tcBorders>
              <w:top w:val="single" w:sz="4" w:space="0" w:color="auto"/>
              <w:bottom w:val="single" w:sz="4" w:space="0" w:color="auto"/>
            </w:tcBorders>
            <w:shd w:val="clear" w:color="auto" w:fill="auto"/>
            <w:vAlign w:val="center"/>
            <w:hideMark/>
          </w:tcPr>
          <w:p w14:paraId="768018F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3" w:type="dxa"/>
            <w:gridSpan w:val="2"/>
            <w:tcBorders>
              <w:top w:val="single" w:sz="4" w:space="0" w:color="auto"/>
              <w:bottom w:val="single" w:sz="4" w:space="0" w:color="auto"/>
            </w:tcBorders>
            <w:shd w:val="clear" w:color="auto" w:fill="D9D9D9"/>
            <w:vAlign w:val="center"/>
          </w:tcPr>
          <w:p w14:paraId="2B4A4F5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5CD36D0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360AF2B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5D0D7D3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698A808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0172709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4" w:type="dxa"/>
            <w:gridSpan w:val="2"/>
            <w:tcBorders>
              <w:top w:val="single" w:sz="4" w:space="0" w:color="auto"/>
              <w:bottom w:val="single" w:sz="4" w:space="0" w:color="auto"/>
            </w:tcBorders>
            <w:shd w:val="clear" w:color="auto" w:fill="D9D9D9"/>
            <w:vAlign w:val="center"/>
          </w:tcPr>
          <w:p w14:paraId="1E55789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vAlign w:val="center"/>
          </w:tcPr>
          <w:p w14:paraId="500013B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2E02520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2A11AB3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gridSpan w:val="2"/>
            <w:tcBorders>
              <w:top w:val="single" w:sz="4" w:space="0" w:color="auto"/>
              <w:bottom w:val="single" w:sz="4" w:space="0" w:color="auto"/>
            </w:tcBorders>
            <w:shd w:val="clear" w:color="auto" w:fill="D9D9D9"/>
            <w:vAlign w:val="center"/>
          </w:tcPr>
          <w:p w14:paraId="02E21A3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tcBorders>
              <w:top w:val="single" w:sz="4" w:space="0" w:color="auto"/>
              <w:bottom w:val="single" w:sz="4" w:space="0" w:color="auto"/>
            </w:tcBorders>
            <w:shd w:val="clear" w:color="auto" w:fill="auto"/>
            <w:vAlign w:val="center"/>
            <w:hideMark/>
          </w:tcPr>
          <w:p w14:paraId="3713D95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0F869F8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4" w:type="dxa"/>
            <w:tcBorders>
              <w:top w:val="single" w:sz="4" w:space="0" w:color="auto"/>
              <w:bottom w:val="single" w:sz="4" w:space="0" w:color="auto"/>
            </w:tcBorders>
            <w:shd w:val="clear" w:color="auto" w:fill="auto"/>
            <w:vAlign w:val="center"/>
            <w:hideMark/>
          </w:tcPr>
          <w:p w14:paraId="3AA2C74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25" w:type="dxa"/>
            <w:tcBorders>
              <w:top w:val="single" w:sz="4" w:space="0" w:color="auto"/>
              <w:bottom w:val="single" w:sz="4" w:space="0" w:color="auto"/>
            </w:tcBorders>
            <w:shd w:val="clear" w:color="auto" w:fill="D9D9D9"/>
            <w:vAlign w:val="center"/>
          </w:tcPr>
          <w:p w14:paraId="11C2A77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c>
          <w:tcPr>
            <w:tcW w:w="725" w:type="dxa"/>
            <w:gridSpan w:val="2"/>
            <w:tcBorders>
              <w:top w:val="single" w:sz="4" w:space="0" w:color="auto"/>
              <w:bottom w:val="single" w:sz="4" w:space="0" w:color="auto"/>
            </w:tcBorders>
            <w:shd w:val="clear" w:color="auto" w:fill="auto"/>
            <w:vAlign w:val="center"/>
            <w:hideMark/>
          </w:tcPr>
          <w:p w14:paraId="73A0139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w:t>
            </w:r>
          </w:p>
        </w:tc>
        <w:tc>
          <w:tcPr>
            <w:tcW w:w="730" w:type="dxa"/>
            <w:tcBorders>
              <w:top w:val="single" w:sz="4" w:space="0" w:color="auto"/>
              <w:bottom w:val="single" w:sz="4" w:space="0" w:color="auto"/>
            </w:tcBorders>
            <w:shd w:val="clear" w:color="auto" w:fill="D9D9D9"/>
            <w:vAlign w:val="center"/>
          </w:tcPr>
          <w:p w14:paraId="5F1C760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w:t>
            </w:r>
          </w:p>
        </w:tc>
      </w:tr>
      <w:tr w:rsidR="00E6060C" w:rsidRPr="00E6060C" w14:paraId="628527F7" w14:textId="77777777" w:rsidTr="001B5BAE">
        <w:trPr>
          <w:trHeight w:val="327"/>
        </w:trPr>
        <w:tc>
          <w:tcPr>
            <w:tcW w:w="1983" w:type="dxa"/>
            <w:shd w:val="clear" w:color="auto" w:fill="auto"/>
            <w:vAlign w:val="center"/>
          </w:tcPr>
          <w:p w14:paraId="119B83B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Colleague support</w:t>
            </w:r>
          </w:p>
        </w:tc>
        <w:tc>
          <w:tcPr>
            <w:tcW w:w="723" w:type="dxa"/>
            <w:tcBorders>
              <w:top w:val="nil"/>
              <w:left w:val="nil"/>
              <w:bottom w:val="nil"/>
              <w:right w:val="nil"/>
            </w:tcBorders>
            <w:shd w:val="clear" w:color="auto" w:fill="auto"/>
            <w:noWrap/>
            <w:vAlign w:val="center"/>
          </w:tcPr>
          <w:p w14:paraId="1619EED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w:t>
            </w:r>
          </w:p>
        </w:tc>
        <w:tc>
          <w:tcPr>
            <w:tcW w:w="723" w:type="dxa"/>
            <w:gridSpan w:val="2"/>
            <w:tcBorders>
              <w:top w:val="single" w:sz="4" w:space="0" w:color="auto"/>
              <w:left w:val="nil"/>
              <w:bottom w:val="nil"/>
              <w:right w:val="nil"/>
            </w:tcBorders>
            <w:shd w:val="clear" w:color="auto" w:fill="D9D9D9"/>
            <w:vAlign w:val="center"/>
          </w:tcPr>
          <w:p w14:paraId="7BEB4C6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43</w:t>
            </w:r>
          </w:p>
        </w:tc>
        <w:tc>
          <w:tcPr>
            <w:tcW w:w="725" w:type="dxa"/>
            <w:tcBorders>
              <w:top w:val="nil"/>
              <w:left w:val="nil"/>
              <w:bottom w:val="nil"/>
              <w:right w:val="nil"/>
            </w:tcBorders>
            <w:shd w:val="clear" w:color="auto" w:fill="auto"/>
            <w:noWrap/>
            <w:vAlign w:val="center"/>
          </w:tcPr>
          <w:p w14:paraId="0CDFA12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3.54</w:t>
            </w:r>
          </w:p>
        </w:tc>
        <w:tc>
          <w:tcPr>
            <w:tcW w:w="724" w:type="dxa"/>
            <w:gridSpan w:val="2"/>
            <w:tcBorders>
              <w:top w:val="single" w:sz="4" w:space="0" w:color="auto"/>
              <w:left w:val="nil"/>
              <w:bottom w:val="nil"/>
              <w:right w:val="nil"/>
            </w:tcBorders>
            <w:shd w:val="clear" w:color="auto" w:fill="D9D9D9"/>
            <w:vAlign w:val="center"/>
          </w:tcPr>
          <w:p w14:paraId="7A37225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4.13</w:t>
            </w:r>
          </w:p>
        </w:tc>
        <w:tc>
          <w:tcPr>
            <w:tcW w:w="725" w:type="dxa"/>
            <w:tcBorders>
              <w:top w:val="nil"/>
              <w:left w:val="nil"/>
              <w:bottom w:val="nil"/>
              <w:right w:val="nil"/>
            </w:tcBorders>
            <w:shd w:val="clear" w:color="auto" w:fill="auto"/>
            <w:noWrap/>
            <w:vAlign w:val="center"/>
          </w:tcPr>
          <w:p w14:paraId="302E8D5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0.96</w:t>
            </w:r>
          </w:p>
        </w:tc>
        <w:tc>
          <w:tcPr>
            <w:tcW w:w="725" w:type="dxa"/>
            <w:gridSpan w:val="2"/>
            <w:tcBorders>
              <w:top w:val="single" w:sz="4" w:space="0" w:color="auto"/>
              <w:left w:val="nil"/>
              <w:bottom w:val="nil"/>
              <w:right w:val="nil"/>
            </w:tcBorders>
            <w:shd w:val="clear" w:color="auto" w:fill="D9D9D9"/>
            <w:vAlign w:val="center"/>
          </w:tcPr>
          <w:p w14:paraId="04F16C7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0.84</w:t>
            </w:r>
          </w:p>
        </w:tc>
        <w:tc>
          <w:tcPr>
            <w:tcW w:w="725" w:type="dxa"/>
            <w:tcBorders>
              <w:top w:val="nil"/>
              <w:left w:val="nil"/>
              <w:bottom w:val="nil"/>
              <w:right w:val="nil"/>
            </w:tcBorders>
            <w:shd w:val="clear" w:color="auto" w:fill="auto"/>
            <w:noWrap/>
            <w:vAlign w:val="center"/>
          </w:tcPr>
          <w:p w14:paraId="3CDB08F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0.15</w:t>
            </w:r>
          </w:p>
        </w:tc>
        <w:tc>
          <w:tcPr>
            <w:tcW w:w="724" w:type="dxa"/>
            <w:gridSpan w:val="2"/>
            <w:tcBorders>
              <w:top w:val="single" w:sz="4" w:space="0" w:color="auto"/>
              <w:left w:val="nil"/>
              <w:bottom w:val="nil"/>
              <w:right w:val="nil"/>
            </w:tcBorders>
            <w:shd w:val="clear" w:color="auto" w:fill="D9D9D9"/>
            <w:vAlign w:val="center"/>
          </w:tcPr>
          <w:p w14:paraId="39F3CF9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0.13</w:t>
            </w:r>
          </w:p>
        </w:tc>
        <w:tc>
          <w:tcPr>
            <w:tcW w:w="725" w:type="dxa"/>
            <w:tcBorders>
              <w:top w:val="nil"/>
              <w:left w:val="nil"/>
              <w:bottom w:val="nil"/>
              <w:right w:val="nil"/>
            </w:tcBorders>
            <w:shd w:val="clear" w:color="auto" w:fill="auto"/>
            <w:vAlign w:val="center"/>
          </w:tcPr>
          <w:p w14:paraId="5970726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single" w:sz="4" w:space="0" w:color="auto"/>
              <w:left w:val="nil"/>
              <w:bottom w:val="nil"/>
              <w:right w:val="nil"/>
            </w:tcBorders>
            <w:shd w:val="clear" w:color="auto" w:fill="D9D9D9"/>
            <w:vAlign w:val="center"/>
          </w:tcPr>
          <w:p w14:paraId="49E0E3D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5392229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1.33</w:t>
            </w:r>
          </w:p>
        </w:tc>
        <w:tc>
          <w:tcPr>
            <w:tcW w:w="725" w:type="dxa"/>
            <w:gridSpan w:val="2"/>
            <w:tcBorders>
              <w:top w:val="single" w:sz="4" w:space="0" w:color="auto"/>
              <w:left w:val="nil"/>
              <w:bottom w:val="nil"/>
              <w:right w:val="nil"/>
            </w:tcBorders>
            <w:shd w:val="clear" w:color="auto" w:fill="D9D9D9"/>
            <w:vAlign w:val="center"/>
          </w:tcPr>
          <w:p w14:paraId="2847145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725" w:type="dxa"/>
            <w:tcBorders>
              <w:top w:val="nil"/>
              <w:left w:val="nil"/>
              <w:bottom w:val="nil"/>
              <w:right w:val="nil"/>
            </w:tcBorders>
            <w:shd w:val="clear" w:color="auto" w:fill="auto"/>
            <w:noWrap/>
            <w:vAlign w:val="center"/>
          </w:tcPr>
          <w:p w14:paraId="49E41AA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5" w:type="dxa"/>
            <w:tcBorders>
              <w:top w:val="single" w:sz="4" w:space="0" w:color="auto"/>
              <w:left w:val="nil"/>
              <w:bottom w:val="nil"/>
              <w:right w:val="nil"/>
            </w:tcBorders>
            <w:shd w:val="clear" w:color="auto" w:fill="D9D9D9"/>
            <w:vAlign w:val="center"/>
          </w:tcPr>
          <w:p w14:paraId="4EDE883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4A1BF41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-0.67</w:t>
            </w:r>
          </w:p>
        </w:tc>
        <w:tc>
          <w:tcPr>
            <w:tcW w:w="725" w:type="dxa"/>
            <w:tcBorders>
              <w:top w:val="single" w:sz="4" w:space="0" w:color="auto"/>
              <w:left w:val="nil"/>
              <w:bottom w:val="nil"/>
              <w:right w:val="nil"/>
            </w:tcBorders>
            <w:shd w:val="clear" w:color="auto" w:fill="D9D9D9"/>
            <w:vAlign w:val="center"/>
          </w:tcPr>
          <w:p w14:paraId="2D6F7E2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-0.77</w:t>
            </w:r>
          </w:p>
        </w:tc>
        <w:tc>
          <w:tcPr>
            <w:tcW w:w="725" w:type="dxa"/>
            <w:gridSpan w:val="2"/>
            <w:tcBorders>
              <w:top w:val="nil"/>
              <w:left w:val="nil"/>
              <w:bottom w:val="nil"/>
              <w:right w:val="nil"/>
            </w:tcBorders>
            <w:shd w:val="clear" w:color="auto" w:fill="auto"/>
            <w:noWrap/>
            <w:vAlign w:val="center"/>
          </w:tcPr>
          <w:p w14:paraId="294784A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-0.24</w:t>
            </w:r>
          </w:p>
        </w:tc>
        <w:tc>
          <w:tcPr>
            <w:tcW w:w="730" w:type="dxa"/>
            <w:tcBorders>
              <w:top w:val="single" w:sz="4" w:space="0" w:color="auto"/>
              <w:left w:val="nil"/>
              <w:bottom w:val="nil"/>
              <w:right w:val="nil"/>
            </w:tcBorders>
            <w:shd w:val="clear" w:color="auto" w:fill="D9D9D9"/>
            <w:vAlign w:val="center"/>
          </w:tcPr>
          <w:p w14:paraId="37B9808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-0.12</w:t>
            </w:r>
          </w:p>
        </w:tc>
      </w:tr>
      <w:tr w:rsidR="00E6060C" w:rsidRPr="00E6060C" w14:paraId="6175243F" w14:textId="77777777" w:rsidTr="001B5BAE">
        <w:trPr>
          <w:trHeight w:val="482"/>
        </w:trPr>
        <w:tc>
          <w:tcPr>
            <w:tcW w:w="1983" w:type="dxa"/>
            <w:shd w:val="clear" w:color="auto" w:fill="auto"/>
            <w:vAlign w:val="center"/>
          </w:tcPr>
          <w:p w14:paraId="295B15E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Influence in decision-making</w:t>
            </w:r>
          </w:p>
        </w:tc>
        <w:tc>
          <w:tcPr>
            <w:tcW w:w="723" w:type="dxa"/>
            <w:tcBorders>
              <w:top w:val="nil"/>
              <w:left w:val="nil"/>
              <w:bottom w:val="nil"/>
              <w:right w:val="nil"/>
            </w:tcBorders>
            <w:shd w:val="clear" w:color="auto" w:fill="auto"/>
            <w:noWrap/>
            <w:vAlign w:val="center"/>
          </w:tcPr>
          <w:p w14:paraId="266443B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w:t>
            </w:r>
          </w:p>
        </w:tc>
        <w:tc>
          <w:tcPr>
            <w:tcW w:w="723" w:type="dxa"/>
            <w:gridSpan w:val="2"/>
            <w:tcBorders>
              <w:top w:val="nil"/>
              <w:left w:val="nil"/>
              <w:bottom w:val="nil"/>
              <w:right w:val="nil"/>
            </w:tcBorders>
            <w:shd w:val="clear" w:color="auto" w:fill="D9D9D9"/>
            <w:vAlign w:val="center"/>
          </w:tcPr>
          <w:p w14:paraId="6F85B20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w:t>
            </w:r>
          </w:p>
        </w:tc>
        <w:tc>
          <w:tcPr>
            <w:tcW w:w="725" w:type="dxa"/>
            <w:tcBorders>
              <w:top w:val="nil"/>
              <w:left w:val="nil"/>
              <w:bottom w:val="nil"/>
              <w:right w:val="nil"/>
            </w:tcBorders>
            <w:shd w:val="clear" w:color="auto" w:fill="auto"/>
            <w:noWrap/>
            <w:vAlign w:val="center"/>
          </w:tcPr>
          <w:p w14:paraId="770C3A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2.98</w:t>
            </w:r>
          </w:p>
        </w:tc>
        <w:tc>
          <w:tcPr>
            <w:tcW w:w="724" w:type="dxa"/>
            <w:gridSpan w:val="2"/>
            <w:tcBorders>
              <w:top w:val="nil"/>
              <w:left w:val="nil"/>
              <w:bottom w:val="nil"/>
              <w:right w:val="nil"/>
            </w:tcBorders>
            <w:shd w:val="clear" w:color="auto" w:fill="D9D9D9"/>
            <w:vAlign w:val="center"/>
          </w:tcPr>
          <w:p w14:paraId="2B2ECBB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3.19</w:t>
            </w:r>
          </w:p>
        </w:tc>
        <w:tc>
          <w:tcPr>
            <w:tcW w:w="725" w:type="dxa"/>
            <w:tcBorders>
              <w:top w:val="nil"/>
              <w:left w:val="nil"/>
              <w:bottom w:val="nil"/>
              <w:right w:val="nil"/>
            </w:tcBorders>
            <w:shd w:val="clear" w:color="auto" w:fill="auto"/>
            <w:noWrap/>
            <w:vAlign w:val="center"/>
          </w:tcPr>
          <w:p w14:paraId="3D4A61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0.98</w:t>
            </w:r>
          </w:p>
        </w:tc>
        <w:tc>
          <w:tcPr>
            <w:tcW w:w="725" w:type="dxa"/>
            <w:gridSpan w:val="2"/>
            <w:tcBorders>
              <w:top w:val="nil"/>
              <w:left w:val="nil"/>
              <w:bottom w:val="nil"/>
              <w:right w:val="nil"/>
            </w:tcBorders>
            <w:shd w:val="clear" w:color="auto" w:fill="D9D9D9"/>
            <w:vAlign w:val="center"/>
          </w:tcPr>
          <w:p w14:paraId="6984CDA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0.81</w:t>
            </w:r>
          </w:p>
        </w:tc>
        <w:tc>
          <w:tcPr>
            <w:tcW w:w="725" w:type="dxa"/>
            <w:tcBorders>
              <w:top w:val="nil"/>
              <w:left w:val="nil"/>
              <w:bottom w:val="nil"/>
              <w:right w:val="nil"/>
            </w:tcBorders>
            <w:shd w:val="clear" w:color="auto" w:fill="auto"/>
            <w:noWrap/>
            <w:vAlign w:val="center"/>
          </w:tcPr>
          <w:p w14:paraId="26D235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0.15</w:t>
            </w:r>
          </w:p>
        </w:tc>
        <w:tc>
          <w:tcPr>
            <w:tcW w:w="724" w:type="dxa"/>
            <w:gridSpan w:val="2"/>
            <w:tcBorders>
              <w:top w:val="nil"/>
              <w:left w:val="nil"/>
              <w:bottom w:val="nil"/>
              <w:right w:val="nil"/>
            </w:tcBorders>
            <w:shd w:val="clear" w:color="auto" w:fill="D9D9D9"/>
            <w:vAlign w:val="center"/>
          </w:tcPr>
          <w:p w14:paraId="696E1F3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0.12</w:t>
            </w:r>
          </w:p>
        </w:tc>
        <w:tc>
          <w:tcPr>
            <w:tcW w:w="725" w:type="dxa"/>
            <w:tcBorders>
              <w:top w:val="nil"/>
              <w:left w:val="nil"/>
              <w:bottom w:val="nil"/>
              <w:right w:val="nil"/>
            </w:tcBorders>
            <w:shd w:val="clear" w:color="auto" w:fill="auto"/>
            <w:vAlign w:val="center"/>
          </w:tcPr>
          <w:p w14:paraId="40AFBDC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5" w:type="dxa"/>
            <w:gridSpan w:val="2"/>
            <w:tcBorders>
              <w:top w:val="nil"/>
              <w:left w:val="nil"/>
              <w:bottom w:val="nil"/>
              <w:right w:val="nil"/>
            </w:tcBorders>
            <w:shd w:val="clear" w:color="auto" w:fill="D9D9D9"/>
            <w:vAlign w:val="center"/>
          </w:tcPr>
          <w:p w14:paraId="31100B0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724" w:type="dxa"/>
            <w:tcBorders>
              <w:top w:val="nil"/>
              <w:left w:val="nil"/>
              <w:bottom w:val="nil"/>
              <w:right w:val="nil"/>
            </w:tcBorders>
            <w:shd w:val="clear" w:color="auto" w:fill="auto"/>
            <w:noWrap/>
            <w:vAlign w:val="center"/>
          </w:tcPr>
          <w:p w14:paraId="4F83EAE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12D868B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1.67</w:t>
            </w:r>
          </w:p>
        </w:tc>
        <w:tc>
          <w:tcPr>
            <w:tcW w:w="725" w:type="dxa"/>
            <w:tcBorders>
              <w:top w:val="nil"/>
              <w:left w:val="nil"/>
              <w:bottom w:val="nil"/>
              <w:right w:val="nil"/>
            </w:tcBorders>
            <w:shd w:val="clear" w:color="auto" w:fill="auto"/>
            <w:noWrap/>
            <w:vAlign w:val="center"/>
          </w:tcPr>
          <w:p w14:paraId="13359CB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0ACA758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140B430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-0.01</w:t>
            </w:r>
          </w:p>
        </w:tc>
        <w:tc>
          <w:tcPr>
            <w:tcW w:w="725" w:type="dxa"/>
            <w:tcBorders>
              <w:top w:val="nil"/>
              <w:left w:val="nil"/>
              <w:bottom w:val="nil"/>
              <w:right w:val="nil"/>
            </w:tcBorders>
            <w:shd w:val="clear" w:color="auto" w:fill="D9D9D9"/>
            <w:vAlign w:val="center"/>
          </w:tcPr>
          <w:p w14:paraId="0F169FD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0.46</w:t>
            </w:r>
          </w:p>
        </w:tc>
        <w:tc>
          <w:tcPr>
            <w:tcW w:w="725" w:type="dxa"/>
            <w:gridSpan w:val="2"/>
            <w:tcBorders>
              <w:top w:val="nil"/>
              <w:left w:val="nil"/>
              <w:bottom w:val="nil"/>
              <w:right w:val="nil"/>
            </w:tcBorders>
            <w:shd w:val="clear" w:color="auto" w:fill="auto"/>
            <w:noWrap/>
            <w:vAlign w:val="center"/>
          </w:tcPr>
          <w:p w14:paraId="71FD9A3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-0.22</w:t>
            </w:r>
          </w:p>
        </w:tc>
        <w:tc>
          <w:tcPr>
            <w:tcW w:w="730" w:type="dxa"/>
            <w:tcBorders>
              <w:top w:val="nil"/>
              <w:left w:val="nil"/>
              <w:bottom w:val="nil"/>
              <w:right w:val="nil"/>
            </w:tcBorders>
            <w:shd w:val="clear" w:color="auto" w:fill="D9D9D9"/>
            <w:vAlign w:val="center"/>
          </w:tcPr>
          <w:p w14:paraId="291338C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0.18</w:t>
            </w:r>
          </w:p>
        </w:tc>
      </w:tr>
      <w:tr w:rsidR="00E6060C" w:rsidRPr="00E6060C" w14:paraId="35C53DC8" w14:textId="77777777" w:rsidTr="001B5BAE">
        <w:trPr>
          <w:trHeight w:val="482"/>
        </w:trPr>
        <w:tc>
          <w:tcPr>
            <w:tcW w:w="1983" w:type="dxa"/>
            <w:shd w:val="clear" w:color="auto" w:fill="auto"/>
            <w:vAlign w:val="center"/>
          </w:tcPr>
          <w:p w14:paraId="65FC6072"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Resources and demands</w:t>
            </w:r>
          </w:p>
        </w:tc>
        <w:tc>
          <w:tcPr>
            <w:tcW w:w="723" w:type="dxa"/>
            <w:tcBorders>
              <w:top w:val="nil"/>
              <w:left w:val="nil"/>
              <w:bottom w:val="nil"/>
              <w:right w:val="nil"/>
            </w:tcBorders>
            <w:shd w:val="clear" w:color="auto" w:fill="auto"/>
            <w:noWrap/>
            <w:vAlign w:val="center"/>
          </w:tcPr>
          <w:p w14:paraId="1E0CF44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w:t>
            </w:r>
          </w:p>
        </w:tc>
        <w:tc>
          <w:tcPr>
            <w:tcW w:w="723" w:type="dxa"/>
            <w:gridSpan w:val="2"/>
            <w:tcBorders>
              <w:top w:val="nil"/>
              <w:left w:val="nil"/>
              <w:bottom w:val="nil"/>
              <w:right w:val="nil"/>
            </w:tcBorders>
            <w:shd w:val="clear" w:color="auto" w:fill="D9D9D9"/>
            <w:vAlign w:val="center"/>
          </w:tcPr>
          <w:p w14:paraId="7203C26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w:t>
            </w:r>
          </w:p>
        </w:tc>
        <w:tc>
          <w:tcPr>
            <w:tcW w:w="725" w:type="dxa"/>
            <w:tcBorders>
              <w:top w:val="nil"/>
              <w:left w:val="nil"/>
              <w:bottom w:val="nil"/>
              <w:right w:val="nil"/>
            </w:tcBorders>
            <w:shd w:val="clear" w:color="auto" w:fill="auto"/>
            <w:noWrap/>
            <w:vAlign w:val="center"/>
          </w:tcPr>
          <w:p w14:paraId="154599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2.87</w:t>
            </w:r>
          </w:p>
        </w:tc>
        <w:tc>
          <w:tcPr>
            <w:tcW w:w="724" w:type="dxa"/>
            <w:gridSpan w:val="2"/>
            <w:tcBorders>
              <w:top w:val="nil"/>
              <w:left w:val="nil"/>
              <w:bottom w:val="nil"/>
              <w:right w:val="nil"/>
            </w:tcBorders>
            <w:shd w:val="clear" w:color="auto" w:fill="D9D9D9"/>
            <w:vAlign w:val="center"/>
          </w:tcPr>
          <w:p w14:paraId="2A2DD41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3.23</w:t>
            </w:r>
          </w:p>
        </w:tc>
        <w:tc>
          <w:tcPr>
            <w:tcW w:w="725" w:type="dxa"/>
            <w:tcBorders>
              <w:top w:val="nil"/>
              <w:left w:val="nil"/>
              <w:bottom w:val="nil"/>
              <w:right w:val="nil"/>
            </w:tcBorders>
            <w:shd w:val="clear" w:color="auto" w:fill="auto"/>
            <w:noWrap/>
            <w:vAlign w:val="center"/>
          </w:tcPr>
          <w:p w14:paraId="3B2F21E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0.59</w:t>
            </w:r>
          </w:p>
        </w:tc>
        <w:tc>
          <w:tcPr>
            <w:tcW w:w="725" w:type="dxa"/>
            <w:gridSpan w:val="2"/>
            <w:tcBorders>
              <w:top w:val="nil"/>
              <w:left w:val="nil"/>
              <w:bottom w:val="nil"/>
              <w:right w:val="nil"/>
            </w:tcBorders>
            <w:shd w:val="clear" w:color="auto" w:fill="D9D9D9"/>
            <w:vAlign w:val="center"/>
          </w:tcPr>
          <w:p w14:paraId="1A3515D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0.77</w:t>
            </w:r>
          </w:p>
        </w:tc>
        <w:tc>
          <w:tcPr>
            <w:tcW w:w="725" w:type="dxa"/>
            <w:tcBorders>
              <w:top w:val="nil"/>
              <w:left w:val="nil"/>
              <w:bottom w:val="nil"/>
              <w:right w:val="nil"/>
            </w:tcBorders>
            <w:shd w:val="clear" w:color="auto" w:fill="auto"/>
            <w:noWrap/>
            <w:vAlign w:val="center"/>
          </w:tcPr>
          <w:p w14:paraId="0194321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0.09</w:t>
            </w:r>
          </w:p>
        </w:tc>
        <w:tc>
          <w:tcPr>
            <w:tcW w:w="724" w:type="dxa"/>
            <w:gridSpan w:val="2"/>
            <w:tcBorders>
              <w:top w:val="nil"/>
              <w:left w:val="nil"/>
              <w:bottom w:val="nil"/>
              <w:right w:val="nil"/>
            </w:tcBorders>
            <w:shd w:val="clear" w:color="auto" w:fill="D9D9D9"/>
            <w:vAlign w:val="center"/>
          </w:tcPr>
          <w:p w14:paraId="2D52C41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0.12</w:t>
            </w:r>
          </w:p>
        </w:tc>
        <w:tc>
          <w:tcPr>
            <w:tcW w:w="725" w:type="dxa"/>
            <w:tcBorders>
              <w:top w:val="nil"/>
              <w:left w:val="nil"/>
              <w:bottom w:val="nil"/>
              <w:right w:val="nil"/>
            </w:tcBorders>
            <w:shd w:val="clear" w:color="auto" w:fill="auto"/>
            <w:vAlign w:val="center"/>
          </w:tcPr>
          <w:p w14:paraId="5B3AA75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2.86</w:t>
            </w:r>
          </w:p>
        </w:tc>
        <w:tc>
          <w:tcPr>
            <w:tcW w:w="725" w:type="dxa"/>
            <w:gridSpan w:val="2"/>
            <w:tcBorders>
              <w:top w:val="nil"/>
              <w:left w:val="nil"/>
              <w:bottom w:val="nil"/>
              <w:right w:val="nil"/>
            </w:tcBorders>
            <w:shd w:val="clear" w:color="auto" w:fill="D9D9D9"/>
            <w:vAlign w:val="center"/>
          </w:tcPr>
          <w:p w14:paraId="74327DE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3.14</w:t>
            </w:r>
          </w:p>
        </w:tc>
        <w:tc>
          <w:tcPr>
            <w:tcW w:w="724" w:type="dxa"/>
            <w:tcBorders>
              <w:top w:val="nil"/>
              <w:left w:val="nil"/>
              <w:bottom w:val="nil"/>
              <w:right w:val="nil"/>
            </w:tcBorders>
            <w:shd w:val="clear" w:color="auto" w:fill="auto"/>
            <w:noWrap/>
            <w:vAlign w:val="center"/>
          </w:tcPr>
          <w:p w14:paraId="5015A9A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1.43</w:t>
            </w:r>
          </w:p>
        </w:tc>
        <w:tc>
          <w:tcPr>
            <w:tcW w:w="725" w:type="dxa"/>
            <w:gridSpan w:val="2"/>
            <w:tcBorders>
              <w:top w:val="nil"/>
              <w:left w:val="nil"/>
              <w:bottom w:val="nil"/>
              <w:right w:val="nil"/>
            </w:tcBorders>
            <w:shd w:val="clear" w:color="auto" w:fill="D9D9D9"/>
            <w:vAlign w:val="center"/>
          </w:tcPr>
          <w:p w14:paraId="6A19C96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1.14</w:t>
            </w:r>
          </w:p>
        </w:tc>
        <w:tc>
          <w:tcPr>
            <w:tcW w:w="725" w:type="dxa"/>
            <w:tcBorders>
              <w:top w:val="nil"/>
              <w:left w:val="nil"/>
              <w:bottom w:val="nil"/>
              <w:right w:val="nil"/>
            </w:tcBorders>
            <w:shd w:val="clear" w:color="auto" w:fill="auto"/>
            <w:noWrap/>
            <w:vAlign w:val="center"/>
          </w:tcPr>
          <w:p w14:paraId="7A51340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3.71</w:t>
            </w:r>
          </w:p>
        </w:tc>
        <w:tc>
          <w:tcPr>
            <w:tcW w:w="725" w:type="dxa"/>
            <w:tcBorders>
              <w:top w:val="nil"/>
              <w:left w:val="nil"/>
              <w:bottom w:val="nil"/>
              <w:right w:val="nil"/>
            </w:tcBorders>
            <w:shd w:val="clear" w:color="auto" w:fill="D9D9D9"/>
            <w:vAlign w:val="center"/>
          </w:tcPr>
          <w:p w14:paraId="18471F0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7B7D576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-0.63</w:t>
            </w:r>
          </w:p>
        </w:tc>
        <w:tc>
          <w:tcPr>
            <w:tcW w:w="725" w:type="dxa"/>
            <w:tcBorders>
              <w:top w:val="nil"/>
              <w:left w:val="nil"/>
              <w:bottom w:val="nil"/>
              <w:right w:val="nil"/>
            </w:tcBorders>
            <w:shd w:val="clear" w:color="auto" w:fill="D9D9D9"/>
            <w:vAlign w:val="center"/>
          </w:tcPr>
          <w:p w14:paraId="129010A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-0.29</w:t>
            </w:r>
          </w:p>
        </w:tc>
        <w:tc>
          <w:tcPr>
            <w:tcW w:w="725" w:type="dxa"/>
            <w:gridSpan w:val="2"/>
            <w:tcBorders>
              <w:top w:val="nil"/>
              <w:left w:val="nil"/>
              <w:bottom w:val="nil"/>
              <w:right w:val="nil"/>
            </w:tcBorders>
            <w:shd w:val="clear" w:color="auto" w:fill="auto"/>
            <w:noWrap/>
            <w:vAlign w:val="center"/>
          </w:tcPr>
          <w:p w14:paraId="3BDB632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-0.21</w:t>
            </w:r>
          </w:p>
        </w:tc>
        <w:tc>
          <w:tcPr>
            <w:tcW w:w="730" w:type="dxa"/>
            <w:tcBorders>
              <w:top w:val="nil"/>
              <w:left w:val="nil"/>
              <w:bottom w:val="nil"/>
              <w:right w:val="nil"/>
            </w:tcBorders>
            <w:shd w:val="clear" w:color="auto" w:fill="D9D9D9"/>
            <w:vAlign w:val="center"/>
          </w:tcPr>
          <w:p w14:paraId="6A78C25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0.45</w:t>
            </w:r>
          </w:p>
        </w:tc>
      </w:tr>
      <w:tr w:rsidR="00E6060C" w:rsidRPr="00E6060C" w14:paraId="361F40F7" w14:textId="77777777" w:rsidTr="001B5BAE">
        <w:trPr>
          <w:trHeight w:val="482"/>
        </w:trPr>
        <w:tc>
          <w:tcPr>
            <w:tcW w:w="1983" w:type="dxa"/>
            <w:shd w:val="clear" w:color="auto" w:fill="auto"/>
            <w:vAlign w:val="center"/>
          </w:tcPr>
          <w:p w14:paraId="6ADFECE2"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Autonomy</w:t>
            </w:r>
          </w:p>
        </w:tc>
        <w:tc>
          <w:tcPr>
            <w:tcW w:w="723" w:type="dxa"/>
            <w:tcBorders>
              <w:top w:val="nil"/>
              <w:left w:val="nil"/>
              <w:bottom w:val="nil"/>
              <w:right w:val="nil"/>
            </w:tcBorders>
            <w:shd w:val="clear" w:color="auto" w:fill="auto"/>
            <w:noWrap/>
            <w:vAlign w:val="center"/>
          </w:tcPr>
          <w:p w14:paraId="2B8F820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723" w:type="dxa"/>
            <w:gridSpan w:val="2"/>
            <w:tcBorders>
              <w:top w:val="nil"/>
              <w:left w:val="nil"/>
              <w:bottom w:val="nil"/>
              <w:right w:val="nil"/>
            </w:tcBorders>
            <w:shd w:val="clear" w:color="auto" w:fill="D9D9D9"/>
            <w:vAlign w:val="center"/>
          </w:tcPr>
          <w:p w14:paraId="3B7C1DF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nil"/>
              <w:right w:val="nil"/>
            </w:tcBorders>
            <w:shd w:val="clear" w:color="auto" w:fill="auto"/>
            <w:noWrap/>
            <w:vAlign w:val="center"/>
          </w:tcPr>
          <w:p w14:paraId="2397256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3.91</w:t>
            </w:r>
          </w:p>
        </w:tc>
        <w:tc>
          <w:tcPr>
            <w:tcW w:w="724" w:type="dxa"/>
            <w:gridSpan w:val="2"/>
            <w:tcBorders>
              <w:top w:val="nil"/>
              <w:left w:val="nil"/>
              <w:bottom w:val="nil"/>
              <w:right w:val="nil"/>
            </w:tcBorders>
            <w:shd w:val="clear" w:color="auto" w:fill="D9D9D9"/>
            <w:vAlign w:val="center"/>
          </w:tcPr>
          <w:p w14:paraId="7883175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4.26</w:t>
            </w:r>
          </w:p>
        </w:tc>
        <w:tc>
          <w:tcPr>
            <w:tcW w:w="725" w:type="dxa"/>
            <w:tcBorders>
              <w:top w:val="nil"/>
              <w:left w:val="nil"/>
              <w:bottom w:val="nil"/>
              <w:right w:val="nil"/>
            </w:tcBorders>
            <w:shd w:val="clear" w:color="auto" w:fill="auto"/>
            <w:noWrap/>
            <w:vAlign w:val="center"/>
          </w:tcPr>
          <w:p w14:paraId="5822670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0.87</w:t>
            </w:r>
          </w:p>
        </w:tc>
        <w:tc>
          <w:tcPr>
            <w:tcW w:w="725" w:type="dxa"/>
            <w:gridSpan w:val="2"/>
            <w:tcBorders>
              <w:top w:val="nil"/>
              <w:left w:val="nil"/>
              <w:bottom w:val="nil"/>
              <w:right w:val="nil"/>
            </w:tcBorders>
            <w:shd w:val="clear" w:color="auto" w:fill="D9D9D9"/>
            <w:vAlign w:val="center"/>
          </w:tcPr>
          <w:p w14:paraId="3AD740E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0.50</w:t>
            </w:r>
          </w:p>
        </w:tc>
        <w:tc>
          <w:tcPr>
            <w:tcW w:w="725" w:type="dxa"/>
            <w:tcBorders>
              <w:top w:val="nil"/>
              <w:left w:val="nil"/>
              <w:bottom w:val="nil"/>
              <w:right w:val="nil"/>
            </w:tcBorders>
            <w:shd w:val="clear" w:color="auto" w:fill="auto"/>
            <w:noWrap/>
            <w:vAlign w:val="center"/>
          </w:tcPr>
          <w:p w14:paraId="6EE18AB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0.14</w:t>
            </w:r>
          </w:p>
        </w:tc>
        <w:tc>
          <w:tcPr>
            <w:tcW w:w="724" w:type="dxa"/>
            <w:gridSpan w:val="2"/>
            <w:tcBorders>
              <w:top w:val="nil"/>
              <w:left w:val="nil"/>
              <w:bottom w:val="nil"/>
              <w:right w:val="nil"/>
            </w:tcBorders>
            <w:shd w:val="clear" w:color="auto" w:fill="D9D9D9"/>
            <w:vAlign w:val="center"/>
          </w:tcPr>
          <w:p w14:paraId="5D93CC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0.08</w:t>
            </w:r>
          </w:p>
        </w:tc>
        <w:tc>
          <w:tcPr>
            <w:tcW w:w="725" w:type="dxa"/>
            <w:tcBorders>
              <w:top w:val="nil"/>
              <w:left w:val="nil"/>
              <w:bottom w:val="nil"/>
              <w:right w:val="nil"/>
            </w:tcBorders>
            <w:shd w:val="clear" w:color="auto" w:fill="auto"/>
            <w:vAlign w:val="center"/>
          </w:tcPr>
          <w:p w14:paraId="0A2775F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26E5F86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5F772F3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7A5AC90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725" w:type="dxa"/>
            <w:tcBorders>
              <w:top w:val="nil"/>
              <w:left w:val="nil"/>
              <w:bottom w:val="nil"/>
              <w:right w:val="nil"/>
            </w:tcBorders>
            <w:shd w:val="clear" w:color="auto" w:fill="auto"/>
            <w:noWrap/>
            <w:vAlign w:val="center"/>
          </w:tcPr>
          <w:p w14:paraId="07DF54B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1DC26A8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467D28F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-1.42</w:t>
            </w:r>
          </w:p>
        </w:tc>
        <w:tc>
          <w:tcPr>
            <w:tcW w:w="725" w:type="dxa"/>
            <w:tcBorders>
              <w:top w:val="nil"/>
              <w:left w:val="nil"/>
              <w:bottom w:val="nil"/>
              <w:right w:val="nil"/>
            </w:tcBorders>
            <w:shd w:val="clear" w:color="auto" w:fill="D9D9D9"/>
            <w:vAlign w:val="center"/>
          </w:tcPr>
          <w:p w14:paraId="4A994B7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0.21</w:t>
            </w:r>
          </w:p>
        </w:tc>
        <w:tc>
          <w:tcPr>
            <w:tcW w:w="725" w:type="dxa"/>
            <w:gridSpan w:val="2"/>
            <w:tcBorders>
              <w:top w:val="nil"/>
              <w:left w:val="nil"/>
              <w:bottom w:val="nil"/>
              <w:right w:val="nil"/>
            </w:tcBorders>
            <w:shd w:val="clear" w:color="auto" w:fill="auto"/>
            <w:noWrap/>
            <w:vAlign w:val="center"/>
          </w:tcPr>
          <w:p w14:paraId="75F210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2.87</w:t>
            </w:r>
          </w:p>
        </w:tc>
        <w:tc>
          <w:tcPr>
            <w:tcW w:w="730" w:type="dxa"/>
            <w:tcBorders>
              <w:top w:val="nil"/>
              <w:left w:val="nil"/>
              <w:bottom w:val="nil"/>
              <w:right w:val="nil"/>
            </w:tcBorders>
            <w:shd w:val="clear" w:color="auto" w:fill="D9D9D9"/>
            <w:vAlign w:val="center"/>
          </w:tcPr>
          <w:p w14:paraId="6278248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-0.98</w:t>
            </w:r>
          </w:p>
        </w:tc>
      </w:tr>
      <w:tr w:rsidR="00E6060C" w:rsidRPr="00E6060C" w14:paraId="669D39C7" w14:textId="77777777" w:rsidTr="001B5BAE">
        <w:trPr>
          <w:trHeight w:val="482"/>
        </w:trPr>
        <w:tc>
          <w:tcPr>
            <w:tcW w:w="1983" w:type="dxa"/>
            <w:shd w:val="clear" w:color="auto" w:fill="auto"/>
            <w:vAlign w:val="center"/>
          </w:tcPr>
          <w:p w14:paraId="680C145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Competence</w:t>
            </w:r>
          </w:p>
        </w:tc>
        <w:tc>
          <w:tcPr>
            <w:tcW w:w="723" w:type="dxa"/>
            <w:tcBorders>
              <w:top w:val="nil"/>
              <w:left w:val="nil"/>
              <w:bottom w:val="nil"/>
              <w:right w:val="nil"/>
            </w:tcBorders>
            <w:shd w:val="clear" w:color="auto" w:fill="auto"/>
            <w:noWrap/>
            <w:vAlign w:val="center"/>
          </w:tcPr>
          <w:p w14:paraId="3275AB9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723" w:type="dxa"/>
            <w:gridSpan w:val="2"/>
            <w:tcBorders>
              <w:top w:val="nil"/>
              <w:left w:val="nil"/>
              <w:bottom w:val="nil"/>
              <w:right w:val="nil"/>
            </w:tcBorders>
            <w:shd w:val="clear" w:color="auto" w:fill="D9D9D9"/>
            <w:vAlign w:val="center"/>
          </w:tcPr>
          <w:p w14:paraId="6745ADF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w:t>
            </w:r>
          </w:p>
        </w:tc>
        <w:tc>
          <w:tcPr>
            <w:tcW w:w="725" w:type="dxa"/>
            <w:tcBorders>
              <w:top w:val="nil"/>
              <w:left w:val="nil"/>
              <w:bottom w:val="nil"/>
              <w:right w:val="nil"/>
            </w:tcBorders>
            <w:shd w:val="clear" w:color="auto" w:fill="auto"/>
            <w:noWrap/>
            <w:vAlign w:val="center"/>
          </w:tcPr>
          <w:p w14:paraId="772F568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3.88</w:t>
            </w:r>
          </w:p>
        </w:tc>
        <w:tc>
          <w:tcPr>
            <w:tcW w:w="724" w:type="dxa"/>
            <w:gridSpan w:val="2"/>
            <w:tcBorders>
              <w:top w:val="nil"/>
              <w:left w:val="nil"/>
              <w:bottom w:val="nil"/>
              <w:right w:val="nil"/>
            </w:tcBorders>
            <w:shd w:val="clear" w:color="auto" w:fill="D9D9D9"/>
            <w:vAlign w:val="center"/>
          </w:tcPr>
          <w:p w14:paraId="6E16B68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4.20</w:t>
            </w:r>
          </w:p>
        </w:tc>
        <w:tc>
          <w:tcPr>
            <w:tcW w:w="725" w:type="dxa"/>
            <w:tcBorders>
              <w:top w:val="nil"/>
              <w:left w:val="nil"/>
              <w:bottom w:val="nil"/>
              <w:right w:val="nil"/>
            </w:tcBorders>
            <w:shd w:val="clear" w:color="auto" w:fill="auto"/>
            <w:noWrap/>
            <w:vAlign w:val="center"/>
          </w:tcPr>
          <w:p w14:paraId="786467A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0.69</w:t>
            </w:r>
          </w:p>
        </w:tc>
        <w:tc>
          <w:tcPr>
            <w:tcW w:w="725" w:type="dxa"/>
            <w:gridSpan w:val="2"/>
            <w:tcBorders>
              <w:top w:val="nil"/>
              <w:left w:val="nil"/>
              <w:bottom w:val="nil"/>
              <w:right w:val="nil"/>
            </w:tcBorders>
            <w:shd w:val="clear" w:color="auto" w:fill="D9D9D9"/>
            <w:vAlign w:val="center"/>
          </w:tcPr>
          <w:p w14:paraId="3EEA389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0.58</w:t>
            </w:r>
          </w:p>
        </w:tc>
        <w:tc>
          <w:tcPr>
            <w:tcW w:w="725" w:type="dxa"/>
            <w:tcBorders>
              <w:top w:val="nil"/>
              <w:left w:val="nil"/>
              <w:bottom w:val="nil"/>
              <w:right w:val="nil"/>
            </w:tcBorders>
            <w:shd w:val="clear" w:color="auto" w:fill="auto"/>
            <w:noWrap/>
            <w:vAlign w:val="center"/>
          </w:tcPr>
          <w:p w14:paraId="3A8972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0.11</w:t>
            </w:r>
          </w:p>
        </w:tc>
        <w:tc>
          <w:tcPr>
            <w:tcW w:w="724" w:type="dxa"/>
            <w:gridSpan w:val="2"/>
            <w:tcBorders>
              <w:top w:val="nil"/>
              <w:left w:val="nil"/>
              <w:bottom w:val="nil"/>
              <w:right w:val="nil"/>
            </w:tcBorders>
            <w:shd w:val="clear" w:color="auto" w:fill="D9D9D9"/>
            <w:vAlign w:val="center"/>
          </w:tcPr>
          <w:p w14:paraId="46056D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0.09</w:t>
            </w:r>
          </w:p>
        </w:tc>
        <w:tc>
          <w:tcPr>
            <w:tcW w:w="725" w:type="dxa"/>
            <w:tcBorders>
              <w:top w:val="nil"/>
              <w:left w:val="nil"/>
              <w:bottom w:val="nil"/>
              <w:right w:val="nil"/>
            </w:tcBorders>
            <w:shd w:val="clear" w:color="auto" w:fill="auto"/>
            <w:vAlign w:val="center"/>
          </w:tcPr>
          <w:p w14:paraId="5954F09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2A9E658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19AA17B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3.00</w:t>
            </w:r>
          </w:p>
        </w:tc>
        <w:tc>
          <w:tcPr>
            <w:tcW w:w="725" w:type="dxa"/>
            <w:gridSpan w:val="2"/>
            <w:tcBorders>
              <w:top w:val="nil"/>
              <w:left w:val="nil"/>
              <w:bottom w:val="nil"/>
              <w:right w:val="nil"/>
            </w:tcBorders>
            <w:shd w:val="clear" w:color="auto" w:fill="D9D9D9"/>
            <w:vAlign w:val="center"/>
          </w:tcPr>
          <w:p w14:paraId="2D5C338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725" w:type="dxa"/>
            <w:tcBorders>
              <w:top w:val="nil"/>
              <w:left w:val="nil"/>
              <w:bottom w:val="nil"/>
              <w:right w:val="nil"/>
            </w:tcBorders>
            <w:shd w:val="clear" w:color="auto" w:fill="auto"/>
            <w:noWrap/>
            <w:vAlign w:val="center"/>
          </w:tcPr>
          <w:p w14:paraId="453275E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3BE2C67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05E3792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-0.06</w:t>
            </w:r>
          </w:p>
        </w:tc>
        <w:tc>
          <w:tcPr>
            <w:tcW w:w="725" w:type="dxa"/>
            <w:tcBorders>
              <w:top w:val="nil"/>
              <w:left w:val="nil"/>
              <w:bottom w:val="nil"/>
              <w:right w:val="nil"/>
            </w:tcBorders>
            <w:shd w:val="clear" w:color="auto" w:fill="D9D9D9"/>
            <w:vAlign w:val="center"/>
          </w:tcPr>
          <w:p w14:paraId="02AB851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-0.21</w:t>
            </w:r>
          </w:p>
        </w:tc>
        <w:tc>
          <w:tcPr>
            <w:tcW w:w="725" w:type="dxa"/>
            <w:gridSpan w:val="2"/>
            <w:tcBorders>
              <w:top w:val="nil"/>
              <w:left w:val="nil"/>
              <w:bottom w:val="nil"/>
              <w:right w:val="nil"/>
            </w:tcBorders>
            <w:shd w:val="clear" w:color="auto" w:fill="auto"/>
            <w:noWrap/>
            <w:vAlign w:val="center"/>
          </w:tcPr>
          <w:p w14:paraId="091CA3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-0.56</w:t>
            </w:r>
          </w:p>
        </w:tc>
        <w:tc>
          <w:tcPr>
            <w:tcW w:w="730" w:type="dxa"/>
            <w:tcBorders>
              <w:top w:val="nil"/>
              <w:left w:val="nil"/>
              <w:bottom w:val="nil"/>
              <w:right w:val="nil"/>
            </w:tcBorders>
            <w:shd w:val="clear" w:color="auto" w:fill="D9D9D9"/>
            <w:vAlign w:val="center"/>
          </w:tcPr>
          <w:p w14:paraId="2ACBC6F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-0.47</w:t>
            </w:r>
          </w:p>
        </w:tc>
      </w:tr>
      <w:tr w:rsidR="00E6060C" w:rsidRPr="00E6060C" w14:paraId="73451897" w14:textId="77777777" w:rsidTr="001B5BAE">
        <w:trPr>
          <w:trHeight w:val="482"/>
        </w:trPr>
        <w:tc>
          <w:tcPr>
            <w:tcW w:w="1983" w:type="dxa"/>
            <w:shd w:val="clear" w:color="auto" w:fill="auto"/>
            <w:vAlign w:val="center"/>
          </w:tcPr>
          <w:p w14:paraId="38BE778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723" w:type="dxa"/>
            <w:tcBorders>
              <w:top w:val="nil"/>
              <w:left w:val="nil"/>
              <w:bottom w:val="nil"/>
              <w:right w:val="nil"/>
            </w:tcBorders>
            <w:shd w:val="clear" w:color="auto" w:fill="auto"/>
            <w:noWrap/>
            <w:vAlign w:val="center"/>
          </w:tcPr>
          <w:p w14:paraId="7DFB306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723" w:type="dxa"/>
            <w:gridSpan w:val="2"/>
            <w:tcBorders>
              <w:top w:val="nil"/>
              <w:left w:val="nil"/>
              <w:bottom w:val="nil"/>
              <w:right w:val="nil"/>
            </w:tcBorders>
            <w:shd w:val="clear" w:color="auto" w:fill="D9D9D9"/>
            <w:vAlign w:val="center"/>
          </w:tcPr>
          <w:p w14:paraId="287BF30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w:t>
            </w:r>
          </w:p>
        </w:tc>
        <w:tc>
          <w:tcPr>
            <w:tcW w:w="725" w:type="dxa"/>
            <w:tcBorders>
              <w:top w:val="nil"/>
              <w:left w:val="nil"/>
              <w:bottom w:val="nil"/>
              <w:right w:val="nil"/>
            </w:tcBorders>
            <w:shd w:val="clear" w:color="auto" w:fill="auto"/>
            <w:noWrap/>
            <w:vAlign w:val="center"/>
          </w:tcPr>
          <w:p w14:paraId="362600E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4.16</w:t>
            </w:r>
          </w:p>
        </w:tc>
        <w:tc>
          <w:tcPr>
            <w:tcW w:w="724" w:type="dxa"/>
            <w:gridSpan w:val="2"/>
            <w:tcBorders>
              <w:top w:val="nil"/>
              <w:left w:val="nil"/>
              <w:bottom w:val="nil"/>
              <w:right w:val="nil"/>
            </w:tcBorders>
            <w:shd w:val="clear" w:color="auto" w:fill="D9D9D9"/>
            <w:vAlign w:val="center"/>
          </w:tcPr>
          <w:p w14:paraId="6AFE20D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4.30</w:t>
            </w:r>
          </w:p>
        </w:tc>
        <w:tc>
          <w:tcPr>
            <w:tcW w:w="725" w:type="dxa"/>
            <w:tcBorders>
              <w:top w:val="nil"/>
              <w:left w:val="nil"/>
              <w:bottom w:val="nil"/>
              <w:right w:val="nil"/>
            </w:tcBorders>
            <w:shd w:val="clear" w:color="auto" w:fill="auto"/>
            <w:noWrap/>
            <w:vAlign w:val="center"/>
          </w:tcPr>
          <w:p w14:paraId="323FDB4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0.52</w:t>
            </w:r>
          </w:p>
        </w:tc>
        <w:tc>
          <w:tcPr>
            <w:tcW w:w="725" w:type="dxa"/>
            <w:gridSpan w:val="2"/>
            <w:tcBorders>
              <w:top w:val="nil"/>
              <w:left w:val="nil"/>
              <w:bottom w:val="nil"/>
              <w:right w:val="nil"/>
            </w:tcBorders>
            <w:shd w:val="clear" w:color="auto" w:fill="D9D9D9"/>
            <w:vAlign w:val="center"/>
          </w:tcPr>
          <w:p w14:paraId="56CB617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0.48</w:t>
            </w:r>
          </w:p>
        </w:tc>
        <w:tc>
          <w:tcPr>
            <w:tcW w:w="725" w:type="dxa"/>
            <w:tcBorders>
              <w:top w:val="nil"/>
              <w:left w:val="nil"/>
              <w:bottom w:val="nil"/>
              <w:right w:val="nil"/>
            </w:tcBorders>
            <w:shd w:val="clear" w:color="auto" w:fill="auto"/>
            <w:noWrap/>
            <w:vAlign w:val="center"/>
          </w:tcPr>
          <w:p w14:paraId="53681B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0.08</w:t>
            </w:r>
          </w:p>
        </w:tc>
        <w:tc>
          <w:tcPr>
            <w:tcW w:w="724" w:type="dxa"/>
            <w:gridSpan w:val="2"/>
            <w:tcBorders>
              <w:top w:val="nil"/>
              <w:left w:val="nil"/>
              <w:bottom w:val="nil"/>
              <w:right w:val="nil"/>
            </w:tcBorders>
            <w:shd w:val="clear" w:color="auto" w:fill="D9D9D9"/>
            <w:vAlign w:val="center"/>
          </w:tcPr>
          <w:p w14:paraId="5C0353C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0.07</w:t>
            </w:r>
          </w:p>
        </w:tc>
        <w:tc>
          <w:tcPr>
            <w:tcW w:w="725" w:type="dxa"/>
            <w:tcBorders>
              <w:top w:val="nil"/>
              <w:left w:val="nil"/>
              <w:bottom w:val="nil"/>
              <w:right w:val="nil"/>
            </w:tcBorders>
            <w:shd w:val="clear" w:color="auto" w:fill="auto"/>
            <w:vAlign w:val="center"/>
          </w:tcPr>
          <w:p w14:paraId="06B27BA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5" w:type="dxa"/>
            <w:gridSpan w:val="2"/>
            <w:tcBorders>
              <w:top w:val="nil"/>
              <w:left w:val="nil"/>
              <w:bottom w:val="nil"/>
              <w:right w:val="nil"/>
            </w:tcBorders>
            <w:shd w:val="clear" w:color="auto" w:fill="D9D9D9"/>
            <w:vAlign w:val="center"/>
          </w:tcPr>
          <w:p w14:paraId="083E4E2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5949B0A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3.00</w:t>
            </w:r>
          </w:p>
        </w:tc>
        <w:tc>
          <w:tcPr>
            <w:tcW w:w="725" w:type="dxa"/>
            <w:gridSpan w:val="2"/>
            <w:tcBorders>
              <w:top w:val="nil"/>
              <w:left w:val="nil"/>
              <w:bottom w:val="nil"/>
              <w:right w:val="nil"/>
            </w:tcBorders>
            <w:shd w:val="clear" w:color="auto" w:fill="D9D9D9"/>
            <w:vAlign w:val="center"/>
          </w:tcPr>
          <w:p w14:paraId="7B0B834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725" w:type="dxa"/>
            <w:tcBorders>
              <w:top w:val="nil"/>
              <w:left w:val="nil"/>
              <w:bottom w:val="nil"/>
              <w:right w:val="nil"/>
            </w:tcBorders>
            <w:shd w:val="clear" w:color="auto" w:fill="auto"/>
            <w:noWrap/>
            <w:vAlign w:val="center"/>
          </w:tcPr>
          <w:p w14:paraId="03B8685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25" w:type="dxa"/>
            <w:tcBorders>
              <w:top w:val="nil"/>
              <w:left w:val="nil"/>
              <w:bottom w:val="nil"/>
              <w:right w:val="nil"/>
            </w:tcBorders>
            <w:shd w:val="clear" w:color="auto" w:fill="D9D9D9"/>
            <w:vAlign w:val="center"/>
          </w:tcPr>
          <w:p w14:paraId="54872C1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24" w:type="dxa"/>
            <w:tcBorders>
              <w:top w:val="nil"/>
              <w:left w:val="nil"/>
              <w:bottom w:val="nil"/>
              <w:right w:val="nil"/>
            </w:tcBorders>
            <w:shd w:val="clear" w:color="auto" w:fill="auto"/>
            <w:noWrap/>
            <w:vAlign w:val="center"/>
          </w:tcPr>
          <w:p w14:paraId="60B261F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0.24</w:t>
            </w:r>
          </w:p>
        </w:tc>
        <w:tc>
          <w:tcPr>
            <w:tcW w:w="725" w:type="dxa"/>
            <w:tcBorders>
              <w:top w:val="nil"/>
              <w:left w:val="nil"/>
              <w:bottom w:val="nil"/>
              <w:right w:val="nil"/>
            </w:tcBorders>
            <w:shd w:val="clear" w:color="auto" w:fill="D9D9D9"/>
            <w:vAlign w:val="center"/>
          </w:tcPr>
          <w:p w14:paraId="3664254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0.43</w:t>
            </w:r>
          </w:p>
        </w:tc>
        <w:tc>
          <w:tcPr>
            <w:tcW w:w="725" w:type="dxa"/>
            <w:gridSpan w:val="2"/>
            <w:tcBorders>
              <w:top w:val="nil"/>
              <w:left w:val="nil"/>
              <w:bottom w:val="nil"/>
              <w:right w:val="nil"/>
            </w:tcBorders>
            <w:shd w:val="clear" w:color="auto" w:fill="auto"/>
            <w:noWrap/>
            <w:vAlign w:val="center"/>
          </w:tcPr>
          <w:p w14:paraId="3AF60C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-0.47</w:t>
            </w:r>
          </w:p>
        </w:tc>
        <w:tc>
          <w:tcPr>
            <w:tcW w:w="730" w:type="dxa"/>
            <w:tcBorders>
              <w:top w:val="nil"/>
              <w:left w:val="nil"/>
              <w:bottom w:val="nil"/>
              <w:right w:val="nil"/>
            </w:tcBorders>
            <w:shd w:val="clear" w:color="auto" w:fill="D9D9D9"/>
            <w:vAlign w:val="center"/>
          </w:tcPr>
          <w:p w14:paraId="0C3BF57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-1.11</w:t>
            </w:r>
          </w:p>
        </w:tc>
      </w:tr>
      <w:tr w:rsidR="00E6060C" w:rsidRPr="00E6060C" w14:paraId="555CB36B" w14:textId="77777777" w:rsidTr="001B5BAE">
        <w:trPr>
          <w:trHeight w:val="482"/>
        </w:trPr>
        <w:tc>
          <w:tcPr>
            <w:tcW w:w="1983" w:type="dxa"/>
            <w:shd w:val="clear" w:color="auto" w:fill="auto"/>
            <w:vAlign w:val="center"/>
          </w:tcPr>
          <w:p w14:paraId="3CCD5FC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723" w:type="dxa"/>
            <w:tcBorders>
              <w:top w:val="nil"/>
              <w:left w:val="nil"/>
              <w:bottom w:val="nil"/>
              <w:right w:val="nil"/>
            </w:tcBorders>
            <w:shd w:val="clear" w:color="auto" w:fill="auto"/>
            <w:noWrap/>
            <w:vAlign w:val="center"/>
          </w:tcPr>
          <w:p w14:paraId="2DE11A8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w:t>
            </w:r>
          </w:p>
        </w:tc>
        <w:tc>
          <w:tcPr>
            <w:tcW w:w="723" w:type="dxa"/>
            <w:gridSpan w:val="2"/>
            <w:tcBorders>
              <w:top w:val="nil"/>
              <w:left w:val="nil"/>
              <w:bottom w:val="nil"/>
              <w:right w:val="nil"/>
            </w:tcBorders>
            <w:shd w:val="clear" w:color="auto" w:fill="D9D9D9"/>
            <w:vAlign w:val="center"/>
          </w:tcPr>
          <w:p w14:paraId="2FC4A6A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w:t>
            </w:r>
          </w:p>
        </w:tc>
        <w:tc>
          <w:tcPr>
            <w:tcW w:w="725" w:type="dxa"/>
            <w:tcBorders>
              <w:top w:val="nil"/>
              <w:left w:val="nil"/>
              <w:bottom w:val="nil"/>
              <w:right w:val="nil"/>
            </w:tcBorders>
            <w:shd w:val="clear" w:color="auto" w:fill="auto"/>
            <w:noWrap/>
            <w:vAlign w:val="center"/>
          </w:tcPr>
          <w:p w14:paraId="263B4D0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4.76</w:t>
            </w:r>
          </w:p>
        </w:tc>
        <w:tc>
          <w:tcPr>
            <w:tcW w:w="724" w:type="dxa"/>
            <w:gridSpan w:val="2"/>
            <w:tcBorders>
              <w:top w:val="nil"/>
              <w:left w:val="nil"/>
              <w:bottom w:val="nil"/>
              <w:right w:val="nil"/>
            </w:tcBorders>
            <w:shd w:val="clear" w:color="auto" w:fill="D9D9D9"/>
            <w:vAlign w:val="center"/>
          </w:tcPr>
          <w:p w14:paraId="4C07145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5.70</w:t>
            </w:r>
          </w:p>
        </w:tc>
        <w:tc>
          <w:tcPr>
            <w:tcW w:w="725" w:type="dxa"/>
            <w:tcBorders>
              <w:top w:val="nil"/>
              <w:left w:val="nil"/>
              <w:bottom w:val="nil"/>
              <w:right w:val="nil"/>
            </w:tcBorders>
            <w:shd w:val="clear" w:color="auto" w:fill="auto"/>
            <w:noWrap/>
            <w:vAlign w:val="center"/>
          </w:tcPr>
          <w:p w14:paraId="46A4C8D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1.49</w:t>
            </w:r>
          </w:p>
        </w:tc>
        <w:tc>
          <w:tcPr>
            <w:tcW w:w="725" w:type="dxa"/>
            <w:gridSpan w:val="2"/>
            <w:tcBorders>
              <w:top w:val="nil"/>
              <w:left w:val="nil"/>
              <w:bottom w:val="nil"/>
              <w:right w:val="nil"/>
            </w:tcBorders>
            <w:shd w:val="clear" w:color="auto" w:fill="D9D9D9"/>
            <w:vAlign w:val="center"/>
          </w:tcPr>
          <w:p w14:paraId="3AB9BB8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0.94</w:t>
            </w:r>
          </w:p>
        </w:tc>
        <w:tc>
          <w:tcPr>
            <w:tcW w:w="725" w:type="dxa"/>
            <w:tcBorders>
              <w:top w:val="nil"/>
              <w:left w:val="nil"/>
              <w:bottom w:val="nil"/>
              <w:right w:val="nil"/>
            </w:tcBorders>
            <w:shd w:val="clear" w:color="auto" w:fill="auto"/>
            <w:noWrap/>
            <w:vAlign w:val="center"/>
          </w:tcPr>
          <w:p w14:paraId="025BA7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0.24</w:t>
            </w:r>
          </w:p>
        </w:tc>
        <w:tc>
          <w:tcPr>
            <w:tcW w:w="724" w:type="dxa"/>
            <w:gridSpan w:val="2"/>
            <w:tcBorders>
              <w:top w:val="nil"/>
              <w:left w:val="nil"/>
              <w:bottom w:val="nil"/>
              <w:right w:val="nil"/>
            </w:tcBorders>
            <w:shd w:val="clear" w:color="auto" w:fill="D9D9D9"/>
            <w:vAlign w:val="center"/>
          </w:tcPr>
          <w:p w14:paraId="1143E59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0.15</w:t>
            </w:r>
          </w:p>
        </w:tc>
        <w:tc>
          <w:tcPr>
            <w:tcW w:w="725" w:type="dxa"/>
            <w:tcBorders>
              <w:top w:val="nil"/>
              <w:left w:val="nil"/>
              <w:bottom w:val="nil"/>
              <w:right w:val="nil"/>
            </w:tcBorders>
            <w:shd w:val="clear" w:color="auto" w:fill="auto"/>
            <w:vAlign w:val="center"/>
          </w:tcPr>
          <w:p w14:paraId="74CB819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725" w:type="dxa"/>
            <w:gridSpan w:val="2"/>
            <w:tcBorders>
              <w:top w:val="nil"/>
              <w:left w:val="nil"/>
              <w:bottom w:val="nil"/>
              <w:right w:val="nil"/>
            </w:tcBorders>
            <w:shd w:val="clear" w:color="auto" w:fill="D9D9D9"/>
            <w:vAlign w:val="center"/>
          </w:tcPr>
          <w:p w14:paraId="3E373D0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5.83</w:t>
            </w:r>
          </w:p>
        </w:tc>
        <w:tc>
          <w:tcPr>
            <w:tcW w:w="724" w:type="dxa"/>
            <w:tcBorders>
              <w:top w:val="nil"/>
              <w:left w:val="nil"/>
              <w:bottom w:val="nil"/>
              <w:right w:val="nil"/>
            </w:tcBorders>
            <w:shd w:val="clear" w:color="auto" w:fill="auto"/>
            <w:noWrap/>
            <w:vAlign w:val="center"/>
          </w:tcPr>
          <w:p w14:paraId="682CC7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18EC706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3.22</w:t>
            </w:r>
          </w:p>
        </w:tc>
        <w:tc>
          <w:tcPr>
            <w:tcW w:w="725" w:type="dxa"/>
            <w:tcBorders>
              <w:top w:val="nil"/>
              <w:left w:val="nil"/>
              <w:bottom w:val="nil"/>
              <w:right w:val="nil"/>
            </w:tcBorders>
            <w:shd w:val="clear" w:color="auto" w:fill="auto"/>
            <w:noWrap/>
            <w:vAlign w:val="center"/>
          </w:tcPr>
          <w:p w14:paraId="41A1E3C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7AAC55D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4066A97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-0.49</w:t>
            </w:r>
          </w:p>
        </w:tc>
        <w:tc>
          <w:tcPr>
            <w:tcW w:w="725" w:type="dxa"/>
            <w:tcBorders>
              <w:top w:val="nil"/>
              <w:left w:val="nil"/>
              <w:bottom w:val="nil"/>
              <w:right w:val="nil"/>
            </w:tcBorders>
            <w:shd w:val="clear" w:color="auto" w:fill="D9D9D9"/>
            <w:vAlign w:val="center"/>
          </w:tcPr>
          <w:p w14:paraId="3D8044A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-0.91</w:t>
            </w:r>
          </w:p>
        </w:tc>
        <w:tc>
          <w:tcPr>
            <w:tcW w:w="725" w:type="dxa"/>
            <w:gridSpan w:val="2"/>
            <w:tcBorders>
              <w:top w:val="nil"/>
              <w:left w:val="nil"/>
              <w:bottom w:val="nil"/>
              <w:right w:val="nil"/>
            </w:tcBorders>
            <w:shd w:val="clear" w:color="auto" w:fill="auto"/>
            <w:noWrap/>
            <w:vAlign w:val="center"/>
          </w:tcPr>
          <w:p w14:paraId="7CD5746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-0.44</w:t>
            </w:r>
          </w:p>
        </w:tc>
        <w:tc>
          <w:tcPr>
            <w:tcW w:w="730" w:type="dxa"/>
            <w:tcBorders>
              <w:top w:val="nil"/>
              <w:left w:val="nil"/>
              <w:bottom w:val="nil"/>
              <w:right w:val="nil"/>
            </w:tcBorders>
            <w:shd w:val="clear" w:color="auto" w:fill="D9D9D9"/>
            <w:vAlign w:val="center"/>
          </w:tcPr>
          <w:p w14:paraId="23DFA22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0.50</w:t>
            </w:r>
          </w:p>
        </w:tc>
      </w:tr>
      <w:tr w:rsidR="00E6060C" w:rsidRPr="00E6060C" w14:paraId="7C86DDA4" w14:textId="77777777" w:rsidTr="001B5BAE">
        <w:trPr>
          <w:trHeight w:val="482"/>
        </w:trPr>
        <w:tc>
          <w:tcPr>
            <w:tcW w:w="1983" w:type="dxa"/>
            <w:shd w:val="clear" w:color="auto" w:fill="auto"/>
            <w:vAlign w:val="center"/>
          </w:tcPr>
          <w:p w14:paraId="605BF65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723" w:type="dxa"/>
            <w:tcBorders>
              <w:top w:val="nil"/>
              <w:left w:val="nil"/>
              <w:bottom w:val="nil"/>
              <w:right w:val="nil"/>
            </w:tcBorders>
            <w:shd w:val="clear" w:color="auto" w:fill="auto"/>
            <w:noWrap/>
            <w:vAlign w:val="center"/>
          </w:tcPr>
          <w:p w14:paraId="430786E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723" w:type="dxa"/>
            <w:gridSpan w:val="2"/>
            <w:tcBorders>
              <w:top w:val="nil"/>
              <w:left w:val="nil"/>
              <w:bottom w:val="nil"/>
              <w:right w:val="nil"/>
            </w:tcBorders>
            <w:shd w:val="clear" w:color="auto" w:fill="D9D9D9"/>
            <w:vAlign w:val="center"/>
          </w:tcPr>
          <w:p w14:paraId="12D0524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nil"/>
              <w:right w:val="nil"/>
            </w:tcBorders>
            <w:shd w:val="clear" w:color="auto" w:fill="auto"/>
            <w:noWrap/>
            <w:vAlign w:val="center"/>
          </w:tcPr>
          <w:p w14:paraId="5CF1EE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5.33</w:t>
            </w:r>
          </w:p>
        </w:tc>
        <w:tc>
          <w:tcPr>
            <w:tcW w:w="724" w:type="dxa"/>
            <w:gridSpan w:val="2"/>
            <w:tcBorders>
              <w:top w:val="nil"/>
              <w:left w:val="nil"/>
              <w:bottom w:val="nil"/>
              <w:right w:val="nil"/>
            </w:tcBorders>
            <w:shd w:val="clear" w:color="auto" w:fill="D9D9D9"/>
            <w:vAlign w:val="center"/>
          </w:tcPr>
          <w:p w14:paraId="485483A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5.93</w:t>
            </w:r>
          </w:p>
        </w:tc>
        <w:tc>
          <w:tcPr>
            <w:tcW w:w="725" w:type="dxa"/>
            <w:tcBorders>
              <w:top w:val="nil"/>
              <w:left w:val="nil"/>
              <w:bottom w:val="nil"/>
              <w:right w:val="nil"/>
            </w:tcBorders>
            <w:shd w:val="clear" w:color="auto" w:fill="auto"/>
            <w:noWrap/>
            <w:vAlign w:val="center"/>
          </w:tcPr>
          <w:p w14:paraId="6D4B25A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1.54</w:t>
            </w:r>
          </w:p>
        </w:tc>
        <w:tc>
          <w:tcPr>
            <w:tcW w:w="725" w:type="dxa"/>
            <w:gridSpan w:val="2"/>
            <w:tcBorders>
              <w:top w:val="nil"/>
              <w:left w:val="nil"/>
              <w:bottom w:val="nil"/>
              <w:right w:val="nil"/>
            </w:tcBorders>
            <w:shd w:val="clear" w:color="auto" w:fill="D9D9D9"/>
            <w:vAlign w:val="center"/>
          </w:tcPr>
          <w:p w14:paraId="76F1951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0.63</w:t>
            </w:r>
          </w:p>
        </w:tc>
        <w:tc>
          <w:tcPr>
            <w:tcW w:w="725" w:type="dxa"/>
            <w:tcBorders>
              <w:top w:val="nil"/>
              <w:left w:val="nil"/>
              <w:bottom w:val="nil"/>
              <w:right w:val="nil"/>
            </w:tcBorders>
            <w:shd w:val="clear" w:color="auto" w:fill="auto"/>
            <w:noWrap/>
            <w:vAlign w:val="center"/>
          </w:tcPr>
          <w:p w14:paraId="2CF2AB7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0.25</w:t>
            </w:r>
          </w:p>
        </w:tc>
        <w:tc>
          <w:tcPr>
            <w:tcW w:w="724" w:type="dxa"/>
            <w:gridSpan w:val="2"/>
            <w:tcBorders>
              <w:top w:val="nil"/>
              <w:left w:val="nil"/>
              <w:bottom w:val="nil"/>
              <w:right w:val="nil"/>
            </w:tcBorders>
            <w:shd w:val="clear" w:color="auto" w:fill="D9D9D9"/>
            <w:vAlign w:val="center"/>
          </w:tcPr>
          <w:p w14:paraId="74A9C38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0.10</w:t>
            </w:r>
          </w:p>
        </w:tc>
        <w:tc>
          <w:tcPr>
            <w:tcW w:w="725" w:type="dxa"/>
            <w:tcBorders>
              <w:top w:val="nil"/>
              <w:left w:val="nil"/>
              <w:bottom w:val="nil"/>
              <w:right w:val="nil"/>
            </w:tcBorders>
            <w:shd w:val="clear" w:color="auto" w:fill="auto"/>
            <w:vAlign w:val="center"/>
          </w:tcPr>
          <w:p w14:paraId="2FBF328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5.50</w:t>
            </w:r>
          </w:p>
        </w:tc>
        <w:tc>
          <w:tcPr>
            <w:tcW w:w="725" w:type="dxa"/>
            <w:gridSpan w:val="2"/>
            <w:tcBorders>
              <w:top w:val="nil"/>
              <w:left w:val="nil"/>
              <w:bottom w:val="nil"/>
              <w:right w:val="nil"/>
            </w:tcBorders>
            <w:shd w:val="clear" w:color="auto" w:fill="D9D9D9"/>
            <w:vAlign w:val="center"/>
          </w:tcPr>
          <w:p w14:paraId="5502B4F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5.75</w:t>
            </w:r>
          </w:p>
        </w:tc>
        <w:tc>
          <w:tcPr>
            <w:tcW w:w="724" w:type="dxa"/>
            <w:tcBorders>
              <w:top w:val="nil"/>
              <w:left w:val="nil"/>
              <w:bottom w:val="nil"/>
              <w:right w:val="nil"/>
            </w:tcBorders>
            <w:shd w:val="clear" w:color="auto" w:fill="auto"/>
            <w:noWrap/>
            <w:vAlign w:val="center"/>
          </w:tcPr>
          <w:p w14:paraId="63E569F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731EAA0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4.50</w:t>
            </w:r>
          </w:p>
        </w:tc>
        <w:tc>
          <w:tcPr>
            <w:tcW w:w="725" w:type="dxa"/>
            <w:tcBorders>
              <w:top w:val="nil"/>
              <w:left w:val="nil"/>
              <w:bottom w:val="nil"/>
              <w:right w:val="nil"/>
            </w:tcBorders>
            <w:shd w:val="clear" w:color="auto" w:fill="auto"/>
            <w:noWrap/>
            <w:vAlign w:val="center"/>
          </w:tcPr>
          <w:p w14:paraId="7A6CC59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39E470B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0BC608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-1.37</w:t>
            </w:r>
          </w:p>
        </w:tc>
        <w:tc>
          <w:tcPr>
            <w:tcW w:w="725" w:type="dxa"/>
            <w:tcBorders>
              <w:top w:val="nil"/>
              <w:left w:val="nil"/>
              <w:bottom w:val="nil"/>
              <w:right w:val="nil"/>
            </w:tcBorders>
            <w:shd w:val="clear" w:color="auto" w:fill="D9D9D9"/>
            <w:vAlign w:val="center"/>
          </w:tcPr>
          <w:p w14:paraId="474E9F9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-0.34</w:t>
            </w:r>
          </w:p>
        </w:tc>
        <w:tc>
          <w:tcPr>
            <w:tcW w:w="725" w:type="dxa"/>
            <w:gridSpan w:val="2"/>
            <w:tcBorders>
              <w:top w:val="nil"/>
              <w:left w:val="nil"/>
              <w:bottom w:val="nil"/>
              <w:right w:val="nil"/>
            </w:tcBorders>
            <w:shd w:val="clear" w:color="auto" w:fill="auto"/>
            <w:noWrap/>
            <w:vAlign w:val="center"/>
          </w:tcPr>
          <w:p w14:paraId="2E4E0CA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1.81</w:t>
            </w:r>
          </w:p>
        </w:tc>
        <w:tc>
          <w:tcPr>
            <w:tcW w:w="730" w:type="dxa"/>
            <w:tcBorders>
              <w:top w:val="nil"/>
              <w:left w:val="nil"/>
              <w:bottom w:val="nil"/>
              <w:right w:val="nil"/>
            </w:tcBorders>
            <w:shd w:val="clear" w:color="auto" w:fill="D9D9D9"/>
            <w:vAlign w:val="center"/>
          </w:tcPr>
          <w:p w14:paraId="0348022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-0.34</w:t>
            </w:r>
          </w:p>
        </w:tc>
      </w:tr>
      <w:tr w:rsidR="00E6060C" w:rsidRPr="00E6060C" w14:paraId="13C33C16" w14:textId="77777777" w:rsidTr="001B5BAE">
        <w:trPr>
          <w:trHeight w:val="482"/>
        </w:trPr>
        <w:tc>
          <w:tcPr>
            <w:tcW w:w="1983" w:type="dxa"/>
            <w:shd w:val="clear" w:color="auto" w:fill="auto"/>
            <w:vAlign w:val="center"/>
          </w:tcPr>
          <w:p w14:paraId="5CF1D01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723" w:type="dxa"/>
            <w:tcBorders>
              <w:top w:val="nil"/>
              <w:left w:val="nil"/>
              <w:bottom w:val="nil"/>
              <w:right w:val="nil"/>
            </w:tcBorders>
            <w:shd w:val="clear" w:color="auto" w:fill="auto"/>
            <w:noWrap/>
            <w:vAlign w:val="center"/>
          </w:tcPr>
          <w:p w14:paraId="43CA034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723" w:type="dxa"/>
            <w:gridSpan w:val="2"/>
            <w:tcBorders>
              <w:top w:val="nil"/>
              <w:left w:val="nil"/>
              <w:bottom w:val="nil"/>
              <w:right w:val="nil"/>
            </w:tcBorders>
            <w:shd w:val="clear" w:color="auto" w:fill="D9D9D9"/>
            <w:vAlign w:val="center"/>
          </w:tcPr>
          <w:p w14:paraId="37EBFE8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nil"/>
              <w:right w:val="nil"/>
            </w:tcBorders>
            <w:shd w:val="clear" w:color="auto" w:fill="auto"/>
            <w:noWrap/>
            <w:vAlign w:val="center"/>
          </w:tcPr>
          <w:p w14:paraId="73913F8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3.72</w:t>
            </w:r>
          </w:p>
        </w:tc>
        <w:tc>
          <w:tcPr>
            <w:tcW w:w="724" w:type="dxa"/>
            <w:gridSpan w:val="2"/>
            <w:tcBorders>
              <w:top w:val="nil"/>
              <w:left w:val="nil"/>
              <w:bottom w:val="nil"/>
              <w:right w:val="nil"/>
            </w:tcBorders>
            <w:shd w:val="clear" w:color="auto" w:fill="D9D9D9"/>
            <w:vAlign w:val="center"/>
          </w:tcPr>
          <w:p w14:paraId="2640571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4.21</w:t>
            </w:r>
          </w:p>
        </w:tc>
        <w:tc>
          <w:tcPr>
            <w:tcW w:w="725" w:type="dxa"/>
            <w:tcBorders>
              <w:top w:val="nil"/>
              <w:left w:val="nil"/>
              <w:bottom w:val="nil"/>
              <w:right w:val="nil"/>
            </w:tcBorders>
            <w:shd w:val="clear" w:color="auto" w:fill="auto"/>
            <w:noWrap/>
            <w:vAlign w:val="center"/>
          </w:tcPr>
          <w:p w14:paraId="0D592C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1.66</w:t>
            </w:r>
          </w:p>
        </w:tc>
        <w:tc>
          <w:tcPr>
            <w:tcW w:w="725" w:type="dxa"/>
            <w:gridSpan w:val="2"/>
            <w:tcBorders>
              <w:top w:val="nil"/>
              <w:left w:val="nil"/>
              <w:bottom w:val="nil"/>
              <w:right w:val="nil"/>
            </w:tcBorders>
            <w:shd w:val="clear" w:color="auto" w:fill="D9D9D9"/>
            <w:vAlign w:val="center"/>
          </w:tcPr>
          <w:p w14:paraId="31177C9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1.38</w:t>
            </w:r>
          </w:p>
        </w:tc>
        <w:tc>
          <w:tcPr>
            <w:tcW w:w="725" w:type="dxa"/>
            <w:tcBorders>
              <w:top w:val="nil"/>
              <w:left w:val="nil"/>
              <w:bottom w:val="nil"/>
              <w:right w:val="nil"/>
            </w:tcBorders>
            <w:shd w:val="clear" w:color="auto" w:fill="auto"/>
            <w:noWrap/>
            <w:vAlign w:val="center"/>
          </w:tcPr>
          <w:p w14:paraId="6D13DD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0.27</w:t>
            </w:r>
          </w:p>
        </w:tc>
        <w:tc>
          <w:tcPr>
            <w:tcW w:w="724" w:type="dxa"/>
            <w:gridSpan w:val="2"/>
            <w:tcBorders>
              <w:top w:val="nil"/>
              <w:left w:val="nil"/>
              <w:bottom w:val="nil"/>
              <w:right w:val="nil"/>
            </w:tcBorders>
            <w:shd w:val="clear" w:color="auto" w:fill="D9D9D9"/>
            <w:vAlign w:val="center"/>
          </w:tcPr>
          <w:p w14:paraId="2E18571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0.22</w:t>
            </w:r>
          </w:p>
        </w:tc>
        <w:tc>
          <w:tcPr>
            <w:tcW w:w="725" w:type="dxa"/>
            <w:tcBorders>
              <w:top w:val="nil"/>
              <w:left w:val="nil"/>
              <w:bottom w:val="nil"/>
              <w:right w:val="nil"/>
            </w:tcBorders>
            <w:shd w:val="clear" w:color="auto" w:fill="auto"/>
            <w:vAlign w:val="center"/>
          </w:tcPr>
          <w:p w14:paraId="76D20E7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3.75</w:t>
            </w:r>
          </w:p>
        </w:tc>
        <w:tc>
          <w:tcPr>
            <w:tcW w:w="725" w:type="dxa"/>
            <w:gridSpan w:val="2"/>
            <w:tcBorders>
              <w:top w:val="nil"/>
              <w:left w:val="nil"/>
              <w:bottom w:val="nil"/>
              <w:right w:val="nil"/>
            </w:tcBorders>
            <w:shd w:val="clear" w:color="auto" w:fill="D9D9D9"/>
            <w:vAlign w:val="center"/>
          </w:tcPr>
          <w:p w14:paraId="7381771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4.00</w:t>
            </w:r>
          </w:p>
        </w:tc>
        <w:tc>
          <w:tcPr>
            <w:tcW w:w="724" w:type="dxa"/>
            <w:tcBorders>
              <w:top w:val="nil"/>
              <w:left w:val="nil"/>
              <w:bottom w:val="nil"/>
              <w:right w:val="nil"/>
            </w:tcBorders>
            <w:shd w:val="clear" w:color="auto" w:fill="auto"/>
            <w:noWrap/>
            <w:vAlign w:val="center"/>
          </w:tcPr>
          <w:p w14:paraId="48C1BB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4B55B9A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725" w:type="dxa"/>
            <w:tcBorders>
              <w:top w:val="nil"/>
              <w:left w:val="nil"/>
              <w:bottom w:val="nil"/>
              <w:right w:val="nil"/>
            </w:tcBorders>
            <w:shd w:val="clear" w:color="auto" w:fill="auto"/>
            <w:noWrap/>
            <w:vAlign w:val="center"/>
          </w:tcPr>
          <w:p w14:paraId="32BFB58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7FA3B39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6.75</w:t>
            </w:r>
          </w:p>
        </w:tc>
        <w:tc>
          <w:tcPr>
            <w:tcW w:w="724" w:type="dxa"/>
            <w:tcBorders>
              <w:top w:val="nil"/>
              <w:left w:val="nil"/>
              <w:bottom w:val="nil"/>
              <w:right w:val="nil"/>
            </w:tcBorders>
            <w:shd w:val="clear" w:color="auto" w:fill="auto"/>
            <w:noWrap/>
            <w:vAlign w:val="center"/>
          </w:tcPr>
          <w:p w14:paraId="462C8C0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0.29</w:t>
            </w:r>
          </w:p>
        </w:tc>
        <w:tc>
          <w:tcPr>
            <w:tcW w:w="725" w:type="dxa"/>
            <w:tcBorders>
              <w:top w:val="nil"/>
              <w:left w:val="nil"/>
              <w:bottom w:val="nil"/>
              <w:right w:val="nil"/>
            </w:tcBorders>
            <w:shd w:val="clear" w:color="auto" w:fill="D9D9D9"/>
            <w:vAlign w:val="center"/>
          </w:tcPr>
          <w:p w14:paraId="3603E36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0.42</w:t>
            </w:r>
          </w:p>
        </w:tc>
        <w:tc>
          <w:tcPr>
            <w:tcW w:w="725" w:type="dxa"/>
            <w:gridSpan w:val="2"/>
            <w:tcBorders>
              <w:top w:val="nil"/>
              <w:left w:val="nil"/>
              <w:bottom w:val="nil"/>
              <w:right w:val="nil"/>
            </w:tcBorders>
            <w:shd w:val="clear" w:color="auto" w:fill="auto"/>
            <w:noWrap/>
            <w:vAlign w:val="center"/>
          </w:tcPr>
          <w:p w14:paraId="4E377C2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-1.02</w:t>
            </w:r>
          </w:p>
        </w:tc>
        <w:tc>
          <w:tcPr>
            <w:tcW w:w="730" w:type="dxa"/>
            <w:tcBorders>
              <w:top w:val="nil"/>
              <w:left w:val="nil"/>
              <w:bottom w:val="nil"/>
              <w:right w:val="nil"/>
            </w:tcBorders>
            <w:shd w:val="clear" w:color="auto" w:fill="D9D9D9"/>
            <w:vAlign w:val="center"/>
          </w:tcPr>
          <w:p w14:paraId="41A28B3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-0.99</w:t>
            </w:r>
          </w:p>
        </w:tc>
      </w:tr>
      <w:tr w:rsidR="00E6060C" w:rsidRPr="00E6060C" w14:paraId="6887D9BF" w14:textId="77777777" w:rsidTr="001B5BAE">
        <w:trPr>
          <w:trHeight w:val="482"/>
        </w:trPr>
        <w:tc>
          <w:tcPr>
            <w:tcW w:w="1983" w:type="dxa"/>
            <w:shd w:val="clear" w:color="auto" w:fill="auto"/>
            <w:vAlign w:val="center"/>
          </w:tcPr>
          <w:p w14:paraId="43E4C49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723" w:type="dxa"/>
            <w:tcBorders>
              <w:top w:val="nil"/>
              <w:left w:val="nil"/>
              <w:bottom w:val="nil"/>
              <w:right w:val="nil"/>
            </w:tcBorders>
            <w:shd w:val="clear" w:color="auto" w:fill="auto"/>
            <w:noWrap/>
            <w:vAlign w:val="center"/>
          </w:tcPr>
          <w:p w14:paraId="3A56182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723" w:type="dxa"/>
            <w:gridSpan w:val="2"/>
            <w:tcBorders>
              <w:top w:val="nil"/>
              <w:left w:val="nil"/>
              <w:bottom w:val="nil"/>
              <w:right w:val="nil"/>
            </w:tcBorders>
            <w:shd w:val="clear" w:color="auto" w:fill="D9D9D9"/>
            <w:vAlign w:val="center"/>
          </w:tcPr>
          <w:p w14:paraId="13E9D82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38</w:t>
            </w:r>
          </w:p>
        </w:tc>
        <w:tc>
          <w:tcPr>
            <w:tcW w:w="725" w:type="dxa"/>
            <w:tcBorders>
              <w:top w:val="nil"/>
              <w:left w:val="nil"/>
              <w:bottom w:val="nil"/>
              <w:right w:val="nil"/>
            </w:tcBorders>
            <w:shd w:val="clear" w:color="auto" w:fill="auto"/>
            <w:noWrap/>
            <w:vAlign w:val="center"/>
          </w:tcPr>
          <w:p w14:paraId="0D16224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5.82</w:t>
            </w:r>
          </w:p>
        </w:tc>
        <w:tc>
          <w:tcPr>
            <w:tcW w:w="724" w:type="dxa"/>
            <w:gridSpan w:val="2"/>
            <w:tcBorders>
              <w:top w:val="nil"/>
              <w:left w:val="nil"/>
              <w:bottom w:val="nil"/>
              <w:right w:val="nil"/>
            </w:tcBorders>
            <w:shd w:val="clear" w:color="auto" w:fill="D9D9D9"/>
            <w:vAlign w:val="center"/>
          </w:tcPr>
          <w:p w14:paraId="252E4DB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6.12</w:t>
            </w:r>
          </w:p>
        </w:tc>
        <w:tc>
          <w:tcPr>
            <w:tcW w:w="725" w:type="dxa"/>
            <w:tcBorders>
              <w:top w:val="nil"/>
              <w:left w:val="nil"/>
              <w:bottom w:val="nil"/>
              <w:right w:val="nil"/>
            </w:tcBorders>
            <w:shd w:val="clear" w:color="auto" w:fill="auto"/>
            <w:noWrap/>
            <w:vAlign w:val="center"/>
          </w:tcPr>
          <w:p w14:paraId="7C6867B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1.30</w:t>
            </w:r>
          </w:p>
        </w:tc>
        <w:tc>
          <w:tcPr>
            <w:tcW w:w="725" w:type="dxa"/>
            <w:gridSpan w:val="2"/>
            <w:tcBorders>
              <w:top w:val="nil"/>
              <w:left w:val="nil"/>
              <w:bottom w:val="nil"/>
              <w:right w:val="nil"/>
            </w:tcBorders>
            <w:shd w:val="clear" w:color="auto" w:fill="D9D9D9"/>
            <w:vAlign w:val="center"/>
          </w:tcPr>
          <w:p w14:paraId="4C5F58C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0.93</w:t>
            </w:r>
          </w:p>
        </w:tc>
        <w:tc>
          <w:tcPr>
            <w:tcW w:w="725" w:type="dxa"/>
            <w:tcBorders>
              <w:top w:val="nil"/>
              <w:left w:val="nil"/>
              <w:bottom w:val="nil"/>
              <w:right w:val="nil"/>
            </w:tcBorders>
            <w:shd w:val="clear" w:color="auto" w:fill="auto"/>
            <w:noWrap/>
            <w:vAlign w:val="center"/>
          </w:tcPr>
          <w:p w14:paraId="00DCC16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0.21</w:t>
            </w:r>
          </w:p>
        </w:tc>
        <w:tc>
          <w:tcPr>
            <w:tcW w:w="724" w:type="dxa"/>
            <w:gridSpan w:val="2"/>
            <w:tcBorders>
              <w:top w:val="nil"/>
              <w:left w:val="nil"/>
              <w:bottom w:val="nil"/>
              <w:right w:val="nil"/>
            </w:tcBorders>
            <w:shd w:val="clear" w:color="auto" w:fill="D9D9D9"/>
            <w:vAlign w:val="center"/>
          </w:tcPr>
          <w:p w14:paraId="2FF4455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0.15</w:t>
            </w:r>
          </w:p>
        </w:tc>
        <w:tc>
          <w:tcPr>
            <w:tcW w:w="725" w:type="dxa"/>
            <w:tcBorders>
              <w:top w:val="nil"/>
              <w:left w:val="nil"/>
              <w:bottom w:val="nil"/>
              <w:right w:val="nil"/>
            </w:tcBorders>
            <w:shd w:val="clear" w:color="auto" w:fill="auto"/>
            <w:vAlign w:val="center"/>
          </w:tcPr>
          <w:p w14:paraId="4915DC6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6.00</w:t>
            </w:r>
          </w:p>
        </w:tc>
        <w:tc>
          <w:tcPr>
            <w:tcW w:w="725" w:type="dxa"/>
            <w:gridSpan w:val="2"/>
            <w:tcBorders>
              <w:top w:val="nil"/>
              <w:left w:val="nil"/>
              <w:bottom w:val="nil"/>
              <w:right w:val="nil"/>
            </w:tcBorders>
            <w:shd w:val="clear" w:color="auto" w:fill="D9D9D9"/>
            <w:vAlign w:val="center"/>
          </w:tcPr>
          <w:p w14:paraId="66B6063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6.38</w:t>
            </w:r>
          </w:p>
        </w:tc>
        <w:tc>
          <w:tcPr>
            <w:tcW w:w="724" w:type="dxa"/>
            <w:tcBorders>
              <w:top w:val="nil"/>
              <w:left w:val="nil"/>
              <w:bottom w:val="nil"/>
              <w:right w:val="nil"/>
            </w:tcBorders>
            <w:shd w:val="clear" w:color="auto" w:fill="auto"/>
            <w:noWrap/>
            <w:vAlign w:val="center"/>
          </w:tcPr>
          <w:p w14:paraId="70187DF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nil"/>
              <w:right w:val="nil"/>
            </w:tcBorders>
            <w:shd w:val="clear" w:color="auto" w:fill="D9D9D9"/>
            <w:vAlign w:val="center"/>
          </w:tcPr>
          <w:p w14:paraId="76A613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2.25</w:t>
            </w:r>
          </w:p>
        </w:tc>
        <w:tc>
          <w:tcPr>
            <w:tcW w:w="725" w:type="dxa"/>
            <w:tcBorders>
              <w:top w:val="nil"/>
              <w:left w:val="nil"/>
              <w:bottom w:val="nil"/>
              <w:right w:val="nil"/>
            </w:tcBorders>
            <w:shd w:val="clear" w:color="auto" w:fill="auto"/>
            <w:noWrap/>
            <w:vAlign w:val="center"/>
          </w:tcPr>
          <w:p w14:paraId="5C553E6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25" w:type="dxa"/>
            <w:tcBorders>
              <w:top w:val="nil"/>
              <w:left w:val="nil"/>
              <w:bottom w:val="nil"/>
              <w:right w:val="nil"/>
            </w:tcBorders>
            <w:shd w:val="clear" w:color="auto" w:fill="D9D9D9"/>
            <w:vAlign w:val="center"/>
          </w:tcPr>
          <w:p w14:paraId="4D48FBD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24" w:type="dxa"/>
            <w:tcBorders>
              <w:top w:val="nil"/>
              <w:left w:val="nil"/>
              <w:bottom w:val="nil"/>
              <w:right w:val="nil"/>
            </w:tcBorders>
            <w:shd w:val="clear" w:color="auto" w:fill="auto"/>
            <w:noWrap/>
            <w:vAlign w:val="center"/>
          </w:tcPr>
          <w:p w14:paraId="03F361C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-1.69</w:t>
            </w:r>
          </w:p>
        </w:tc>
        <w:tc>
          <w:tcPr>
            <w:tcW w:w="725" w:type="dxa"/>
            <w:tcBorders>
              <w:top w:val="nil"/>
              <w:left w:val="nil"/>
              <w:bottom w:val="nil"/>
              <w:right w:val="nil"/>
            </w:tcBorders>
            <w:shd w:val="clear" w:color="auto" w:fill="D9D9D9"/>
            <w:vAlign w:val="center"/>
          </w:tcPr>
          <w:p w14:paraId="2AFB830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-2.09</w:t>
            </w:r>
          </w:p>
        </w:tc>
        <w:tc>
          <w:tcPr>
            <w:tcW w:w="725" w:type="dxa"/>
            <w:gridSpan w:val="2"/>
            <w:tcBorders>
              <w:top w:val="nil"/>
              <w:left w:val="nil"/>
              <w:bottom w:val="nil"/>
              <w:right w:val="nil"/>
            </w:tcBorders>
            <w:shd w:val="clear" w:color="auto" w:fill="auto"/>
            <w:noWrap/>
            <w:vAlign w:val="center"/>
          </w:tcPr>
          <w:p w14:paraId="0DDEC56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3.88</w:t>
            </w:r>
          </w:p>
        </w:tc>
        <w:tc>
          <w:tcPr>
            <w:tcW w:w="730" w:type="dxa"/>
            <w:tcBorders>
              <w:top w:val="nil"/>
              <w:left w:val="nil"/>
              <w:bottom w:val="nil"/>
              <w:right w:val="nil"/>
            </w:tcBorders>
            <w:shd w:val="clear" w:color="auto" w:fill="D9D9D9"/>
            <w:vAlign w:val="center"/>
          </w:tcPr>
          <w:p w14:paraId="36474DF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r>
      <w:tr w:rsidR="00E6060C" w:rsidRPr="00E6060C" w14:paraId="04D92182" w14:textId="77777777" w:rsidTr="001B5BAE">
        <w:trPr>
          <w:trHeight w:val="482"/>
        </w:trPr>
        <w:tc>
          <w:tcPr>
            <w:tcW w:w="1983" w:type="dxa"/>
            <w:shd w:val="clear" w:color="auto" w:fill="auto"/>
            <w:vAlign w:val="center"/>
          </w:tcPr>
          <w:p w14:paraId="3EB9516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723" w:type="dxa"/>
            <w:tcBorders>
              <w:top w:val="nil"/>
              <w:left w:val="nil"/>
              <w:bottom w:val="single" w:sz="4" w:space="0" w:color="auto"/>
              <w:right w:val="nil"/>
            </w:tcBorders>
            <w:shd w:val="clear" w:color="auto" w:fill="auto"/>
            <w:noWrap/>
            <w:vAlign w:val="center"/>
          </w:tcPr>
          <w:p w14:paraId="667393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723" w:type="dxa"/>
            <w:gridSpan w:val="2"/>
            <w:tcBorders>
              <w:top w:val="nil"/>
              <w:left w:val="nil"/>
              <w:bottom w:val="single" w:sz="4" w:space="0" w:color="auto"/>
              <w:right w:val="nil"/>
            </w:tcBorders>
            <w:shd w:val="clear" w:color="auto" w:fill="D9D9D9"/>
            <w:vAlign w:val="center"/>
          </w:tcPr>
          <w:p w14:paraId="7AE729D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w:t>
            </w:r>
          </w:p>
        </w:tc>
        <w:tc>
          <w:tcPr>
            <w:tcW w:w="725" w:type="dxa"/>
            <w:tcBorders>
              <w:top w:val="nil"/>
              <w:left w:val="nil"/>
              <w:bottom w:val="single" w:sz="4" w:space="0" w:color="auto"/>
              <w:right w:val="nil"/>
            </w:tcBorders>
            <w:shd w:val="clear" w:color="auto" w:fill="auto"/>
            <w:noWrap/>
            <w:vAlign w:val="center"/>
          </w:tcPr>
          <w:p w14:paraId="113C3B4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3.62</w:t>
            </w:r>
          </w:p>
        </w:tc>
        <w:tc>
          <w:tcPr>
            <w:tcW w:w="724" w:type="dxa"/>
            <w:gridSpan w:val="2"/>
            <w:tcBorders>
              <w:top w:val="nil"/>
              <w:left w:val="nil"/>
              <w:bottom w:val="single" w:sz="4" w:space="0" w:color="auto"/>
              <w:right w:val="nil"/>
            </w:tcBorders>
            <w:shd w:val="clear" w:color="auto" w:fill="D9D9D9"/>
            <w:vAlign w:val="center"/>
          </w:tcPr>
          <w:p w14:paraId="4EB9D7B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4.17</w:t>
            </w:r>
          </w:p>
        </w:tc>
        <w:tc>
          <w:tcPr>
            <w:tcW w:w="725" w:type="dxa"/>
            <w:tcBorders>
              <w:top w:val="nil"/>
              <w:left w:val="nil"/>
              <w:bottom w:val="single" w:sz="4" w:space="0" w:color="auto"/>
              <w:right w:val="nil"/>
            </w:tcBorders>
            <w:shd w:val="clear" w:color="auto" w:fill="auto"/>
            <w:noWrap/>
            <w:vAlign w:val="center"/>
          </w:tcPr>
          <w:p w14:paraId="4A94B2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1.36</w:t>
            </w:r>
          </w:p>
        </w:tc>
        <w:tc>
          <w:tcPr>
            <w:tcW w:w="725" w:type="dxa"/>
            <w:gridSpan w:val="2"/>
            <w:tcBorders>
              <w:top w:val="nil"/>
              <w:left w:val="nil"/>
              <w:bottom w:val="single" w:sz="4" w:space="0" w:color="auto"/>
              <w:right w:val="nil"/>
            </w:tcBorders>
            <w:shd w:val="clear" w:color="auto" w:fill="D9D9D9"/>
            <w:vAlign w:val="center"/>
          </w:tcPr>
          <w:p w14:paraId="4591262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1.13</w:t>
            </w:r>
          </w:p>
        </w:tc>
        <w:tc>
          <w:tcPr>
            <w:tcW w:w="725" w:type="dxa"/>
            <w:tcBorders>
              <w:top w:val="nil"/>
              <w:left w:val="nil"/>
              <w:bottom w:val="single" w:sz="4" w:space="0" w:color="auto"/>
              <w:right w:val="nil"/>
            </w:tcBorders>
            <w:shd w:val="clear" w:color="auto" w:fill="auto"/>
            <w:noWrap/>
            <w:vAlign w:val="center"/>
          </w:tcPr>
          <w:p w14:paraId="6C727D5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0.22</w:t>
            </w:r>
          </w:p>
        </w:tc>
        <w:tc>
          <w:tcPr>
            <w:tcW w:w="724" w:type="dxa"/>
            <w:gridSpan w:val="2"/>
            <w:tcBorders>
              <w:top w:val="nil"/>
              <w:left w:val="nil"/>
              <w:bottom w:val="single" w:sz="4" w:space="0" w:color="auto"/>
              <w:right w:val="nil"/>
            </w:tcBorders>
            <w:shd w:val="clear" w:color="auto" w:fill="D9D9D9"/>
            <w:vAlign w:val="center"/>
          </w:tcPr>
          <w:p w14:paraId="7F3F492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0.18</w:t>
            </w:r>
          </w:p>
        </w:tc>
        <w:tc>
          <w:tcPr>
            <w:tcW w:w="725" w:type="dxa"/>
            <w:tcBorders>
              <w:top w:val="nil"/>
              <w:left w:val="nil"/>
              <w:bottom w:val="single" w:sz="4" w:space="0" w:color="auto"/>
              <w:right w:val="nil"/>
            </w:tcBorders>
            <w:shd w:val="clear" w:color="auto" w:fill="auto"/>
            <w:vAlign w:val="center"/>
          </w:tcPr>
          <w:p w14:paraId="39E608D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3.75</w:t>
            </w:r>
          </w:p>
        </w:tc>
        <w:tc>
          <w:tcPr>
            <w:tcW w:w="725" w:type="dxa"/>
            <w:gridSpan w:val="2"/>
            <w:tcBorders>
              <w:top w:val="nil"/>
              <w:left w:val="nil"/>
              <w:bottom w:val="single" w:sz="4" w:space="0" w:color="auto"/>
              <w:right w:val="nil"/>
            </w:tcBorders>
            <w:shd w:val="clear" w:color="auto" w:fill="D9D9D9"/>
            <w:vAlign w:val="center"/>
          </w:tcPr>
          <w:p w14:paraId="48EE692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4.50</w:t>
            </w:r>
          </w:p>
        </w:tc>
        <w:tc>
          <w:tcPr>
            <w:tcW w:w="724" w:type="dxa"/>
            <w:tcBorders>
              <w:top w:val="nil"/>
              <w:left w:val="nil"/>
              <w:bottom w:val="single" w:sz="4" w:space="0" w:color="auto"/>
              <w:right w:val="nil"/>
            </w:tcBorders>
            <w:shd w:val="clear" w:color="auto" w:fill="auto"/>
            <w:noWrap/>
            <w:vAlign w:val="center"/>
          </w:tcPr>
          <w:p w14:paraId="7D444A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725" w:type="dxa"/>
            <w:gridSpan w:val="2"/>
            <w:tcBorders>
              <w:top w:val="nil"/>
              <w:left w:val="nil"/>
              <w:bottom w:val="single" w:sz="4" w:space="0" w:color="auto"/>
              <w:right w:val="nil"/>
            </w:tcBorders>
            <w:shd w:val="clear" w:color="auto" w:fill="D9D9D9"/>
            <w:vAlign w:val="center"/>
          </w:tcPr>
          <w:p w14:paraId="3FF14BA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1.50</w:t>
            </w:r>
          </w:p>
        </w:tc>
        <w:tc>
          <w:tcPr>
            <w:tcW w:w="725" w:type="dxa"/>
            <w:tcBorders>
              <w:top w:val="nil"/>
              <w:left w:val="nil"/>
              <w:bottom w:val="single" w:sz="4" w:space="0" w:color="auto"/>
              <w:right w:val="nil"/>
            </w:tcBorders>
            <w:shd w:val="clear" w:color="auto" w:fill="auto"/>
            <w:noWrap/>
            <w:vAlign w:val="center"/>
          </w:tcPr>
          <w:p w14:paraId="26EF1A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6.25</w:t>
            </w:r>
          </w:p>
        </w:tc>
        <w:tc>
          <w:tcPr>
            <w:tcW w:w="725" w:type="dxa"/>
            <w:tcBorders>
              <w:top w:val="nil"/>
              <w:left w:val="nil"/>
              <w:bottom w:val="single" w:sz="4" w:space="0" w:color="auto"/>
              <w:right w:val="nil"/>
            </w:tcBorders>
            <w:shd w:val="clear" w:color="auto" w:fill="D9D9D9"/>
            <w:vAlign w:val="center"/>
          </w:tcPr>
          <w:p w14:paraId="3DD112B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6.75</w:t>
            </w:r>
          </w:p>
        </w:tc>
        <w:tc>
          <w:tcPr>
            <w:tcW w:w="724" w:type="dxa"/>
            <w:tcBorders>
              <w:top w:val="nil"/>
              <w:left w:val="nil"/>
              <w:bottom w:val="single" w:sz="4" w:space="0" w:color="auto"/>
              <w:right w:val="nil"/>
            </w:tcBorders>
            <w:shd w:val="clear" w:color="auto" w:fill="auto"/>
            <w:noWrap/>
            <w:vAlign w:val="center"/>
          </w:tcPr>
          <w:p w14:paraId="18C8551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-0.19</w:t>
            </w:r>
          </w:p>
        </w:tc>
        <w:tc>
          <w:tcPr>
            <w:tcW w:w="725" w:type="dxa"/>
            <w:tcBorders>
              <w:top w:val="nil"/>
              <w:left w:val="nil"/>
              <w:bottom w:val="single" w:sz="4" w:space="0" w:color="auto"/>
              <w:right w:val="nil"/>
            </w:tcBorders>
            <w:shd w:val="clear" w:color="auto" w:fill="D9D9D9"/>
            <w:vAlign w:val="center"/>
          </w:tcPr>
          <w:p w14:paraId="5875464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-0.22</w:t>
            </w:r>
          </w:p>
        </w:tc>
        <w:tc>
          <w:tcPr>
            <w:tcW w:w="725" w:type="dxa"/>
            <w:gridSpan w:val="2"/>
            <w:tcBorders>
              <w:top w:val="nil"/>
              <w:left w:val="nil"/>
              <w:bottom w:val="single" w:sz="4" w:space="0" w:color="auto"/>
              <w:right w:val="nil"/>
            </w:tcBorders>
            <w:shd w:val="clear" w:color="auto" w:fill="auto"/>
            <w:noWrap/>
            <w:vAlign w:val="center"/>
          </w:tcPr>
          <w:p w14:paraId="26169D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-0.79</w:t>
            </w:r>
          </w:p>
        </w:tc>
        <w:tc>
          <w:tcPr>
            <w:tcW w:w="730" w:type="dxa"/>
            <w:tcBorders>
              <w:top w:val="nil"/>
              <w:left w:val="nil"/>
              <w:bottom w:val="single" w:sz="4" w:space="0" w:color="auto"/>
              <w:right w:val="nil"/>
            </w:tcBorders>
            <w:shd w:val="clear" w:color="auto" w:fill="D9D9D9"/>
            <w:vAlign w:val="center"/>
          </w:tcPr>
          <w:p w14:paraId="4CA5848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-0.01</w:t>
            </w:r>
          </w:p>
        </w:tc>
      </w:tr>
    </w:tbl>
    <w:p w14:paraId="18E72722" w14:textId="77777777" w:rsidR="00E6060C" w:rsidRPr="00E6060C" w:rsidRDefault="00E6060C" w:rsidP="00E6060C">
      <w:pPr>
        <w:spacing w:after="200" w:line="240" w:lineRule="auto"/>
        <w:ind w:left="-426"/>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and resources and demands, were scored on a scale of 1 to 5. All other variables were scored on a scale of 1 to 7. For all scales, higher scores indicate better results.</w:t>
      </w:r>
    </w:p>
    <w:p w14:paraId="76D511F3" w14:textId="77777777" w:rsidR="00E6060C" w:rsidRPr="00E6060C" w:rsidRDefault="00E6060C" w:rsidP="00E6060C">
      <w:pPr>
        <w:spacing w:after="200" w:line="240" w:lineRule="auto"/>
        <w:ind w:left="-426"/>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SD</w:t>
      </w:r>
      <w:r w:rsidRPr="00E6060C">
        <w:rPr>
          <w:rFonts w:ascii="Calibri" w:eastAsia="Calibri" w:hAnsi="Calibri" w:cs="Times New Roman"/>
        </w:rPr>
        <w:t xml:space="preserve">=standard deviation of the mean; </w:t>
      </w:r>
      <w:r w:rsidRPr="00E6060C">
        <w:rPr>
          <w:rFonts w:ascii="Calibri" w:eastAsia="Calibri" w:hAnsi="Calibri" w:cs="Times New Roman"/>
          <w:i/>
        </w:rPr>
        <w:t>SE</w:t>
      </w:r>
      <w:r w:rsidRPr="00E6060C">
        <w:rPr>
          <w:rFonts w:ascii="Calibri" w:eastAsia="Calibri" w:hAnsi="Calibri" w:cs="Times New Roman"/>
        </w:rPr>
        <w:t>=standard error of the mean; Min=Minimum value; Max=Maximum value; C=control group; I=intervention group</w:t>
      </w:r>
    </w:p>
    <w:p w14:paraId="671E85DF" w14:textId="77777777" w:rsidR="00E6060C" w:rsidRPr="00E6060C" w:rsidRDefault="00E6060C" w:rsidP="00E6060C">
      <w:pPr>
        <w:spacing w:after="200" w:line="276" w:lineRule="auto"/>
        <w:rPr>
          <w:rFonts w:ascii="Calibri" w:eastAsia="Calibri" w:hAnsi="Calibri" w:cs="Times New Roman"/>
          <w:color w:val="000000"/>
        </w:rPr>
        <w:sectPr w:rsidR="00E6060C" w:rsidRPr="00E6060C" w:rsidSect="00E6060C">
          <w:pgSz w:w="16838" w:h="11906" w:orient="landscape"/>
          <w:pgMar w:top="1440" w:right="1440" w:bottom="1440" w:left="1440" w:header="709" w:footer="709" w:gutter="0"/>
          <w:cols w:space="708"/>
          <w:titlePg/>
          <w:docGrid w:linePitch="360"/>
        </w:sectPr>
      </w:pPr>
    </w:p>
    <w:p w14:paraId="1F684FE3" w14:textId="36E611FA" w:rsidR="00842587" w:rsidRDefault="00842587" w:rsidP="005852AD">
      <w:pPr>
        <w:pStyle w:val="Figurestyle"/>
      </w:pPr>
      <w:bookmarkStart w:id="409" w:name="_Ref453590157"/>
      <w:bookmarkStart w:id="410" w:name="_Toc468286081"/>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7</w:t>
      </w:r>
      <w:r w:rsidR="00245D68">
        <w:rPr>
          <w:noProof/>
        </w:rPr>
        <w:fldChar w:fldCharType="end"/>
      </w:r>
      <w:bookmarkEnd w:id="409"/>
      <w:r>
        <w:t xml:space="preserve"> </w:t>
      </w:r>
      <w:r w:rsidRPr="002C7584">
        <w:t>Time 1 and Time 2 bivariate Pearson’s correlations between all of the research variables and the demog</w:t>
      </w:r>
      <w:r w:rsidR="00D156B8">
        <w:t>raphic variable, role (N=179 &amp;</w:t>
      </w:r>
      <w:r w:rsidRPr="002C7584">
        <w:t xml:space="preserve"> N=83</w:t>
      </w:r>
      <w:r w:rsidR="00D156B8">
        <w:t>,</w:t>
      </w:r>
      <w:r w:rsidRPr="002C7584">
        <w:t xml:space="preserve"> respectively)</w:t>
      </w:r>
      <w:bookmarkEnd w:id="410"/>
    </w:p>
    <w:p w14:paraId="427799BE" w14:textId="77777777" w:rsidR="00842587" w:rsidRDefault="00842587" w:rsidP="005852AD">
      <w:pPr>
        <w:pStyle w:val="Figurestyle"/>
      </w:pPr>
    </w:p>
    <w:tbl>
      <w:tblPr>
        <w:tblW w:w="13941" w:type="dxa"/>
        <w:tblInd w:w="-5" w:type="dxa"/>
        <w:tblBorders>
          <w:top w:val="single" w:sz="4" w:space="0" w:color="auto"/>
          <w:bottom w:val="single" w:sz="4" w:space="0" w:color="auto"/>
        </w:tblBorders>
        <w:tblLook w:val="04A0" w:firstRow="1" w:lastRow="0" w:firstColumn="1" w:lastColumn="0" w:noHBand="0" w:noVBand="1"/>
      </w:tblPr>
      <w:tblGrid>
        <w:gridCol w:w="665"/>
        <w:gridCol w:w="2374"/>
        <w:gridCol w:w="1074"/>
        <w:gridCol w:w="1074"/>
        <w:gridCol w:w="1074"/>
        <w:gridCol w:w="960"/>
        <w:gridCol w:w="960"/>
        <w:gridCol w:w="960"/>
        <w:gridCol w:w="960"/>
        <w:gridCol w:w="960"/>
        <w:gridCol w:w="960"/>
        <w:gridCol w:w="960"/>
        <w:gridCol w:w="960"/>
      </w:tblGrid>
      <w:tr w:rsidR="00E6060C" w:rsidRPr="00E6060C" w14:paraId="098D239E" w14:textId="77777777" w:rsidTr="00E6060C">
        <w:trPr>
          <w:trHeight w:val="552"/>
        </w:trPr>
        <w:tc>
          <w:tcPr>
            <w:tcW w:w="665" w:type="dxa"/>
            <w:tcBorders>
              <w:top w:val="single" w:sz="4" w:space="0" w:color="auto"/>
              <w:bottom w:val="single" w:sz="4" w:space="0" w:color="auto"/>
            </w:tcBorders>
            <w:shd w:val="clear" w:color="auto" w:fill="auto"/>
            <w:noWrap/>
            <w:vAlign w:val="center"/>
            <w:hideMark/>
          </w:tcPr>
          <w:p w14:paraId="13D1172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2374" w:type="dxa"/>
            <w:tcBorders>
              <w:top w:val="single" w:sz="4" w:space="0" w:color="auto"/>
              <w:bottom w:val="single" w:sz="4" w:space="0" w:color="auto"/>
            </w:tcBorders>
            <w:shd w:val="clear" w:color="auto" w:fill="auto"/>
            <w:noWrap/>
            <w:vAlign w:val="center"/>
            <w:hideMark/>
          </w:tcPr>
          <w:p w14:paraId="5771A95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1074" w:type="dxa"/>
            <w:tcBorders>
              <w:top w:val="single" w:sz="4" w:space="0" w:color="auto"/>
              <w:bottom w:val="single" w:sz="4" w:space="0" w:color="auto"/>
            </w:tcBorders>
            <w:shd w:val="clear" w:color="auto" w:fill="auto"/>
            <w:noWrap/>
            <w:vAlign w:val="center"/>
            <w:hideMark/>
          </w:tcPr>
          <w:p w14:paraId="3E7AC36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w:t>
            </w:r>
          </w:p>
        </w:tc>
        <w:tc>
          <w:tcPr>
            <w:tcW w:w="1074" w:type="dxa"/>
            <w:tcBorders>
              <w:top w:val="single" w:sz="4" w:space="0" w:color="auto"/>
              <w:bottom w:val="single" w:sz="4" w:space="0" w:color="auto"/>
            </w:tcBorders>
            <w:shd w:val="clear" w:color="auto" w:fill="auto"/>
            <w:noWrap/>
            <w:vAlign w:val="center"/>
            <w:hideMark/>
          </w:tcPr>
          <w:p w14:paraId="06A71AD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w:t>
            </w:r>
          </w:p>
        </w:tc>
        <w:tc>
          <w:tcPr>
            <w:tcW w:w="1074" w:type="dxa"/>
            <w:tcBorders>
              <w:top w:val="single" w:sz="4" w:space="0" w:color="auto"/>
              <w:bottom w:val="single" w:sz="4" w:space="0" w:color="auto"/>
            </w:tcBorders>
            <w:shd w:val="clear" w:color="auto" w:fill="auto"/>
            <w:noWrap/>
            <w:vAlign w:val="center"/>
          </w:tcPr>
          <w:p w14:paraId="53BE5EF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3</w:t>
            </w:r>
          </w:p>
        </w:tc>
        <w:tc>
          <w:tcPr>
            <w:tcW w:w="960" w:type="dxa"/>
            <w:tcBorders>
              <w:top w:val="single" w:sz="4" w:space="0" w:color="auto"/>
              <w:bottom w:val="single" w:sz="4" w:space="0" w:color="auto"/>
            </w:tcBorders>
            <w:shd w:val="clear" w:color="auto" w:fill="auto"/>
            <w:noWrap/>
            <w:vAlign w:val="center"/>
          </w:tcPr>
          <w:p w14:paraId="494DD29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4</w:t>
            </w:r>
          </w:p>
        </w:tc>
        <w:tc>
          <w:tcPr>
            <w:tcW w:w="960" w:type="dxa"/>
            <w:tcBorders>
              <w:top w:val="single" w:sz="4" w:space="0" w:color="auto"/>
              <w:bottom w:val="single" w:sz="4" w:space="0" w:color="auto"/>
            </w:tcBorders>
            <w:shd w:val="clear" w:color="auto" w:fill="auto"/>
            <w:noWrap/>
            <w:vAlign w:val="center"/>
          </w:tcPr>
          <w:p w14:paraId="4993DE4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w:t>
            </w:r>
          </w:p>
        </w:tc>
        <w:tc>
          <w:tcPr>
            <w:tcW w:w="960" w:type="dxa"/>
            <w:tcBorders>
              <w:top w:val="single" w:sz="4" w:space="0" w:color="auto"/>
              <w:bottom w:val="single" w:sz="4" w:space="0" w:color="auto"/>
            </w:tcBorders>
            <w:shd w:val="clear" w:color="auto" w:fill="auto"/>
            <w:noWrap/>
            <w:vAlign w:val="center"/>
          </w:tcPr>
          <w:p w14:paraId="48C3A00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6</w:t>
            </w:r>
          </w:p>
        </w:tc>
        <w:tc>
          <w:tcPr>
            <w:tcW w:w="960" w:type="dxa"/>
            <w:tcBorders>
              <w:top w:val="single" w:sz="4" w:space="0" w:color="auto"/>
              <w:bottom w:val="single" w:sz="4" w:space="0" w:color="auto"/>
            </w:tcBorders>
            <w:shd w:val="clear" w:color="auto" w:fill="auto"/>
            <w:noWrap/>
            <w:vAlign w:val="center"/>
          </w:tcPr>
          <w:p w14:paraId="13DE78D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w:t>
            </w:r>
          </w:p>
        </w:tc>
        <w:tc>
          <w:tcPr>
            <w:tcW w:w="960" w:type="dxa"/>
            <w:tcBorders>
              <w:top w:val="single" w:sz="4" w:space="0" w:color="auto"/>
              <w:bottom w:val="single" w:sz="4" w:space="0" w:color="auto"/>
            </w:tcBorders>
            <w:shd w:val="clear" w:color="auto" w:fill="auto"/>
            <w:noWrap/>
            <w:vAlign w:val="center"/>
          </w:tcPr>
          <w:p w14:paraId="58CEC39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8</w:t>
            </w:r>
          </w:p>
        </w:tc>
        <w:tc>
          <w:tcPr>
            <w:tcW w:w="960" w:type="dxa"/>
            <w:tcBorders>
              <w:top w:val="single" w:sz="4" w:space="0" w:color="auto"/>
              <w:bottom w:val="single" w:sz="4" w:space="0" w:color="auto"/>
            </w:tcBorders>
            <w:shd w:val="clear" w:color="auto" w:fill="auto"/>
            <w:noWrap/>
            <w:vAlign w:val="center"/>
          </w:tcPr>
          <w:p w14:paraId="0F318E5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9</w:t>
            </w:r>
          </w:p>
        </w:tc>
        <w:tc>
          <w:tcPr>
            <w:tcW w:w="960" w:type="dxa"/>
            <w:tcBorders>
              <w:top w:val="single" w:sz="4" w:space="0" w:color="auto"/>
              <w:bottom w:val="single" w:sz="4" w:space="0" w:color="auto"/>
            </w:tcBorders>
            <w:shd w:val="clear" w:color="auto" w:fill="auto"/>
            <w:noWrap/>
            <w:vAlign w:val="center"/>
          </w:tcPr>
          <w:p w14:paraId="7B2F1C7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10</w:t>
            </w:r>
          </w:p>
        </w:tc>
        <w:tc>
          <w:tcPr>
            <w:tcW w:w="960" w:type="dxa"/>
            <w:tcBorders>
              <w:top w:val="single" w:sz="4" w:space="0" w:color="auto"/>
              <w:bottom w:val="single" w:sz="4" w:space="0" w:color="auto"/>
            </w:tcBorders>
            <w:shd w:val="clear" w:color="auto" w:fill="auto"/>
            <w:noWrap/>
            <w:vAlign w:val="center"/>
          </w:tcPr>
          <w:p w14:paraId="5964C2A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11</w:t>
            </w:r>
          </w:p>
        </w:tc>
      </w:tr>
      <w:tr w:rsidR="00E6060C" w:rsidRPr="00E6060C" w14:paraId="24AA88F9" w14:textId="77777777" w:rsidTr="00E6060C">
        <w:trPr>
          <w:trHeight w:val="552"/>
        </w:trPr>
        <w:tc>
          <w:tcPr>
            <w:tcW w:w="665" w:type="dxa"/>
            <w:tcBorders>
              <w:top w:val="nil"/>
            </w:tcBorders>
            <w:shd w:val="clear" w:color="auto" w:fill="auto"/>
            <w:noWrap/>
            <w:vAlign w:val="center"/>
          </w:tcPr>
          <w:p w14:paraId="069C23C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w:t>
            </w:r>
          </w:p>
        </w:tc>
        <w:tc>
          <w:tcPr>
            <w:tcW w:w="2374" w:type="dxa"/>
            <w:tcBorders>
              <w:top w:val="nil"/>
            </w:tcBorders>
            <w:shd w:val="clear" w:color="auto" w:fill="auto"/>
            <w:vAlign w:val="center"/>
            <w:hideMark/>
          </w:tcPr>
          <w:p w14:paraId="2F15C97C"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Colleague support</w:t>
            </w:r>
          </w:p>
        </w:tc>
        <w:tc>
          <w:tcPr>
            <w:tcW w:w="1074" w:type="dxa"/>
            <w:tcBorders>
              <w:top w:val="nil"/>
            </w:tcBorders>
            <w:shd w:val="clear" w:color="auto" w:fill="auto"/>
            <w:noWrap/>
            <w:vAlign w:val="center"/>
          </w:tcPr>
          <w:p w14:paraId="71DF705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1074" w:type="dxa"/>
            <w:tcBorders>
              <w:top w:val="nil"/>
              <w:bottom w:val="nil"/>
            </w:tcBorders>
            <w:shd w:val="clear" w:color="auto" w:fill="D9D9D9"/>
            <w:noWrap/>
            <w:vAlign w:val="center"/>
          </w:tcPr>
          <w:p w14:paraId="23E68338" w14:textId="3D0AF749"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.47**</w:t>
            </w:r>
          </w:p>
        </w:tc>
        <w:tc>
          <w:tcPr>
            <w:tcW w:w="1074" w:type="dxa"/>
            <w:tcBorders>
              <w:top w:val="nil"/>
              <w:bottom w:val="nil"/>
            </w:tcBorders>
            <w:shd w:val="clear" w:color="auto" w:fill="D9D9D9"/>
            <w:noWrap/>
            <w:vAlign w:val="center"/>
          </w:tcPr>
          <w:p w14:paraId="5D44B051" w14:textId="68BD8069"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2F2CFD60" w14:textId="48F434A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3</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6C011F91" w14:textId="5B93E153"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.56**</w:t>
            </w:r>
          </w:p>
        </w:tc>
        <w:tc>
          <w:tcPr>
            <w:tcW w:w="960" w:type="dxa"/>
            <w:tcBorders>
              <w:top w:val="nil"/>
              <w:bottom w:val="nil"/>
            </w:tcBorders>
            <w:shd w:val="clear" w:color="auto" w:fill="D9D9D9"/>
            <w:noWrap/>
            <w:vAlign w:val="center"/>
          </w:tcPr>
          <w:p w14:paraId="0224F9C3" w14:textId="53380903"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960" w:type="dxa"/>
            <w:tcBorders>
              <w:top w:val="nil"/>
              <w:bottom w:val="nil"/>
            </w:tcBorders>
            <w:shd w:val="clear" w:color="auto" w:fill="D9D9D9"/>
            <w:noWrap/>
            <w:vAlign w:val="center"/>
          </w:tcPr>
          <w:p w14:paraId="5F8E5985" w14:textId="27BEAC75"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w:t>
            </w:r>
          </w:p>
        </w:tc>
        <w:tc>
          <w:tcPr>
            <w:tcW w:w="960" w:type="dxa"/>
            <w:tcBorders>
              <w:top w:val="nil"/>
              <w:bottom w:val="nil"/>
            </w:tcBorders>
            <w:shd w:val="clear" w:color="auto" w:fill="D9D9D9"/>
            <w:noWrap/>
            <w:vAlign w:val="center"/>
          </w:tcPr>
          <w:p w14:paraId="730D3F8C" w14:textId="58EABB5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7</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5E4BD4D8" w14:textId="40224409"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4</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1E314D65" w14:textId="7D98ED06"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7</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6472D6E2" w14:textId="6ECA04A0"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.32**</w:t>
            </w:r>
          </w:p>
        </w:tc>
      </w:tr>
      <w:tr w:rsidR="00E6060C" w:rsidRPr="00E6060C" w14:paraId="4246AF7F" w14:textId="77777777" w:rsidTr="00E6060C">
        <w:trPr>
          <w:trHeight w:val="552"/>
        </w:trPr>
        <w:tc>
          <w:tcPr>
            <w:tcW w:w="665" w:type="dxa"/>
            <w:shd w:val="clear" w:color="auto" w:fill="auto"/>
            <w:noWrap/>
            <w:vAlign w:val="center"/>
          </w:tcPr>
          <w:p w14:paraId="3D558F6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w:t>
            </w:r>
          </w:p>
        </w:tc>
        <w:tc>
          <w:tcPr>
            <w:tcW w:w="2374" w:type="dxa"/>
            <w:shd w:val="clear" w:color="auto" w:fill="auto"/>
            <w:vAlign w:val="center"/>
            <w:hideMark/>
          </w:tcPr>
          <w:p w14:paraId="166A2454"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Influence in decision-making</w:t>
            </w:r>
          </w:p>
        </w:tc>
        <w:tc>
          <w:tcPr>
            <w:tcW w:w="1074" w:type="dxa"/>
            <w:shd w:val="clear" w:color="auto" w:fill="auto"/>
            <w:noWrap/>
            <w:vAlign w:val="center"/>
          </w:tcPr>
          <w:p w14:paraId="010064D0" w14:textId="57205B4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.34**</w:t>
            </w:r>
          </w:p>
        </w:tc>
        <w:tc>
          <w:tcPr>
            <w:tcW w:w="1074" w:type="dxa"/>
            <w:tcBorders>
              <w:top w:val="nil"/>
            </w:tcBorders>
            <w:shd w:val="clear" w:color="auto" w:fill="auto"/>
            <w:noWrap/>
            <w:vAlign w:val="center"/>
          </w:tcPr>
          <w:p w14:paraId="07283F2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1074" w:type="dxa"/>
            <w:tcBorders>
              <w:top w:val="nil"/>
              <w:bottom w:val="nil"/>
            </w:tcBorders>
            <w:shd w:val="clear" w:color="auto" w:fill="D9D9D9"/>
            <w:noWrap/>
            <w:vAlign w:val="center"/>
          </w:tcPr>
          <w:p w14:paraId="2E0C835B" w14:textId="0F5B3F1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w:t>
            </w:r>
          </w:p>
        </w:tc>
        <w:tc>
          <w:tcPr>
            <w:tcW w:w="960" w:type="dxa"/>
            <w:tcBorders>
              <w:top w:val="nil"/>
              <w:bottom w:val="nil"/>
            </w:tcBorders>
            <w:shd w:val="clear" w:color="auto" w:fill="D9D9D9"/>
            <w:noWrap/>
            <w:vAlign w:val="center"/>
          </w:tcPr>
          <w:p w14:paraId="31180F84" w14:textId="3A91007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5</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031807CC" w14:textId="67CBD9A0"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.51**</w:t>
            </w:r>
          </w:p>
        </w:tc>
        <w:tc>
          <w:tcPr>
            <w:tcW w:w="960" w:type="dxa"/>
            <w:tcBorders>
              <w:top w:val="nil"/>
              <w:bottom w:val="nil"/>
            </w:tcBorders>
            <w:shd w:val="clear" w:color="auto" w:fill="D9D9D9"/>
            <w:noWrap/>
            <w:vAlign w:val="center"/>
          </w:tcPr>
          <w:p w14:paraId="4BEFC7DB" w14:textId="1268CDC2"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1</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48D2FB3C" w14:textId="59AA3DE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.43**</w:t>
            </w:r>
          </w:p>
        </w:tc>
        <w:tc>
          <w:tcPr>
            <w:tcW w:w="960" w:type="dxa"/>
            <w:tcBorders>
              <w:top w:val="nil"/>
              <w:bottom w:val="nil"/>
            </w:tcBorders>
            <w:shd w:val="clear" w:color="auto" w:fill="D9D9D9"/>
            <w:noWrap/>
            <w:vAlign w:val="center"/>
          </w:tcPr>
          <w:p w14:paraId="60FCF7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.19</w:t>
            </w:r>
          </w:p>
        </w:tc>
        <w:tc>
          <w:tcPr>
            <w:tcW w:w="960" w:type="dxa"/>
            <w:tcBorders>
              <w:top w:val="nil"/>
              <w:bottom w:val="nil"/>
            </w:tcBorders>
            <w:shd w:val="clear" w:color="auto" w:fill="D9D9D9"/>
            <w:noWrap/>
            <w:vAlign w:val="center"/>
          </w:tcPr>
          <w:p w14:paraId="63AA0744" w14:textId="7315AA1F"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w:t>
            </w:r>
          </w:p>
        </w:tc>
        <w:tc>
          <w:tcPr>
            <w:tcW w:w="960" w:type="dxa"/>
            <w:tcBorders>
              <w:top w:val="nil"/>
              <w:bottom w:val="nil"/>
            </w:tcBorders>
            <w:shd w:val="clear" w:color="auto" w:fill="D9D9D9"/>
            <w:noWrap/>
            <w:vAlign w:val="center"/>
          </w:tcPr>
          <w:p w14:paraId="0CE5B82A" w14:textId="212C53FC"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.33**</w:t>
            </w:r>
          </w:p>
        </w:tc>
        <w:tc>
          <w:tcPr>
            <w:tcW w:w="960" w:type="dxa"/>
            <w:tcBorders>
              <w:top w:val="nil"/>
              <w:bottom w:val="nil"/>
            </w:tcBorders>
            <w:shd w:val="clear" w:color="auto" w:fill="D9D9D9"/>
            <w:noWrap/>
            <w:vAlign w:val="center"/>
          </w:tcPr>
          <w:p w14:paraId="63D6CB6B" w14:textId="3C9EB39A"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.37**</w:t>
            </w:r>
          </w:p>
        </w:tc>
      </w:tr>
      <w:tr w:rsidR="00E6060C" w:rsidRPr="00E6060C" w14:paraId="3A8D2B41" w14:textId="77777777" w:rsidTr="00E6060C">
        <w:trPr>
          <w:trHeight w:val="552"/>
        </w:trPr>
        <w:tc>
          <w:tcPr>
            <w:tcW w:w="665" w:type="dxa"/>
            <w:shd w:val="clear" w:color="auto" w:fill="auto"/>
            <w:noWrap/>
            <w:vAlign w:val="center"/>
          </w:tcPr>
          <w:p w14:paraId="2CC77CF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3</w:t>
            </w:r>
          </w:p>
        </w:tc>
        <w:tc>
          <w:tcPr>
            <w:tcW w:w="2374" w:type="dxa"/>
            <w:shd w:val="clear" w:color="auto" w:fill="auto"/>
            <w:vAlign w:val="center"/>
            <w:hideMark/>
          </w:tcPr>
          <w:p w14:paraId="7C12FEA7"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Resources &amp; demands</w:t>
            </w:r>
          </w:p>
        </w:tc>
        <w:tc>
          <w:tcPr>
            <w:tcW w:w="1074" w:type="dxa"/>
            <w:shd w:val="clear" w:color="auto" w:fill="auto"/>
            <w:noWrap/>
            <w:vAlign w:val="center"/>
          </w:tcPr>
          <w:p w14:paraId="7FC0397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1074" w:type="dxa"/>
            <w:shd w:val="clear" w:color="auto" w:fill="auto"/>
            <w:noWrap/>
            <w:vAlign w:val="center"/>
          </w:tcPr>
          <w:p w14:paraId="0C695A2F" w14:textId="2F5CF89B"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1074" w:type="dxa"/>
            <w:tcBorders>
              <w:top w:val="nil"/>
            </w:tcBorders>
            <w:shd w:val="clear" w:color="auto" w:fill="auto"/>
            <w:noWrap/>
            <w:vAlign w:val="center"/>
          </w:tcPr>
          <w:p w14:paraId="40B5695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0A97AF50" w14:textId="1CBA2E19"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.46**</w:t>
            </w:r>
          </w:p>
        </w:tc>
        <w:tc>
          <w:tcPr>
            <w:tcW w:w="960" w:type="dxa"/>
            <w:tcBorders>
              <w:top w:val="nil"/>
              <w:bottom w:val="nil"/>
            </w:tcBorders>
            <w:shd w:val="clear" w:color="auto" w:fill="D9D9D9"/>
            <w:noWrap/>
            <w:vAlign w:val="center"/>
          </w:tcPr>
          <w:p w14:paraId="782D4F13" w14:textId="2D873C1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w:t>
            </w:r>
          </w:p>
        </w:tc>
        <w:tc>
          <w:tcPr>
            <w:tcW w:w="960" w:type="dxa"/>
            <w:tcBorders>
              <w:top w:val="nil"/>
              <w:bottom w:val="nil"/>
            </w:tcBorders>
            <w:shd w:val="clear" w:color="auto" w:fill="D9D9D9"/>
            <w:noWrap/>
            <w:vAlign w:val="center"/>
          </w:tcPr>
          <w:p w14:paraId="7D3F82E3" w14:textId="381A05DE"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960" w:type="dxa"/>
            <w:tcBorders>
              <w:top w:val="nil"/>
              <w:bottom w:val="nil"/>
            </w:tcBorders>
            <w:shd w:val="clear" w:color="auto" w:fill="D9D9D9"/>
            <w:noWrap/>
            <w:vAlign w:val="center"/>
          </w:tcPr>
          <w:p w14:paraId="088D2964" w14:textId="595FED9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.52**</w:t>
            </w:r>
          </w:p>
        </w:tc>
        <w:tc>
          <w:tcPr>
            <w:tcW w:w="960" w:type="dxa"/>
            <w:tcBorders>
              <w:top w:val="nil"/>
              <w:bottom w:val="nil"/>
            </w:tcBorders>
            <w:shd w:val="clear" w:color="auto" w:fill="D9D9D9"/>
            <w:noWrap/>
            <w:vAlign w:val="center"/>
          </w:tcPr>
          <w:p w14:paraId="2A799C99" w14:textId="502B835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960" w:type="dxa"/>
            <w:tcBorders>
              <w:top w:val="nil"/>
              <w:bottom w:val="nil"/>
            </w:tcBorders>
            <w:shd w:val="clear" w:color="auto" w:fill="D9D9D9"/>
            <w:noWrap/>
            <w:vAlign w:val="center"/>
          </w:tcPr>
          <w:p w14:paraId="16796710" w14:textId="305987C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8</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4A737D3F" w14:textId="75B9BBF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.57**</w:t>
            </w:r>
          </w:p>
        </w:tc>
        <w:tc>
          <w:tcPr>
            <w:tcW w:w="960" w:type="dxa"/>
            <w:tcBorders>
              <w:top w:val="nil"/>
              <w:bottom w:val="nil"/>
            </w:tcBorders>
            <w:shd w:val="clear" w:color="auto" w:fill="D9D9D9"/>
            <w:noWrap/>
            <w:vAlign w:val="center"/>
          </w:tcPr>
          <w:p w14:paraId="4B98A8B6" w14:textId="716D1685"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2</w:t>
            </w:r>
            <w:r w:rsidRPr="00E6060C">
              <w:rPr>
                <w:rFonts w:ascii="Calibri" w:eastAsia="Calibri" w:hAnsi="Calibri" w:cs="Times New Roman"/>
                <w:color w:val="000000"/>
              </w:rPr>
              <w:t>**</w:t>
            </w:r>
          </w:p>
        </w:tc>
      </w:tr>
      <w:tr w:rsidR="00E6060C" w:rsidRPr="00E6060C" w14:paraId="38267E20" w14:textId="77777777" w:rsidTr="00E6060C">
        <w:trPr>
          <w:trHeight w:val="552"/>
        </w:trPr>
        <w:tc>
          <w:tcPr>
            <w:tcW w:w="665" w:type="dxa"/>
            <w:shd w:val="clear" w:color="auto" w:fill="auto"/>
            <w:noWrap/>
            <w:vAlign w:val="center"/>
          </w:tcPr>
          <w:p w14:paraId="54C12DF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4</w:t>
            </w:r>
          </w:p>
        </w:tc>
        <w:tc>
          <w:tcPr>
            <w:tcW w:w="2374" w:type="dxa"/>
            <w:shd w:val="clear" w:color="auto" w:fill="auto"/>
            <w:vAlign w:val="center"/>
            <w:hideMark/>
          </w:tcPr>
          <w:p w14:paraId="120E006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xml:space="preserve">Autonomy </w:t>
            </w:r>
          </w:p>
        </w:tc>
        <w:tc>
          <w:tcPr>
            <w:tcW w:w="1074" w:type="dxa"/>
            <w:shd w:val="clear" w:color="auto" w:fill="auto"/>
            <w:noWrap/>
            <w:vAlign w:val="center"/>
          </w:tcPr>
          <w:p w14:paraId="3E33344F" w14:textId="0105EF3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1074" w:type="dxa"/>
            <w:shd w:val="clear" w:color="auto" w:fill="auto"/>
            <w:noWrap/>
            <w:vAlign w:val="center"/>
          </w:tcPr>
          <w:p w14:paraId="4D6A84F4" w14:textId="5BB6F76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9</w:t>
            </w:r>
            <w:r w:rsidRPr="00E6060C">
              <w:rPr>
                <w:rFonts w:ascii="Calibri" w:eastAsia="Calibri" w:hAnsi="Calibri" w:cs="Times New Roman"/>
                <w:color w:val="000000"/>
              </w:rPr>
              <w:t>**</w:t>
            </w:r>
          </w:p>
        </w:tc>
        <w:tc>
          <w:tcPr>
            <w:tcW w:w="1074" w:type="dxa"/>
            <w:shd w:val="clear" w:color="auto" w:fill="auto"/>
            <w:noWrap/>
            <w:vAlign w:val="center"/>
          </w:tcPr>
          <w:p w14:paraId="0A7B5EB5" w14:textId="153E363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9</w:t>
            </w:r>
            <w:r w:rsidRPr="00E6060C">
              <w:rPr>
                <w:rFonts w:ascii="Calibri" w:eastAsia="Calibri" w:hAnsi="Calibri" w:cs="Times New Roman"/>
                <w:color w:val="000000"/>
              </w:rPr>
              <w:t>**</w:t>
            </w:r>
          </w:p>
        </w:tc>
        <w:tc>
          <w:tcPr>
            <w:tcW w:w="960" w:type="dxa"/>
            <w:tcBorders>
              <w:top w:val="nil"/>
            </w:tcBorders>
            <w:shd w:val="clear" w:color="auto" w:fill="auto"/>
            <w:noWrap/>
            <w:vAlign w:val="center"/>
          </w:tcPr>
          <w:p w14:paraId="39ED05F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550AC81E" w14:textId="0EB37EDB"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.63**</w:t>
            </w:r>
          </w:p>
        </w:tc>
        <w:tc>
          <w:tcPr>
            <w:tcW w:w="960" w:type="dxa"/>
            <w:tcBorders>
              <w:top w:val="nil"/>
              <w:bottom w:val="nil"/>
            </w:tcBorders>
            <w:shd w:val="clear" w:color="auto" w:fill="D9D9D9"/>
            <w:noWrap/>
            <w:vAlign w:val="center"/>
          </w:tcPr>
          <w:p w14:paraId="19AC1C9D" w14:textId="17164FFC"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.58**</w:t>
            </w:r>
          </w:p>
        </w:tc>
        <w:tc>
          <w:tcPr>
            <w:tcW w:w="960" w:type="dxa"/>
            <w:tcBorders>
              <w:top w:val="nil"/>
              <w:bottom w:val="nil"/>
            </w:tcBorders>
            <w:shd w:val="clear" w:color="auto" w:fill="D9D9D9"/>
            <w:noWrap/>
            <w:vAlign w:val="center"/>
          </w:tcPr>
          <w:p w14:paraId="7AD27438" w14:textId="4E07216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.52**</w:t>
            </w:r>
          </w:p>
        </w:tc>
        <w:tc>
          <w:tcPr>
            <w:tcW w:w="960" w:type="dxa"/>
            <w:tcBorders>
              <w:top w:val="nil"/>
              <w:bottom w:val="nil"/>
            </w:tcBorders>
            <w:shd w:val="clear" w:color="auto" w:fill="D9D9D9"/>
            <w:noWrap/>
            <w:vAlign w:val="center"/>
          </w:tcPr>
          <w:p w14:paraId="76C18998" w14:textId="029968B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057008">
              <w:rPr>
                <w:rFonts w:ascii="Calibri" w:eastAsia="Calibri" w:hAnsi="Calibri" w:cs="Times New Roman"/>
                <w:color w:val="000000"/>
              </w:rPr>
              <w:t>1</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79C872CB" w14:textId="5253682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5</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19E8C937" w14:textId="64CFB666"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.55**</w:t>
            </w:r>
          </w:p>
        </w:tc>
        <w:tc>
          <w:tcPr>
            <w:tcW w:w="960" w:type="dxa"/>
            <w:tcBorders>
              <w:top w:val="nil"/>
              <w:bottom w:val="nil"/>
            </w:tcBorders>
            <w:shd w:val="clear" w:color="auto" w:fill="D9D9D9"/>
            <w:noWrap/>
            <w:vAlign w:val="center"/>
          </w:tcPr>
          <w:p w14:paraId="127BF303" w14:textId="0F955F2B"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8</w:t>
            </w:r>
            <w:r w:rsidRPr="00E6060C">
              <w:rPr>
                <w:rFonts w:ascii="Calibri" w:eastAsia="Calibri" w:hAnsi="Calibri" w:cs="Times New Roman"/>
                <w:color w:val="000000"/>
              </w:rPr>
              <w:t>**</w:t>
            </w:r>
          </w:p>
        </w:tc>
      </w:tr>
      <w:tr w:rsidR="00E6060C" w:rsidRPr="00E6060C" w14:paraId="65DA63F5" w14:textId="77777777" w:rsidTr="00E6060C">
        <w:trPr>
          <w:trHeight w:val="552"/>
        </w:trPr>
        <w:tc>
          <w:tcPr>
            <w:tcW w:w="665" w:type="dxa"/>
            <w:shd w:val="clear" w:color="auto" w:fill="auto"/>
            <w:noWrap/>
            <w:vAlign w:val="center"/>
          </w:tcPr>
          <w:p w14:paraId="37C168C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w:t>
            </w:r>
          </w:p>
        </w:tc>
        <w:tc>
          <w:tcPr>
            <w:tcW w:w="2374" w:type="dxa"/>
            <w:shd w:val="clear" w:color="auto" w:fill="auto"/>
            <w:vAlign w:val="center"/>
            <w:hideMark/>
          </w:tcPr>
          <w:p w14:paraId="11DD0A9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xml:space="preserve">Competence </w:t>
            </w:r>
          </w:p>
        </w:tc>
        <w:tc>
          <w:tcPr>
            <w:tcW w:w="1074" w:type="dxa"/>
            <w:shd w:val="clear" w:color="auto" w:fill="auto"/>
            <w:noWrap/>
            <w:vAlign w:val="center"/>
          </w:tcPr>
          <w:p w14:paraId="67EAE43E" w14:textId="7070AE9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w:t>
            </w:r>
          </w:p>
        </w:tc>
        <w:tc>
          <w:tcPr>
            <w:tcW w:w="1074" w:type="dxa"/>
            <w:shd w:val="clear" w:color="auto" w:fill="auto"/>
            <w:noWrap/>
            <w:vAlign w:val="center"/>
          </w:tcPr>
          <w:p w14:paraId="394305A0" w14:textId="2DE7AD8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7</w:t>
            </w:r>
            <w:r w:rsidRPr="00E6060C">
              <w:rPr>
                <w:rFonts w:ascii="Calibri" w:eastAsia="Calibri" w:hAnsi="Calibri" w:cs="Times New Roman"/>
                <w:color w:val="000000"/>
              </w:rPr>
              <w:t>**</w:t>
            </w:r>
          </w:p>
        </w:tc>
        <w:tc>
          <w:tcPr>
            <w:tcW w:w="1074" w:type="dxa"/>
            <w:shd w:val="clear" w:color="auto" w:fill="auto"/>
            <w:noWrap/>
            <w:vAlign w:val="center"/>
          </w:tcPr>
          <w:p w14:paraId="5B3BA29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w:t>
            </w:r>
          </w:p>
        </w:tc>
        <w:tc>
          <w:tcPr>
            <w:tcW w:w="960" w:type="dxa"/>
            <w:shd w:val="clear" w:color="auto" w:fill="auto"/>
            <w:noWrap/>
            <w:vAlign w:val="center"/>
          </w:tcPr>
          <w:p w14:paraId="19D86D8B" w14:textId="2BF7FA1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057008">
              <w:rPr>
                <w:rFonts w:ascii="Calibri" w:eastAsia="Calibri" w:hAnsi="Calibri" w:cs="Times New Roman"/>
                <w:color w:val="000000"/>
              </w:rPr>
              <w:t>8</w:t>
            </w:r>
            <w:r w:rsidRPr="00E6060C">
              <w:rPr>
                <w:rFonts w:ascii="Calibri" w:eastAsia="Calibri" w:hAnsi="Calibri" w:cs="Times New Roman"/>
                <w:color w:val="000000"/>
              </w:rPr>
              <w:t>**</w:t>
            </w:r>
          </w:p>
        </w:tc>
        <w:tc>
          <w:tcPr>
            <w:tcW w:w="960" w:type="dxa"/>
            <w:tcBorders>
              <w:top w:val="nil"/>
            </w:tcBorders>
            <w:shd w:val="clear" w:color="auto" w:fill="auto"/>
            <w:noWrap/>
            <w:vAlign w:val="center"/>
          </w:tcPr>
          <w:p w14:paraId="1EEF31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594365EF" w14:textId="63412D99"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w:t>
            </w:r>
          </w:p>
        </w:tc>
        <w:tc>
          <w:tcPr>
            <w:tcW w:w="960" w:type="dxa"/>
            <w:tcBorders>
              <w:top w:val="nil"/>
              <w:bottom w:val="nil"/>
            </w:tcBorders>
            <w:shd w:val="clear" w:color="auto" w:fill="D9D9D9"/>
            <w:noWrap/>
            <w:vAlign w:val="center"/>
          </w:tcPr>
          <w:p w14:paraId="09AA718C" w14:textId="567F351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057008">
              <w:rPr>
                <w:rFonts w:ascii="Calibri" w:eastAsia="Calibri" w:hAnsi="Calibri" w:cs="Times New Roman"/>
                <w:color w:val="000000"/>
              </w:rPr>
              <w:t>40</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6AD2B4AA" w14:textId="6924FD36"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9</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3069CF6D" w14:textId="4B12E77E"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057008">
              <w:rPr>
                <w:rFonts w:ascii="Calibri" w:eastAsia="Calibri" w:hAnsi="Calibri" w:cs="Times New Roman"/>
                <w:color w:val="000000"/>
              </w:rPr>
              <w:t>33</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66475133" w14:textId="2F47B5A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3</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5903121A" w14:textId="6D116CB6"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r>
      <w:tr w:rsidR="00E6060C" w:rsidRPr="00E6060C" w14:paraId="0EFFE533" w14:textId="77777777" w:rsidTr="00E6060C">
        <w:trPr>
          <w:trHeight w:val="552"/>
        </w:trPr>
        <w:tc>
          <w:tcPr>
            <w:tcW w:w="665" w:type="dxa"/>
            <w:shd w:val="clear" w:color="auto" w:fill="auto"/>
            <w:noWrap/>
            <w:vAlign w:val="center"/>
          </w:tcPr>
          <w:p w14:paraId="06399928"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6</w:t>
            </w:r>
          </w:p>
        </w:tc>
        <w:tc>
          <w:tcPr>
            <w:tcW w:w="2374" w:type="dxa"/>
            <w:shd w:val="clear" w:color="auto" w:fill="auto"/>
            <w:vAlign w:val="center"/>
            <w:hideMark/>
          </w:tcPr>
          <w:p w14:paraId="6AB53D4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1074" w:type="dxa"/>
            <w:shd w:val="clear" w:color="auto" w:fill="auto"/>
            <w:noWrap/>
            <w:vAlign w:val="center"/>
          </w:tcPr>
          <w:p w14:paraId="45FC3A36" w14:textId="50846B2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1074" w:type="dxa"/>
            <w:shd w:val="clear" w:color="auto" w:fill="auto"/>
            <w:noWrap/>
            <w:vAlign w:val="center"/>
          </w:tcPr>
          <w:p w14:paraId="785201A8" w14:textId="03101D9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w:t>
            </w:r>
          </w:p>
        </w:tc>
        <w:tc>
          <w:tcPr>
            <w:tcW w:w="1074" w:type="dxa"/>
            <w:shd w:val="clear" w:color="auto" w:fill="auto"/>
            <w:noWrap/>
            <w:vAlign w:val="center"/>
          </w:tcPr>
          <w:p w14:paraId="7D1674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c>
          <w:tcPr>
            <w:tcW w:w="960" w:type="dxa"/>
            <w:shd w:val="clear" w:color="auto" w:fill="auto"/>
            <w:noWrap/>
            <w:vAlign w:val="center"/>
          </w:tcPr>
          <w:p w14:paraId="6177B782" w14:textId="1C4B58C9"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057008">
              <w:rPr>
                <w:rFonts w:ascii="Calibri" w:eastAsia="Calibri" w:hAnsi="Calibri" w:cs="Times New Roman"/>
                <w:color w:val="000000"/>
              </w:rPr>
              <w:t>1</w:t>
            </w:r>
            <w:r w:rsidRPr="00E6060C">
              <w:rPr>
                <w:rFonts w:ascii="Calibri" w:eastAsia="Calibri" w:hAnsi="Calibri" w:cs="Times New Roman"/>
                <w:color w:val="000000"/>
              </w:rPr>
              <w:t>**</w:t>
            </w:r>
          </w:p>
        </w:tc>
        <w:tc>
          <w:tcPr>
            <w:tcW w:w="960" w:type="dxa"/>
            <w:shd w:val="clear" w:color="auto" w:fill="auto"/>
            <w:noWrap/>
            <w:vAlign w:val="center"/>
          </w:tcPr>
          <w:p w14:paraId="48C7EFD6" w14:textId="1199DC55"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7</w:t>
            </w:r>
            <w:r w:rsidRPr="00E6060C">
              <w:rPr>
                <w:rFonts w:ascii="Calibri" w:eastAsia="Calibri" w:hAnsi="Calibri" w:cs="Times New Roman"/>
                <w:color w:val="000000"/>
              </w:rPr>
              <w:t>**</w:t>
            </w:r>
          </w:p>
        </w:tc>
        <w:tc>
          <w:tcPr>
            <w:tcW w:w="960" w:type="dxa"/>
            <w:tcBorders>
              <w:top w:val="nil"/>
            </w:tcBorders>
            <w:shd w:val="clear" w:color="auto" w:fill="auto"/>
            <w:noWrap/>
            <w:vAlign w:val="center"/>
          </w:tcPr>
          <w:p w14:paraId="3948B70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35A1D8DD" w14:textId="56A6740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w:t>
            </w:r>
          </w:p>
        </w:tc>
        <w:tc>
          <w:tcPr>
            <w:tcW w:w="960" w:type="dxa"/>
            <w:tcBorders>
              <w:top w:val="nil"/>
              <w:bottom w:val="nil"/>
            </w:tcBorders>
            <w:shd w:val="clear" w:color="auto" w:fill="D9D9D9"/>
            <w:noWrap/>
            <w:vAlign w:val="center"/>
          </w:tcPr>
          <w:p w14:paraId="1D0969E8" w14:textId="4ABE37D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057008">
              <w:rPr>
                <w:rFonts w:ascii="Calibri" w:eastAsia="Calibri" w:hAnsi="Calibri" w:cs="Times New Roman"/>
                <w:color w:val="000000"/>
              </w:rPr>
              <w:t>40</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0D30B809" w14:textId="7E71F4C5"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w:t>
            </w:r>
          </w:p>
        </w:tc>
        <w:tc>
          <w:tcPr>
            <w:tcW w:w="960" w:type="dxa"/>
            <w:tcBorders>
              <w:top w:val="nil"/>
              <w:bottom w:val="nil"/>
            </w:tcBorders>
            <w:shd w:val="clear" w:color="auto" w:fill="D9D9D9"/>
            <w:noWrap/>
            <w:vAlign w:val="center"/>
          </w:tcPr>
          <w:p w14:paraId="2110E113" w14:textId="74C82173"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c>
          <w:tcPr>
            <w:tcW w:w="960" w:type="dxa"/>
            <w:tcBorders>
              <w:top w:val="nil"/>
              <w:bottom w:val="nil"/>
            </w:tcBorders>
            <w:shd w:val="clear" w:color="auto" w:fill="D9D9D9"/>
            <w:noWrap/>
            <w:vAlign w:val="center"/>
          </w:tcPr>
          <w:p w14:paraId="1F976B66" w14:textId="3CB82A9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w:t>
            </w:r>
          </w:p>
        </w:tc>
      </w:tr>
      <w:tr w:rsidR="00E6060C" w:rsidRPr="00E6060C" w14:paraId="11C65DD7" w14:textId="77777777" w:rsidTr="00E6060C">
        <w:trPr>
          <w:trHeight w:val="552"/>
        </w:trPr>
        <w:tc>
          <w:tcPr>
            <w:tcW w:w="665" w:type="dxa"/>
            <w:shd w:val="clear" w:color="auto" w:fill="auto"/>
            <w:noWrap/>
            <w:vAlign w:val="center"/>
          </w:tcPr>
          <w:p w14:paraId="0A08916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w:t>
            </w:r>
          </w:p>
        </w:tc>
        <w:tc>
          <w:tcPr>
            <w:tcW w:w="2374" w:type="dxa"/>
            <w:shd w:val="clear" w:color="auto" w:fill="auto"/>
            <w:vAlign w:val="center"/>
            <w:hideMark/>
          </w:tcPr>
          <w:p w14:paraId="05BEAE8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1074" w:type="dxa"/>
            <w:shd w:val="clear" w:color="auto" w:fill="auto"/>
            <w:noWrap/>
            <w:vAlign w:val="center"/>
          </w:tcPr>
          <w:p w14:paraId="7F3B2F69" w14:textId="0046DFC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1</w:t>
            </w:r>
            <w:r w:rsidRPr="00E6060C">
              <w:rPr>
                <w:rFonts w:ascii="Calibri" w:eastAsia="Calibri" w:hAnsi="Calibri" w:cs="Times New Roman"/>
                <w:color w:val="000000"/>
              </w:rPr>
              <w:t>**</w:t>
            </w:r>
          </w:p>
        </w:tc>
        <w:tc>
          <w:tcPr>
            <w:tcW w:w="1074" w:type="dxa"/>
            <w:shd w:val="clear" w:color="auto" w:fill="auto"/>
            <w:noWrap/>
            <w:vAlign w:val="center"/>
          </w:tcPr>
          <w:p w14:paraId="1C96C755" w14:textId="3A030DD0"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w:t>
            </w:r>
          </w:p>
        </w:tc>
        <w:tc>
          <w:tcPr>
            <w:tcW w:w="1074" w:type="dxa"/>
            <w:shd w:val="clear" w:color="auto" w:fill="auto"/>
            <w:noWrap/>
            <w:vAlign w:val="center"/>
          </w:tcPr>
          <w:p w14:paraId="5F69C8D7" w14:textId="2235B3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2</w:t>
            </w:r>
            <w:r w:rsidRPr="00E6060C">
              <w:rPr>
                <w:rFonts w:ascii="Calibri" w:eastAsia="Calibri" w:hAnsi="Calibri" w:cs="Times New Roman"/>
                <w:color w:val="000000"/>
              </w:rPr>
              <w:t>**</w:t>
            </w:r>
          </w:p>
        </w:tc>
        <w:tc>
          <w:tcPr>
            <w:tcW w:w="960" w:type="dxa"/>
            <w:shd w:val="clear" w:color="auto" w:fill="auto"/>
            <w:noWrap/>
            <w:vAlign w:val="center"/>
          </w:tcPr>
          <w:p w14:paraId="784ACC73" w14:textId="0132A85D"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057008">
              <w:rPr>
                <w:rFonts w:ascii="Calibri" w:eastAsia="Calibri" w:hAnsi="Calibri" w:cs="Times New Roman"/>
                <w:color w:val="000000"/>
              </w:rPr>
              <w:t>1</w:t>
            </w:r>
            <w:r w:rsidRPr="00E6060C">
              <w:rPr>
                <w:rFonts w:ascii="Calibri" w:eastAsia="Calibri" w:hAnsi="Calibri" w:cs="Times New Roman"/>
                <w:color w:val="000000"/>
              </w:rPr>
              <w:t>**</w:t>
            </w:r>
          </w:p>
        </w:tc>
        <w:tc>
          <w:tcPr>
            <w:tcW w:w="960" w:type="dxa"/>
            <w:shd w:val="clear" w:color="auto" w:fill="auto"/>
            <w:noWrap/>
            <w:vAlign w:val="center"/>
          </w:tcPr>
          <w:p w14:paraId="68924AA4" w14:textId="0F7199E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960" w:type="dxa"/>
            <w:shd w:val="clear" w:color="auto" w:fill="auto"/>
            <w:noWrap/>
            <w:vAlign w:val="center"/>
          </w:tcPr>
          <w:p w14:paraId="4F4660F3" w14:textId="14291905"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8</w:t>
            </w:r>
            <w:r w:rsidRPr="00E6060C">
              <w:rPr>
                <w:rFonts w:ascii="Calibri" w:eastAsia="Calibri" w:hAnsi="Calibri" w:cs="Times New Roman"/>
                <w:color w:val="000000"/>
              </w:rPr>
              <w:t>**</w:t>
            </w:r>
          </w:p>
        </w:tc>
        <w:tc>
          <w:tcPr>
            <w:tcW w:w="960" w:type="dxa"/>
            <w:tcBorders>
              <w:top w:val="nil"/>
            </w:tcBorders>
            <w:shd w:val="clear" w:color="auto" w:fill="auto"/>
            <w:noWrap/>
            <w:vAlign w:val="center"/>
          </w:tcPr>
          <w:p w14:paraId="5A022F4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20DCB14E" w14:textId="07B1905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4D8AB023" w14:textId="41FB7904"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.66**</w:t>
            </w:r>
          </w:p>
        </w:tc>
        <w:tc>
          <w:tcPr>
            <w:tcW w:w="960" w:type="dxa"/>
            <w:tcBorders>
              <w:top w:val="nil"/>
              <w:bottom w:val="nil"/>
            </w:tcBorders>
            <w:shd w:val="clear" w:color="auto" w:fill="D9D9D9"/>
            <w:noWrap/>
            <w:vAlign w:val="center"/>
          </w:tcPr>
          <w:p w14:paraId="5C940E66" w14:textId="675E660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.58**</w:t>
            </w:r>
          </w:p>
        </w:tc>
        <w:tc>
          <w:tcPr>
            <w:tcW w:w="960" w:type="dxa"/>
            <w:tcBorders>
              <w:top w:val="nil"/>
              <w:bottom w:val="nil"/>
            </w:tcBorders>
            <w:shd w:val="clear" w:color="auto" w:fill="D9D9D9"/>
            <w:noWrap/>
            <w:vAlign w:val="center"/>
          </w:tcPr>
          <w:p w14:paraId="36F9372C" w14:textId="2B7C2AE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.56**</w:t>
            </w:r>
          </w:p>
        </w:tc>
      </w:tr>
      <w:tr w:rsidR="00E6060C" w:rsidRPr="00E6060C" w14:paraId="1439091B" w14:textId="77777777" w:rsidTr="00E6060C">
        <w:trPr>
          <w:trHeight w:val="552"/>
        </w:trPr>
        <w:tc>
          <w:tcPr>
            <w:tcW w:w="665" w:type="dxa"/>
            <w:shd w:val="clear" w:color="auto" w:fill="auto"/>
            <w:noWrap/>
            <w:vAlign w:val="center"/>
          </w:tcPr>
          <w:p w14:paraId="020AC632"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8</w:t>
            </w:r>
          </w:p>
        </w:tc>
        <w:tc>
          <w:tcPr>
            <w:tcW w:w="2374" w:type="dxa"/>
            <w:shd w:val="clear" w:color="auto" w:fill="auto"/>
            <w:vAlign w:val="center"/>
          </w:tcPr>
          <w:p w14:paraId="72620B68"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1074" w:type="dxa"/>
            <w:shd w:val="clear" w:color="auto" w:fill="auto"/>
            <w:noWrap/>
            <w:vAlign w:val="center"/>
          </w:tcPr>
          <w:p w14:paraId="365C8B2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1074" w:type="dxa"/>
            <w:shd w:val="clear" w:color="auto" w:fill="auto"/>
            <w:noWrap/>
            <w:vAlign w:val="center"/>
          </w:tcPr>
          <w:p w14:paraId="1753E13E" w14:textId="5586A108" w:rsidR="00E6060C" w:rsidRPr="00397E67" w:rsidRDefault="00E6060C" w:rsidP="008E423B">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w:t>
            </w:r>
            <w:r w:rsidR="00057008">
              <w:rPr>
                <w:rFonts w:ascii="Calibri" w:eastAsia="Calibri" w:hAnsi="Calibri" w:cs="Times New Roman"/>
                <w:color w:val="000000"/>
              </w:rPr>
              <w:t>20</w:t>
            </w:r>
            <w:r w:rsidRPr="00E6060C">
              <w:rPr>
                <w:rFonts w:ascii="Calibri" w:eastAsia="Calibri" w:hAnsi="Calibri" w:cs="Times New Roman"/>
                <w:color w:val="000000"/>
              </w:rPr>
              <w:t>*</w:t>
            </w:r>
          </w:p>
        </w:tc>
        <w:tc>
          <w:tcPr>
            <w:tcW w:w="1074" w:type="dxa"/>
            <w:shd w:val="clear" w:color="auto" w:fill="auto"/>
            <w:noWrap/>
            <w:vAlign w:val="center"/>
          </w:tcPr>
          <w:p w14:paraId="07F4BB3A" w14:textId="28DC83D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w:t>
            </w:r>
          </w:p>
        </w:tc>
        <w:tc>
          <w:tcPr>
            <w:tcW w:w="960" w:type="dxa"/>
            <w:shd w:val="clear" w:color="auto" w:fill="auto"/>
            <w:noWrap/>
            <w:vAlign w:val="center"/>
          </w:tcPr>
          <w:p w14:paraId="52BF6048" w14:textId="2EBA204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8</w:t>
            </w:r>
            <w:r w:rsidRPr="00E6060C">
              <w:rPr>
                <w:rFonts w:ascii="Calibri" w:eastAsia="Calibri" w:hAnsi="Calibri" w:cs="Times New Roman"/>
                <w:color w:val="000000"/>
              </w:rPr>
              <w:t>**</w:t>
            </w:r>
          </w:p>
        </w:tc>
        <w:tc>
          <w:tcPr>
            <w:tcW w:w="960" w:type="dxa"/>
            <w:shd w:val="clear" w:color="auto" w:fill="auto"/>
            <w:noWrap/>
            <w:vAlign w:val="center"/>
          </w:tcPr>
          <w:p w14:paraId="12DD9D8D" w14:textId="3575097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w:t>
            </w:r>
          </w:p>
        </w:tc>
        <w:tc>
          <w:tcPr>
            <w:tcW w:w="960" w:type="dxa"/>
            <w:shd w:val="clear" w:color="auto" w:fill="auto"/>
            <w:noWrap/>
            <w:vAlign w:val="center"/>
          </w:tcPr>
          <w:p w14:paraId="5AF1D335" w14:textId="65F9644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w:t>
            </w:r>
          </w:p>
        </w:tc>
        <w:tc>
          <w:tcPr>
            <w:tcW w:w="960" w:type="dxa"/>
            <w:shd w:val="clear" w:color="auto" w:fill="auto"/>
            <w:noWrap/>
            <w:vAlign w:val="center"/>
          </w:tcPr>
          <w:p w14:paraId="0A407FCF" w14:textId="2B8A267B"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960" w:type="dxa"/>
            <w:tcBorders>
              <w:top w:val="nil"/>
            </w:tcBorders>
            <w:shd w:val="clear" w:color="auto" w:fill="auto"/>
            <w:noWrap/>
            <w:vAlign w:val="center"/>
          </w:tcPr>
          <w:p w14:paraId="6773DCB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62E78BB5" w14:textId="6DF3193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67E78B2C" w14:textId="221B5FB3"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w:t>
            </w:r>
            <w:r w:rsidR="00057008">
              <w:rPr>
                <w:rFonts w:ascii="Calibri" w:eastAsia="Calibri" w:hAnsi="Calibri" w:cs="Times New Roman"/>
                <w:color w:val="000000"/>
              </w:rPr>
              <w:t>9</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38D310D2" w14:textId="0F330E4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.52**</w:t>
            </w:r>
          </w:p>
        </w:tc>
      </w:tr>
      <w:tr w:rsidR="00E6060C" w:rsidRPr="00E6060C" w14:paraId="7FB9857A" w14:textId="77777777" w:rsidTr="00E6060C">
        <w:trPr>
          <w:trHeight w:val="552"/>
        </w:trPr>
        <w:tc>
          <w:tcPr>
            <w:tcW w:w="665" w:type="dxa"/>
            <w:shd w:val="clear" w:color="auto" w:fill="auto"/>
            <w:noWrap/>
            <w:vAlign w:val="center"/>
          </w:tcPr>
          <w:p w14:paraId="6B1F08D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9</w:t>
            </w:r>
          </w:p>
        </w:tc>
        <w:tc>
          <w:tcPr>
            <w:tcW w:w="2374" w:type="dxa"/>
            <w:shd w:val="clear" w:color="auto" w:fill="auto"/>
            <w:vAlign w:val="center"/>
          </w:tcPr>
          <w:p w14:paraId="20A38E4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1074" w:type="dxa"/>
            <w:shd w:val="clear" w:color="auto" w:fill="auto"/>
            <w:noWrap/>
            <w:vAlign w:val="center"/>
          </w:tcPr>
          <w:p w14:paraId="3D970A99" w14:textId="34B8634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1074" w:type="dxa"/>
            <w:shd w:val="clear" w:color="auto" w:fill="auto"/>
            <w:noWrap/>
            <w:vAlign w:val="center"/>
          </w:tcPr>
          <w:p w14:paraId="667E5543" w14:textId="20C4B92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w:t>
            </w:r>
          </w:p>
        </w:tc>
        <w:tc>
          <w:tcPr>
            <w:tcW w:w="1074" w:type="dxa"/>
            <w:shd w:val="clear" w:color="auto" w:fill="auto"/>
            <w:noWrap/>
            <w:vAlign w:val="center"/>
          </w:tcPr>
          <w:p w14:paraId="1799E8B3" w14:textId="36004019"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960" w:type="dxa"/>
            <w:shd w:val="clear" w:color="auto" w:fill="auto"/>
            <w:noWrap/>
            <w:vAlign w:val="center"/>
          </w:tcPr>
          <w:p w14:paraId="0680CA16" w14:textId="42A7CFA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.55**</w:t>
            </w:r>
          </w:p>
        </w:tc>
        <w:tc>
          <w:tcPr>
            <w:tcW w:w="960" w:type="dxa"/>
            <w:shd w:val="clear" w:color="auto" w:fill="auto"/>
            <w:noWrap/>
            <w:vAlign w:val="center"/>
          </w:tcPr>
          <w:p w14:paraId="15D5642B" w14:textId="3AD5377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4</w:t>
            </w:r>
            <w:r w:rsidRPr="00E6060C">
              <w:rPr>
                <w:rFonts w:ascii="Calibri" w:eastAsia="Calibri" w:hAnsi="Calibri" w:cs="Times New Roman"/>
                <w:color w:val="000000"/>
              </w:rPr>
              <w:t>**</w:t>
            </w:r>
          </w:p>
        </w:tc>
        <w:tc>
          <w:tcPr>
            <w:tcW w:w="960" w:type="dxa"/>
            <w:shd w:val="clear" w:color="auto" w:fill="auto"/>
            <w:noWrap/>
            <w:vAlign w:val="center"/>
          </w:tcPr>
          <w:p w14:paraId="3670859C" w14:textId="20BCCFB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w:t>
            </w:r>
          </w:p>
        </w:tc>
        <w:tc>
          <w:tcPr>
            <w:tcW w:w="960" w:type="dxa"/>
            <w:shd w:val="clear" w:color="auto" w:fill="auto"/>
            <w:noWrap/>
            <w:vAlign w:val="center"/>
          </w:tcPr>
          <w:p w14:paraId="15C29029" w14:textId="0679FF12"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w:t>
            </w:r>
            <w:r w:rsidR="00057008">
              <w:rPr>
                <w:rFonts w:ascii="Calibri" w:eastAsia="Calibri" w:hAnsi="Calibri" w:cs="Times New Roman"/>
                <w:color w:val="000000"/>
              </w:rPr>
              <w:t>1</w:t>
            </w:r>
            <w:r w:rsidRPr="00E6060C">
              <w:rPr>
                <w:rFonts w:ascii="Calibri" w:eastAsia="Calibri" w:hAnsi="Calibri" w:cs="Times New Roman"/>
                <w:color w:val="000000"/>
              </w:rPr>
              <w:t>**</w:t>
            </w:r>
          </w:p>
        </w:tc>
        <w:tc>
          <w:tcPr>
            <w:tcW w:w="960" w:type="dxa"/>
            <w:shd w:val="clear" w:color="auto" w:fill="auto"/>
            <w:noWrap/>
            <w:vAlign w:val="center"/>
          </w:tcPr>
          <w:p w14:paraId="64212A3E" w14:textId="113B099E"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960" w:type="dxa"/>
            <w:tcBorders>
              <w:top w:val="nil"/>
            </w:tcBorders>
            <w:shd w:val="clear" w:color="auto" w:fill="auto"/>
            <w:noWrap/>
            <w:vAlign w:val="center"/>
          </w:tcPr>
          <w:p w14:paraId="675E72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2D6CB9BB" w14:textId="20ECAF1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960" w:type="dxa"/>
            <w:tcBorders>
              <w:top w:val="nil"/>
              <w:bottom w:val="nil"/>
            </w:tcBorders>
            <w:shd w:val="clear" w:color="auto" w:fill="D9D9D9"/>
            <w:noWrap/>
            <w:vAlign w:val="center"/>
          </w:tcPr>
          <w:p w14:paraId="3F1E1286" w14:textId="3305E424"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057008">
              <w:rPr>
                <w:rFonts w:ascii="Calibri" w:eastAsia="Calibri" w:hAnsi="Calibri" w:cs="Times New Roman"/>
                <w:color w:val="000000"/>
              </w:rPr>
              <w:t>7</w:t>
            </w:r>
            <w:r w:rsidRPr="00E6060C">
              <w:rPr>
                <w:rFonts w:ascii="Calibri" w:eastAsia="Calibri" w:hAnsi="Calibri" w:cs="Times New Roman"/>
                <w:color w:val="000000"/>
              </w:rPr>
              <w:t>**</w:t>
            </w:r>
          </w:p>
        </w:tc>
      </w:tr>
      <w:tr w:rsidR="00E6060C" w:rsidRPr="00E6060C" w14:paraId="2FE28B52" w14:textId="77777777" w:rsidTr="00E6060C">
        <w:trPr>
          <w:trHeight w:val="552"/>
        </w:trPr>
        <w:tc>
          <w:tcPr>
            <w:tcW w:w="665" w:type="dxa"/>
            <w:shd w:val="clear" w:color="auto" w:fill="auto"/>
            <w:noWrap/>
            <w:vAlign w:val="center"/>
          </w:tcPr>
          <w:p w14:paraId="0B42A19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10</w:t>
            </w:r>
          </w:p>
        </w:tc>
        <w:tc>
          <w:tcPr>
            <w:tcW w:w="2374" w:type="dxa"/>
            <w:shd w:val="clear" w:color="auto" w:fill="auto"/>
            <w:vAlign w:val="center"/>
          </w:tcPr>
          <w:p w14:paraId="163EED7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1074" w:type="dxa"/>
            <w:shd w:val="clear" w:color="auto" w:fill="auto"/>
            <w:noWrap/>
            <w:vAlign w:val="center"/>
          </w:tcPr>
          <w:p w14:paraId="0728912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w:t>
            </w:r>
          </w:p>
        </w:tc>
        <w:tc>
          <w:tcPr>
            <w:tcW w:w="1074" w:type="dxa"/>
            <w:shd w:val="clear" w:color="auto" w:fill="auto"/>
            <w:noWrap/>
            <w:vAlign w:val="center"/>
          </w:tcPr>
          <w:p w14:paraId="3A552B02" w14:textId="040E0A4E"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7</w:t>
            </w:r>
            <w:r w:rsidRPr="00E6060C">
              <w:rPr>
                <w:rFonts w:ascii="Calibri" w:eastAsia="Calibri" w:hAnsi="Calibri" w:cs="Times New Roman"/>
                <w:color w:val="000000"/>
              </w:rPr>
              <w:t>**</w:t>
            </w:r>
          </w:p>
        </w:tc>
        <w:tc>
          <w:tcPr>
            <w:tcW w:w="1074" w:type="dxa"/>
            <w:shd w:val="clear" w:color="auto" w:fill="auto"/>
            <w:noWrap/>
            <w:vAlign w:val="center"/>
          </w:tcPr>
          <w:p w14:paraId="705FBB26" w14:textId="29AE01EB"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.36**</w:t>
            </w:r>
          </w:p>
        </w:tc>
        <w:tc>
          <w:tcPr>
            <w:tcW w:w="960" w:type="dxa"/>
            <w:shd w:val="clear" w:color="auto" w:fill="auto"/>
            <w:noWrap/>
            <w:vAlign w:val="center"/>
          </w:tcPr>
          <w:p w14:paraId="239B8F53" w14:textId="138C54F6"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960" w:type="dxa"/>
            <w:shd w:val="clear" w:color="auto" w:fill="auto"/>
            <w:noWrap/>
            <w:vAlign w:val="center"/>
          </w:tcPr>
          <w:p w14:paraId="21D639FF" w14:textId="09A42AE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.34**</w:t>
            </w:r>
          </w:p>
        </w:tc>
        <w:tc>
          <w:tcPr>
            <w:tcW w:w="960" w:type="dxa"/>
            <w:shd w:val="clear" w:color="auto" w:fill="auto"/>
            <w:noWrap/>
            <w:vAlign w:val="center"/>
          </w:tcPr>
          <w:p w14:paraId="327BB31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60" w:type="dxa"/>
            <w:shd w:val="clear" w:color="auto" w:fill="auto"/>
            <w:noWrap/>
            <w:vAlign w:val="center"/>
          </w:tcPr>
          <w:p w14:paraId="4E936AAD" w14:textId="7A0D8E1E"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9</w:t>
            </w:r>
            <w:r w:rsidRPr="00E6060C">
              <w:rPr>
                <w:rFonts w:ascii="Calibri" w:eastAsia="Calibri" w:hAnsi="Calibri" w:cs="Times New Roman"/>
                <w:color w:val="000000"/>
              </w:rPr>
              <w:t>**</w:t>
            </w:r>
          </w:p>
        </w:tc>
        <w:tc>
          <w:tcPr>
            <w:tcW w:w="960" w:type="dxa"/>
            <w:shd w:val="clear" w:color="auto" w:fill="auto"/>
            <w:noWrap/>
            <w:vAlign w:val="center"/>
          </w:tcPr>
          <w:p w14:paraId="08705474" w14:textId="7511FE5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.64**</w:t>
            </w:r>
          </w:p>
        </w:tc>
        <w:tc>
          <w:tcPr>
            <w:tcW w:w="960" w:type="dxa"/>
            <w:shd w:val="clear" w:color="auto" w:fill="auto"/>
            <w:noWrap/>
            <w:vAlign w:val="center"/>
          </w:tcPr>
          <w:p w14:paraId="5864A54E" w14:textId="4E567F82"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057008">
              <w:rPr>
                <w:rFonts w:ascii="Calibri" w:eastAsia="Calibri" w:hAnsi="Calibri" w:cs="Times New Roman"/>
                <w:color w:val="000000"/>
              </w:rPr>
              <w:t>30</w:t>
            </w:r>
            <w:r w:rsidRPr="00E6060C">
              <w:rPr>
                <w:rFonts w:ascii="Calibri" w:eastAsia="Calibri" w:hAnsi="Calibri" w:cs="Times New Roman"/>
                <w:color w:val="000000"/>
              </w:rPr>
              <w:t>**</w:t>
            </w:r>
          </w:p>
        </w:tc>
        <w:tc>
          <w:tcPr>
            <w:tcW w:w="960" w:type="dxa"/>
            <w:tcBorders>
              <w:top w:val="nil"/>
            </w:tcBorders>
            <w:shd w:val="clear" w:color="auto" w:fill="auto"/>
            <w:noWrap/>
            <w:vAlign w:val="center"/>
          </w:tcPr>
          <w:p w14:paraId="28267F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960" w:type="dxa"/>
            <w:tcBorders>
              <w:top w:val="nil"/>
              <w:bottom w:val="nil"/>
            </w:tcBorders>
            <w:shd w:val="clear" w:color="auto" w:fill="D9D9D9"/>
            <w:noWrap/>
            <w:vAlign w:val="center"/>
          </w:tcPr>
          <w:p w14:paraId="680556DF" w14:textId="6766717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r>
      <w:tr w:rsidR="00E6060C" w:rsidRPr="00E6060C" w14:paraId="066A938D" w14:textId="77777777" w:rsidTr="00E6060C">
        <w:trPr>
          <w:trHeight w:val="552"/>
        </w:trPr>
        <w:tc>
          <w:tcPr>
            <w:tcW w:w="665" w:type="dxa"/>
            <w:shd w:val="clear" w:color="auto" w:fill="auto"/>
            <w:noWrap/>
            <w:vAlign w:val="center"/>
          </w:tcPr>
          <w:p w14:paraId="2107884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11</w:t>
            </w:r>
          </w:p>
        </w:tc>
        <w:tc>
          <w:tcPr>
            <w:tcW w:w="2374" w:type="dxa"/>
            <w:shd w:val="clear" w:color="auto" w:fill="auto"/>
            <w:vAlign w:val="center"/>
          </w:tcPr>
          <w:p w14:paraId="3902F9A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1074" w:type="dxa"/>
            <w:shd w:val="clear" w:color="auto" w:fill="auto"/>
            <w:noWrap/>
            <w:vAlign w:val="center"/>
          </w:tcPr>
          <w:p w14:paraId="423180C5" w14:textId="601C013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057008">
              <w:rPr>
                <w:rFonts w:ascii="Calibri" w:eastAsia="Calibri" w:hAnsi="Calibri" w:cs="Times New Roman"/>
                <w:color w:val="000000"/>
              </w:rPr>
              <w:t>6</w:t>
            </w:r>
            <w:r w:rsidRPr="00E6060C">
              <w:rPr>
                <w:rFonts w:ascii="Calibri" w:eastAsia="Calibri" w:hAnsi="Calibri" w:cs="Times New Roman"/>
                <w:color w:val="000000"/>
              </w:rPr>
              <w:t>*</w:t>
            </w:r>
          </w:p>
        </w:tc>
        <w:tc>
          <w:tcPr>
            <w:tcW w:w="1074" w:type="dxa"/>
            <w:shd w:val="clear" w:color="auto" w:fill="auto"/>
            <w:noWrap/>
            <w:vAlign w:val="center"/>
          </w:tcPr>
          <w:p w14:paraId="0025E960" w14:textId="2D67F8D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1074" w:type="dxa"/>
            <w:shd w:val="clear" w:color="auto" w:fill="auto"/>
            <w:noWrap/>
            <w:vAlign w:val="center"/>
          </w:tcPr>
          <w:p w14:paraId="4976B941" w14:textId="08C24A1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.34**</w:t>
            </w:r>
          </w:p>
        </w:tc>
        <w:tc>
          <w:tcPr>
            <w:tcW w:w="960" w:type="dxa"/>
            <w:shd w:val="clear" w:color="auto" w:fill="auto"/>
            <w:noWrap/>
            <w:vAlign w:val="center"/>
          </w:tcPr>
          <w:p w14:paraId="6AADC0FD" w14:textId="20A1231B"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057008">
              <w:rPr>
                <w:rFonts w:ascii="Calibri" w:eastAsia="Calibri" w:hAnsi="Calibri" w:cs="Times New Roman"/>
                <w:color w:val="000000"/>
              </w:rPr>
              <w:t>2</w:t>
            </w:r>
            <w:r w:rsidRPr="00E6060C">
              <w:rPr>
                <w:rFonts w:ascii="Calibri" w:eastAsia="Calibri" w:hAnsi="Calibri" w:cs="Times New Roman"/>
                <w:color w:val="000000"/>
              </w:rPr>
              <w:t>**</w:t>
            </w:r>
          </w:p>
        </w:tc>
        <w:tc>
          <w:tcPr>
            <w:tcW w:w="960" w:type="dxa"/>
            <w:shd w:val="clear" w:color="auto" w:fill="auto"/>
            <w:noWrap/>
            <w:vAlign w:val="center"/>
          </w:tcPr>
          <w:p w14:paraId="26D191FD" w14:textId="60CC98F9"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960" w:type="dxa"/>
            <w:shd w:val="clear" w:color="auto" w:fill="auto"/>
            <w:noWrap/>
            <w:vAlign w:val="center"/>
          </w:tcPr>
          <w:p w14:paraId="50DA55D9" w14:textId="2415845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c>
          <w:tcPr>
            <w:tcW w:w="960" w:type="dxa"/>
            <w:shd w:val="clear" w:color="auto" w:fill="auto"/>
            <w:noWrap/>
            <w:vAlign w:val="center"/>
          </w:tcPr>
          <w:p w14:paraId="631C55D9" w14:textId="6881D49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5</w:t>
            </w:r>
            <w:r w:rsidRPr="00E6060C">
              <w:rPr>
                <w:rFonts w:ascii="Calibri" w:eastAsia="Calibri" w:hAnsi="Calibri" w:cs="Times New Roman"/>
                <w:color w:val="000000"/>
              </w:rPr>
              <w:t>**</w:t>
            </w:r>
          </w:p>
        </w:tc>
        <w:tc>
          <w:tcPr>
            <w:tcW w:w="960" w:type="dxa"/>
            <w:shd w:val="clear" w:color="auto" w:fill="auto"/>
            <w:noWrap/>
            <w:vAlign w:val="center"/>
          </w:tcPr>
          <w:p w14:paraId="511654E0" w14:textId="57C4A0E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057008">
              <w:rPr>
                <w:rFonts w:ascii="Calibri" w:eastAsia="Calibri" w:hAnsi="Calibri" w:cs="Times New Roman"/>
                <w:color w:val="000000"/>
              </w:rPr>
              <w:t>7</w:t>
            </w:r>
            <w:r w:rsidRPr="00E6060C">
              <w:rPr>
                <w:rFonts w:ascii="Calibri" w:eastAsia="Calibri" w:hAnsi="Calibri" w:cs="Times New Roman"/>
                <w:color w:val="000000"/>
              </w:rPr>
              <w:t>**</w:t>
            </w:r>
          </w:p>
        </w:tc>
        <w:tc>
          <w:tcPr>
            <w:tcW w:w="960" w:type="dxa"/>
            <w:shd w:val="clear" w:color="auto" w:fill="auto"/>
            <w:noWrap/>
            <w:vAlign w:val="center"/>
          </w:tcPr>
          <w:p w14:paraId="60C2F68E" w14:textId="2D5DC32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w:t>
            </w:r>
          </w:p>
        </w:tc>
        <w:tc>
          <w:tcPr>
            <w:tcW w:w="960" w:type="dxa"/>
            <w:shd w:val="clear" w:color="auto" w:fill="auto"/>
            <w:noWrap/>
            <w:vAlign w:val="center"/>
          </w:tcPr>
          <w:p w14:paraId="327995FB" w14:textId="01141446"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057008">
              <w:rPr>
                <w:rFonts w:ascii="Calibri" w:eastAsia="Calibri" w:hAnsi="Calibri" w:cs="Times New Roman"/>
                <w:color w:val="000000"/>
              </w:rPr>
              <w:t>3</w:t>
            </w:r>
            <w:r w:rsidRPr="00E6060C">
              <w:rPr>
                <w:rFonts w:ascii="Calibri" w:eastAsia="Calibri" w:hAnsi="Calibri" w:cs="Times New Roman"/>
                <w:color w:val="000000"/>
              </w:rPr>
              <w:t>**</w:t>
            </w:r>
          </w:p>
        </w:tc>
        <w:tc>
          <w:tcPr>
            <w:tcW w:w="960" w:type="dxa"/>
            <w:tcBorders>
              <w:top w:val="nil"/>
            </w:tcBorders>
            <w:shd w:val="clear" w:color="auto" w:fill="auto"/>
            <w:noWrap/>
            <w:vAlign w:val="center"/>
          </w:tcPr>
          <w:p w14:paraId="7D7B835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r>
    </w:tbl>
    <w:p w14:paraId="41AB2DE9"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i/>
        </w:rPr>
        <w:t>Note:</w:t>
      </w:r>
      <w:r w:rsidRPr="00E6060C">
        <w:rPr>
          <w:rFonts w:ascii="Calibri" w:eastAsia="Calibri" w:hAnsi="Calibri" w:cs="Times New Roman"/>
        </w:rPr>
        <w:t xml:space="preserve"> Time 1 correlations are below the diagonal and Time 2 correlations are above the diagonal</w:t>
      </w:r>
    </w:p>
    <w:p w14:paraId="5F0D2B7E" w14:textId="77777777" w:rsidR="00E6060C" w:rsidRPr="00E6060C" w:rsidRDefault="00E6060C" w:rsidP="00E6060C">
      <w:pPr>
        <w:spacing w:after="200" w:line="240" w:lineRule="auto"/>
        <w:contextualSpacing/>
        <w:rPr>
          <w:rFonts w:ascii="Calibri" w:eastAsia="Calibri" w:hAnsi="Calibri" w:cs="Times New Roman"/>
          <w:color w:val="000000"/>
        </w:rPr>
      </w:pPr>
      <w:r w:rsidRPr="00E6060C">
        <w:rPr>
          <w:rFonts w:ascii="Calibri" w:eastAsia="Calibri" w:hAnsi="Calibri" w:cs="Times New Roman"/>
          <w:color w:val="000000"/>
        </w:rPr>
        <w:t>**Correlation is significant at the .01 level (2-tailed)</w:t>
      </w:r>
    </w:p>
    <w:p w14:paraId="174A778A" w14:textId="77777777" w:rsidR="00E6060C" w:rsidRPr="00E6060C" w:rsidRDefault="00E6060C" w:rsidP="00E6060C">
      <w:pPr>
        <w:spacing w:after="200" w:line="240" w:lineRule="auto"/>
        <w:contextualSpacing/>
        <w:rPr>
          <w:rFonts w:ascii="Calibri" w:eastAsia="Calibri" w:hAnsi="Calibri" w:cs="Times New Roman"/>
          <w:color w:val="000000"/>
        </w:rPr>
        <w:sectPr w:rsidR="00E6060C" w:rsidRPr="00E6060C"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color w:val="000000"/>
        </w:rPr>
        <w:t xml:space="preserve">*Correlation is significant at the .05 level (2-tailed)  </w:t>
      </w:r>
    </w:p>
    <w:p w14:paraId="1ED898CA" w14:textId="1734E79C" w:rsidR="00E6060C" w:rsidRPr="00E6060C" w:rsidRDefault="00E6060C" w:rsidP="00B7614E">
      <w:pPr>
        <w:pStyle w:val="Thesisheading2"/>
      </w:pPr>
      <w:bookmarkStart w:id="411" w:name="_Ref453581140"/>
      <w:bookmarkStart w:id="412" w:name="_Ref453588862"/>
      <w:bookmarkStart w:id="413" w:name="_Toc468286012"/>
      <w:r w:rsidRPr="00E6060C">
        <w:lastRenderedPageBreak/>
        <w:t>Descriptive statistics of the demographic and research variables for the matched sample at Time 1 and 2</w:t>
      </w:r>
      <w:bookmarkEnd w:id="411"/>
      <w:bookmarkEnd w:id="412"/>
      <w:bookmarkEnd w:id="413"/>
    </w:p>
    <w:p w14:paraId="766A44F0" w14:textId="77777777" w:rsidR="00E6060C" w:rsidRPr="00901B62" w:rsidRDefault="00E6060C" w:rsidP="00E6060C">
      <w:pPr>
        <w:spacing w:after="200" w:line="276" w:lineRule="auto"/>
        <w:rPr>
          <w:rFonts w:ascii="Calibri" w:eastAsia="Calibri" w:hAnsi="Calibri" w:cs="Times New Roman"/>
        </w:rPr>
      </w:pPr>
    </w:p>
    <w:p w14:paraId="65E396EF" w14:textId="25D566B8" w:rsidR="00E6060C" w:rsidRPr="00E6060C" w:rsidRDefault="00E6060C" w:rsidP="0009618B">
      <w:pPr>
        <w:pStyle w:val="Heading3"/>
      </w:pPr>
      <w:bookmarkStart w:id="414" w:name="_Ref453581628"/>
      <w:bookmarkStart w:id="415" w:name="_Ref453589365"/>
      <w:bookmarkStart w:id="416" w:name="_Ref453590869"/>
      <w:bookmarkStart w:id="417" w:name="_Toc468286013"/>
      <w:r w:rsidRPr="00E6060C">
        <w:t>Descriptive statistics of the demographic variables for the matched sample</w:t>
      </w:r>
      <w:bookmarkEnd w:id="414"/>
      <w:bookmarkEnd w:id="415"/>
      <w:bookmarkEnd w:id="416"/>
      <w:bookmarkEnd w:id="417"/>
      <w:r w:rsidRPr="00E6060C">
        <w:t xml:space="preserve"> </w:t>
      </w:r>
    </w:p>
    <w:p w14:paraId="67223074" w14:textId="77777777" w:rsidR="00E6060C" w:rsidRPr="00E6060C" w:rsidRDefault="00E6060C" w:rsidP="00E6060C">
      <w:pPr>
        <w:spacing w:after="200" w:line="276" w:lineRule="auto"/>
        <w:rPr>
          <w:rFonts w:ascii="Calibri" w:eastAsia="Calibri" w:hAnsi="Calibri" w:cs="Times New Roman"/>
        </w:rPr>
      </w:pPr>
    </w:p>
    <w:p w14:paraId="25A9C5FB" w14:textId="7387762C"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Descriptive statistics revealed that 45 people responded to the questionnaire at both time points (</w:t>
      </w:r>
      <w:r w:rsidR="00713793">
        <w:rPr>
          <w:rFonts w:ascii="Calibri" w:eastAsia="Calibri" w:hAnsi="Calibri" w:cs="Times New Roman"/>
        </w:rPr>
        <w:fldChar w:fldCharType="begin"/>
      </w:r>
      <w:r w:rsidR="00713793">
        <w:rPr>
          <w:rFonts w:ascii="Calibri" w:eastAsia="Calibri" w:hAnsi="Calibri" w:cs="Times New Roman"/>
        </w:rPr>
        <w:instrText xml:space="preserve"> REF _Ref453580968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8</w:t>
      </w:r>
      <w:r w:rsidR="00713793">
        <w:rPr>
          <w:rFonts w:ascii="Calibri" w:eastAsia="Calibri" w:hAnsi="Calibri" w:cs="Times New Roman"/>
        </w:rPr>
        <w:fldChar w:fldCharType="end"/>
      </w:r>
      <w:r w:rsidRPr="00E6060C">
        <w:rPr>
          <w:rFonts w:ascii="Calibri" w:eastAsia="Calibri" w:hAnsi="Calibri" w:cs="Times New Roman"/>
        </w:rPr>
        <w:t>) and that 89.9% of the sample were female. The mean age of this sample, including both males and females, was 39.2 years (</w:t>
      </w:r>
      <w:r w:rsidRPr="00E6060C">
        <w:rPr>
          <w:rFonts w:ascii="Calibri" w:eastAsia="Calibri" w:hAnsi="Calibri" w:cs="Times New Roman"/>
          <w:i/>
        </w:rPr>
        <w:t>SD=</w:t>
      </w:r>
      <w:r w:rsidRPr="00E6060C">
        <w:rPr>
          <w:rFonts w:ascii="Calibri" w:eastAsia="Calibri" w:hAnsi="Calibri" w:cs="Times New Roman"/>
        </w:rPr>
        <w:t>10.74). 50% of the sample were aged between 30 years and 47.75 years. On average, the respondents worked full time (</w:t>
      </w:r>
      <w:r w:rsidR="00966BCB">
        <w:rPr>
          <w:rFonts w:ascii="Calibri" w:eastAsia="Calibri" w:hAnsi="Calibri" w:cs="Times New Roman"/>
        </w:rPr>
        <w:t>Mean</w:t>
      </w:r>
      <w:r w:rsidRPr="00E6060C">
        <w:rPr>
          <w:rFonts w:ascii="Calibri" w:eastAsia="Calibri" w:hAnsi="Calibri" w:cs="Times New Roman"/>
        </w:rPr>
        <w:t xml:space="preserve">=.60, </w:t>
      </w:r>
      <w:r w:rsidRPr="00E6060C">
        <w:rPr>
          <w:rFonts w:ascii="Calibri" w:eastAsia="Calibri" w:hAnsi="Calibri" w:cs="Times New Roman"/>
          <w:i/>
        </w:rPr>
        <w:t>SD</w:t>
      </w:r>
      <w:r w:rsidRPr="00E6060C">
        <w:rPr>
          <w:rFonts w:ascii="Calibri" w:eastAsia="Calibri" w:hAnsi="Calibri" w:cs="Times New Roman"/>
        </w:rPr>
        <w:t>=.50), had been working on their respective wards for 3.1 years (</w:t>
      </w:r>
      <w:r w:rsidRPr="00E6060C">
        <w:rPr>
          <w:rFonts w:ascii="Calibri" w:eastAsia="Calibri" w:hAnsi="Calibri" w:cs="Times New Roman"/>
          <w:i/>
        </w:rPr>
        <w:t>SD</w:t>
      </w:r>
      <w:r w:rsidRPr="00E6060C">
        <w:rPr>
          <w:rFonts w:ascii="Calibri" w:eastAsia="Calibri" w:hAnsi="Calibri" w:cs="Times New Roman"/>
        </w:rPr>
        <w:t>=3.24), and within the hospital for over 5 years (</w:t>
      </w:r>
      <w:r w:rsidR="00966BCB">
        <w:rPr>
          <w:rFonts w:ascii="Calibri" w:eastAsia="Calibri" w:hAnsi="Calibri" w:cs="Times New Roman"/>
        </w:rPr>
        <w:t>Mean</w:t>
      </w:r>
      <w:r w:rsidRPr="00E6060C">
        <w:rPr>
          <w:rFonts w:ascii="Calibri" w:eastAsia="Calibri" w:hAnsi="Calibri" w:cs="Times New Roman"/>
        </w:rPr>
        <w:t xml:space="preserve">=5.40, </w:t>
      </w:r>
      <w:r w:rsidRPr="00E6060C">
        <w:rPr>
          <w:rFonts w:ascii="Calibri" w:eastAsia="Calibri" w:hAnsi="Calibri" w:cs="Times New Roman"/>
          <w:i/>
        </w:rPr>
        <w:t>SD</w:t>
      </w:r>
      <w:r w:rsidRPr="00E6060C">
        <w:rPr>
          <w:rFonts w:ascii="Calibri" w:eastAsia="Calibri" w:hAnsi="Calibri" w:cs="Times New Roman"/>
        </w:rPr>
        <w:t>=5.78). They were either qualified nurses or healthcare assistants (</w:t>
      </w:r>
      <w:r w:rsidR="00966BCB">
        <w:rPr>
          <w:rFonts w:ascii="Calibri" w:eastAsia="Calibri" w:hAnsi="Calibri" w:cs="Times New Roman"/>
        </w:rPr>
        <w:t>Mean</w:t>
      </w:r>
      <w:r w:rsidRPr="00E6060C">
        <w:rPr>
          <w:rFonts w:ascii="Calibri" w:eastAsia="Calibri" w:hAnsi="Calibri" w:cs="Times New Roman"/>
        </w:rPr>
        <w:t xml:space="preserve">=2.57, </w:t>
      </w:r>
      <w:r w:rsidRPr="00E6060C">
        <w:rPr>
          <w:rFonts w:ascii="Calibri" w:eastAsia="Calibri" w:hAnsi="Calibri" w:cs="Times New Roman"/>
          <w:i/>
        </w:rPr>
        <w:t>SD=</w:t>
      </w:r>
      <w:r w:rsidRPr="00E6060C">
        <w:rPr>
          <w:rFonts w:ascii="Calibri" w:eastAsia="Calibri" w:hAnsi="Calibri" w:cs="Times New Roman"/>
        </w:rPr>
        <w:t>.82)</w:t>
      </w:r>
      <w:r w:rsidR="00966BCB">
        <w:rPr>
          <w:rFonts w:ascii="Calibri" w:eastAsia="Calibri" w:hAnsi="Calibri" w:cs="Times New Roman"/>
        </w:rPr>
        <w:t>,</w:t>
      </w:r>
      <w:r w:rsidRPr="00E6060C">
        <w:rPr>
          <w:rFonts w:ascii="Calibri" w:eastAsia="Calibri" w:hAnsi="Calibri" w:cs="Times New Roman"/>
        </w:rPr>
        <w:t xml:space="preserve"> with a corresponding average hierarchical level of 3.59, which suggests that the average respondent was either a ‘band’ 3 or 4 out of 8, according to the NHS band system. This level approximates the level of a healthcare assistant or entry level nurs</w:t>
      </w:r>
      <w:r w:rsidR="00966BCB">
        <w:rPr>
          <w:rFonts w:ascii="Calibri" w:eastAsia="Calibri" w:hAnsi="Calibri" w:cs="Times New Roman"/>
        </w:rPr>
        <w:t>e. Accordingly, the respondents</w:t>
      </w:r>
      <w:r w:rsidRPr="00E6060C">
        <w:rPr>
          <w:rFonts w:ascii="Calibri" w:eastAsia="Calibri" w:hAnsi="Calibri" w:cs="Times New Roman"/>
        </w:rPr>
        <w:t xml:space="preserve"> were educated</w:t>
      </w:r>
      <w:r w:rsidR="00966BCB">
        <w:rPr>
          <w:rFonts w:ascii="Calibri" w:eastAsia="Calibri" w:hAnsi="Calibri" w:cs="Times New Roman"/>
        </w:rPr>
        <w:t xml:space="preserve">, on average, </w:t>
      </w:r>
      <w:r w:rsidRPr="00E6060C">
        <w:rPr>
          <w:rFonts w:ascii="Calibri" w:eastAsia="Calibri" w:hAnsi="Calibri" w:cs="Times New Roman"/>
        </w:rPr>
        <w:t>to diploma level (</w:t>
      </w:r>
      <w:r w:rsidR="00966BCB">
        <w:rPr>
          <w:rFonts w:ascii="Calibri" w:eastAsia="Calibri" w:hAnsi="Calibri" w:cs="Times New Roman"/>
        </w:rPr>
        <w:t>Mean</w:t>
      </w:r>
      <w:r w:rsidR="00966BCB" w:rsidRPr="00E6060C">
        <w:rPr>
          <w:rFonts w:ascii="Calibri" w:eastAsia="Calibri" w:hAnsi="Calibri" w:cs="Times New Roman"/>
        </w:rPr>
        <w:t xml:space="preserve"> </w:t>
      </w:r>
      <w:r w:rsidRPr="00E6060C">
        <w:rPr>
          <w:rFonts w:ascii="Calibri" w:eastAsia="Calibri" w:hAnsi="Calibri" w:cs="Times New Roman"/>
        </w:rPr>
        <w:t>=4.08,</w:t>
      </w:r>
      <w:r w:rsidRPr="00E6060C">
        <w:rPr>
          <w:rFonts w:ascii="Calibri" w:eastAsia="Calibri" w:hAnsi="Calibri" w:cs="Times New Roman"/>
          <w:i/>
        </w:rPr>
        <w:t xml:space="preserve"> SD</w:t>
      </w:r>
      <w:r w:rsidRPr="00E6060C">
        <w:rPr>
          <w:rFonts w:ascii="Calibri" w:eastAsia="Calibri" w:hAnsi="Calibri" w:cs="Times New Roman"/>
        </w:rPr>
        <w:t>=1.34). The most substantial skewness and kurtosis was observed for ‘gender’ (</w:t>
      </w:r>
      <w:r w:rsidRPr="00E6060C">
        <w:rPr>
          <w:rFonts w:ascii="Calibri" w:eastAsia="Calibri" w:hAnsi="Calibri" w:cs="Times New Roman"/>
          <w:i/>
        </w:rPr>
        <w:t>skewness</w:t>
      </w:r>
      <w:r w:rsidRPr="00E6060C">
        <w:rPr>
          <w:rFonts w:ascii="Calibri" w:eastAsia="Calibri" w:hAnsi="Calibri" w:cs="Times New Roman"/>
        </w:rPr>
        <w:t xml:space="preserve">=2.99, </w:t>
      </w:r>
      <w:r w:rsidRPr="00E6060C">
        <w:rPr>
          <w:rFonts w:ascii="Calibri" w:eastAsia="Calibri" w:hAnsi="Calibri" w:cs="Times New Roman"/>
          <w:i/>
        </w:rPr>
        <w:t>kurtosis</w:t>
      </w:r>
      <w:r w:rsidRPr="00E6060C">
        <w:rPr>
          <w:rFonts w:ascii="Calibri" w:eastAsia="Calibri" w:hAnsi="Calibri" w:cs="Times New Roman"/>
        </w:rPr>
        <w:t>=7.26), however, given the dichotomous nature of the response options for ‘gender’, it does not make sense to interpret these results in terms of the normal distribution. Nevertheless, the potential bias in the results that a majority female sample may cause should be taken account when interpreting the results. The only other variable which demonstrated substantial deviation from the normal distribution was hospital tenure (</w:t>
      </w:r>
      <w:r w:rsidRPr="00E6060C">
        <w:rPr>
          <w:rFonts w:ascii="Calibri" w:eastAsia="Calibri" w:hAnsi="Calibri" w:cs="Times New Roman"/>
          <w:i/>
        </w:rPr>
        <w:t>kurtosis</w:t>
      </w:r>
      <w:r w:rsidRPr="00E6060C">
        <w:rPr>
          <w:rFonts w:ascii="Calibri" w:eastAsia="Calibri" w:hAnsi="Calibri" w:cs="Times New Roman"/>
        </w:rPr>
        <w:t xml:space="preserve">=2.40).        </w:t>
      </w:r>
    </w:p>
    <w:p w14:paraId="7D1D00FA" w14:textId="77777777" w:rsidR="00E6060C" w:rsidRPr="00E6060C" w:rsidRDefault="00E6060C" w:rsidP="00E6060C">
      <w:pPr>
        <w:spacing w:after="200" w:line="360" w:lineRule="auto"/>
        <w:contextualSpacing/>
        <w:rPr>
          <w:rFonts w:ascii="Calibri" w:eastAsia="Calibri" w:hAnsi="Calibri" w:cs="Times New Roman"/>
        </w:rPr>
      </w:pPr>
    </w:p>
    <w:p w14:paraId="19440E5A" w14:textId="552213E8" w:rsidR="00130722" w:rsidRDefault="00713793" w:rsidP="00E6060C">
      <w:pPr>
        <w:spacing w:after="200" w:line="360" w:lineRule="auto"/>
        <w:contextualSpacing/>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_Ref453580997 \h </w:instrText>
      </w:r>
      <w:r>
        <w:rPr>
          <w:rFonts w:ascii="Calibri" w:eastAsia="Calibri" w:hAnsi="Calibri" w:cs="Times New Roman"/>
        </w:rPr>
      </w:r>
      <w:r>
        <w:rPr>
          <w:rFonts w:ascii="Calibri" w:eastAsia="Calibri" w:hAnsi="Calibri" w:cs="Times New Roman"/>
        </w:rPr>
        <w:fldChar w:fldCharType="separate"/>
      </w:r>
      <w:r w:rsidR="00152F6D">
        <w:t xml:space="preserve">Table </w:t>
      </w:r>
      <w:r w:rsidR="00152F6D">
        <w:rPr>
          <w:noProof/>
        </w:rPr>
        <w:t>8</w:t>
      </w:r>
      <w:r w:rsidR="00152F6D">
        <w:t>.</w:t>
      </w:r>
      <w:r w:rsidR="00152F6D">
        <w:rPr>
          <w:noProof/>
        </w:rPr>
        <w:t>9</w:t>
      </w:r>
      <w:r>
        <w:rPr>
          <w:rFonts w:ascii="Calibri" w:eastAsia="Calibri" w:hAnsi="Calibri" w:cs="Times New Roman"/>
        </w:rPr>
        <w:fldChar w:fldCharType="end"/>
      </w:r>
      <w:r>
        <w:rPr>
          <w:rFonts w:ascii="Calibri" w:eastAsia="Calibri" w:hAnsi="Calibri" w:cs="Times New Roman"/>
        </w:rPr>
        <w:t xml:space="preserve"> </w:t>
      </w:r>
      <w:r w:rsidR="00E6060C" w:rsidRPr="00E6060C">
        <w:rPr>
          <w:rFonts w:ascii="Calibri" w:eastAsia="Calibri" w:hAnsi="Calibri" w:cs="Times New Roman"/>
        </w:rPr>
        <w:t>and</w:t>
      </w:r>
      <w:r w:rsidR="00966BCB">
        <w:rPr>
          <w:rFonts w:ascii="Calibri" w:eastAsia="Calibri" w:hAnsi="Calibri" w:cs="Times New Roman"/>
        </w:rPr>
        <w:t xml:space="preserve"> </w:t>
      </w:r>
      <w:r>
        <w:rPr>
          <w:rFonts w:ascii="Calibri" w:eastAsia="Calibri" w:hAnsi="Calibri" w:cs="Times New Roman"/>
        </w:rPr>
        <w:fldChar w:fldCharType="begin"/>
      </w:r>
      <w:r>
        <w:rPr>
          <w:rFonts w:ascii="Calibri" w:eastAsia="Calibri" w:hAnsi="Calibri" w:cs="Times New Roman"/>
        </w:rPr>
        <w:instrText xml:space="preserve"> REF _Ref453581067 \h </w:instrText>
      </w:r>
      <w:r>
        <w:rPr>
          <w:rFonts w:ascii="Calibri" w:eastAsia="Calibri" w:hAnsi="Calibri" w:cs="Times New Roman"/>
        </w:rPr>
      </w:r>
      <w:r>
        <w:rPr>
          <w:rFonts w:ascii="Calibri" w:eastAsia="Calibri" w:hAnsi="Calibri" w:cs="Times New Roman"/>
        </w:rPr>
        <w:fldChar w:fldCharType="separate"/>
      </w:r>
      <w:r w:rsidR="00152F6D">
        <w:t xml:space="preserve">Table </w:t>
      </w:r>
      <w:r w:rsidR="00152F6D">
        <w:rPr>
          <w:noProof/>
        </w:rPr>
        <w:t>8</w:t>
      </w:r>
      <w:r w:rsidR="00152F6D">
        <w:t>.</w:t>
      </w:r>
      <w:r w:rsidR="00152F6D">
        <w:rPr>
          <w:noProof/>
        </w:rPr>
        <w:t>10</w:t>
      </w:r>
      <w:r>
        <w:rPr>
          <w:rFonts w:ascii="Calibri" w:eastAsia="Calibri" w:hAnsi="Calibri" w:cs="Times New Roman"/>
        </w:rPr>
        <w:fldChar w:fldCharType="end"/>
      </w:r>
      <w:r w:rsidR="00E6060C" w:rsidRPr="00E6060C">
        <w:rPr>
          <w:rFonts w:ascii="Calibri" w:eastAsia="Calibri" w:hAnsi="Calibri" w:cs="Times New Roman"/>
        </w:rPr>
        <w:t xml:space="preserve"> display the descriptive statistics for the control and intervention groups respectively. Fourteen people from the control wards responded to the questionnaire at both time points, all of which were female, whereas 31 people responded from the intervention wards, four of which were male (12.9%). According to independent samples </w:t>
      </w:r>
      <w:r w:rsidR="00E6060C" w:rsidRPr="00E6060C">
        <w:rPr>
          <w:rFonts w:ascii="Calibri" w:eastAsia="Calibri" w:hAnsi="Calibri" w:cs="Times New Roman"/>
          <w:i/>
        </w:rPr>
        <w:t>t</w:t>
      </w:r>
      <w:r w:rsidR="00E6060C" w:rsidRPr="00E6060C">
        <w:rPr>
          <w:rFonts w:ascii="Calibri" w:eastAsia="Calibri" w:hAnsi="Calibri" w:cs="Times New Roman"/>
        </w:rPr>
        <w:t xml:space="preserve">-tests (Table 8.11), there was a significant, reliable difference between the groups at Time 1 in terms of gender (equal variances not assumed, mean difference=.13, </w:t>
      </w:r>
      <w:r w:rsidR="00E6060C" w:rsidRPr="00E6060C">
        <w:rPr>
          <w:rFonts w:ascii="Calibri" w:eastAsia="Calibri" w:hAnsi="Calibri" w:cs="Times New Roman"/>
          <w:i/>
        </w:rPr>
        <w:t>t</w:t>
      </w:r>
      <w:r w:rsidR="00E6060C" w:rsidRPr="00E6060C">
        <w:rPr>
          <w:rFonts w:ascii="Calibri" w:eastAsia="Calibri" w:hAnsi="Calibri" w:cs="Times New Roman"/>
        </w:rPr>
        <w:t xml:space="preserve">(30)=2.11, </w:t>
      </w:r>
      <w:r w:rsidR="00E6060C" w:rsidRPr="00E6060C">
        <w:rPr>
          <w:rFonts w:ascii="Calibri" w:eastAsia="Calibri" w:hAnsi="Calibri" w:cs="Times New Roman"/>
          <w:i/>
        </w:rPr>
        <w:t>p</w:t>
      </w:r>
      <w:r w:rsidR="00E6060C" w:rsidRPr="00E6060C">
        <w:rPr>
          <w:rFonts w:ascii="Calibri" w:eastAsia="Calibri" w:hAnsi="Calibri" w:cs="Times New Roman"/>
        </w:rPr>
        <w:t xml:space="preserve">=.043), which indicates that there were more males in the intervention group than the control group. In fact, frequency analysis revealed that the entire control group (n=14) consisted of females, whereas the intervention group (n=31) contained four males, which accounts for this significant difference. Significant, reliable differences were also </w:t>
      </w:r>
    </w:p>
    <w:p w14:paraId="5FDA5C5E" w14:textId="77777777" w:rsidR="00130722" w:rsidRDefault="00130722">
      <w:pPr>
        <w:spacing w:after="160"/>
        <w:rPr>
          <w:rFonts w:ascii="Calibri" w:eastAsia="Calibri" w:hAnsi="Calibri" w:cs="Times New Roman"/>
        </w:rPr>
      </w:pPr>
      <w:r>
        <w:rPr>
          <w:rFonts w:ascii="Calibri" w:eastAsia="Calibri" w:hAnsi="Calibri" w:cs="Times New Roman"/>
        </w:rPr>
        <w:br w:type="page"/>
      </w:r>
    </w:p>
    <w:p w14:paraId="5CBB6C02" w14:textId="6082FF77" w:rsidR="00E6060C" w:rsidRPr="00E6060C" w:rsidRDefault="00130722" w:rsidP="00E6060C">
      <w:pPr>
        <w:spacing w:after="200" w:line="360" w:lineRule="auto"/>
        <w:contextualSpacing/>
        <w:rPr>
          <w:rFonts w:ascii="Calibri" w:eastAsia="Calibri" w:hAnsi="Calibri" w:cs="Times New Roman"/>
        </w:rPr>
      </w:pPr>
      <w:r>
        <w:rPr>
          <w:rFonts w:ascii="Calibri" w:eastAsia="Calibri" w:hAnsi="Calibri" w:cs="Times New Roman"/>
        </w:rPr>
        <w:lastRenderedPageBreak/>
        <w:t>r</w:t>
      </w:r>
      <w:r w:rsidR="00E6060C" w:rsidRPr="00E6060C">
        <w:rPr>
          <w:rFonts w:ascii="Calibri" w:eastAsia="Calibri" w:hAnsi="Calibri" w:cs="Times New Roman"/>
        </w:rPr>
        <w:t>evealed for three other demographic variables: ward ten</w:t>
      </w:r>
      <w:r w:rsidR="0054677C">
        <w:rPr>
          <w:rFonts w:ascii="Calibri" w:eastAsia="Calibri" w:hAnsi="Calibri" w:cs="Times New Roman"/>
        </w:rPr>
        <w:t>ure (equal variances not assumed</w:t>
      </w:r>
      <w:r w:rsidR="0054677C">
        <w:rPr>
          <w:rStyle w:val="FootnoteReference"/>
          <w:rFonts w:ascii="Calibri" w:eastAsia="Calibri" w:hAnsi="Calibri" w:cs="Times New Roman"/>
        </w:rPr>
        <w:footnoteReference w:id="7"/>
      </w:r>
      <w:r w:rsidR="00E6060C" w:rsidRPr="00E6060C">
        <w:rPr>
          <w:rFonts w:ascii="Calibri" w:eastAsia="Calibri" w:hAnsi="Calibri" w:cs="Times New Roman"/>
        </w:rPr>
        <w:t xml:space="preserve">, mean difference=-2.72, </w:t>
      </w:r>
      <w:r w:rsidR="00E6060C" w:rsidRPr="00E6060C">
        <w:rPr>
          <w:rFonts w:ascii="Calibri" w:eastAsia="Calibri" w:hAnsi="Calibri" w:cs="Times New Roman"/>
          <w:i/>
        </w:rPr>
        <w:t>t</w:t>
      </w:r>
      <w:r w:rsidR="00E6060C" w:rsidRPr="00E6060C">
        <w:rPr>
          <w:rFonts w:ascii="Calibri" w:eastAsia="Calibri" w:hAnsi="Calibri" w:cs="Times New Roman"/>
        </w:rPr>
        <w:t xml:space="preserve">(17.13)=-2.31, </w:t>
      </w:r>
      <w:r w:rsidR="00E6060C" w:rsidRPr="00E6060C">
        <w:rPr>
          <w:rFonts w:ascii="Calibri" w:eastAsia="Calibri" w:hAnsi="Calibri" w:cs="Times New Roman"/>
          <w:i/>
        </w:rPr>
        <w:t>p</w:t>
      </w:r>
      <w:r w:rsidR="00E6060C" w:rsidRPr="00E6060C">
        <w:rPr>
          <w:rFonts w:ascii="Calibri" w:eastAsia="Calibri" w:hAnsi="Calibri" w:cs="Times New Roman"/>
        </w:rPr>
        <w:t xml:space="preserve">=.033), suggesting that the average (mean) ward tenure of the intervention group was 2.72 years shorter than that of the control group; role (equal variances assumed, mean difference=-.53, </w:t>
      </w:r>
      <w:r w:rsidR="00E6060C" w:rsidRPr="00E6060C">
        <w:rPr>
          <w:rFonts w:ascii="Calibri" w:eastAsia="Calibri" w:hAnsi="Calibri" w:cs="Times New Roman"/>
          <w:i/>
        </w:rPr>
        <w:t>t</w:t>
      </w:r>
      <w:r w:rsidR="00E6060C" w:rsidRPr="00E6060C">
        <w:rPr>
          <w:rFonts w:ascii="Calibri" w:eastAsia="Calibri" w:hAnsi="Calibri" w:cs="Times New Roman"/>
        </w:rPr>
        <w:t xml:space="preserve">(42)=-.60, </w:t>
      </w:r>
      <w:r w:rsidR="00E6060C" w:rsidRPr="00E6060C">
        <w:rPr>
          <w:rFonts w:ascii="Calibri" w:eastAsia="Calibri" w:hAnsi="Calibri" w:cs="Times New Roman"/>
          <w:i/>
        </w:rPr>
        <w:t>p</w:t>
      </w:r>
      <w:r w:rsidR="00E6060C" w:rsidRPr="00E6060C">
        <w:rPr>
          <w:rFonts w:ascii="Calibri" w:eastAsia="Calibri" w:hAnsi="Calibri" w:cs="Times New Roman"/>
        </w:rPr>
        <w:t xml:space="preserve">=.05), suggesting that on average respondents in the intervention group were staff nurses (corresponding to a mean score of ‘2’, see </w:t>
      </w:r>
      <w:r w:rsidR="00713793">
        <w:rPr>
          <w:rFonts w:ascii="Calibri" w:eastAsia="Calibri" w:hAnsi="Calibri" w:cs="Times New Roman"/>
        </w:rPr>
        <w:fldChar w:fldCharType="begin"/>
      </w:r>
      <w:r w:rsidR="00713793">
        <w:rPr>
          <w:rFonts w:ascii="Calibri" w:eastAsia="Calibri" w:hAnsi="Calibri" w:cs="Times New Roman"/>
        </w:rPr>
        <w:instrText xml:space="preserve"> REF _Ref453581067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10</w:t>
      </w:r>
      <w:r w:rsidR="00713793">
        <w:rPr>
          <w:rFonts w:ascii="Calibri" w:eastAsia="Calibri" w:hAnsi="Calibri" w:cs="Times New Roman"/>
        </w:rPr>
        <w:fldChar w:fldCharType="end"/>
      </w:r>
      <w:r w:rsidR="00E6060C" w:rsidRPr="00E6060C">
        <w:rPr>
          <w:rFonts w:ascii="Calibri" w:eastAsia="Calibri" w:hAnsi="Calibri" w:cs="Times New Roman"/>
        </w:rPr>
        <w:t xml:space="preserve">) whereas respondents in the control group were healthcare assistants (corresponding to a mean score of ‘3’, see </w:t>
      </w:r>
      <w:r w:rsidR="00713793">
        <w:rPr>
          <w:rFonts w:ascii="Calibri" w:eastAsia="Calibri" w:hAnsi="Calibri" w:cs="Times New Roman"/>
        </w:rPr>
        <w:fldChar w:fldCharType="begin"/>
      </w:r>
      <w:r w:rsidR="00713793">
        <w:rPr>
          <w:rFonts w:ascii="Calibri" w:eastAsia="Calibri" w:hAnsi="Calibri" w:cs="Times New Roman"/>
        </w:rPr>
        <w:instrText xml:space="preserve"> REF _Ref453580997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9</w:t>
      </w:r>
      <w:r w:rsidR="00713793">
        <w:rPr>
          <w:rFonts w:ascii="Calibri" w:eastAsia="Calibri" w:hAnsi="Calibri" w:cs="Times New Roman"/>
        </w:rPr>
        <w:fldChar w:fldCharType="end"/>
      </w:r>
      <w:r w:rsidR="00E6060C" w:rsidRPr="00E6060C">
        <w:rPr>
          <w:rFonts w:ascii="Calibri" w:eastAsia="Calibri" w:hAnsi="Calibri" w:cs="Times New Roman"/>
        </w:rPr>
        <w:t>)</w:t>
      </w:r>
      <w:r w:rsidR="00966BCB">
        <w:rPr>
          <w:rFonts w:ascii="Calibri" w:eastAsia="Calibri" w:hAnsi="Calibri" w:cs="Times New Roman"/>
        </w:rPr>
        <w:t>,</w:t>
      </w:r>
      <w:r w:rsidR="00E6060C" w:rsidRPr="00E6060C">
        <w:rPr>
          <w:rFonts w:ascii="Calibri" w:eastAsia="Calibri" w:hAnsi="Calibri" w:cs="Times New Roman"/>
        </w:rPr>
        <w:t xml:space="preserve"> and whether the individual managed employees or not (equal variances assumed, mean difference=-.34, </w:t>
      </w:r>
      <w:r w:rsidR="00E6060C" w:rsidRPr="00E6060C">
        <w:rPr>
          <w:rFonts w:ascii="Calibri" w:eastAsia="Calibri" w:hAnsi="Calibri" w:cs="Times New Roman"/>
          <w:i/>
        </w:rPr>
        <w:t>t</w:t>
      </w:r>
      <w:r w:rsidR="00E6060C" w:rsidRPr="00E6060C">
        <w:rPr>
          <w:rFonts w:ascii="Calibri" w:eastAsia="Calibri" w:hAnsi="Calibri" w:cs="Times New Roman"/>
        </w:rPr>
        <w:t xml:space="preserve">(39)=-2.17, </w:t>
      </w:r>
      <w:r w:rsidR="00E6060C" w:rsidRPr="00E6060C">
        <w:rPr>
          <w:rFonts w:ascii="Calibri" w:eastAsia="Calibri" w:hAnsi="Calibri" w:cs="Times New Roman"/>
          <w:i/>
        </w:rPr>
        <w:t>p</w:t>
      </w:r>
      <w:r w:rsidR="00E6060C" w:rsidRPr="00E6060C">
        <w:rPr>
          <w:rFonts w:ascii="Calibri" w:eastAsia="Calibri" w:hAnsi="Calibri" w:cs="Times New Roman"/>
        </w:rPr>
        <w:t>=.04), suggesting that on average those in the intervention group did not manage other staff whereas those in the control group did. There were no significant differences in terms of age, hierarchical level, length of time nurses had been qualified, or whether respondents worked full time or part time (</w:t>
      </w:r>
      <w:r w:rsidR="00713793">
        <w:rPr>
          <w:rFonts w:ascii="Calibri" w:eastAsia="Calibri" w:hAnsi="Calibri" w:cs="Times New Roman"/>
        </w:rPr>
        <w:fldChar w:fldCharType="begin"/>
      </w:r>
      <w:r w:rsidR="00713793">
        <w:rPr>
          <w:rFonts w:ascii="Calibri" w:eastAsia="Calibri" w:hAnsi="Calibri" w:cs="Times New Roman"/>
        </w:rPr>
        <w:instrText xml:space="preserve"> REF _Ref453590389 \h </w:instrText>
      </w:r>
      <w:r w:rsidR="00713793">
        <w:rPr>
          <w:rFonts w:ascii="Calibri" w:eastAsia="Calibri" w:hAnsi="Calibri" w:cs="Times New Roman"/>
        </w:rPr>
      </w:r>
      <w:r w:rsidR="00713793">
        <w:rPr>
          <w:rFonts w:ascii="Calibri" w:eastAsia="Calibri" w:hAnsi="Calibri" w:cs="Times New Roman"/>
        </w:rPr>
        <w:fldChar w:fldCharType="separate"/>
      </w:r>
      <w:r w:rsidR="00152F6D">
        <w:t xml:space="preserve">Table </w:t>
      </w:r>
      <w:r w:rsidR="00152F6D">
        <w:rPr>
          <w:noProof/>
        </w:rPr>
        <w:t>8</w:t>
      </w:r>
      <w:r w:rsidR="00152F6D">
        <w:t>.</w:t>
      </w:r>
      <w:r w:rsidR="00152F6D">
        <w:rPr>
          <w:noProof/>
        </w:rPr>
        <w:t>11</w:t>
      </w:r>
      <w:r w:rsidR="00713793">
        <w:rPr>
          <w:rFonts w:ascii="Calibri" w:eastAsia="Calibri" w:hAnsi="Calibri" w:cs="Times New Roman"/>
        </w:rPr>
        <w:fldChar w:fldCharType="end"/>
      </w:r>
      <w:r w:rsidR="00E6060C" w:rsidRPr="00E6060C">
        <w:rPr>
          <w:rFonts w:ascii="Calibri" w:eastAsia="Calibri" w:hAnsi="Calibri" w:cs="Times New Roman"/>
        </w:rPr>
        <w:t xml:space="preserve">). </w:t>
      </w:r>
    </w:p>
    <w:p w14:paraId="1D2B65DD" w14:textId="77777777" w:rsidR="00E6060C" w:rsidRPr="00E6060C" w:rsidRDefault="00E6060C" w:rsidP="00E6060C">
      <w:pPr>
        <w:spacing w:after="200" w:line="360" w:lineRule="auto"/>
        <w:contextualSpacing/>
        <w:rPr>
          <w:rFonts w:ascii="Calibri" w:eastAsia="Calibri" w:hAnsi="Calibri" w:cs="Times New Roman"/>
        </w:rPr>
      </w:pPr>
    </w:p>
    <w:p w14:paraId="67A8395A" w14:textId="09C73BE3" w:rsidR="00E6060C" w:rsidRPr="00E6060C" w:rsidRDefault="00E6060C" w:rsidP="00C23D06">
      <w:pPr>
        <w:spacing w:after="200" w:line="360" w:lineRule="auto"/>
        <w:contextualSpacing/>
        <w:rPr>
          <w:rFonts w:ascii="Calibri" w:eastAsia="Calibri" w:hAnsi="Calibri" w:cs="Times New Roman"/>
        </w:rPr>
      </w:pPr>
      <w:r w:rsidRPr="00E6060C">
        <w:rPr>
          <w:rFonts w:ascii="Calibri" w:eastAsia="Calibri" w:hAnsi="Calibri" w:cs="Times New Roman"/>
        </w:rPr>
        <w:t xml:space="preserve">In summary, significant mean differences between the intervention and control groups at Time 1 were observed for gender, ward tenure, role and whether or not the respondent managed other employees. The existence of these significant differences suggests possible bias between the groups, however, the small sample sizes decreases the robustness of these results. Nevertheless, the possibility of bias should be taken into account when interpreting the results of further analyses based on this data. </w:t>
      </w:r>
    </w:p>
    <w:p w14:paraId="3BAD2250" w14:textId="77777777" w:rsidR="00E6060C" w:rsidRPr="00E6060C" w:rsidRDefault="00E6060C" w:rsidP="00E6060C">
      <w:pPr>
        <w:spacing w:after="200" w:line="360" w:lineRule="auto"/>
        <w:contextualSpacing/>
        <w:rPr>
          <w:rFonts w:ascii="Calibri" w:eastAsia="Calibri" w:hAnsi="Calibri" w:cs="Times New Roman"/>
        </w:rPr>
        <w:sectPr w:rsidR="00E6060C" w:rsidRPr="00E6060C" w:rsidSect="00FB2963">
          <w:footerReference w:type="first" r:id="rId37"/>
          <w:pgSz w:w="11906" w:h="16838"/>
          <w:pgMar w:top="1440" w:right="1440" w:bottom="1440" w:left="1440" w:header="709" w:footer="709" w:gutter="0"/>
          <w:pgNumType w:start="179"/>
          <w:cols w:space="708"/>
          <w:titlePg/>
          <w:docGrid w:linePitch="360"/>
        </w:sectPr>
      </w:pPr>
    </w:p>
    <w:p w14:paraId="18F47205" w14:textId="56235AFD" w:rsidR="00842587" w:rsidRDefault="00842587" w:rsidP="005852AD">
      <w:pPr>
        <w:pStyle w:val="Figurestyle"/>
      </w:pPr>
      <w:bookmarkStart w:id="418" w:name="_Ref453580968"/>
      <w:bookmarkStart w:id="419" w:name="_Toc468286082"/>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8</w:t>
      </w:r>
      <w:r w:rsidR="00245D68">
        <w:rPr>
          <w:noProof/>
        </w:rPr>
        <w:fldChar w:fldCharType="end"/>
      </w:r>
      <w:bookmarkEnd w:id="418"/>
      <w:r>
        <w:t xml:space="preserve"> </w:t>
      </w:r>
      <w:r w:rsidRPr="000A1BCA">
        <w:t>Descriptive statistics for the matched sample (including both the intervention &amp; control group) who responded to the questionnaire at both Time 1 and Time 2 (N=45)</w:t>
      </w:r>
      <w:bookmarkEnd w:id="419"/>
    </w:p>
    <w:p w14:paraId="3E59A993" w14:textId="77777777" w:rsidR="00842587" w:rsidRDefault="00842587" w:rsidP="005852AD">
      <w:pPr>
        <w:pStyle w:val="Figurestyle"/>
      </w:pPr>
    </w:p>
    <w:tbl>
      <w:tblPr>
        <w:tblW w:w="12505" w:type="dxa"/>
        <w:tblLook w:val="04A0" w:firstRow="1" w:lastRow="0" w:firstColumn="1" w:lastColumn="0" w:noHBand="0" w:noVBand="1"/>
      </w:tblPr>
      <w:tblGrid>
        <w:gridCol w:w="1626"/>
        <w:gridCol w:w="726"/>
        <w:gridCol w:w="874"/>
        <w:gridCol w:w="841"/>
        <w:gridCol w:w="726"/>
        <w:gridCol w:w="1078"/>
        <w:gridCol w:w="841"/>
        <w:gridCol w:w="841"/>
        <w:gridCol w:w="841"/>
        <w:gridCol w:w="841"/>
        <w:gridCol w:w="851"/>
        <w:gridCol w:w="1297"/>
        <w:gridCol w:w="1122"/>
      </w:tblGrid>
      <w:tr w:rsidR="00E6060C" w:rsidRPr="00E6060C" w14:paraId="7ACE2298" w14:textId="77777777" w:rsidTr="0054677C">
        <w:trPr>
          <w:trHeight w:val="322"/>
        </w:trPr>
        <w:tc>
          <w:tcPr>
            <w:tcW w:w="1626" w:type="dxa"/>
            <w:tcBorders>
              <w:top w:val="single" w:sz="4" w:space="0" w:color="auto"/>
              <w:left w:val="nil"/>
              <w:bottom w:val="nil"/>
              <w:right w:val="nil"/>
            </w:tcBorders>
            <w:shd w:val="clear" w:color="auto" w:fill="auto"/>
            <w:vAlign w:val="bottom"/>
            <w:hideMark/>
          </w:tcPr>
          <w:p w14:paraId="0A1BBAF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w:t>
            </w:r>
          </w:p>
        </w:tc>
        <w:tc>
          <w:tcPr>
            <w:tcW w:w="726" w:type="dxa"/>
            <w:vMerge w:val="restart"/>
            <w:tcBorders>
              <w:top w:val="single" w:sz="4" w:space="0" w:color="auto"/>
              <w:left w:val="nil"/>
              <w:bottom w:val="single" w:sz="4" w:space="0" w:color="000000"/>
              <w:right w:val="nil"/>
            </w:tcBorders>
            <w:shd w:val="clear" w:color="auto" w:fill="auto"/>
            <w:vAlign w:val="center"/>
            <w:hideMark/>
          </w:tcPr>
          <w:p w14:paraId="64E1789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874" w:type="dxa"/>
            <w:vMerge w:val="restart"/>
            <w:tcBorders>
              <w:top w:val="single" w:sz="4" w:space="0" w:color="auto"/>
              <w:left w:val="nil"/>
              <w:bottom w:val="single" w:sz="4" w:space="0" w:color="000000"/>
              <w:right w:val="nil"/>
            </w:tcBorders>
            <w:shd w:val="clear" w:color="auto" w:fill="auto"/>
            <w:vAlign w:val="center"/>
            <w:hideMark/>
          </w:tcPr>
          <w:p w14:paraId="38DC1C49"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M</w:t>
            </w:r>
          </w:p>
        </w:tc>
        <w:tc>
          <w:tcPr>
            <w:tcW w:w="841" w:type="dxa"/>
            <w:vMerge w:val="restart"/>
            <w:tcBorders>
              <w:top w:val="single" w:sz="4" w:space="0" w:color="auto"/>
              <w:left w:val="nil"/>
              <w:bottom w:val="single" w:sz="4" w:space="0" w:color="000000"/>
              <w:right w:val="nil"/>
            </w:tcBorders>
            <w:shd w:val="clear" w:color="auto" w:fill="auto"/>
            <w:vAlign w:val="center"/>
            <w:hideMark/>
          </w:tcPr>
          <w:p w14:paraId="6F35F7C8"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726" w:type="dxa"/>
            <w:vMerge w:val="restart"/>
            <w:tcBorders>
              <w:top w:val="single" w:sz="4" w:space="0" w:color="auto"/>
              <w:left w:val="nil"/>
              <w:bottom w:val="single" w:sz="4" w:space="0" w:color="000000"/>
              <w:right w:val="nil"/>
            </w:tcBorders>
            <w:shd w:val="clear" w:color="auto" w:fill="auto"/>
            <w:vAlign w:val="center"/>
            <w:hideMark/>
          </w:tcPr>
          <w:p w14:paraId="046F96A4"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078" w:type="dxa"/>
            <w:vMerge w:val="restart"/>
            <w:tcBorders>
              <w:top w:val="single" w:sz="4" w:space="0" w:color="auto"/>
              <w:left w:val="nil"/>
              <w:bottom w:val="single" w:sz="4" w:space="0" w:color="000000"/>
              <w:right w:val="nil"/>
            </w:tcBorders>
            <w:shd w:val="clear" w:color="auto" w:fill="auto"/>
            <w:vAlign w:val="center"/>
            <w:hideMark/>
          </w:tcPr>
          <w:p w14:paraId="47F2C31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841" w:type="dxa"/>
            <w:vMerge w:val="restart"/>
            <w:tcBorders>
              <w:top w:val="single" w:sz="4" w:space="0" w:color="auto"/>
              <w:left w:val="nil"/>
              <w:bottom w:val="single" w:sz="4" w:space="0" w:color="000000"/>
              <w:right w:val="nil"/>
            </w:tcBorders>
            <w:shd w:val="clear" w:color="auto" w:fill="auto"/>
            <w:vAlign w:val="center"/>
            <w:hideMark/>
          </w:tcPr>
          <w:p w14:paraId="4733BF1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841" w:type="dxa"/>
            <w:vMerge w:val="restart"/>
            <w:tcBorders>
              <w:top w:val="single" w:sz="4" w:space="0" w:color="auto"/>
              <w:left w:val="nil"/>
              <w:bottom w:val="single" w:sz="4" w:space="0" w:color="000000"/>
              <w:right w:val="nil"/>
            </w:tcBorders>
            <w:shd w:val="clear" w:color="auto" w:fill="auto"/>
            <w:vAlign w:val="center"/>
            <w:hideMark/>
          </w:tcPr>
          <w:p w14:paraId="2737D9B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2533" w:type="dxa"/>
            <w:gridSpan w:val="3"/>
            <w:tcBorders>
              <w:top w:val="single" w:sz="4" w:space="0" w:color="auto"/>
              <w:left w:val="nil"/>
              <w:bottom w:val="single" w:sz="4" w:space="0" w:color="auto"/>
              <w:right w:val="nil"/>
            </w:tcBorders>
            <w:shd w:val="clear" w:color="auto" w:fill="auto"/>
            <w:vAlign w:val="center"/>
            <w:hideMark/>
          </w:tcPr>
          <w:p w14:paraId="24A7DF9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Percentiles</w:t>
            </w:r>
          </w:p>
        </w:tc>
        <w:tc>
          <w:tcPr>
            <w:tcW w:w="1297" w:type="dxa"/>
            <w:tcBorders>
              <w:top w:val="single" w:sz="4" w:space="0" w:color="auto"/>
              <w:left w:val="nil"/>
              <w:bottom w:val="single" w:sz="4" w:space="0" w:color="000000"/>
              <w:right w:val="nil"/>
            </w:tcBorders>
            <w:shd w:val="clear" w:color="auto" w:fill="auto"/>
            <w:vAlign w:val="center"/>
            <w:hideMark/>
          </w:tcPr>
          <w:p w14:paraId="5739F18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122" w:type="dxa"/>
            <w:tcBorders>
              <w:top w:val="single" w:sz="4" w:space="0" w:color="auto"/>
              <w:left w:val="nil"/>
              <w:bottom w:val="single" w:sz="4" w:space="0" w:color="000000"/>
              <w:right w:val="nil"/>
            </w:tcBorders>
            <w:shd w:val="clear" w:color="auto" w:fill="auto"/>
            <w:vAlign w:val="center"/>
            <w:hideMark/>
          </w:tcPr>
          <w:p w14:paraId="64F3DF6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276EA156" w14:textId="77777777" w:rsidTr="0054677C">
        <w:trPr>
          <w:trHeight w:val="322"/>
        </w:trPr>
        <w:tc>
          <w:tcPr>
            <w:tcW w:w="1626" w:type="dxa"/>
            <w:tcBorders>
              <w:top w:val="nil"/>
              <w:left w:val="nil"/>
              <w:bottom w:val="single" w:sz="4" w:space="0" w:color="auto"/>
              <w:right w:val="nil"/>
            </w:tcBorders>
            <w:shd w:val="clear" w:color="auto" w:fill="auto"/>
            <w:vAlign w:val="bottom"/>
            <w:hideMark/>
          </w:tcPr>
          <w:p w14:paraId="5112198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w:t>
            </w:r>
          </w:p>
        </w:tc>
        <w:tc>
          <w:tcPr>
            <w:tcW w:w="726" w:type="dxa"/>
            <w:vMerge/>
            <w:tcBorders>
              <w:top w:val="single" w:sz="4" w:space="0" w:color="auto"/>
              <w:left w:val="nil"/>
              <w:bottom w:val="single" w:sz="4" w:space="0" w:color="000000"/>
              <w:right w:val="nil"/>
            </w:tcBorders>
            <w:vAlign w:val="center"/>
            <w:hideMark/>
          </w:tcPr>
          <w:p w14:paraId="3E6B2BA3"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74" w:type="dxa"/>
            <w:vMerge/>
            <w:tcBorders>
              <w:top w:val="single" w:sz="4" w:space="0" w:color="auto"/>
              <w:left w:val="nil"/>
              <w:bottom w:val="single" w:sz="4" w:space="0" w:color="000000"/>
              <w:right w:val="nil"/>
            </w:tcBorders>
            <w:vAlign w:val="center"/>
            <w:hideMark/>
          </w:tcPr>
          <w:p w14:paraId="3075D7E5"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41" w:type="dxa"/>
            <w:vMerge/>
            <w:tcBorders>
              <w:top w:val="single" w:sz="4" w:space="0" w:color="auto"/>
              <w:left w:val="nil"/>
              <w:bottom w:val="single" w:sz="4" w:space="0" w:color="000000"/>
              <w:right w:val="nil"/>
            </w:tcBorders>
            <w:vAlign w:val="center"/>
            <w:hideMark/>
          </w:tcPr>
          <w:p w14:paraId="33E83134"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726" w:type="dxa"/>
            <w:vMerge/>
            <w:tcBorders>
              <w:top w:val="single" w:sz="4" w:space="0" w:color="auto"/>
              <w:left w:val="nil"/>
              <w:bottom w:val="single" w:sz="4" w:space="0" w:color="000000"/>
              <w:right w:val="nil"/>
            </w:tcBorders>
            <w:vAlign w:val="center"/>
            <w:hideMark/>
          </w:tcPr>
          <w:p w14:paraId="6DB45687"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1078" w:type="dxa"/>
            <w:vMerge/>
            <w:tcBorders>
              <w:top w:val="single" w:sz="4" w:space="0" w:color="auto"/>
              <w:left w:val="nil"/>
              <w:bottom w:val="single" w:sz="4" w:space="0" w:color="000000"/>
              <w:right w:val="nil"/>
            </w:tcBorders>
            <w:vAlign w:val="center"/>
            <w:hideMark/>
          </w:tcPr>
          <w:p w14:paraId="3A68738D"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41" w:type="dxa"/>
            <w:vMerge/>
            <w:tcBorders>
              <w:top w:val="single" w:sz="4" w:space="0" w:color="auto"/>
              <w:left w:val="nil"/>
              <w:bottom w:val="single" w:sz="4" w:space="0" w:color="000000"/>
              <w:right w:val="nil"/>
            </w:tcBorders>
            <w:vAlign w:val="center"/>
            <w:hideMark/>
          </w:tcPr>
          <w:p w14:paraId="5425C176"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41" w:type="dxa"/>
            <w:vMerge/>
            <w:tcBorders>
              <w:top w:val="single" w:sz="4" w:space="0" w:color="auto"/>
              <w:left w:val="nil"/>
              <w:bottom w:val="single" w:sz="4" w:space="0" w:color="000000"/>
              <w:right w:val="nil"/>
            </w:tcBorders>
            <w:vAlign w:val="center"/>
            <w:hideMark/>
          </w:tcPr>
          <w:p w14:paraId="477BB285"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41" w:type="dxa"/>
            <w:tcBorders>
              <w:top w:val="nil"/>
              <w:left w:val="nil"/>
              <w:bottom w:val="single" w:sz="4" w:space="0" w:color="auto"/>
              <w:right w:val="nil"/>
            </w:tcBorders>
            <w:shd w:val="clear" w:color="auto" w:fill="auto"/>
            <w:noWrap/>
            <w:vAlign w:val="center"/>
            <w:hideMark/>
          </w:tcPr>
          <w:p w14:paraId="6F7C6C4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25</w:t>
            </w:r>
          </w:p>
        </w:tc>
        <w:tc>
          <w:tcPr>
            <w:tcW w:w="841" w:type="dxa"/>
            <w:tcBorders>
              <w:top w:val="nil"/>
              <w:left w:val="nil"/>
              <w:bottom w:val="single" w:sz="4" w:space="0" w:color="auto"/>
              <w:right w:val="nil"/>
            </w:tcBorders>
            <w:shd w:val="clear" w:color="auto" w:fill="auto"/>
            <w:noWrap/>
            <w:vAlign w:val="center"/>
            <w:hideMark/>
          </w:tcPr>
          <w:p w14:paraId="1354044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50</w:t>
            </w:r>
          </w:p>
        </w:tc>
        <w:tc>
          <w:tcPr>
            <w:tcW w:w="851" w:type="dxa"/>
            <w:tcBorders>
              <w:top w:val="nil"/>
              <w:left w:val="nil"/>
              <w:bottom w:val="single" w:sz="4" w:space="0" w:color="auto"/>
              <w:right w:val="nil"/>
            </w:tcBorders>
            <w:shd w:val="clear" w:color="auto" w:fill="auto"/>
            <w:noWrap/>
            <w:vAlign w:val="center"/>
            <w:hideMark/>
          </w:tcPr>
          <w:p w14:paraId="193572D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75</w:t>
            </w:r>
          </w:p>
        </w:tc>
        <w:tc>
          <w:tcPr>
            <w:tcW w:w="1297" w:type="dxa"/>
            <w:tcBorders>
              <w:top w:val="single" w:sz="4" w:space="0" w:color="auto"/>
              <w:left w:val="nil"/>
              <w:bottom w:val="single" w:sz="4" w:space="0" w:color="000000"/>
              <w:right w:val="nil"/>
            </w:tcBorders>
            <w:vAlign w:val="center"/>
            <w:hideMark/>
          </w:tcPr>
          <w:p w14:paraId="32824691"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1122" w:type="dxa"/>
            <w:tcBorders>
              <w:top w:val="single" w:sz="4" w:space="0" w:color="auto"/>
              <w:left w:val="nil"/>
              <w:bottom w:val="single" w:sz="4" w:space="0" w:color="000000"/>
              <w:right w:val="nil"/>
            </w:tcBorders>
            <w:vAlign w:val="center"/>
            <w:hideMark/>
          </w:tcPr>
          <w:p w14:paraId="4AD9FA92" w14:textId="77777777" w:rsidR="00E6060C" w:rsidRPr="00E6060C" w:rsidRDefault="00E6060C" w:rsidP="00E6060C">
            <w:pPr>
              <w:spacing w:line="240" w:lineRule="auto"/>
              <w:rPr>
                <w:rFonts w:ascii="Calibri" w:eastAsia="Times New Roman" w:hAnsi="Calibri" w:cs="Times New Roman"/>
                <w:b/>
                <w:bCs/>
                <w:color w:val="000000"/>
                <w:lang w:eastAsia="en-GB"/>
              </w:rPr>
            </w:pPr>
          </w:p>
        </w:tc>
      </w:tr>
      <w:tr w:rsidR="00E6060C" w:rsidRPr="00E6060C" w14:paraId="4619E613" w14:textId="77777777" w:rsidTr="0054677C">
        <w:trPr>
          <w:trHeight w:val="322"/>
        </w:trPr>
        <w:tc>
          <w:tcPr>
            <w:tcW w:w="1626" w:type="dxa"/>
            <w:tcBorders>
              <w:top w:val="nil"/>
              <w:left w:val="nil"/>
              <w:bottom w:val="nil"/>
              <w:right w:val="nil"/>
            </w:tcBorders>
            <w:shd w:val="clear" w:color="auto" w:fill="auto"/>
            <w:vAlign w:val="center"/>
            <w:hideMark/>
          </w:tcPr>
          <w:p w14:paraId="5A30221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Gender</w:t>
            </w:r>
          </w:p>
        </w:tc>
        <w:tc>
          <w:tcPr>
            <w:tcW w:w="726" w:type="dxa"/>
            <w:tcBorders>
              <w:top w:val="nil"/>
              <w:left w:val="nil"/>
              <w:bottom w:val="nil"/>
              <w:right w:val="nil"/>
            </w:tcBorders>
            <w:shd w:val="clear" w:color="auto" w:fill="auto"/>
            <w:noWrap/>
            <w:vAlign w:val="center"/>
            <w:hideMark/>
          </w:tcPr>
          <w:p w14:paraId="039932B0"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45</w:t>
            </w:r>
          </w:p>
        </w:tc>
        <w:tc>
          <w:tcPr>
            <w:tcW w:w="874" w:type="dxa"/>
            <w:tcBorders>
              <w:top w:val="nil"/>
              <w:left w:val="nil"/>
              <w:bottom w:val="nil"/>
              <w:right w:val="nil"/>
            </w:tcBorders>
            <w:shd w:val="clear" w:color="auto" w:fill="auto"/>
            <w:noWrap/>
            <w:vAlign w:val="center"/>
            <w:hideMark/>
          </w:tcPr>
          <w:p w14:paraId="273A4B5A"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.09</w:t>
            </w:r>
          </w:p>
        </w:tc>
        <w:tc>
          <w:tcPr>
            <w:tcW w:w="841" w:type="dxa"/>
            <w:tcBorders>
              <w:top w:val="nil"/>
              <w:left w:val="nil"/>
              <w:bottom w:val="nil"/>
              <w:right w:val="nil"/>
            </w:tcBorders>
            <w:shd w:val="clear" w:color="auto" w:fill="auto"/>
            <w:noWrap/>
            <w:vAlign w:val="center"/>
            <w:hideMark/>
          </w:tcPr>
          <w:p w14:paraId="0269852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.29</w:t>
            </w:r>
          </w:p>
        </w:tc>
        <w:tc>
          <w:tcPr>
            <w:tcW w:w="726" w:type="dxa"/>
            <w:tcBorders>
              <w:top w:val="nil"/>
              <w:left w:val="nil"/>
              <w:bottom w:val="nil"/>
              <w:right w:val="nil"/>
            </w:tcBorders>
            <w:shd w:val="clear" w:color="auto" w:fill="auto"/>
            <w:noWrap/>
            <w:vAlign w:val="center"/>
            <w:hideMark/>
          </w:tcPr>
          <w:p w14:paraId="2524F6C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.04</w:t>
            </w:r>
          </w:p>
        </w:tc>
        <w:tc>
          <w:tcPr>
            <w:tcW w:w="1078" w:type="dxa"/>
            <w:tcBorders>
              <w:top w:val="nil"/>
              <w:left w:val="nil"/>
              <w:bottom w:val="nil"/>
              <w:right w:val="nil"/>
            </w:tcBorders>
            <w:shd w:val="clear" w:color="auto" w:fill="auto"/>
            <w:noWrap/>
            <w:vAlign w:val="center"/>
            <w:hideMark/>
          </w:tcPr>
          <w:p w14:paraId="161B846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38B2A9E0"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392BBD08"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nil"/>
              <w:right w:val="nil"/>
            </w:tcBorders>
            <w:shd w:val="clear" w:color="auto" w:fill="auto"/>
            <w:noWrap/>
            <w:vAlign w:val="center"/>
            <w:hideMark/>
          </w:tcPr>
          <w:p w14:paraId="5DFFC0C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3792BF0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51" w:type="dxa"/>
            <w:tcBorders>
              <w:top w:val="nil"/>
              <w:left w:val="nil"/>
              <w:bottom w:val="nil"/>
              <w:right w:val="nil"/>
            </w:tcBorders>
            <w:shd w:val="clear" w:color="auto" w:fill="auto"/>
            <w:noWrap/>
            <w:vAlign w:val="center"/>
            <w:hideMark/>
          </w:tcPr>
          <w:p w14:paraId="13B810C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1297" w:type="dxa"/>
            <w:tcBorders>
              <w:top w:val="nil"/>
              <w:left w:val="nil"/>
              <w:bottom w:val="nil"/>
              <w:right w:val="nil"/>
            </w:tcBorders>
            <w:shd w:val="clear" w:color="auto" w:fill="auto"/>
            <w:noWrap/>
            <w:vAlign w:val="center"/>
            <w:hideMark/>
          </w:tcPr>
          <w:p w14:paraId="17680E2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2.99</w:t>
            </w:r>
          </w:p>
        </w:tc>
        <w:tc>
          <w:tcPr>
            <w:tcW w:w="1122" w:type="dxa"/>
            <w:tcBorders>
              <w:top w:val="nil"/>
              <w:left w:val="nil"/>
              <w:bottom w:val="nil"/>
              <w:right w:val="nil"/>
            </w:tcBorders>
            <w:shd w:val="clear" w:color="auto" w:fill="auto"/>
            <w:noWrap/>
            <w:vAlign w:val="center"/>
            <w:hideMark/>
          </w:tcPr>
          <w:p w14:paraId="0DF333E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7.26</w:t>
            </w:r>
          </w:p>
        </w:tc>
      </w:tr>
      <w:tr w:rsidR="00E6060C" w:rsidRPr="00E6060C" w14:paraId="65F3950B" w14:textId="77777777" w:rsidTr="0054677C">
        <w:trPr>
          <w:trHeight w:val="322"/>
        </w:trPr>
        <w:tc>
          <w:tcPr>
            <w:tcW w:w="1626" w:type="dxa"/>
            <w:tcBorders>
              <w:top w:val="nil"/>
              <w:left w:val="nil"/>
              <w:bottom w:val="nil"/>
              <w:right w:val="nil"/>
            </w:tcBorders>
            <w:shd w:val="clear" w:color="auto" w:fill="auto"/>
            <w:vAlign w:val="center"/>
            <w:hideMark/>
          </w:tcPr>
          <w:p w14:paraId="6A9C4E9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Age (yrs)</w:t>
            </w:r>
          </w:p>
        </w:tc>
        <w:tc>
          <w:tcPr>
            <w:tcW w:w="726" w:type="dxa"/>
            <w:tcBorders>
              <w:top w:val="nil"/>
              <w:left w:val="nil"/>
              <w:bottom w:val="nil"/>
              <w:right w:val="nil"/>
            </w:tcBorders>
            <w:shd w:val="clear" w:color="auto" w:fill="auto"/>
            <w:noWrap/>
            <w:vAlign w:val="center"/>
            <w:hideMark/>
          </w:tcPr>
          <w:p w14:paraId="098052C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44</w:t>
            </w:r>
          </w:p>
        </w:tc>
        <w:tc>
          <w:tcPr>
            <w:tcW w:w="874" w:type="dxa"/>
            <w:tcBorders>
              <w:top w:val="nil"/>
              <w:left w:val="nil"/>
              <w:bottom w:val="nil"/>
              <w:right w:val="nil"/>
            </w:tcBorders>
            <w:shd w:val="clear" w:color="auto" w:fill="auto"/>
            <w:noWrap/>
            <w:vAlign w:val="center"/>
            <w:hideMark/>
          </w:tcPr>
          <w:p w14:paraId="1AF42DD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39.20</w:t>
            </w:r>
          </w:p>
        </w:tc>
        <w:tc>
          <w:tcPr>
            <w:tcW w:w="841" w:type="dxa"/>
            <w:tcBorders>
              <w:top w:val="nil"/>
              <w:left w:val="nil"/>
              <w:bottom w:val="nil"/>
              <w:right w:val="nil"/>
            </w:tcBorders>
            <w:shd w:val="clear" w:color="auto" w:fill="auto"/>
            <w:noWrap/>
            <w:vAlign w:val="center"/>
            <w:hideMark/>
          </w:tcPr>
          <w:p w14:paraId="248EE4D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10.74</w:t>
            </w:r>
          </w:p>
        </w:tc>
        <w:tc>
          <w:tcPr>
            <w:tcW w:w="726" w:type="dxa"/>
            <w:tcBorders>
              <w:top w:val="nil"/>
              <w:left w:val="nil"/>
              <w:bottom w:val="nil"/>
              <w:right w:val="nil"/>
            </w:tcBorders>
            <w:shd w:val="clear" w:color="auto" w:fill="auto"/>
            <w:noWrap/>
            <w:vAlign w:val="center"/>
            <w:hideMark/>
          </w:tcPr>
          <w:p w14:paraId="18ED3F1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1.62</w:t>
            </w:r>
          </w:p>
        </w:tc>
        <w:tc>
          <w:tcPr>
            <w:tcW w:w="1078" w:type="dxa"/>
            <w:tcBorders>
              <w:top w:val="nil"/>
              <w:left w:val="nil"/>
              <w:bottom w:val="nil"/>
              <w:right w:val="nil"/>
            </w:tcBorders>
            <w:shd w:val="clear" w:color="auto" w:fill="auto"/>
            <w:noWrap/>
            <w:vAlign w:val="center"/>
            <w:hideMark/>
          </w:tcPr>
          <w:p w14:paraId="6099C698"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38.00</w:t>
            </w:r>
          </w:p>
        </w:tc>
        <w:tc>
          <w:tcPr>
            <w:tcW w:w="841" w:type="dxa"/>
            <w:tcBorders>
              <w:top w:val="nil"/>
              <w:left w:val="nil"/>
              <w:bottom w:val="nil"/>
              <w:right w:val="nil"/>
            </w:tcBorders>
            <w:shd w:val="clear" w:color="auto" w:fill="auto"/>
            <w:noWrap/>
            <w:vAlign w:val="center"/>
            <w:hideMark/>
          </w:tcPr>
          <w:p w14:paraId="0664976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21.00</w:t>
            </w:r>
          </w:p>
        </w:tc>
        <w:tc>
          <w:tcPr>
            <w:tcW w:w="841" w:type="dxa"/>
            <w:tcBorders>
              <w:top w:val="nil"/>
              <w:left w:val="nil"/>
              <w:bottom w:val="nil"/>
              <w:right w:val="nil"/>
            </w:tcBorders>
            <w:shd w:val="clear" w:color="auto" w:fill="auto"/>
            <w:noWrap/>
            <w:vAlign w:val="center"/>
            <w:hideMark/>
          </w:tcPr>
          <w:p w14:paraId="5C1015C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65.00</w:t>
            </w:r>
          </w:p>
        </w:tc>
        <w:tc>
          <w:tcPr>
            <w:tcW w:w="841" w:type="dxa"/>
            <w:tcBorders>
              <w:top w:val="nil"/>
              <w:left w:val="nil"/>
              <w:bottom w:val="nil"/>
              <w:right w:val="nil"/>
            </w:tcBorders>
            <w:shd w:val="clear" w:color="auto" w:fill="auto"/>
            <w:noWrap/>
            <w:vAlign w:val="center"/>
            <w:hideMark/>
          </w:tcPr>
          <w:p w14:paraId="701FDC8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30.00</w:t>
            </w:r>
          </w:p>
        </w:tc>
        <w:tc>
          <w:tcPr>
            <w:tcW w:w="841" w:type="dxa"/>
            <w:tcBorders>
              <w:top w:val="nil"/>
              <w:left w:val="nil"/>
              <w:bottom w:val="nil"/>
              <w:right w:val="nil"/>
            </w:tcBorders>
            <w:shd w:val="clear" w:color="auto" w:fill="auto"/>
            <w:noWrap/>
            <w:vAlign w:val="center"/>
            <w:hideMark/>
          </w:tcPr>
          <w:p w14:paraId="115B856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38.00</w:t>
            </w:r>
          </w:p>
        </w:tc>
        <w:tc>
          <w:tcPr>
            <w:tcW w:w="851" w:type="dxa"/>
            <w:tcBorders>
              <w:top w:val="nil"/>
              <w:left w:val="nil"/>
              <w:bottom w:val="nil"/>
              <w:right w:val="nil"/>
            </w:tcBorders>
            <w:shd w:val="clear" w:color="auto" w:fill="auto"/>
            <w:noWrap/>
            <w:vAlign w:val="center"/>
            <w:hideMark/>
          </w:tcPr>
          <w:p w14:paraId="7F1984F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47.75</w:t>
            </w:r>
          </w:p>
        </w:tc>
        <w:tc>
          <w:tcPr>
            <w:tcW w:w="1297" w:type="dxa"/>
            <w:tcBorders>
              <w:top w:val="nil"/>
              <w:left w:val="nil"/>
              <w:bottom w:val="nil"/>
              <w:right w:val="nil"/>
            </w:tcBorders>
            <w:shd w:val="clear" w:color="auto" w:fill="auto"/>
            <w:noWrap/>
            <w:vAlign w:val="center"/>
            <w:hideMark/>
          </w:tcPr>
          <w:p w14:paraId="110F4C6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.42</w:t>
            </w:r>
          </w:p>
        </w:tc>
        <w:tc>
          <w:tcPr>
            <w:tcW w:w="1122" w:type="dxa"/>
            <w:tcBorders>
              <w:top w:val="nil"/>
              <w:left w:val="nil"/>
              <w:bottom w:val="nil"/>
              <w:right w:val="nil"/>
            </w:tcBorders>
            <w:shd w:val="clear" w:color="auto" w:fill="auto"/>
            <w:noWrap/>
            <w:vAlign w:val="center"/>
            <w:hideMark/>
          </w:tcPr>
          <w:p w14:paraId="12F1EBE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-.52</w:t>
            </w:r>
          </w:p>
        </w:tc>
      </w:tr>
      <w:tr w:rsidR="00E6060C" w:rsidRPr="00E6060C" w14:paraId="39DC8BA3" w14:textId="77777777" w:rsidTr="0054677C">
        <w:trPr>
          <w:trHeight w:val="81"/>
        </w:trPr>
        <w:tc>
          <w:tcPr>
            <w:tcW w:w="1626" w:type="dxa"/>
            <w:tcBorders>
              <w:top w:val="nil"/>
              <w:left w:val="nil"/>
              <w:bottom w:val="nil"/>
              <w:right w:val="nil"/>
            </w:tcBorders>
            <w:shd w:val="clear" w:color="auto" w:fill="auto"/>
            <w:vAlign w:val="center"/>
            <w:hideMark/>
          </w:tcPr>
          <w:p w14:paraId="4CA9B39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Ward tenure (yrs)</w:t>
            </w:r>
          </w:p>
        </w:tc>
        <w:tc>
          <w:tcPr>
            <w:tcW w:w="726" w:type="dxa"/>
            <w:tcBorders>
              <w:top w:val="nil"/>
              <w:left w:val="nil"/>
              <w:bottom w:val="nil"/>
              <w:right w:val="nil"/>
            </w:tcBorders>
            <w:shd w:val="clear" w:color="auto" w:fill="auto"/>
            <w:noWrap/>
            <w:vAlign w:val="center"/>
            <w:hideMark/>
          </w:tcPr>
          <w:p w14:paraId="255AA31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45</w:t>
            </w:r>
          </w:p>
        </w:tc>
        <w:tc>
          <w:tcPr>
            <w:tcW w:w="874" w:type="dxa"/>
            <w:tcBorders>
              <w:top w:val="nil"/>
              <w:left w:val="nil"/>
              <w:bottom w:val="nil"/>
              <w:right w:val="nil"/>
            </w:tcBorders>
            <w:shd w:val="clear" w:color="auto" w:fill="auto"/>
            <w:noWrap/>
            <w:vAlign w:val="center"/>
            <w:hideMark/>
          </w:tcPr>
          <w:p w14:paraId="212F3B9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3.10</w:t>
            </w:r>
          </w:p>
        </w:tc>
        <w:tc>
          <w:tcPr>
            <w:tcW w:w="841" w:type="dxa"/>
            <w:tcBorders>
              <w:top w:val="nil"/>
              <w:left w:val="nil"/>
              <w:bottom w:val="nil"/>
              <w:right w:val="nil"/>
            </w:tcBorders>
            <w:shd w:val="clear" w:color="auto" w:fill="auto"/>
            <w:noWrap/>
            <w:vAlign w:val="center"/>
            <w:hideMark/>
          </w:tcPr>
          <w:p w14:paraId="2C0CE27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3.24</w:t>
            </w:r>
          </w:p>
        </w:tc>
        <w:tc>
          <w:tcPr>
            <w:tcW w:w="726" w:type="dxa"/>
            <w:tcBorders>
              <w:top w:val="nil"/>
              <w:left w:val="nil"/>
              <w:bottom w:val="nil"/>
              <w:right w:val="nil"/>
            </w:tcBorders>
            <w:shd w:val="clear" w:color="auto" w:fill="auto"/>
            <w:noWrap/>
            <w:vAlign w:val="center"/>
            <w:hideMark/>
          </w:tcPr>
          <w:p w14:paraId="055909A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.48</w:t>
            </w:r>
          </w:p>
        </w:tc>
        <w:tc>
          <w:tcPr>
            <w:tcW w:w="1078" w:type="dxa"/>
            <w:tcBorders>
              <w:top w:val="nil"/>
              <w:left w:val="nil"/>
              <w:bottom w:val="nil"/>
              <w:right w:val="nil"/>
            </w:tcBorders>
            <w:shd w:val="clear" w:color="auto" w:fill="auto"/>
            <w:noWrap/>
            <w:vAlign w:val="center"/>
            <w:hideMark/>
          </w:tcPr>
          <w:p w14:paraId="43D459BB"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41" w:type="dxa"/>
            <w:tcBorders>
              <w:top w:val="nil"/>
              <w:left w:val="nil"/>
              <w:bottom w:val="nil"/>
              <w:right w:val="nil"/>
            </w:tcBorders>
            <w:shd w:val="clear" w:color="auto" w:fill="auto"/>
            <w:noWrap/>
            <w:vAlign w:val="center"/>
            <w:hideMark/>
          </w:tcPr>
          <w:p w14:paraId="448343C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7ACB47B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12.00</w:t>
            </w:r>
          </w:p>
        </w:tc>
        <w:tc>
          <w:tcPr>
            <w:tcW w:w="841" w:type="dxa"/>
            <w:tcBorders>
              <w:top w:val="nil"/>
              <w:left w:val="nil"/>
              <w:bottom w:val="nil"/>
              <w:right w:val="nil"/>
            </w:tcBorders>
            <w:shd w:val="clear" w:color="auto" w:fill="auto"/>
            <w:noWrap/>
            <w:vAlign w:val="center"/>
            <w:hideMark/>
          </w:tcPr>
          <w:p w14:paraId="638BE47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.75</w:t>
            </w:r>
          </w:p>
        </w:tc>
        <w:tc>
          <w:tcPr>
            <w:tcW w:w="841" w:type="dxa"/>
            <w:tcBorders>
              <w:top w:val="nil"/>
              <w:left w:val="nil"/>
              <w:bottom w:val="nil"/>
              <w:right w:val="nil"/>
            </w:tcBorders>
            <w:shd w:val="clear" w:color="auto" w:fill="auto"/>
            <w:noWrap/>
            <w:vAlign w:val="center"/>
            <w:hideMark/>
          </w:tcPr>
          <w:p w14:paraId="08C89C1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51" w:type="dxa"/>
            <w:tcBorders>
              <w:top w:val="nil"/>
              <w:left w:val="nil"/>
              <w:bottom w:val="nil"/>
              <w:right w:val="nil"/>
            </w:tcBorders>
            <w:shd w:val="clear" w:color="auto" w:fill="auto"/>
            <w:noWrap/>
            <w:vAlign w:val="center"/>
            <w:hideMark/>
          </w:tcPr>
          <w:p w14:paraId="1319300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3.50</w:t>
            </w:r>
          </w:p>
        </w:tc>
        <w:tc>
          <w:tcPr>
            <w:tcW w:w="1297" w:type="dxa"/>
            <w:tcBorders>
              <w:top w:val="nil"/>
              <w:left w:val="nil"/>
              <w:bottom w:val="nil"/>
              <w:right w:val="nil"/>
            </w:tcBorders>
            <w:shd w:val="clear" w:color="auto" w:fill="auto"/>
            <w:noWrap/>
            <w:vAlign w:val="center"/>
            <w:hideMark/>
          </w:tcPr>
          <w:p w14:paraId="4853E77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1.56</w:t>
            </w:r>
          </w:p>
        </w:tc>
        <w:tc>
          <w:tcPr>
            <w:tcW w:w="1122" w:type="dxa"/>
            <w:tcBorders>
              <w:top w:val="nil"/>
              <w:left w:val="nil"/>
              <w:bottom w:val="nil"/>
              <w:right w:val="nil"/>
            </w:tcBorders>
            <w:shd w:val="clear" w:color="auto" w:fill="auto"/>
            <w:noWrap/>
            <w:vAlign w:val="center"/>
            <w:hideMark/>
          </w:tcPr>
          <w:p w14:paraId="55E47EA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1.45</w:t>
            </w:r>
          </w:p>
        </w:tc>
      </w:tr>
      <w:tr w:rsidR="00E6060C" w:rsidRPr="00E6060C" w14:paraId="17A0E94C" w14:textId="77777777" w:rsidTr="0054677C">
        <w:trPr>
          <w:trHeight w:val="513"/>
        </w:trPr>
        <w:tc>
          <w:tcPr>
            <w:tcW w:w="1626" w:type="dxa"/>
            <w:tcBorders>
              <w:top w:val="nil"/>
              <w:left w:val="nil"/>
              <w:bottom w:val="nil"/>
              <w:right w:val="nil"/>
            </w:tcBorders>
            <w:shd w:val="clear" w:color="auto" w:fill="auto"/>
            <w:vAlign w:val="center"/>
            <w:hideMark/>
          </w:tcPr>
          <w:p w14:paraId="5CE5CF6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Hospital tenure (yrs)</w:t>
            </w:r>
          </w:p>
        </w:tc>
        <w:tc>
          <w:tcPr>
            <w:tcW w:w="726" w:type="dxa"/>
            <w:tcBorders>
              <w:top w:val="nil"/>
              <w:left w:val="nil"/>
              <w:bottom w:val="nil"/>
              <w:right w:val="nil"/>
            </w:tcBorders>
            <w:shd w:val="clear" w:color="auto" w:fill="auto"/>
            <w:noWrap/>
            <w:vAlign w:val="center"/>
            <w:hideMark/>
          </w:tcPr>
          <w:p w14:paraId="7753289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44</w:t>
            </w:r>
          </w:p>
        </w:tc>
        <w:tc>
          <w:tcPr>
            <w:tcW w:w="874" w:type="dxa"/>
            <w:tcBorders>
              <w:top w:val="nil"/>
              <w:left w:val="nil"/>
              <w:bottom w:val="nil"/>
              <w:right w:val="nil"/>
            </w:tcBorders>
            <w:shd w:val="clear" w:color="auto" w:fill="auto"/>
            <w:noWrap/>
            <w:vAlign w:val="center"/>
            <w:hideMark/>
          </w:tcPr>
          <w:p w14:paraId="4C49183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5.40</w:t>
            </w:r>
          </w:p>
        </w:tc>
        <w:tc>
          <w:tcPr>
            <w:tcW w:w="841" w:type="dxa"/>
            <w:tcBorders>
              <w:top w:val="nil"/>
              <w:left w:val="nil"/>
              <w:bottom w:val="nil"/>
              <w:right w:val="nil"/>
            </w:tcBorders>
            <w:shd w:val="clear" w:color="auto" w:fill="auto"/>
            <w:noWrap/>
            <w:vAlign w:val="center"/>
            <w:hideMark/>
          </w:tcPr>
          <w:p w14:paraId="2B32335F"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5.78</w:t>
            </w:r>
          </w:p>
        </w:tc>
        <w:tc>
          <w:tcPr>
            <w:tcW w:w="726" w:type="dxa"/>
            <w:tcBorders>
              <w:top w:val="nil"/>
              <w:left w:val="nil"/>
              <w:bottom w:val="nil"/>
              <w:right w:val="nil"/>
            </w:tcBorders>
            <w:shd w:val="clear" w:color="auto" w:fill="auto"/>
            <w:noWrap/>
            <w:vAlign w:val="center"/>
            <w:hideMark/>
          </w:tcPr>
          <w:p w14:paraId="3FE98AF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.87</w:t>
            </w:r>
          </w:p>
        </w:tc>
        <w:tc>
          <w:tcPr>
            <w:tcW w:w="1078" w:type="dxa"/>
            <w:tcBorders>
              <w:top w:val="nil"/>
              <w:left w:val="nil"/>
              <w:bottom w:val="nil"/>
              <w:right w:val="nil"/>
            </w:tcBorders>
            <w:shd w:val="clear" w:color="auto" w:fill="auto"/>
            <w:noWrap/>
            <w:vAlign w:val="center"/>
            <w:hideMark/>
          </w:tcPr>
          <w:p w14:paraId="7D86170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3.04</w:t>
            </w:r>
          </w:p>
        </w:tc>
        <w:tc>
          <w:tcPr>
            <w:tcW w:w="841" w:type="dxa"/>
            <w:tcBorders>
              <w:top w:val="nil"/>
              <w:left w:val="nil"/>
              <w:bottom w:val="nil"/>
              <w:right w:val="nil"/>
            </w:tcBorders>
            <w:shd w:val="clear" w:color="auto" w:fill="auto"/>
            <w:noWrap/>
            <w:vAlign w:val="center"/>
            <w:hideMark/>
          </w:tcPr>
          <w:p w14:paraId="1C2F335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59D0DCA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25.00</w:t>
            </w:r>
          </w:p>
        </w:tc>
        <w:tc>
          <w:tcPr>
            <w:tcW w:w="841" w:type="dxa"/>
            <w:tcBorders>
              <w:top w:val="nil"/>
              <w:left w:val="nil"/>
              <w:bottom w:val="nil"/>
              <w:right w:val="nil"/>
            </w:tcBorders>
            <w:shd w:val="clear" w:color="auto" w:fill="auto"/>
            <w:noWrap/>
            <w:vAlign w:val="center"/>
            <w:hideMark/>
          </w:tcPr>
          <w:p w14:paraId="3CAEDDC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.85</w:t>
            </w:r>
          </w:p>
        </w:tc>
        <w:tc>
          <w:tcPr>
            <w:tcW w:w="841" w:type="dxa"/>
            <w:tcBorders>
              <w:top w:val="nil"/>
              <w:left w:val="nil"/>
              <w:bottom w:val="nil"/>
              <w:right w:val="nil"/>
            </w:tcBorders>
            <w:shd w:val="clear" w:color="auto" w:fill="auto"/>
            <w:noWrap/>
            <w:vAlign w:val="center"/>
            <w:hideMark/>
          </w:tcPr>
          <w:p w14:paraId="1B7EB140"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3.04</w:t>
            </w:r>
          </w:p>
        </w:tc>
        <w:tc>
          <w:tcPr>
            <w:tcW w:w="851" w:type="dxa"/>
            <w:tcBorders>
              <w:top w:val="nil"/>
              <w:left w:val="nil"/>
              <w:bottom w:val="nil"/>
              <w:right w:val="nil"/>
            </w:tcBorders>
            <w:shd w:val="clear" w:color="auto" w:fill="auto"/>
            <w:noWrap/>
            <w:vAlign w:val="center"/>
            <w:hideMark/>
          </w:tcPr>
          <w:p w14:paraId="6662A03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9.56</w:t>
            </w:r>
          </w:p>
        </w:tc>
        <w:tc>
          <w:tcPr>
            <w:tcW w:w="1297" w:type="dxa"/>
            <w:tcBorders>
              <w:top w:val="nil"/>
              <w:left w:val="nil"/>
              <w:bottom w:val="nil"/>
              <w:right w:val="nil"/>
            </w:tcBorders>
            <w:shd w:val="clear" w:color="auto" w:fill="auto"/>
            <w:noWrap/>
            <w:vAlign w:val="center"/>
            <w:hideMark/>
          </w:tcPr>
          <w:p w14:paraId="70A85DA0"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1.55</w:t>
            </w:r>
          </w:p>
        </w:tc>
        <w:tc>
          <w:tcPr>
            <w:tcW w:w="1122" w:type="dxa"/>
            <w:tcBorders>
              <w:top w:val="nil"/>
              <w:left w:val="nil"/>
              <w:bottom w:val="nil"/>
              <w:right w:val="nil"/>
            </w:tcBorders>
            <w:shd w:val="clear" w:color="auto" w:fill="auto"/>
            <w:noWrap/>
            <w:vAlign w:val="center"/>
            <w:hideMark/>
          </w:tcPr>
          <w:p w14:paraId="061CBD90"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2.40</w:t>
            </w:r>
          </w:p>
        </w:tc>
      </w:tr>
      <w:tr w:rsidR="00E6060C" w:rsidRPr="00E6060C" w14:paraId="758407CB" w14:textId="77777777" w:rsidTr="0054677C">
        <w:trPr>
          <w:trHeight w:val="322"/>
        </w:trPr>
        <w:tc>
          <w:tcPr>
            <w:tcW w:w="1626" w:type="dxa"/>
            <w:tcBorders>
              <w:top w:val="nil"/>
              <w:left w:val="nil"/>
              <w:bottom w:val="nil"/>
              <w:right w:val="nil"/>
            </w:tcBorders>
            <w:shd w:val="clear" w:color="auto" w:fill="auto"/>
            <w:vAlign w:val="center"/>
            <w:hideMark/>
          </w:tcPr>
          <w:p w14:paraId="1322D3F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726" w:type="dxa"/>
            <w:tcBorders>
              <w:top w:val="nil"/>
              <w:left w:val="nil"/>
              <w:bottom w:val="nil"/>
              <w:right w:val="nil"/>
            </w:tcBorders>
            <w:shd w:val="clear" w:color="auto" w:fill="auto"/>
            <w:noWrap/>
            <w:vAlign w:val="center"/>
            <w:hideMark/>
          </w:tcPr>
          <w:p w14:paraId="3A2B606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44</w:t>
            </w:r>
          </w:p>
        </w:tc>
        <w:tc>
          <w:tcPr>
            <w:tcW w:w="874" w:type="dxa"/>
            <w:tcBorders>
              <w:top w:val="nil"/>
              <w:left w:val="nil"/>
              <w:bottom w:val="nil"/>
              <w:right w:val="nil"/>
            </w:tcBorders>
            <w:shd w:val="clear" w:color="auto" w:fill="auto"/>
            <w:noWrap/>
            <w:vAlign w:val="center"/>
            <w:hideMark/>
          </w:tcPr>
          <w:p w14:paraId="2D1E6B4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2.57</w:t>
            </w:r>
          </w:p>
        </w:tc>
        <w:tc>
          <w:tcPr>
            <w:tcW w:w="841" w:type="dxa"/>
            <w:tcBorders>
              <w:top w:val="nil"/>
              <w:left w:val="nil"/>
              <w:bottom w:val="nil"/>
              <w:right w:val="nil"/>
            </w:tcBorders>
            <w:shd w:val="clear" w:color="auto" w:fill="auto"/>
            <w:noWrap/>
            <w:vAlign w:val="center"/>
            <w:hideMark/>
          </w:tcPr>
          <w:p w14:paraId="030608B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.82</w:t>
            </w:r>
          </w:p>
        </w:tc>
        <w:tc>
          <w:tcPr>
            <w:tcW w:w="726" w:type="dxa"/>
            <w:tcBorders>
              <w:top w:val="nil"/>
              <w:left w:val="nil"/>
              <w:bottom w:val="nil"/>
              <w:right w:val="nil"/>
            </w:tcBorders>
            <w:shd w:val="clear" w:color="auto" w:fill="auto"/>
            <w:noWrap/>
            <w:vAlign w:val="center"/>
            <w:hideMark/>
          </w:tcPr>
          <w:p w14:paraId="1989155F"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.12</w:t>
            </w:r>
          </w:p>
        </w:tc>
        <w:tc>
          <w:tcPr>
            <w:tcW w:w="1078" w:type="dxa"/>
            <w:tcBorders>
              <w:top w:val="nil"/>
              <w:left w:val="nil"/>
              <w:bottom w:val="nil"/>
              <w:right w:val="nil"/>
            </w:tcBorders>
            <w:shd w:val="clear" w:color="auto" w:fill="auto"/>
            <w:noWrap/>
            <w:vAlign w:val="center"/>
            <w:hideMark/>
          </w:tcPr>
          <w:p w14:paraId="3B059C88"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w:t>
            </w:r>
          </w:p>
        </w:tc>
        <w:tc>
          <w:tcPr>
            <w:tcW w:w="841" w:type="dxa"/>
            <w:tcBorders>
              <w:top w:val="nil"/>
              <w:left w:val="nil"/>
              <w:bottom w:val="nil"/>
              <w:right w:val="nil"/>
            </w:tcBorders>
            <w:shd w:val="clear" w:color="auto" w:fill="auto"/>
            <w:noWrap/>
            <w:vAlign w:val="center"/>
            <w:hideMark/>
          </w:tcPr>
          <w:p w14:paraId="6152CEAB"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nil"/>
              <w:right w:val="nil"/>
            </w:tcBorders>
            <w:shd w:val="clear" w:color="auto" w:fill="auto"/>
            <w:noWrap/>
            <w:vAlign w:val="center"/>
            <w:hideMark/>
          </w:tcPr>
          <w:p w14:paraId="40CF57FA"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4.00</w:t>
            </w:r>
          </w:p>
        </w:tc>
        <w:tc>
          <w:tcPr>
            <w:tcW w:w="841" w:type="dxa"/>
            <w:tcBorders>
              <w:top w:val="nil"/>
              <w:left w:val="nil"/>
              <w:bottom w:val="nil"/>
              <w:right w:val="nil"/>
            </w:tcBorders>
            <w:shd w:val="clear" w:color="auto" w:fill="auto"/>
            <w:noWrap/>
            <w:vAlign w:val="center"/>
            <w:hideMark/>
          </w:tcPr>
          <w:p w14:paraId="6D6EF43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41" w:type="dxa"/>
            <w:tcBorders>
              <w:top w:val="nil"/>
              <w:left w:val="nil"/>
              <w:bottom w:val="nil"/>
              <w:right w:val="nil"/>
            </w:tcBorders>
            <w:shd w:val="clear" w:color="auto" w:fill="auto"/>
            <w:noWrap/>
            <w:vAlign w:val="center"/>
            <w:hideMark/>
          </w:tcPr>
          <w:p w14:paraId="549B355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w:t>
            </w:r>
          </w:p>
        </w:tc>
        <w:tc>
          <w:tcPr>
            <w:tcW w:w="851" w:type="dxa"/>
            <w:tcBorders>
              <w:top w:val="nil"/>
              <w:left w:val="nil"/>
              <w:bottom w:val="nil"/>
              <w:right w:val="nil"/>
            </w:tcBorders>
            <w:shd w:val="clear" w:color="auto" w:fill="auto"/>
            <w:noWrap/>
            <w:vAlign w:val="center"/>
            <w:hideMark/>
          </w:tcPr>
          <w:p w14:paraId="6159811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w:t>
            </w:r>
          </w:p>
        </w:tc>
        <w:tc>
          <w:tcPr>
            <w:tcW w:w="1297" w:type="dxa"/>
            <w:tcBorders>
              <w:top w:val="nil"/>
              <w:left w:val="nil"/>
              <w:bottom w:val="nil"/>
              <w:right w:val="nil"/>
            </w:tcBorders>
            <w:shd w:val="clear" w:color="auto" w:fill="auto"/>
            <w:noWrap/>
            <w:vAlign w:val="center"/>
            <w:hideMark/>
          </w:tcPr>
          <w:p w14:paraId="41BA950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-.36</w:t>
            </w:r>
          </w:p>
        </w:tc>
        <w:tc>
          <w:tcPr>
            <w:tcW w:w="1122" w:type="dxa"/>
            <w:tcBorders>
              <w:top w:val="nil"/>
              <w:left w:val="nil"/>
              <w:bottom w:val="nil"/>
              <w:right w:val="nil"/>
            </w:tcBorders>
            <w:shd w:val="clear" w:color="auto" w:fill="auto"/>
            <w:noWrap/>
            <w:vAlign w:val="center"/>
            <w:hideMark/>
          </w:tcPr>
          <w:p w14:paraId="2DF39AB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-.29</w:t>
            </w:r>
          </w:p>
        </w:tc>
      </w:tr>
      <w:tr w:rsidR="00E6060C" w:rsidRPr="00E6060C" w14:paraId="4F1DC4A7" w14:textId="77777777" w:rsidTr="0054677C">
        <w:trPr>
          <w:trHeight w:val="142"/>
        </w:trPr>
        <w:tc>
          <w:tcPr>
            <w:tcW w:w="1626" w:type="dxa"/>
            <w:tcBorders>
              <w:top w:val="nil"/>
              <w:left w:val="nil"/>
              <w:bottom w:val="nil"/>
              <w:right w:val="nil"/>
            </w:tcBorders>
            <w:shd w:val="clear" w:color="auto" w:fill="auto"/>
            <w:vAlign w:val="center"/>
            <w:hideMark/>
          </w:tcPr>
          <w:p w14:paraId="652BED5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Hierarchical level</w:t>
            </w:r>
          </w:p>
        </w:tc>
        <w:tc>
          <w:tcPr>
            <w:tcW w:w="726" w:type="dxa"/>
            <w:tcBorders>
              <w:top w:val="nil"/>
              <w:left w:val="nil"/>
              <w:bottom w:val="nil"/>
              <w:right w:val="nil"/>
            </w:tcBorders>
            <w:shd w:val="clear" w:color="auto" w:fill="auto"/>
            <w:noWrap/>
            <w:vAlign w:val="center"/>
            <w:hideMark/>
          </w:tcPr>
          <w:p w14:paraId="613DAA9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44</w:t>
            </w:r>
          </w:p>
        </w:tc>
        <w:tc>
          <w:tcPr>
            <w:tcW w:w="874" w:type="dxa"/>
            <w:tcBorders>
              <w:top w:val="nil"/>
              <w:left w:val="nil"/>
              <w:bottom w:val="nil"/>
              <w:right w:val="nil"/>
            </w:tcBorders>
            <w:shd w:val="clear" w:color="auto" w:fill="auto"/>
            <w:noWrap/>
            <w:vAlign w:val="center"/>
            <w:hideMark/>
          </w:tcPr>
          <w:p w14:paraId="15C5C689"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3.59</w:t>
            </w:r>
          </w:p>
        </w:tc>
        <w:tc>
          <w:tcPr>
            <w:tcW w:w="841" w:type="dxa"/>
            <w:tcBorders>
              <w:top w:val="nil"/>
              <w:left w:val="nil"/>
              <w:bottom w:val="nil"/>
              <w:right w:val="nil"/>
            </w:tcBorders>
            <w:shd w:val="clear" w:color="auto" w:fill="auto"/>
            <w:noWrap/>
            <w:vAlign w:val="center"/>
            <w:hideMark/>
          </w:tcPr>
          <w:p w14:paraId="5F5E3648"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1.81</w:t>
            </w:r>
          </w:p>
        </w:tc>
        <w:tc>
          <w:tcPr>
            <w:tcW w:w="726" w:type="dxa"/>
            <w:tcBorders>
              <w:top w:val="nil"/>
              <w:left w:val="nil"/>
              <w:bottom w:val="nil"/>
              <w:right w:val="nil"/>
            </w:tcBorders>
            <w:shd w:val="clear" w:color="auto" w:fill="auto"/>
            <w:noWrap/>
            <w:vAlign w:val="center"/>
            <w:hideMark/>
          </w:tcPr>
          <w:p w14:paraId="3C55510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.27</w:t>
            </w:r>
          </w:p>
        </w:tc>
        <w:tc>
          <w:tcPr>
            <w:tcW w:w="1078" w:type="dxa"/>
            <w:tcBorders>
              <w:top w:val="nil"/>
              <w:left w:val="nil"/>
              <w:bottom w:val="nil"/>
              <w:right w:val="nil"/>
            </w:tcBorders>
            <w:shd w:val="clear" w:color="auto" w:fill="auto"/>
            <w:noWrap/>
            <w:vAlign w:val="center"/>
            <w:hideMark/>
          </w:tcPr>
          <w:p w14:paraId="30136B5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41" w:type="dxa"/>
            <w:tcBorders>
              <w:top w:val="nil"/>
              <w:left w:val="nil"/>
              <w:bottom w:val="nil"/>
              <w:right w:val="nil"/>
            </w:tcBorders>
            <w:shd w:val="clear" w:color="auto" w:fill="auto"/>
            <w:noWrap/>
            <w:vAlign w:val="center"/>
            <w:hideMark/>
          </w:tcPr>
          <w:p w14:paraId="7408C51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41" w:type="dxa"/>
            <w:tcBorders>
              <w:top w:val="nil"/>
              <w:left w:val="nil"/>
              <w:bottom w:val="nil"/>
              <w:right w:val="nil"/>
            </w:tcBorders>
            <w:shd w:val="clear" w:color="auto" w:fill="auto"/>
            <w:noWrap/>
            <w:vAlign w:val="center"/>
            <w:hideMark/>
          </w:tcPr>
          <w:p w14:paraId="0F7EB65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7.00</w:t>
            </w:r>
          </w:p>
        </w:tc>
        <w:tc>
          <w:tcPr>
            <w:tcW w:w="841" w:type="dxa"/>
            <w:tcBorders>
              <w:top w:val="nil"/>
              <w:left w:val="nil"/>
              <w:bottom w:val="nil"/>
              <w:right w:val="nil"/>
            </w:tcBorders>
            <w:shd w:val="clear" w:color="auto" w:fill="auto"/>
            <w:noWrap/>
            <w:vAlign w:val="center"/>
            <w:hideMark/>
          </w:tcPr>
          <w:p w14:paraId="0B25E22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41" w:type="dxa"/>
            <w:tcBorders>
              <w:top w:val="nil"/>
              <w:left w:val="nil"/>
              <w:bottom w:val="nil"/>
              <w:right w:val="nil"/>
            </w:tcBorders>
            <w:shd w:val="clear" w:color="auto" w:fill="auto"/>
            <w:noWrap/>
            <w:vAlign w:val="center"/>
            <w:hideMark/>
          </w:tcPr>
          <w:p w14:paraId="4760BA2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51" w:type="dxa"/>
            <w:tcBorders>
              <w:top w:val="nil"/>
              <w:left w:val="nil"/>
              <w:bottom w:val="nil"/>
              <w:right w:val="nil"/>
            </w:tcBorders>
            <w:shd w:val="clear" w:color="auto" w:fill="auto"/>
            <w:noWrap/>
            <w:vAlign w:val="center"/>
            <w:hideMark/>
          </w:tcPr>
          <w:p w14:paraId="64D1F31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5.00</w:t>
            </w:r>
          </w:p>
        </w:tc>
        <w:tc>
          <w:tcPr>
            <w:tcW w:w="1297" w:type="dxa"/>
            <w:tcBorders>
              <w:top w:val="nil"/>
              <w:left w:val="nil"/>
              <w:bottom w:val="nil"/>
              <w:right w:val="nil"/>
            </w:tcBorders>
            <w:shd w:val="clear" w:color="auto" w:fill="auto"/>
            <w:noWrap/>
            <w:vAlign w:val="center"/>
            <w:hideMark/>
          </w:tcPr>
          <w:p w14:paraId="65675E1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.48</w:t>
            </w:r>
          </w:p>
        </w:tc>
        <w:tc>
          <w:tcPr>
            <w:tcW w:w="1122" w:type="dxa"/>
            <w:tcBorders>
              <w:top w:val="nil"/>
              <w:left w:val="nil"/>
              <w:bottom w:val="nil"/>
              <w:right w:val="nil"/>
            </w:tcBorders>
            <w:shd w:val="clear" w:color="auto" w:fill="auto"/>
            <w:noWrap/>
            <w:vAlign w:val="center"/>
            <w:hideMark/>
          </w:tcPr>
          <w:p w14:paraId="4990B28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-1.38</w:t>
            </w:r>
          </w:p>
        </w:tc>
      </w:tr>
      <w:tr w:rsidR="00E6060C" w:rsidRPr="00E6060C" w14:paraId="08426425" w14:textId="77777777" w:rsidTr="0054677C">
        <w:trPr>
          <w:trHeight w:val="79"/>
        </w:trPr>
        <w:tc>
          <w:tcPr>
            <w:tcW w:w="1626" w:type="dxa"/>
            <w:tcBorders>
              <w:top w:val="nil"/>
              <w:left w:val="nil"/>
              <w:bottom w:val="nil"/>
              <w:right w:val="nil"/>
            </w:tcBorders>
            <w:shd w:val="clear" w:color="auto" w:fill="auto"/>
            <w:vAlign w:val="center"/>
            <w:hideMark/>
          </w:tcPr>
          <w:p w14:paraId="440E0BD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Time qualified (yrs)</w:t>
            </w:r>
          </w:p>
        </w:tc>
        <w:tc>
          <w:tcPr>
            <w:tcW w:w="726" w:type="dxa"/>
            <w:tcBorders>
              <w:top w:val="nil"/>
              <w:left w:val="nil"/>
              <w:bottom w:val="nil"/>
              <w:right w:val="nil"/>
            </w:tcBorders>
            <w:shd w:val="clear" w:color="auto" w:fill="auto"/>
            <w:noWrap/>
            <w:vAlign w:val="center"/>
            <w:hideMark/>
          </w:tcPr>
          <w:p w14:paraId="69E81FE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18</w:t>
            </w:r>
          </w:p>
        </w:tc>
        <w:tc>
          <w:tcPr>
            <w:tcW w:w="874" w:type="dxa"/>
            <w:tcBorders>
              <w:top w:val="nil"/>
              <w:left w:val="nil"/>
              <w:bottom w:val="nil"/>
              <w:right w:val="nil"/>
            </w:tcBorders>
            <w:shd w:val="clear" w:color="auto" w:fill="auto"/>
            <w:noWrap/>
            <w:vAlign w:val="center"/>
            <w:hideMark/>
          </w:tcPr>
          <w:p w14:paraId="091CA5A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3.17</w:t>
            </w:r>
          </w:p>
        </w:tc>
        <w:tc>
          <w:tcPr>
            <w:tcW w:w="841" w:type="dxa"/>
            <w:tcBorders>
              <w:top w:val="nil"/>
              <w:left w:val="nil"/>
              <w:bottom w:val="nil"/>
              <w:right w:val="nil"/>
            </w:tcBorders>
            <w:shd w:val="clear" w:color="auto" w:fill="auto"/>
            <w:noWrap/>
            <w:vAlign w:val="center"/>
            <w:hideMark/>
          </w:tcPr>
          <w:p w14:paraId="2B0ADA9F"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1.34</w:t>
            </w:r>
          </w:p>
        </w:tc>
        <w:tc>
          <w:tcPr>
            <w:tcW w:w="726" w:type="dxa"/>
            <w:tcBorders>
              <w:top w:val="nil"/>
              <w:left w:val="nil"/>
              <w:bottom w:val="nil"/>
              <w:right w:val="nil"/>
            </w:tcBorders>
            <w:shd w:val="clear" w:color="auto" w:fill="auto"/>
            <w:noWrap/>
            <w:vAlign w:val="center"/>
            <w:hideMark/>
          </w:tcPr>
          <w:p w14:paraId="5A71C40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.32</w:t>
            </w:r>
          </w:p>
        </w:tc>
        <w:tc>
          <w:tcPr>
            <w:tcW w:w="1078" w:type="dxa"/>
            <w:tcBorders>
              <w:top w:val="nil"/>
              <w:left w:val="nil"/>
              <w:bottom w:val="nil"/>
              <w:right w:val="nil"/>
            </w:tcBorders>
            <w:shd w:val="clear" w:color="auto" w:fill="auto"/>
            <w:noWrap/>
            <w:vAlign w:val="center"/>
            <w:hideMark/>
          </w:tcPr>
          <w:p w14:paraId="597A183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w:t>
            </w:r>
          </w:p>
        </w:tc>
        <w:tc>
          <w:tcPr>
            <w:tcW w:w="841" w:type="dxa"/>
            <w:tcBorders>
              <w:top w:val="nil"/>
              <w:left w:val="nil"/>
              <w:bottom w:val="nil"/>
              <w:right w:val="nil"/>
            </w:tcBorders>
            <w:shd w:val="clear" w:color="auto" w:fill="auto"/>
            <w:noWrap/>
            <w:vAlign w:val="center"/>
            <w:hideMark/>
          </w:tcPr>
          <w:p w14:paraId="3BFF970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nil"/>
              <w:right w:val="nil"/>
            </w:tcBorders>
            <w:shd w:val="clear" w:color="auto" w:fill="auto"/>
            <w:noWrap/>
            <w:vAlign w:val="center"/>
            <w:hideMark/>
          </w:tcPr>
          <w:p w14:paraId="57519EF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5.00</w:t>
            </w:r>
          </w:p>
        </w:tc>
        <w:tc>
          <w:tcPr>
            <w:tcW w:w="841" w:type="dxa"/>
            <w:tcBorders>
              <w:top w:val="nil"/>
              <w:left w:val="nil"/>
              <w:bottom w:val="nil"/>
              <w:right w:val="nil"/>
            </w:tcBorders>
            <w:shd w:val="clear" w:color="auto" w:fill="auto"/>
            <w:noWrap/>
            <w:vAlign w:val="center"/>
            <w:hideMark/>
          </w:tcPr>
          <w:p w14:paraId="714D39A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2.00</w:t>
            </w:r>
          </w:p>
        </w:tc>
        <w:tc>
          <w:tcPr>
            <w:tcW w:w="841" w:type="dxa"/>
            <w:tcBorders>
              <w:top w:val="nil"/>
              <w:left w:val="nil"/>
              <w:bottom w:val="nil"/>
              <w:right w:val="nil"/>
            </w:tcBorders>
            <w:shd w:val="clear" w:color="auto" w:fill="auto"/>
            <w:noWrap/>
            <w:vAlign w:val="center"/>
            <w:hideMark/>
          </w:tcPr>
          <w:p w14:paraId="3AA8E10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w:t>
            </w:r>
          </w:p>
        </w:tc>
        <w:tc>
          <w:tcPr>
            <w:tcW w:w="851" w:type="dxa"/>
            <w:tcBorders>
              <w:top w:val="nil"/>
              <w:left w:val="nil"/>
              <w:bottom w:val="nil"/>
              <w:right w:val="nil"/>
            </w:tcBorders>
            <w:shd w:val="clear" w:color="auto" w:fill="auto"/>
            <w:noWrap/>
            <w:vAlign w:val="center"/>
            <w:hideMark/>
          </w:tcPr>
          <w:p w14:paraId="7BCCC59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5.00</w:t>
            </w:r>
          </w:p>
        </w:tc>
        <w:tc>
          <w:tcPr>
            <w:tcW w:w="1297" w:type="dxa"/>
            <w:tcBorders>
              <w:top w:val="nil"/>
              <w:left w:val="nil"/>
              <w:bottom w:val="nil"/>
              <w:right w:val="nil"/>
            </w:tcBorders>
            <w:shd w:val="clear" w:color="auto" w:fill="auto"/>
            <w:noWrap/>
            <w:vAlign w:val="center"/>
            <w:hideMark/>
          </w:tcPr>
          <w:p w14:paraId="79C5371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.32</w:t>
            </w:r>
          </w:p>
        </w:tc>
        <w:tc>
          <w:tcPr>
            <w:tcW w:w="1122" w:type="dxa"/>
            <w:tcBorders>
              <w:top w:val="nil"/>
              <w:left w:val="nil"/>
              <w:bottom w:val="nil"/>
              <w:right w:val="nil"/>
            </w:tcBorders>
            <w:shd w:val="clear" w:color="auto" w:fill="auto"/>
            <w:noWrap/>
            <w:vAlign w:val="center"/>
            <w:hideMark/>
          </w:tcPr>
          <w:p w14:paraId="1DDED29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-1.27</w:t>
            </w:r>
          </w:p>
        </w:tc>
      </w:tr>
      <w:tr w:rsidR="00E6060C" w:rsidRPr="00E6060C" w14:paraId="3BCF37E8" w14:textId="77777777" w:rsidTr="0054677C">
        <w:trPr>
          <w:trHeight w:val="242"/>
        </w:trPr>
        <w:tc>
          <w:tcPr>
            <w:tcW w:w="1626" w:type="dxa"/>
            <w:tcBorders>
              <w:top w:val="nil"/>
              <w:left w:val="nil"/>
              <w:bottom w:val="nil"/>
              <w:right w:val="nil"/>
            </w:tcBorders>
            <w:shd w:val="clear" w:color="auto" w:fill="auto"/>
            <w:vAlign w:val="center"/>
            <w:hideMark/>
          </w:tcPr>
          <w:p w14:paraId="76089F2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Education level</w:t>
            </w:r>
          </w:p>
        </w:tc>
        <w:tc>
          <w:tcPr>
            <w:tcW w:w="726" w:type="dxa"/>
            <w:tcBorders>
              <w:top w:val="nil"/>
              <w:left w:val="nil"/>
              <w:bottom w:val="nil"/>
              <w:right w:val="nil"/>
            </w:tcBorders>
            <w:shd w:val="clear" w:color="auto" w:fill="auto"/>
            <w:noWrap/>
            <w:vAlign w:val="center"/>
            <w:hideMark/>
          </w:tcPr>
          <w:p w14:paraId="43CD9DF7"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36</w:t>
            </w:r>
          </w:p>
        </w:tc>
        <w:tc>
          <w:tcPr>
            <w:tcW w:w="874" w:type="dxa"/>
            <w:tcBorders>
              <w:top w:val="nil"/>
              <w:left w:val="nil"/>
              <w:bottom w:val="nil"/>
              <w:right w:val="nil"/>
            </w:tcBorders>
            <w:shd w:val="clear" w:color="auto" w:fill="auto"/>
            <w:noWrap/>
            <w:vAlign w:val="center"/>
            <w:hideMark/>
          </w:tcPr>
          <w:p w14:paraId="4231D2A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4.08</w:t>
            </w:r>
          </w:p>
        </w:tc>
        <w:tc>
          <w:tcPr>
            <w:tcW w:w="841" w:type="dxa"/>
            <w:tcBorders>
              <w:top w:val="nil"/>
              <w:left w:val="nil"/>
              <w:bottom w:val="nil"/>
              <w:right w:val="nil"/>
            </w:tcBorders>
            <w:shd w:val="clear" w:color="auto" w:fill="auto"/>
            <w:noWrap/>
            <w:vAlign w:val="center"/>
            <w:hideMark/>
          </w:tcPr>
          <w:p w14:paraId="0C6AA31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1.34</w:t>
            </w:r>
          </w:p>
        </w:tc>
        <w:tc>
          <w:tcPr>
            <w:tcW w:w="726" w:type="dxa"/>
            <w:tcBorders>
              <w:top w:val="nil"/>
              <w:left w:val="nil"/>
              <w:bottom w:val="nil"/>
              <w:right w:val="nil"/>
            </w:tcBorders>
            <w:shd w:val="clear" w:color="auto" w:fill="auto"/>
            <w:noWrap/>
            <w:vAlign w:val="center"/>
            <w:hideMark/>
          </w:tcPr>
          <w:p w14:paraId="7200589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.22</w:t>
            </w:r>
          </w:p>
        </w:tc>
        <w:tc>
          <w:tcPr>
            <w:tcW w:w="1078" w:type="dxa"/>
            <w:tcBorders>
              <w:top w:val="nil"/>
              <w:left w:val="nil"/>
              <w:bottom w:val="nil"/>
              <w:right w:val="nil"/>
            </w:tcBorders>
            <w:shd w:val="clear" w:color="auto" w:fill="auto"/>
            <w:noWrap/>
            <w:vAlign w:val="center"/>
            <w:hideMark/>
          </w:tcPr>
          <w:p w14:paraId="1253768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4.00</w:t>
            </w:r>
          </w:p>
        </w:tc>
        <w:tc>
          <w:tcPr>
            <w:tcW w:w="841" w:type="dxa"/>
            <w:tcBorders>
              <w:top w:val="nil"/>
              <w:left w:val="nil"/>
              <w:bottom w:val="nil"/>
              <w:right w:val="nil"/>
            </w:tcBorders>
            <w:shd w:val="clear" w:color="auto" w:fill="auto"/>
            <w:noWrap/>
            <w:vAlign w:val="center"/>
            <w:hideMark/>
          </w:tcPr>
          <w:p w14:paraId="26F681E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nil"/>
              <w:right w:val="nil"/>
            </w:tcBorders>
            <w:shd w:val="clear" w:color="auto" w:fill="auto"/>
            <w:noWrap/>
            <w:vAlign w:val="center"/>
            <w:hideMark/>
          </w:tcPr>
          <w:p w14:paraId="59E1DCC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7.00</w:t>
            </w:r>
          </w:p>
        </w:tc>
        <w:tc>
          <w:tcPr>
            <w:tcW w:w="841" w:type="dxa"/>
            <w:tcBorders>
              <w:top w:val="nil"/>
              <w:left w:val="nil"/>
              <w:bottom w:val="nil"/>
              <w:right w:val="nil"/>
            </w:tcBorders>
            <w:shd w:val="clear" w:color="auto" w:fill="auto"/>
            <w:noWrap/>
            <w:vAlign w:val="center"/>
            <w:hideMark/>
          </w:tcPr>
          <w:p w14:paraId="48E0573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3.00</w:t>
            </w:r>
          </w:p>
        </w:tc>
        <w:tc>
          <w:tcPr>
            <w:tcW w:w="841" w:type="dxa"/>
            <w:tcBorders>
              <w:top w:val="nil"/>
              <w:left w:val="nil"/>
              <w:bottom w:val="nil"/>
              <w:right w:val="nil"/>
            </w:tcBorders>
            <w:shd w:val="clear" w:color="auto" w:fill="auto"/>
            <w:noWrap/>
            <w:vAlign w:val="center"/>
            <w:hideMark/>
          </w:tcPr>
          <w:p w14:paraId="617E183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4.00</w:t>
            </w:r>
          </w:p>
        </w:tc>
        <w:tc>
          <w:tcPr>
            <w:tcW w:w="851" w:type="dxa"/>
            <w:tcBorders>
              <w:top w:val="nil"/>
              <w:left w:val="nil"/>
              <w:bottom w:val="nil"/>
              <w:right w:val="nil"/>
            </w:tcBorders>
            <w:shd w:val="clear" w:color="auto" w:fill="auto"/>
            <w:noWrap/>
            <w:vAlign w:val="center"/>
            <w:hideMark/>
          </w:tcPr>
          <w:p w14:paraId="3D74DEC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5.00</w:t>
            </w:r>
          </w:p>
        </w:tc>
        <w:tc>
          <w:tcPr>
            <w:tcW w:w="1297" w:type="dxa"/>
            <w:tcBorders>
              <w:top w:val="nil"/>
              <w:left w:val="nil"/>
              <w:bottom w:val="nil"/>
              <w:right w:val="nil"/>
            </w:tcBorders>
            <w:shd w:val="clear" w:color="auto" w:fill="auto"/>
            <w:noWrap/>
            <w:vAlign w:val="center"/>
            <w:hideMark/>
          </w:tcPr>
          <w:p w14:paraId="4792A95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-.01</w:t>
            </w:r>
          </w:p>
        </w:tc>
        <w:tc>
          <w:tcPr>
            <w:tcW w:w="1122" w:type="dxa"/>
            <w:tcBorders>
              <w:top w:val="nil"/>
              <w:left w:val="nil"/>
              <w:bottom w:val="nil"/>
              <w:right w:val="nil"/>
            </w:tcBorders>
            <w:shd w:val="clear" w:color="auto" w:fill="auto"/>
            <w:noWrap/>
            <w:vAlign w:val="center"/>
            <w:hideMark/>
          </w:tcPr>
          <w:p w14:paraId="6076776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.15</w:t>
            </w:r>
          </w:p>
        </w:tc>
      </w:tr>
      <w:tr w:rsidR="00E6060C" w:rsidRPr="00E6060C" w14:paraId="4816BA81" w14:textId="77777777" w:rsidTr="0054677C">
        <w:trPr>
          <w:trHeight w:val="322"/>
        </w:trPr>
        <w:tc>
          <w:tcPr>
            <w:tcW w:w="1626" w:type="dxa"/>
            <w:tcBorders>
              <w:top w:val="nil"/>
              <w:left w:val="nil"/>
              <w:bottom w:val="nil"/>
              <w:right w:val="nil"/>
            </w:tcBorders>
            <w:shd w:val="clear" w:color="auto" w:fill="auto"/>
            <w:vAlign w:val="center"/>
            <w:hideMark/>
          </w:tcPr>
          <w:p w14:paraId="17A08D6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Manager</w:t>
            </w:r>
          </w:p>
        </w:tc>
        <w:tc>
          <w:tcPr>
            <w:tcW w:w="726" w:type="dxa"/>
            <w:tcBorders>
              <w:top w:val="nil"/>
              <w:left w:val="nil"/>
              <w:bottom w:val="nil"/>
              <w:right w:val="nil"/>
            </w:tcBorders>
            <w:shd w:val="clear" w:color="auto" w:fill="auto"/>
            <w:noWrap/>
            <w:vAlign w:val="center"/>
            <w:hideMark/>
          </w:tcPr>
          <w:p w14:paraId="055EA01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41</w:t>
            </w:r>
          </w:p>
        </w:tc>
        <w:tc>
          <w:tcPr>
            <w:tcW w:w="874" w:type="dxa"/>
            <w:tcBorders>
              <w:top w:val="nil"/>
              <w:left w:val="nil"/>
              <w:bottom w:val="nil"/>
              <w:right w:val="nil"/>
            </w:tcBorders>
            <w:shd w:val="clear" w:color="auto" w:fill="auto"/>
            <w:noWrap/>
            <w:vAlign w:val="center"/>
            <w:hideMark/>
          </w:tcPr>
          <w:p w14:paraId="1A312246"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.34</w:t>
            </w:r>
          </w:p>
        </w:tc>
        <w:tc>
          <w:tcPr>
            <w:tcW w:w="841" w:type="dxa"/>
            <w:tcBorders>
              <w:top w:val="nil"/>
              <w:left w:val="nil"/>
              <w:bottom w:val="nil"/>
              <w:right w:val="nil"/>
            </w:tcBorders>
            <w:shd w:val="clear" w:color="auto" w:fill="auto"/>
            <w:noWrap/>
            <w:vAlign w:val="center"/>
            <w:hideMark/>
          </w:tcPr>
          <w:p w14:paraId="69FC919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.48</w:t>
            </w:r>
          </w:p>
        </w:tc>
        <w:tc>
          <w:tcPr>
            <w:tcW w:w="726" w:type="dxa"/>
            <w:tcBorders>
              <w:top w:val="nil"/>
              <w:left w:val="nil"/>
              <w:bottom w:val="nil"/>
              <w:right w:val="nil"/>
            </w:tcBorders>
            <w:shd w:val="clear" w:color="auto" w:fill="auto"/>
            <w:noWrap/>
            <w:vAlign w:val="center"/>
            <w:hideMark/>
          </w:tcPr>
          <w:p w14:paraId="19698C7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.07</w:t>
            </w:r>
          </w:p>
        </w:tc>
        <w:tc>
          <w:tcPr>
            <w:tcW w:w="1078" w:type="dxa"/>
            <w:tcBorders>
              <w:top w:val="nil"/>
              <w:left w:val="nil"/>
              <w:bottom w:val="nil"/>
              <w:right w:val="nil"/>
            </w:tcBorders>
            <w:shd w:val="clear" w:color="auto" w:fill="auto"/>
            <w:noWrap/>
            <w:vAlign w:val="center"/>
            <w:hideMark/>
          </w:tcPr>
          <w:p w14:paraId="013DB54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3761142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224FEDF3"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nil"/>
              <w:right w:val="nil"/>
            </w:tcBorders>
            <w:shd w:val="clear" w:color="auto" w:fill="auto"/>
            <w:noWrap/>
            <w:vAlign w:val="center"/>
            <w:hideMark/>
          </w:tcPr>
          <w:p w14:paraId="6F683BEC"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nil"/>
              <w:right w:val="nil"/>
            </w:tcBorders>
            <w:shd w:val="clear" w:color="auto" w:fill="auto"/>
            <w:noWrap/>
            <w:vAlign w:val="center"/>
            <w:hideMark/>
          </w:tcPr>
          <w:p w14:paraId="0CCFB2D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51" w:type="dxa"/>
            <w:tcBorders>
              <w:top w:val="nil"/>
              <w:left w:val="nil"/>
              <w:bottom w:val="nil"/>
              <w:right w:val="nil"/>
            </w:tcBorders>
            <w:shd w:val="clear" w:color="auto" w:fill="auto"/>
            <w:noWrap/>
            <w:vAlign w:val="center"/>
            <w:hideMark/>
          </w:tcPr>
          <w:p w14:paraId="170D91F1"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1297" w:type="dxa"/>
            <w:tcBorders>
              <w:top w:val="nil"/>
              <w:left w:val="nil"/>
              <w:bottom w:val="nil"/>
              <w:right w:val="nil"/>
            </w:tcBorders>
            <w:shd w:val="clear" w:color="auto" w:fill="auto"/>
            <w:noWrap/>
            <w:vAlign w:val="center"/>
            <w:hideMark/>
          </w:tcPr>
          <w:p w14:paraId="7EA4933A"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.69</w:t>
            </w:r>
          </w:p>
        </w:tc>
        <w:tc>
          <w:tcPr>
            <w:tcW w:w="1122" w:type="dxa"/>
            <w:tcBorders>
              <w:top w:val="nil"/>
              <w:left w:val="nil"/>
              <w:bottom w:val="nil"/>
              <w:right w:val="nil"/>
            </w:tcBorders>
            <w:shd w:val="clear" w:color="auto" w:fill="auto"/>
            <w:noWrap/>
            <w:vAlign w:val="center"/>
            <w:hideMark/>
          </w:tcPr>
          <w:p w14:paraId="0AB11F9F"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-1.60</w:t>
            </w:r>
          </w:p>
        </w:tc>
      </w:tr>
      <w:tr w:rsidR="00E6060C" w:rsidRPr="00E6060C" w14:paraId="718B3AD0" w14:textId="77777777" w:rsidTr="0054677C">
        <w:trPr>
          <w:trHeight w:val="322"/>
        </w:trPr>
        <w:tc>
          <w:tcPr>
            <w:tcW w:w="1626" w:type="dxa"/>
            <w:tcBorders>
              <w:top w:val="nil"/>
              <w:left w:val="nil"/>
              <w:bottom w:val="single" w:sz="4" w:space="0" w:color="auto"/>
              <w:right w:val="nil"/>
            </w:tcBorders>
            <w:shd w:val="clear" w:color="auto" w:fill="auto"/>
            <w:vAlign w:val="center"/>
            <w:hideMark/>
          </w:tcPr>
          <w:p w14:paraId="2AFDB2F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FT/PT</w:t>
            </w:r>
          </w:p>
        </w:tc>
        <w:tc>
          <w:tcPr>
            <w:tcW w:w="726" w:type="dxa"/>
            <w:tcBorders>
              <w:top w:val="nil"/>
              <w:left w:val="nil"/>
              <w:bottom w:val="single" w:sz="4" w:space="0" w:color="auto"/>
              <w:right w:val="nil"/>
            </w:tcBorders>
            <w:shd w:val="clear" w:color="auto" w:fill="auto"/>
            <w:noWrap/>
            <w:vAlign w:val="center"/>
            <w:hideMark/>
          </w:tcPr>
          <w:p w14:paraId="61C882BA"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45</w:t>
            </w:r>
          </w:p>
        </w:tc>
        <w:tc>
          <w:tcPr>
            <w:tcW w:w="874" w:type="dxa"/>
            <w:tcBorders>
              <w:top w:val="nil"/>
              <w:left w:val="nil"/>
              <w:bottom w:val="single" w:sz="4" w:space="0" w:color="auto"/>
              <w:right w:val="nil"/>
            </w:tcBorders>
            <w:shd w:val="clear" w:color="auto" w:fill="auto"/>
            <w:noWrap/>
            <w:vAlign w:val="center"/>
            <w:hideMark/>
          </w:tcPr>
          <w:p w14:paraId="644C0C3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.60</w:t>
            </w:r>
          </w:p>
        </w:tc>
        <w:tc>
          <w:tcPr>
            <w:tcW w:w="841" w:type="dxa"/>
            <w:tcBorders>
              <w:top w:val="nil"/>
              <w:left w:val="nil"/>
              <w:bottom w:val="single" w:sz="4" w:space="0" w:color="auto"/>
              <w:right w:val="nil"/>
            </w:tcBorders>
            <w:shd w:val="clear" w:color="auto" w:fill="auto"/>
            <w:noWrap/>
            <w:vAlign w:val="center"/>
            <w:hideMark/>
          </w:tcPr>
          <w:p w14:paraId="547D4A02"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.50</w:t>
            </w:r>
          </w:p>
        </w:tc>
        <w:tc>
          <w:tcPr>
            <w:tcW w:w="726" w:type="dxa"/>
            <w:tcBorders>
              <w:top w:val="nil"/>
              <w:left w:val="nil"/>
              <w:bottom w:val="single" w:sz="4" w:space="0" w:color="auto"/>
              <w:right w:val="nil"/>
            </w:tcBorders>
            <w:shd w:val="clear" w:color="auto" w:fill="auto"/>
            <w:noWrap/>
            <w:vAlign w:val="center"/>
            <w:hideMark/>
          </w:tcPr>
          <w:p w14:paraId="658D191F"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.07</w:t>
            </w:r>
          </w:p>
        </w:tc>
        <w:tc>
          <w:tcPr>
            <w:tcW w:w="1078" w:type="dxa"/>
            <w:tcBorders>
              <w:top w:val="nil"/>
              <w:left w:val="nil"/>
              <w:bottom w:val="single" w:sz="4" w:space="0" w:color="auto"/>
              <w:right w:val="nil"/>
            </w:tcBorders>
            <w:shd w:val="clear" w:color="auto" w:fill="auto"/>
            <w:noWrap/>
            <w:vAlign w:val="center"/>
            <w:hideMark/>
          </w:tcPr>
          <w:p w14:paraId="7109B7C4"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single" w:sz="4" w:space="0" w:color="auto"/>
              <w:right w:val="nil"/>
            </w:tcBorders>
            <w:shd w:val="clear" w:color="auto" w:fill="auto"/>
            <w:noWrap/>
            <w:vAlign w:val="center"/>
            <w:hideMark/>
          </w:tcPr>
          <w:p w14:paraId="1CDBBD8F"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single" w:sz="4" w:space="0" w:color="auto"/>
              <w:right w:val="nil"/>
            </w:tcBorders>
            <w:shd w:val="clear" w:color="auto" w:fill="auto"/>
            <w:noWrap/>
            <w:vAlign w:val="center"/>
            <w:hideMark/>
          </w:tcPr>
          <w:p w14:paraId="3503EB6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41" w:type="dxa"/>
            <w:tcBorders>
              <w:top w:val="nil"/>
              <w:left w:val="nil"/>
              <w:bottom w:val="single" w:sz="4" w:space="0" w:color="auto"/>
              <w:right w:val="nil"/>
            </w:tcBorders>
            <w:shd w:val="clear" w:color="auto" w:fill="auto"/>
            <w:noWrap/>
            <w:vAlign w:val="center"/>
            <w:hideMark/>
          </w:tcPr>
          <w:p w14:paraId="726A505D"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.00</w:t>
            </w:r>
          </w:p>
        </w:tc>
        <w:tc>
          <w:tcPr>
            <w:tcW w:w="841" w:type="dxa"/>
            <w:tcBorders>
              <w:top w:val="nil"/>
              <w:left w:val="nil"/>
              <w:bottom w:val="single" w:sz="4" w:space="0" w:color="auto"/>
              <w:right w:val="nil"/>
            </w:tcBorders>
            <w:shd w:val="clear" w:color="auto" w:fill="auto"/>
            <w:noWrap/>
            <w:vAlign w:val="center"/>
            <w:hideMark/>
          </w:tcPr>
          <w:p w14:paraId="7399F558"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851" w:type="dxa"/>
            <w:tcBorders>
              <w:top w:val="nil"/>
              <w:left w:val="nil"/>
              <w:bottom w:val="single" w:sz="4" w:space="0" w:color="auto"/>
              <w:right w:val="nil"/>
            </w:tcBorders>
            <w:shd w:val="clear" w:color="auto" w:fill="auto"/>
            <w:noWrap/>
            <w:vAlign w:val="center"/>
            <w:hideMark/>
          </w:tcPr>
          <w:p w14:paraId="7466310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1.00</w:t>
            </w:r>
          </w:p>
        </w:tc>
        <w:tc>
          <w:tcPr>
            <w:tcW w:w="1297" w:type="dxa"/>
            <w:tcBorders>
              <w:top w:val="nil"/>
              <w:left w:val="nil"/>
              <w:bottom w:val="single" w:sz="4" w:space="0" w:color="auto"/>
              <w:right w:val="nil"/>
            </w:tcBorders>
            <w:shd w:val="clear" w:color="auto" w:fill="auto"/>
            <w:noWrap/>
            <w:vAlign w:val="center"/>
            <w:hideMark/>
          </w:tcPr>
          <w:p w14:paraId="0F7376FE"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-.42</w:t>
            </w:r>
          </w:p>
        </w:tc>
        <w:tc>
          <w:tcPr>
            <w:tcW w:w="1122" w:type="dxa"/>
            <w:tcBorders>
              <w:top w:val="nil"/>
              <w:left w:val="nil"/>
              <w:bottom w:val="single" w:sz="4" w:space="0" w:color="auto"/>
              <w:right w:val="nil"/>
            </w:tcBorders>
            <w:shd w:val="clear" w:color="auto" w:fill="auto"/>
            <w:noWrap/>
            <w:vAlign w:val="center"/>
            <w:hideMark/>
          </w:tcPr>
          <w:p w14:paraId="5BA8B095" w14:textId="77777777" w:rsidR="00E6060C" w:rsidRPr="00E6060C" w:rsidRDefault="00E6060C" w:rsidP="00E6060C">
            <w:pPr>
              <w:spacing w:line="240" w:lineRule="auto"/>
              <w:jc w:val="center"/>
              <w:rPr>
                <w:rFonts w:ascii="Calibri" w:eastAsia="Times New Roman" w:hAnsi="Calibri" w:cs="Arial"/>
                <w:color w:val="000000"/>
                <w:lang w:eastAsia="en-GB"/>
              </w:rPr>
            </w:pPr>
            <w:r w:rsidRPr="00E6060C">
              <w:rPr>
                <w:rFonts w:ascii="Calibri" w:eastAsia="Times New Roman" w:hAnsi="Calibri" w:cs="Arial"/>
                <w:color w:val="000000"/>
                <w:lang w:eastAsia="en-GB"/>
              </w:rPr>
              <w:t>-1.91</w:t>
            </w:r>
          </w:p>
        </w:tc>
      </w:tr>
    </w:tbl>
    <w:p w14:paraId="055C32FB" w14:textId="33ABEF7F" w:rsidR="00E6060C" w:rsidRPr="00E6060C" w:rsidRDefault="00E6060C" w:rsidP="0054677C">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M=mean; SD</w:t>
      </w:r>
      <w:r w:rsidRPr="00E6060C">
        <w:rPr>
          <w:rFonts w:ascii="Calibri" w:eastAsia="Calibri" w:hAnsi="Calibri" w:cs="Times New Roman"/>
        </w:rPr>
        <w:t xml:space="preserve">=standard deviation; </w:t>
      </w:r>
      <w:r w:rsidRPr="00E6060C">
        <w:rPr>
          <w:rFonts w:ascii="Calibri" w:eastAsia="Calibri" w:hAnsi="Calibri" w:cs="Times New Roman"/>
          <w:i/>
        </w:rPr>
        <w:t>SE</w:t>
      </w:r>
      <w:r w:rsidRPr="00E6060C">
        <w:rPr>
          <w:rFonts w:ascii="Calibri" w:eastAsia="Calibri" w:hAnsi="Calibri" w:cs="Times New Roman"/>
        </w:rPr>
        <w:t>=standard error; Min=Minimum value; Max=Maximum value; Time qualified=length of time qualified as a nurse; Manager=whether or not the respondents managed employees</w:t>
      </w:r>
      <w:r w:rsidR="00030B4D">
        <w:rPr>
          <w:rFonts w:ascii="Calibri" w:eastAsia="Calibri" w:hAnsi="Calibri" w:cs="Times New Roman"/>
        </w:rPr>
        <w:t>; FT/PT=full time/part time</w:t>
      </w:r>
    </w:p>
    <w:p w14:paraId="3D1C6C93" w14:textId="77777777" w:rsidR="00E6060C" w:rsidRPr="00E6060C" w:rsidRDefault="00E6060C" w:rsidP="00E6060C">
      <w:pPr>
        <w:spacing w:after="200" w:line="276" w:lineRule="auto"/>
        <w:rPr>
          <w:rFonts w:ascii="Calibri" w:eastAsia="Calibri" w:hAnsi="Calibri" w:cs="Times New Roman"/>
          <w:highlight w:val="yellow"/>
        </w:rPr>
      </w:pPr>
      <w:r w:rsidRPr="00E6060C">
        <w:rPr>
          <w:rFonts w:ascii="Calibri" w:eastAsia="Calibri" w:hAnsi="Calibri" w:cs="Times New Roman"/>
          <w:highlight w:val="yellow"/>
        </w:rPr>
        <w:br w:type="page"/>
      </w:r>
    </w:p>
    <w:p w14:paraId="4B0B829F" w14:textId="5713E89B" w:rsidR="00842587" w:rsidRDefault="00842587" w:rsidP="0054677C">
      <w:pPr>
        <w:pStyle w:val="Figurestyle"/>
      </w:pPr>
      <w:bookmarkStart w:id="420" w:name="_Ref453580997"/>
      <w:bookmarkStart w:id="421" w:name="_Toc468286083"/>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w:instrText>
      </w:r>
      <w:r w:rsidR="00245D68">
        <w:instrText xml:space="preserve">* ARABIC \s 1 </w:instrText>
      </w:r>
      <w:r w:rsidR="00245D68">
        <w:fldChar w:fldCharType="separate"/>
      </w:r>
      <w:r w:rsidR="00152F6D">
        <w:rPr>
          <w:noProof/>
        </w:rPr>
        <w:t>9</w:t>
      </w:r>
      <w:r w:rsidR="00245D68">
        <w:rPr>
          <w:noProof/>
        </w:rPr>
        <w:fldChar w:fldCharType="end"/>
      </w:r>
      <w:bookmarkEnd w:id="420"/>
      <w:r>
        <w:t xml:space="preserve"> </w:t>
      </w:r>
      <w:r w:rsidRPr="00FD7076">
        <w:t>Descriptive statistics for those in the control group who responded to the questionnaire at both Time 1 and Time 2 (N=14)</w:t>
      </w:r>
      <w:bookmarkEnd w:id="421"/>
    </w:p>
    <w:p w14:paraId="6490CC9A" w14:textId="77777777" w:rsidR="00842587" w:rsidRDefault="00842587" w:rsidP="00842587">
      <w:pPr>
        <w:spacing w:after="200" w:line="360" w:lineRule="auto"/>
        <w:ind w:left="720"/>
        <w:contextualSpacing/>
      </w:pPr>
    </w:p>
    <w:tbl>
      <w:tblPr>
        <w:tblW w:w="12542" w:type="dxa"/>
        <w:tblLook w:val="04A0" w:firstRow="1" w:lastRow="0" w:firstColumn="1" w:lastColumn="0" w:noHBand="0" w:noVBand="1"/>
      </w:tblPr>
      <w:tblGrid>
        <w:gridCol w:w="1575"/>
        <w:gridCol w:w="531"/>
        <w:gridCol w:w="901"/>
        <w:gridCol w:w="867"/>
        <w:gridCol w:w="733"/>
        <w:gridCol w:w="1109"/>
        <w:gridCol w:w="867"/>
        <w:gridCol w:w="867"/>
        <w:gridCol w:w="867"/>
        <w:gridCol w:w="867"/>
        <w:gridCol w:w="868"/>
        <w:gridCol w:w="1334"/>
        <w:gridCol w:w="1156"/>
      </w:tblGrid>
      <w:tr w:rsidR="00E6060C" w:rsidRPr="00E6060C" w14:paraId="7B240CE8" w14:textId="77777777" w:rsidTr="0054677C">
        <w:trPr>
          <w:trHeight w:val="286"/>
        </w:trPr>
        <w:tc>
          <w:tcPr>
            <w:tcW w:w="1575" w:type="dxa"/>
            <w:tcBorders>
              <w:top w:val="single" w:sz="4" w:space="0" w:color="auto"/>
              <w:left w:val="nil"/>
              <w:bottom w:val="nil"/>
              <w:right w:val="nil"/>
            </w:tcBorders>
            <w:shd w:val="clear" w:color="auto" w:fill="auto"/>
            <w:vAlign w:val="bottom"/>
            <w:hideMark/>
          </w:tcPr>
          <w:p w14:paraId="60CFC2C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w:t>
            </w:r>
          </w:p>
        </w:tc>
        <w:tc>
          <w:tcPr>
            <w:tcW w:w="531" w:type="dxa"/>
            <w:vMerge w:val="restart"/>
            <w:tcBorders>
              <w:top w:val="single" w:sz="4" w:space="0" w:color="auto"/>
              <w:left w:val="nil"/>
              <w:bottom w:val="single" w:sz="4" w:space="0" w:color="000000"/>
              <w:right w:val="nil"/>
            </w:tcBorders>
            <w:shd w:val="clear" w:color="auto" w:fill="auto"/>
            <w:vAlign w:val="center"/>
            <w:hideMark/>
          </w:tcPr>
          <w:p w14:paraId="1D70484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901" w:type="dxa"/>
            <w:vMerge w:val="restart"/>
            <w:tcBorders>
              <w:top w:val="single" w:sz="4" w:space="0" w:color="auto"/>
              <w:left w:val="nil"/>
              <w:bottom w:val="single" w:sz="4" w:space="0" w:color="000000"/>
              <w:right w:val="nil"/>
            </w:tcBorders>
            <w:shd w:val="clear" w:color="auto" w:fill="auto"/>
            <w:vAlign w:val="center"/>
            <w:hideMark/>
          </w:tcPr>
          <w:p w14:paraId="77927D0C"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M</w:t>
            </w:r>
          </w:p>
        </w:tc>
        <w:tc>
          <w:tcPr>
            <w:tcW w:w="867" w:type="dxa"/>
            <w:vMerge w:val="restart"/>
            <w:tcBorders>
              <w:top w:val="single" w:sz="4" w:space="0" w:color="auto"/>
              <w:left w:val="nil"/>
              <w:bottom w:val="single" w:sz="4" w:space="0" w:color="000000"/>
              <w:right w:val="nil"/>
            </w:tcBorders>
            <w:shd w:val="clear" w:color="auto" w:fill="auto"/>
            <w:vAlign w:val="center"/>
            <w:hideMark/>
          </w:tcPr>
          <w:p w14:paraId="49D435B6"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733" w:type="dxa"/>
            <w:vMerge w:val="restart"/>
            <w:tcBorders>
              <w:top w:val="single" w:sz="4" w:space="0" w:color="auto"/>
              <w:left w:val="nil"/>
              <w:bottom w:val="single" w:sz="4" w:space="0" w:color="000000"/>
              <w:right w:val="nil"/>
            </w:tcBorders>
            <w:shd w:val="clear" w:color="auto" w:fill="auto"/>
            <w:vAlign w:val="center"/>
            <w:hideMark/>
          </w:tcPr>
          <w:p w14:paraId="6D1D66CC"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109" w:type="dxa"/>
            <w:vMerge w:val="restart"/>
            <w:tcBorders>
              <w:top w:val="single" w:sz="4" w:space="0" w:color="auto"/>
              <w:left w:val="nil"/>
              <w:bottom w:val="single" w:sz="4" w:space="0" w:color="000000"/>
              <w:right w:val="nil"/>
            </w:tcBorders>
            <w:shd w:val="clear" w:color="auto" w:fill="auto"/>
            <w:vAlign w:val="center"/>
            <w:hideMark/>
          </w:tcPr>
          <w:p w14:paraId="1BFD9E9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867" w:type="dxa"/>
            <w:vMerge w:val="restart"/>
            <w:tcBorders>
              <w:top w:val="single" w:sz="4" w:space="0" w:color="auto"/>
              <w:left w:val="nil"/>
              <w:bottom w:val="single" w:sz="4" w:space="0" w:color="000000"/>
              <w:right w:val="nil"/>
            </w:tcBorders>
            <w:shd w:val="clear" w:color="auto" w:fill="auto"/>
            <w:vAlign w:val="center"/>
            <w:hideMark/>
          </w:tcPr>
          <w:p w14:paraId="6BB9D1B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867" w:type="dxa"/>
            <w:vMerge w:val="restart"/>
            <w:tcBorders>
              <w:top w:val="single" w:sz="4" w:space="0" w:color="auto"/>
              <w:left w:val="nil"/>
              <w:bottom w:val="single" w:sz="4" w:space="0" w:color="000000"/>
              <w:right w:val="nil"/>
            </w:tcBorders>
            <w:shd w:val="clear" w:color="auto" w:fill="auto"/>
            <w:vAlign w:val="center"/>
            <w:hideMark/>
          </w:tcPr>
          <w:p w14:paraId="52AEF83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2602" w:type="dxa"/>
            <w:gridSpan w:val="3"/>
            <w:tcBorders>
              <w:top w:val="single" w:sz="4" w:space="0" w:color="auto"/>
              <w:left w:val="nil"/>
              <w:bottom w:val="single" w:sz="4" w:space="0" w:color="auto"/>
              <w:right w:val="nil"/>
            </w:tcBorders>
            <w:shd w:val="clear" w:color="auto" w:fill="auto"/>
            <w:vAlign w:val="center"/>
            <w:hideMark/>
          </w:tcPr>
          <w:p w14:paraId="1D74A8A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Percentiles</w:t>
            </w:r>
          </w:p>
        </w:tc>
        <w:tc>
          <w:tcPr>
            <w:tcW w:w="1334" w:type="dxa"/>
            <w:vMerge w:val="restart"/>
            <w:tcBorders>
              <w:top w:val="single" w:sz="4" w:space="0" w:color="auto"/>
              <w:left w:val="nil"/>
              <w:bottom w:val="single" w:sz="4" w:space="0" w:color="000000"/>
              <w:right w:val="nil"/>
            </w:tcBorders>
            <w:shd w:val="clear" w:color="auto" w:fill="auto"/>
            <w:vAlign w:val="center"/>
            <w:hideMark/>
          </w:tcPr>
          <w:p w14:paraId="1F76C64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156" w:type="dxa"/>
            <w:vMerge w:val="restart"/>
            <w:tcBorders>
              <w:top w:val="single" w:sz="4" w:space="0" w:color="auto"/>
              <w:left w:val="nil"/>
              <w:bottom w:val="single" w:sz="4" w:space="0" w:color="000000"/>
              <w:right w:val="nil"/>
            </w:tcBorders>
            <w:shd w:val="clear" w:color="auto" w:fill="auto"/>
            <w:vAlign w:val="center"/>
            <w:hideMark/>
          </w:tcPr>
          <w:p w14:paraId="2AA0F00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254946A0" w14:textId="77777777" w:rsidTr="0054677C">
        <w:trPr>
          <w:trHeight w:val="286"/>
        </w:trPr>
        <w:tc>
          <w:tcPr>
            <w:tcW w:w="1575" w:type="dxa"/>
            <w:tcBorders>
              <w:top w:val="nil"/>
              <w:left w:val="nil"/>
              <w:bottom w:val="single" w:sz="4" w:space="0" w:color="auto"/>
              <w:right w:val="nil"/>
            </w:tcBorders>
            <w:shd w:val="clear" w:color="auto" w:fill="auto"/>
            <w:vAlign w:val="bottom"/>
            <w:hideMark/>
          </w:tcPr>
          <w:p w14:paraId="3110297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w:t>
            </w:r>
          </w:p>
        </w:tc>
        <w:tc>
          <w:tcPr>
            <w:tcW w:w="531" w:type="dxa"/>
            <w:vMerge/>
            <w:tcBorders>
              <w:top w:val="single" w:sz="4" w:space="0" w:color="auto"/>
              <w:left w:val="nil"/>
              <w:bottom w:val="single" w:sz="4" w:space="0" w:color="000000"/>
              <w:right w:val="nil"/>
            </w:tcBorders>
            <w:vAlign w:val="center"/>
            <w:hideMark/>
          </w:tcPr>
          <w:p w14:paraId="5413F746"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901" w:type="dxa"/>
            <w:vMerge/>
            <w:tcBorders>
              <w:top w:val="single" w:sz="4" w:space="0" w:color="auto"/>
              <w:left w:val="nil"/>
              <w:bottom w:val="single" w:sz="4" w:space="0" w:color="000000"/>
              <w:right w:val="nil"/>
            </w:tcBorders>
            <w:vAlign w:val="center"/>
            <w:hideMark/>
          </w:tcPr>
          <w:p w14:paraId="1D021CFC"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67" w:type="dxa"/>
            <w:vMerge/>
            <w:tcBorders>
              <w:top w:val="single" w:sz="4" w:space="0" w:color="auto"/>
              <w:left w:val="nil"/>
              <w:bottom w:val="single" w:sz="4" w:space="0" w:color="000000"/>
              <w:right w:val="nil"/>
            </w:tcBorders>
            <w:vAlign w:val="center"/>
            <w:hideMark/>
          </w:tcPr>
          <w:p w14:paraId="751EC03E"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733" w:type="dxa"/>
            <w:vMerge/>
            <w:tcBorders>
              <w:top w:val="single" w:sz="4" w:space="0" w:color="auto"/>
              <w:left w:val="nil"/>
              <w:bottom w:val="single" w:sz="4" w:space="0" w:color="000000"/>
              <w:right w:val="nil"/>
            </w:tcBorders>
            <w:vAlign w:val="center"/>
            <w:hideMark/>
          </w:tcPr>
          <w:p w14:paraId="37C1FC6A"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1109" w:type="dxa"/>
            <w:vMerge/>
            <w:tcBorders>
              <w:top w:val="single" w:sz="4" w:space="0" w:color="auto"/>
              <w:left w:val="nil"/>
              <w:bottom w:val="single" w:sz="4" w:space="0" w:color="000000"/>
              <w:right w:val="nil"/>
            </w:tcBorders>
            <w:vAlign w:val="center"/>
            <w:hideMark/>
          </w:tcPr>
          <w:p w14:paraId="27FD4BF2"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67" w:type="dxa"/>
            <w:vMerge/>
            <w:tcBorders>
              <w:top w:val="single" w:sz="4" w:space="0" w:color="auto"/>
              <w:left w:val="nil"/>
              <w:bottom w:val="single" w:sz="4" w:space="0" w:color="000000"/>
              <w:right w:val="nil"/>
            </w:tcBorders>
            <w:vAlign w:val="center"/>
            <w:hideMark/>
          </w:tcPr>
          <w:p w14:paraId="3B5749CC"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67" w:type="dxa"/>
            <w:vMerge/>
            <w:tcBorders>
              <w:top w:val="single" w:sz="4" w:space="0" w:color="auto"/>
              <w:left w:val="nil"/>
              <w:bottom w:val="single" w:sz="4" w:space="0" w:color="000000"/>
              <w:right w:val="nil"/>
            </w:tcBorders>
            <w:vAlign w:val="center"/>
            <w:hideMark/>
          </w:tcPr>
          <w:p w14:paraId="1EB6EA82"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67" w:type="dxa"/>
            <w:tcBorders>
              <w:top w:val="nil"/>
              <w:left w:val="nil"/>
              <w:bottom w:val="single" w:sz="4" w:space="0" w:color="auto"/>
              <w:right w:val="nil"/>
            </w:tcBorders>
            <w:shd w:val="clear" w:color="auto" w:fill="auto"/>
            <w:noWrap/>
            <w:vAlign w:val="center"/>
            <w:hideMark/>
          </w:tcPr>
          <w:p w14:paraId="6A4F371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25</w:t>
            </w:r>
          </w:p>
        </w:tc>
        <w:tc>
          <w:tcPr>
            <w:tcW w:w="867" w:type="dxa"/>
            <w:tcBorders>
              <w:top w:val="nil"/>
              <w:left w:val="nil"/>
              <w:bottom w:val="single" w:sz="4" w:space="0" w:color="auto"/>
              <w:right w:val="nil"/>
            </w:tcBorders>
            <w:shd w:val="clear" w:color="auto" w:fill="auto"/>
            <w:noWrap/>
            <w:vAlign w:val="center"/>
            <w:hideMark/>
          </w:tcPr>
          <w:p w14:paraId="7C00901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50</w:t>
            </w:r>
          </w:p>
        </w:tc>
        <w:tc>
          <w:tcPr>
            <w:tcW w:w="868" w:type="dxa"/>
            <w:tcBorders>
              <w:top w:val="nil"/>
              <w:left w:val="nil"/>
              <w:bottom w:val="single" w:sz="4" w:space="0" w:color="auto"/>
              <w:right w:val="nil"/>
            </w:tcBorders>
            <w:shd w:val="clear" w:color="auto" w:fill="auto"/>
            <w:noWrap/>
            <w:vAlign w:val="center"/>
            <w:hideMark/>
          </w:tcPr>
          <w:p w14:paraId="3CA3D6E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75</w:t>
            </w:r>
          </w:p>
        </w:tc>
        <w:tc>
          <w:tcPr>
            <w:tcW w:w="1334" w:type="dxa"/>
            <w:vMerge/>
            <w:tcBorders>
              <w:top w:val="single" w:sz="4" w:space="0" w:color="auto"/>
              <w:left w:val="nil"/>
              <w:bottom w:val="single" w:sz="4" w:space="0" w:color="000000"/>
              <w:right w:val="nil"/>
            </w:tcBorders>
            <w:vAlign w:val="center"/>
            <w:hideMark/>
          </w:tcPr>
          <w:p w14:paraId="7478707F"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1156" w:type="dxa"/>
            <w:vMerge/>
            <w:tcBorders>
              <w:top w:val="single" w:sz="4" w:space="0" w:color="auto"/>
              <w:left w:val="nil"/>
              <w:bottom w:val="single" w:sz="4" w:space="0" w:color="000000"/>
              <w:right w:val="nil"/>
            </w:tcBorders>
            <w:vAlign w:val="center"/>
            <w:hideMark/>
          </w:tcPr>
          <w:p w14:paraId="4B80BFC2" w14:textId="77777777" w:rsidR="00E6060C" w:rsidRPr="00E6060C" w:rsidRDefault="00E6060C" w:rsidP="00E6060C">
            <w:pPr>
              <w:spacing w:line="240" w:lineRule="auto"/>
              <w:rPr>
                <w:rFonts w:ascii="Calibri" w:eastAsia="Times New Roman" w:hAnsi="Calibri" w:cs="Times New Roman"/>
                <w:b/>
                <w:bCs/>
                <w:color w:val="000000"/>
                <w:lang w:eastAsia="en-GB"/>
              </w:rPr>
            </w:pPr>
          </w:p>
        </w:tc>
      </w:tr>
      <w:tr w:rsidR="00E6060C" w:rsidRPr="00E6060C" w14:paraId="48E57555" w14:textId="77777777" w:rsidTr="0054677C">
        <w:trPr>
          <w:trHeight w:val="286"/>
        </w:trPr>
        <w:tc>
          <w:tcPr>
            <w:tcW w:w="1575" w:type="dxa"/>
            <w:tcBorders>
              <w:top w:val="nil"/>
              <w:left w:val="nil"/>
              <w:bottom w:val="nil"/>
              <w:right w:val="nil"/>
            </w:tcBorders>
            <w:shd w:val="clear" w:color="auto" w:fill="auto"/>
            <w:vAlign w:val="center"/>
            <w:hideMark/>
          </w:tcPr>
          <w:p w14:paraId="0727371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Gender</w:t>
            </w:r>
          </w:p>
        </w:tc>
        <w:tc>
          <w:tcPr>
            <w:tcW w:w="531" w:type="dxa"/>
            <w:tcBorders>
              <w:top w:val="nil"/>
              <w:left w:val="nil"/>
              <w:bottom w:val="nil"/>
              <w:right w:val="nil"/>
            </w:tcBorders>
            <w:shd w:val="clear" w:color="auto" w:fill="auto"/>
            <w:noWrap/>
            <w:vAlign w:val="center"/>
            <w:hideMark/>
          </w:tcPr>
          <w:p w14:paraId="0679A5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901" w:type="dxa"/>
            <w:tcBorders>
              <w:top w:val="nil"/>
              <w:left w:val="nil"/>
              <w:bottom w:val="nil"/>
              <w:right w:val="nil"/>
            </w:tcBorders>
            <w:shd w:val="clear" w:color="auto" w:fill="auto"/>
            <w:noWrap/>
            <w:vAlign w:val="center"/>
            <w:hideMark/>
          </w:tcPr>
          <w:p w14:paraId="03C1B8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39D6100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733" w:type="dxa"/>
            <w:tcBorders>
              <w:top w:val="nil"/>
              <w:left w:val="nil"/>
              <w:bottom w:val="nil"/>
              <w:right w:val="nil"/>
            </w:tcBorders>
            <w:shd w:val="clear" w:color="auto" w:fill="auto"/>
            <w:noWrap/>
            <w:vAlign w:val="center"/>
            <w:hideMark/>
          </w:tcPr>
          <w:p w14:paraId="64318DD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1109" w:type="dxa"/>
            <w:tcBorders>
              <w:top w:val="nil"/>
              <w:left w:val="nil"/>
              <w:bottom w:val="nil"/>
              <w:right w:val="nil"/>
            </w:tcBorders>
            <w:shd w:val="clear" w:color="auto" w:fill="auto"/>
            <w:noWrap/>
            <w:vAlign w:val="center"/>
            <w:hideMark/>
          </w:tcPr>
          <w:p w14:paraId="5C1B853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26D352F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1422DD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18A4801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79D2615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8" w:type="dxa"/>
            <w:tcBorders>
              <w:top w:val="nil"/>
              <w:left w:val="nil"/>
              <w:bottom w:val="nil"/>
              <w:right w:val="nil"/>
            </w:tcBorders>
            <w:shd w:val="clear" w:color="auto" w:fill="auto"/>
            <w:noWrap/>
            <w:vAlign w:val="center"/>
            <w:hideMark/>
          </w:tcPr>
          <w:p w14:paraId="16ED644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1334" w:type="dxa"/>
            <w:tcBorders>
              <w:top w:val="nil"/>
              <w:left w:val="nil"/>
              <w:bottom w:val="nil"/>
              <w:right w:val="nil"/>
            </w:tcBorders>
            <w:shd w:val="clear" w:color="auto" w:fill="auto"/>
            <w:vAlign w:val="center"/>
            <w:hideMark/>
          </w:tcPr>
          <w:p w14:paraId="2C2BF20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1156" w:type="dxa"/>
            <w:tcBorders>
              <w:top w:val="nil"/>
              <w:left w:val="nil"/>
              <w:bottom w:val="nil"/>
              <w:right w:val="nil"/>
            </w:tcBorders>
            <w:shd w:val="clear" w:color="auto" w:fill="auto"/>
            <w:vAlign w:val="center"/>
            <w:hideMark/>
          </w:tcPr>
          <w:p w14:paraId="2CF1876F" w14:textId="77777777" w:rsidR="00E6060C" w:rsidRPr="00E6060C" w:rsidRDefault="00E6060C" w:rsidP="00E6060C">
            <w:pPr>
              <w:spacing w:line="240" w:lineRule="auto"/>
              <w:jc w:val="center"/>
              <w:rPr>
                <w:rFonts w:ascii="Calibri" w:eastAsia="Times New Roman" w:hAnsi="Calibri" w:cs="Times New Roman"/>
                <w:lang w:eastAsia="en-GB"/>
              </w:rPr>
            </w:pPr>
            <w:r w:rsidRPr="00E6060C">
              <w:rPr>
                <w:rFonts w:ascii="Calibri" w:eastAsia="Times New Roman" w:hAnsi="Calibri" w:cs="Times New Roman"/>
                <w:lang w:eastAsia="en-GB"/>
              </w:rPr>
              <w:t>.00</w:t>
            </w:r>
          </w:p>
        </w:tc>
      </w:tr>
      <w:tr w:rsidR="00E6060C" w:rsidRPr="00E6060C" w14:paraId="4C61103D" w14:textId="77777777" w:rsidTr="0054677C">
        <w:trPr>
          <w:trHeight w:val="286"/>
        </w:trPr>
        <w:tc>
          <w:tcPr>
            <w:tcW w:w="1575" w:type="dxa"/>
            <w:tcBorders>
              <w:top w:val="nil"/>
              <w:left w:val="nil"/>
              <w:bottom w:val="nil"/>
              <w:right w:val="nil"/>
            </w:tcBorders>
            <w:shd w:val="clear" w:color="auto" w:fill="auto"/>
            <w:vAlign w:val="center"/>
            <w:hideMark/>
          </w:tcPr>
          <w:p w14:paraId="25D306B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Age (yrs)</w:t>
            </w:r>
          </w:p>
        </w:tc>
        <w:tc>
          <w:tcPr>
            <w:tcW w:w="531" w:type="dxa"/>
            <w:tcBorders>
              <w:top w:val="nil"/>
              <w:left w:val="nil"/>
              <w:bottom w:val="nil"/>
              <w:right w:val="nil"/>
            </w:tcBorders>
            <w:shd w:val="clear" w:color="auto" w:fill="auto"/>
            <w:noWrap/>
            <w:vAlign w:val="center"/>
            <w:hideMark/>
          </w:tcPr>
          <w:p w14:paraId="2BB53C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901" w:type="dxa"/>
            <w:tcBorders>
              <w:top w:val="nil"/>
              <w:left w:val="nil"/>
              <w:bottom w:val="nil"/>
              <w:right w:val="nil"/>
            </w:tcBorders>
            <w:shd w:val="clear" w:color="auto" w:fill="auto"/>
            <w:noWrap/>
            <w:vAlign w:val="center"/>
            <w:hideMark/>
          </w:tcPr>
          <w:p w14:paraId="62ED1F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41.57</w:t>
            </w:r>
          </w:p>
        </w:tc>
        <w:tc>
          <w:tcPr>
            <w:tcW w:w="867" w:type="dxa"/>
            <w:tcBorders>
              <w:top w:val="nil"/>
              <w:left w:val="nil"/>
              <w:bottom w:val="nil"/>
              <w:right w:val="nil"/>
            </w:tcBorders>
            <w:shd w:val="clear" w:color="auto" w:fill="auto"/>
            <w:noWrap/>
            <w:vAlign w:val="center"/>
            <w:hideMark/>
          </w:tcPr>
          <w:p w14:paraId="3DD1542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1.54</w:t>
            </w:r>
          </w:p>
        </w:tc>
        <w:tc>
          <w:tcPr>
            <w:tcW w:w="733" w:type="dxa"/>
            <w:tcBorders>
              <w:top w:val="nil"/>
              <w:left w:val="nil"/>
              <w:bottom w:val="nil"/>
              <w:right w:val="nil"/>
            </w:tcBorders>
            <w:shd w:val="clear" w:color="auto" w:fill="auto"/>
            <w:noWrap/>
            <w:vAlign w:val="center"/>
            <w:hideMark/>
          </w:tcPr>
          <w:p w14:paraId="2296BB2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2.82</w:t>
            </w:r>
          </w:p>
        </w:tc>
        <w:tc>
          <w:tcPr>
            <w:tcW w:w="1109" w:type="dxa"/>
            <w:tcBorders>
              <w:top w:val="nil"/>
              <w:left w:val="nil"/>
              <w:bottom w:val="nil"/>
              <w:right w:val="nil"/>
            </w:tcBorders>
            <w:shd w:val="clear" w:color="auto" w:fill="auto"/>
            <w:noWrap/>
            <w:vAlign w:val="center"/>
            <w:hideMark/>
          </w:tcPr>
          <w:p w14:paraId="0B96B69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44.50</w:t>
            </w:r>
          </w:p>
        </w:tc>
        <w:tc>
          <w:tcPr>
            <w:tcW w:w="867" w:type="dxa"/>
            <w:tcBorders>
              <w:top w:val="nil"/>
              <w:left w:val="nil"/>
              <w:bottom w:val="nil"/>
              <w:right w:val="nil"/>
            </w:tcBorders>
            <w:shd w:val="clear" w:color="auto" w:fill="auto"/>
            <w:noWrap/>
            <w:vAlign w:val="center"/>
            <w:hideMark/>
          </w:tcPr>
          <w:p w14:paraId="2FE7762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26.00</w:t>
            </w:r>
          </w:p>
        </w:tc>
        <w:tc>
          <w:tcPr>
            <w:tcW w:w="867" w:type="dxa"/>
            <w:tcBorders>
              <w:top w:val="nil"/>
              <w:left w:val="nil"/>
              <w:bottom w:val="nil"/>
              <w:right w:val="nil"/>
            </w:tcBorders>
            <w:shd w:val="clear" w:color="auto" w:fill="auto"/>
            <w:noWrap/>
            <w:vAlign w:val="center"/>
            <w:hideMark/>
          </w:tcPr>
          <w:p w14:paraId="5DAC91F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53.00</w:t>
            </w:r>
          </w:p>
        </w:tc>
        <w:tc>
          <w:tcPr>
            <w:tcW w:w="867" w:type="dxa"/>
            <w:tcBorders>
              <w:top w:val="nil"/>
              <w:left w:val="nil"/>
              <w:bottom w:val="nil"/>
              <w:right w:val="nil"/>
            </w:tcBorders>
            <w:shd w:val="clear" w:color="auto" w:fill="auto"/>
            <w:noWrap/>
            <w:vAlign w:val="center"/>
            <w:hideMark/>
          </w:tcPr>
          <w:p w14:paraId="40682B0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29.50</w:t>
            </w:r>
          </w:p>
        </w:tc>
        <w:tc>
          <w:tcPr>
            <w:tcW w:w="867" w:type="dxa"/>
            <w:tcBorders>
              <w:top w:val="nil"/>
              <w:left w:val="nil"/>
              <w:bottom w:val="nil"/>
              <w:right w:val="nil"/>
            </w:tcBorders>
            <w:shd w:val="clear" w:color="auto" w:fill="auto"/>
            <w:noWrap/>
            <w:vAlign w:val="center"/>
            <w:hideMark/>
          </w:tcPr>
          <w:p w14:paraId="7747D99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44.50</w:t>
            </w:r>
          </w:p>
        </w:tc>
        <w:tc>
          <w:tcPr>
            <w:tcW w:w="868" w:type="dxa"/>
            <w:tcBorders>
              <w:top w:val="nil"/>
              <w:left w:val="nil"/>
              <w:bottom w:val="nil"/>
              <w:right w:val="nil"/>
            </w:tcBorders>
            <w:shd w:val="clear" w:color="auto" w:fill="auto"/>
            <w:noWrap/>
            <w:vAlign w:val="center"/>
            <w:hideMark/>
          </w:tcPr>
          <w:p w14:paraId="1A73C0E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53.00</w:t>
            </w:r>
          </w:p>
        </w:tc>
        <w:tc>
          <w:tcPr>
            <w:tcW w:w="1334" w:type="dxa"/>
            <w:tcBorders>
              <w:top w:val="nil"/>
              <w:left w:val="nil"/>
              <w:bottom w:val="nil"/>
              <w:right w:val="nil"/>
            </w:tcBorders>
            <w:shd w:val="clear" w:color="auto" w:fill="auto"/>
            <w:noWrap/>
            <w:vAlign w:val="center"/>
            <w:hideMark/>
          </w:tcPr>
          <w:p w14:paraId="65BC8E1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w:t>
            </w:r>
          </w:p>
        </w:tc>
        <w:tc>
          <w:tcPr>
            <w:tcW w:w="1156" w:type="dxa"/>
            <w:tcBorders>
              <w:top w:val="nil"/>
              <w:left w:val="nil"/>
              <w:bottom w:val="nil"/>
              <w:right w:val="nil"/>
            </w:tcBorders>
            <w:shd w:val="clear" w:color="auto" w:fill="auto"/>
            <w:noWrap/>
            <w:vAlign w:val="center"/>
            <w:hideMark/>
          </w:tcPr>
          <w:p w14:paraId="0DA34A2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-1.57</w:t>
            </w:r>
          </w:p>
        </w:tc>
      </w:tr>
      <w:tr w:rsidR="00E6060C" w:rsidRPr="00E6060C" w14:paraId="0FD3A9E2" w14:textId="77777777" w:rsidTr="0054677C">
        <w:trPr>
          <w:trHeight w:val="175"/>
        </w:trPr>
        <w:tc>
          <w:tcPr>
            <w:tcW w:w="1575" w:type="dxa"/>
            <w:tcBorders>
              <w:top w:val="nil"/>
              <w:left w:val="nil"/>
              <w:bottom w:val="nil"/>
              <w:right w:val="nil"/>
            </w:tcBorders>
            <w:shd w:val="clear" w:color="auto" w:fill="auto"/>
            <w:vAlign w:val="center"/>
            <w:hideMark/>
          </w:tcPr>
          <w:p w14:paraId="42B8CBF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Ward tenure (yrs)</w:t>
            </w:r>
          </w:p>
        </w:tc>
        <w:tc>
          <w:tcPr>
            <w:tcW w:w="531" w:type="dxa"/>
            <w:tcBorders>
              <w:top w:val="nil"/>
              <w:left w:val="nil"/>
              <w:bottom w:val="nil"/>
              <w:right w:val="nil"/>
            </w:tcBorders>
            <w:shd w:val="clear" w:color="auto" w:fill="auto"/>
            <w:noWrap/>
            <w:vAlign w:val="center"/>
            <w:hideMark/>
          </w:tcPr>
          <w:p w14:paraId="46760B2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901" w:type="dxa"/>
            <w:tcBorders>
              <w:top w:val="nil"/>
              <w:left w:val="nil"/>
              <w:bottom w:val="nil"/>
              <w:right w:val="nil"/>
            </w:tcBorders>
            <w:shd w:val="clear" w:color="auto" w:fill="auto"/>
            <w:noWrap/>
            <w:vAlign w:val="center"/>
            <w:hideMark/>
          </w:tcPr>
          <w:p w14:paraId="39971FD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4.98</w:t>
            </w:r>
          </w:p>
        </w:tc>
        <w:tc>
          <w:tcPr>
            <w:tcW w:w="867" w:type="dxa"/>
            <w:tcBorders>
              <w:top w:val="nil"/>
              <w:left w:val="nil"/>
              <w:bottom w:val="nil"/>
              <w:right w:val="nil"/>
            </w:tcBorders>
            <w:shd w:val="clear" w:color="auto" w:fill="auto"/>
            <w:noWrap/>
            <w:vAlign w:val="center"/>
            <w:hideMark/>
          </w:tcPr>
          <w:p w14:paraId="75ACCC1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4.10</w:t>
            </w:r>
          </w:p>
        </w:tc>
        <w:tc>
          <w:tcPr>
            <w:tcW w:w="733" w:type="dxa"/>
            <w:tcBorders>
              <w:top w:val="nil"/>
              <w:left w:val="nil"/>
              <w:bottom w:val="nil"/>
              <w:right w:val="nil"/>
            </w:tcBorders>
            <w:shd w:val="clear" w:color="auto" w:fill="auto"/>
            <w:noWrap/>
            <w:vAlign w:val="center"/>
            <w:hideMark/>
          </w:tcPr>
          <w:p w14:paraId="011FC5B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1.09</w:t>
            </w:r>
          </w:p>
        </w:tc>
        <w:tc>
          <w:tcPr>
            <w:tcW w:w="1109" w:type="dxa"/>
            <w:tcBorders>
              <w:top w:val="nil"/>
              <w:left w:val="nil"/>
              <w:bottom w:val="nil"/>
              <w:right w:val="nil"/>
            </w:tcBorders>
            <w:shd w:val="clear" w:color="auto" w:fill="auto"/>
            <w:noWrap/>
            <w:vAlign w:val="center"/>
            <w:hideMark/>
          </w:tcPr>
          <w:p w14:paraId="3AF19C8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67" w:type="dxa"/>
            <w:tcBorders>
              <w:top w:val="nil"/>
              <w:left w:val="nil"/>
              <w:bottom w:val="nil"/>
              <w:right w:val="nil"/>
            </w:tcBorders>
            <w:shd w:val="clear" w:color="auto" w:fill="auto"/>
            <w:noWrap/>
            <w:vAlign w:val="center"/>
            <w:hideMark/>
          </w:tcPr>
          <w:p w14:paraId="620EE21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.58</w:t>
            </w:r>
          </w:p>
        </w:tc>
        <w:tc>
          <w:tcPr>
            <w:tcW w:w="867" w:type="dxa"/>
            <w:tcBorders>
              <w:top w:val="nil"/>
              <w:left w:val="nil"/>
              <w:bottom w:val="nil"/>
              <w:right w:val="nil"/>
            </w:tcBorders>
            <w:shd w:val="clear" w:color="auto" w:fill="auto"/>
            <w:noWrap/>
            <w:vAlign w:val="center"/>
            <w:hideMark/>
          </w:tcPr>
          <w:p w14:paraId="7003E1F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12.00</w:t>
            </w:r>
          </w:p>
        </w:tc>
        <w:tc>
          <w:tcPr>
            <w:tcW w:w="867" w:type="dxa"/>
            <w:tcBorders>
              <w:top w:val="nil"/>
              <w:left w:val="nil"/>
              <w:bottom w:val="nil"/>
              <w:right w:val="nil"/>
            </w:tcBorders>
            <w:shd w:val="clear" w:color="auto" w:fill="auto"/>
            <w:noWrap/>
            <w:vAlign w:val="center"/>
            <w:hideMark/>
          </w:tcPr>
          <w:p w14:paraId="5FFFE21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1.81</w:t>
            </w:r>
          </w:p>
        </w:tc>
        <w:tc>
          <w:tcPr>
            <w:tcW w:w="867" w:type="dxa"/>
            <w:tcBorders>
              <w:top w:val="nil"/>
              <w:left w:val="nil"/>
              <w:bottom w:val="nil"/>
              <w:right w:val="nil"/>
            </w:tcBorders>
            <w:shd w:val="clear" w:color="auto" w:fill="auto"/>
            <w:noWrap/>
            <w:vAlign w:val="center"/>
            <w:hideMark/>
          </w:tcPr>
          <w:p w14:paraId="7691A3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68" w:type="dxa"/>
            <w:tcBorders>
              <w:top w:val="nil"/>
              <w:left w:val="nil"/>
              <w:bottom w:val="nil"/>
              <w:right w:val="nil"/>
            </w:tcBorders>
            <w:shd w:val="clear" w:color="auto" w:fill="auto"/>
            <w:noWrap/>
            <w:vAlign w:val="center"/>
            <w:hideMark/>
          </w:tcPr>
          <w:p w14:paraId="4C2E349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9.88</w:t>
            </w:r>
          </w:p>
        </w:tc>
        <w:tc>
          <w:tcPr>
            <w:tcW w:w="1334" w:type="dxa"/>
            <w:tcBorders>
              <w:top w:val="nil"/>
              <w:left w:val="nil"/>
              <w:bottom w:val="nil"/>
              <w:right w:val="nil"/>
            </w:tcBorders>
            <w:shd w:val="clear" w:color="auto" w:fill="auto"/>
            <w:noWrap/>
            <w:vAlign w:val="center"/>
            <w:hideMark/>
          </w:tcPr>
          <w:p w14:paraId="23A3672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.76</w:t>
            </w:r>
          </w:p>
        </w:tc>
        <w:tc>
          <w:tcPr>
            <w:tcW w:w="1156" w:type="dxa"/>
            <w:tcBorders>
              <w:top w:val="nil"/>
              <w:left w:val="nil"/>
              <w:bottom w:val="nil"/>
              <w:right w:val="nil"/>
            </w:tcBorders>
            <w:shd w:val="clear" w:color="auto" w:fill="auto"/>
            <w:noWrap/>
            <w:vAlign w:val="center"/>
            <w:hideMark/>
          </w:tcPr>
          <w:p w14:paraId="4EB84FA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-1.06</w:t>
            </w:r>
          </w:p>
        </w:tc>
      </w:tr>
      <w:tr w:rsidR="00E6060C" w:rsidRPr="00E6060C" w14:paraId="24C78263" w14:textId="77777777" w:rsidTr="0054677C">
        <w:trPr>
          <w:trHeight w:val="572"/>
        </w:trPr>
        <w:tc>
          <w:tcPr>
            <w:tcW w:w="1575" w:type="dxa"/>
            <w:tcBorders>
              <w:top w:val="nil"/>
              <w:left w:val="nil"/>
              <w:bottom w:val="nil"/>
              <w:right w:val="nil"/>
            </w:tcBorders>
            <w:shd w:val="clear" w:color="auto" w:fill="auto"/>
            <w:vAlign w:val="center"/>
            <w:hideMark/>
          </w:tcPr>
          <w:p w14:paraId="4629072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Hospital tenure (yrs)</w:t>
            </w:r>
          </w:p>
        </w:tc>
        <w:tc>
          <w:tcPr>
            <w:tcW w:w="531" w:type="dxa"/>
            <w:tcBorders>
              <w:top w:val="nil"/>
              <w:left w:val="nil"/>
              <w:bottom w:val="nil"/>
              <w:right w:val="nil"/>
            </w:tcBorders>
            <w:shd w:val="clear" w:color="auto" w:fill="auto"/>
            <w:noWrap/>
            <w:vAlign w:val="center"/>
            <w:hideMark/>
          </w:tcPr>
          <w:p w14:paraId="2F03A0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c>
          <w:tcPr>
            <w:tcW w:w="901" w:type="dxa"/>
            <w:tcBorders>
              <w:top w:val="nil"/>
              <w:left w:val="nil"/>
              <w:bottom w:val="nil"/>
              <w:right w:val="nil"/>
            </w:tcBorders>
            <w:shd w:val="clear" w:color="auto" w:fill="auto"/>
            <w:noWrap/>
            <w:vAlign w:val="center"/>
            <w:hideMark/>
          </w:tcPr>
          <w:p w14:paraId="393ED4E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8.44</w:t>
            </w:r>
          </w:p>
        </w:tc>
        <w:tc>
          <w:tcPr>
            <w:tcW w:w="867" w:type="dxa"/>
            <w:tcBorders>
              <w:top w:val="nil"/>
              <w:left w:val="nil"/>
              <w:bottom w:val="nil"/>
              <w:right w:val="nil"/>
            </w:tcBorders>
            <w:shd w:val="clear" w:color="auto" w:fill="auto"/>
            <w:noWrap/>
            <w:vAlign w:val="center"/>
            <w:hideMark/>
          </w:tcPr>
          <w:p w14:paraId="3A7AE94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7.65</w:t>
            </w:r>
          </w:p>
        </w:tc>
        <w:tc>
          <w:tcPr>
            <w:tcW w:w="733" w:type="dxa"/>
            <w:tcBorders>
              <w:top w:val="nil"/>
              <w:left w:val="nil"/>
              <w:bottom w:val="nil"/>
              <w:right w:val="nil"/>
            </w:tcBorders>
            <w:shd w:val="clear" w:color="auto" w:fill="auto"/>
            <w:noWrap/>
            <w:vAlign w:val="center"/>
            <w:hideMark/>
          </w:tcPr>
          <w:p w14:paraId="185516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2.12</w:t>
            </w:r>
          </w:p>
        </w:tc>
        <w:tc>
          <w:tcPr>
            <w:tcW w:w="1109" w:type="dxa"/>
            <w:tcBorders>
              <w:top w:val="nil"/>
              <w:left w:val="nil"/>
              <w:bottom w:val="nil"/>
              <w:right w:val="nil"/>
            </w:tcBorders>
            <w:shd w:val="clear" w:color="auto" w:fill="auto"/>
            <w:noWrap/>
            <w:vAlign w:val="center"/>
            <w:hideMark/>
          </w:tcPr>
          <w:p w14:paraId="133CAE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9.83</w:t>
            </w:r>
          </w:p>
        </w:tc>
        <w:tc>
          <w:tcPr>
            <w:tcW w:w="867" w:type="dxa"/>
            <w:tcBorders>
              <w:top w:val="nil"/>
              <w:left w:val="nil"/>
              <w:bottom w:val="nil"/>
              <w:right w:val="nil"/>
            </w:tcBorders>
            <w:shd w:val="clear" w:color="auto" w:fill="auto"/>
            <w:noWrap/>
            <w:vAlign w:val="center"/>
            <w:hideMark/>
          </w:tcPr>
          <w:p w14:paraId="19F93ED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.58</w:t>
            </w:r>
          </w:p>
        </w:tc>
        <w:tc>
          <w:tcPr>
            <w:tcW w:w="867" w:type="dxa"/>
            <w:tcBorders>
              <w:top w:val="nil"/>
              <w:left w:val="nil"/>
              <w:bottom w:val="nil"/>
              <w:right w:val="nil"/>
            </w:tcBorders>
            <w:shd w:val="clear" w:color="auto" w:fill="auto"/>
            <w:noWrap/>
            <w:vAlign w:val="center"/>
            <w:hideMark/>
          </w:tcPr>
          <w:p w14:paraId="09EC5B8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25.00</w:t>
            </w:r>
          </w:p>
        </w:tc>
        <w:tc>
          <w:tcPr>
            <w:tcW w:w="867" w:type="dxa"/>
            <w:tcBorders>
              <w:top w:val="nil"/>
              <w:left w:val="nil"/>
              <w:bottom w:val="nil"/>
              <w:right w:val="nil"/>
            </w:tcBorders>
            <w:shd w:val="clear" w:color="auto" w:fill="auto"/>
            <w:noWrap/>
            <w:vAlign w:val="center"/>
            <w:hideMark/>
          </w:tcPr>
          <w:p w14:paraId="4B8118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1.63</w:t>
            </w:r>
          </w:p>
        </w:tc>
        <w:tc>
          <w:tcPr>
            <w:tcW w:w="867" w:type="dxa"/>
            <w:tcBorders>
              <w:top w:val="nil"/>
              <w:left w:val="nil"/>
              <w:bottom w:val="nil"/>
              <w:right w:val="nil"/>
            </w:tcBorders>
            <w:shd w:val="clear" w:color="auto" w:fill="auto"/>
            <w:noWrap/>
            <w:vAlign w:val="center"/>
            <w:hideMark/>
          </w:tcPr>
          <w:p w14:paraId="32A220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9.83</w:t>
            </w:r>
          </w:p>
        </w:tc>
        <w:tc>
          <w:tcPr>
            <w:tcW w:w="868" w:type="dxa"/>
            <w:tcBorders>
              <w:top w:val="nil"/>
              <w:left w:val="nil"/>
              <w:bottom w:val="nil"/>
              <w:right w:val="nil"/>
            </w:tcBorders>
            <w:shd w:val="clear" w:color="auto" w:fill="auto"/>
            <w:noWrap/>
            <w:vAlign w:val="center"/>
            <w:hideMark/>
          </w:tcPr>
          <w:p w14:paraId="10B2BF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11.71</w:t>
            </w:r>
          </w:p>
        </w:tc>
        <w:tc>
          <w:tcPr>
            <w:tcW w:w="1334" w:type="dxa"/>
            <w:tcBorders>
              <w:top w:val="nil"/>
              <w:left w:val="nil"/>
              <w:bottom w:val="nil"/>
              <w:right w:val="nil"/>
            </w:tcBorders>
            <w:shd w:val="clear" w:color="auto" w:fill="auto"/>
            <w:noWrap/>
            <w:vAlign w:val="center"/>
            <w:hideMark/>
          </w:tcPr>
          <w:p w14:paraId="3478A5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.95</w:t>
            </w:r>
          </w:p>
        </w:tc>
        <w:tc>
          <w:tcPr>
            <w:tcW w:w="1156" w:type="dxa"/>
            <w:tcBorders>
              <w:top w:val="nil"/>
              <w:left w:val="nil"/>
              <w:bottom w:val="nil"/>
              <w:right w:val="nil"/>
            </w:tcBorders>
            <w:shd w:val="clear" w:color="auto" w:fill="auto"/>
            <w:noWrap/>
            <w:vAlign w:val="center"/>
            <w:hideMark/>
          </w:tcPr>
          <w:p w14:paraId="137FB1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.37</w:t>
            </w:r>
          </w:p>
        </w:tc>
      </w:tr>
      <w:tr w:rsidR="00E6060C" w:rsidRPr="00E6060C" w14:paraId="3F8E0A16" w14:textId="77777777" w:rsidTr="0054677C">
        <w:trPr>
          <w:trHeight w:val="286"/>
        </w:trPr>
        <w:tc>
          <w:tcPr>
            <w:tcW w:w="1575" w:type="dxa"/>
            <w:tcBorders>
              <w:top w:val="nil"/>
              <w:left w:val="nil"/>
              <w:bottom w:val="nil"/>
              <w:right w:val="nil"/>
            </w:tcBorders>
            <w:shd w:val="clear" w:color="auto" w:fill="auto"/>
            <w:vAlign w:val="center"/>
            <w:hideMark/>
          </w:tcPr>
          <w:p w14:paraId="14E1E23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531" w:type="dxa"/>
            <w:tcBorders>
              <w:top w:val="nil"/>
              <w:left w:val="nil"/>
              <w:bottom w:val="nil"/>
              <w:right w:val="nil"/>
            </w:tcBorders>
            <w:shd w:val="clear" w:color="auto" w:fill="auto"/>
            <w:noWrap/>
            <w:vAlign w:val="center"/>
            <w:hideMark/>
          </w:tcPr>
          <w:p w14:paraId="38B1029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901" w:type="dxa"/>
            <w:tcBorders>
              <w:top w:val="nil"/>
              <w:left w:val="nil"/>
              <w:bottom w:val="nil"/>
              <w:right w:val="nil"/>
            </w:tcBorders>
            <w:shd w:val="clear" w:color="auto" w:fill="auto"/>
            <w:noWrap/>
            <w:vAlign w:val="center"/>
            <w:hideMark/>
          </w:tcPr>
          <w:p w14:paraId="79BC6EA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2.93</w:t>
            </w:r>
          </w:p>
        </w:tc>
        <w:tc>
          <w:tcPr>
            <w:tcW w:w="867" w:type="dxa"/>
            <w:tcBorders>
              <w:top w:val="nil"/>
              <w:left w:val="nil"/>
              <w:bottom w:val="nil"/>
              <w:right w:val="nil"/>
            </w:tcBorders>
            <w:shd w:val="clear" w:color="auto" w:fill="auto"/>
            <w:noWrap/>
            <w:vAlign w:val="center"/>
            <w:hideMark/>
          </w:tcPr>
          <w:p w14:paraId="4CEE182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.83</w:t>
            </w:r>
          </w:p>
        </w:tc>
        <w:tc>
          <w:tcPr>
            <w:tcW w:w="733" w:type="dxa"/>
            <w:tcBorders>
              <w:top w:val="nil"/>
              <w:left w:val="nil"/>
              <w:bottom w:val="nil"/>
              <w:right w:val="nil"/>
            </w:tcBorders>
            <w:shd w:val="clear" w:color="auto" w:fill="auto"/>
            <w:noWrap/>
            <w:vAlign w:val="center"/>
            <w:hideMark/>
          </w:tcPr>
          <w:p w14:paraId="652119A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w:t>
            </w:r>
          </w:p>
        </w:tc>
        <w:tc>
          <w:tcPr>
            <w:tcW w:w="1109" w:type="dxa"/>
            <w:tcBorders>
              <w:top w:val="nil"/>
              <w:left w:val="nil"/>
              <w:bottom w:val="nil"/>
              <w:right w:val="nil"/>
            </w:tcBorders>
            <w:shd w:val="clear" w:color="auto" w:fill="auto"/>
            <w:noWrap/>
            <w:vAlign w:val="center"/>
            <w:hideMark/>
          </w:tcPr>
          <w:p w14:paraId="41E32B0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67" w:type="dxa"/>
            <w:tcBorders>
              <w:top w:val="nil"/>
              <w:left w:val="nil"/>
              <w:bottom w:val="nil"/>
              <w:right w:val="nil"/>
            </w:tcBorders>
            <w:shd w:val="clear" w:color="auto" w:fill="auto"/>
            <w:noWrap/>
            <w:vAlign w:val="center"/>
            <w:hideMark/>
          </w:tcPr>
          <w:p w14:paraId="42F6D7A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12BC04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867" w:type="dxa"/>
            <w:tcBorders>
              <w:top w:val="nil"/>
              <w:left w:val="nil"/>
              <w:bottom w:val="nil"/>
              <w:right w:val="nil"/>
            </w:tcBorders>
            <w:shd w:val="clear" w:color="auto" w:fill="auto"/>
            <w:noWrap/>
            <w:vAlign w:val="center"/>
            <w:hideMark/>
          </w:tcPr>
          <w:p w14:paraId="51FCCCC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6A48652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68" w:type="dxa"/>
            <w:tcBorders>
              <w:top w:val="nil"/>
              <w:left w:val="nil"/>
              <w:bottom w:val="nil"/>
              <w:right w:val="nil"/>
            </w:tcBorders>
            <w:shd w:val="clear" w:color="auto" w:fill="auto"/>
            <w:noWrap/>
            <w:vAlign w:val="center"/>
            <w:hideMark/>
          </w:tcPr>
          <w:p w14:paraId="765D5C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334" w:type="dxa"/>
            <w:tcBorders>
              <w:top w:val="nil"/>
              <w:left w:val="nil"/>
              <w:bottom w:val="nil"/>
              <w:right w:val="nil"/>
            </w:tcBorders>
            <w:shd w:val="clear" w:color="auto" w:fill="auto"/>
            <w:noWrap/>
            <w:vAlign w:val="center"/>
            <w:hideMark/>
          </w:tcPr>
          <w:p w14:paraId="76C0600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1156" w:type="dxa"/>
            <w:tcBorders>
              <w:top w:val="nil"/>
              <w:left w:val="nil"/>
              <w:bottom w:val="nil"/>
              <w:right w:val="nil"/>
            </w:tcBorders>
            <w:shd w:val="clear" w:color="auto" w:fill="auto"/>
            <w:noWrap/>
            <w:vAlign w:val="center"/>
            <w:hideMark/>
          </w:tcPr>
          <w:p w14:paraId="4D2FD86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-1.51</w:t>
            </w:r>
          </w:p>
        </w:tc>
      </w:tr>
      <w:tr w:rsidR="00E6060C" w:rsidRPr="00E6060C" w14:paraId="33F290B7" w14:textId="77777777" w:rsidTr="0054677C">
        <w:trPr>
          <w:trHeight w:val="572"/>
        </w:trPr>
        <w:tc>
          <w:tcPr>
            <w:tcW w:w="1575" w:type="dxa"/>
            <w:tcBorders>
              <w:top w:val="nil"/>
              <w:left w:val="nil"/>
              <w:bottom w:val="nil"/>
              <w:right w:val="nil"/>
            </w:tcBorders>
            <w:shd w:val="clear" w:color="auto" w:fill="auto"/>
            <w:vAlign w:val="center"/>
            <w:hideMark/>
          </w:tcPr>
          <w:p w14:paraId="4725D4F2"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Hierarchical level</w:t>
            </w:r>
          </w:p>
        </w:tc>
        <w:tc>
          <w:tcPr>
            <w:tcW w:w="531" w:type="dxa"/>
            <w:tcBorders>
              <w:top w:val="nil"/>
              <w:left w:val="nil"/>
              <w:bottom w:val="nil"/>
              <w:right w:val="nil"/>
            </w:tcBorders>
            <w:shd w:val="clear" w:color="auto" w:fill="auto"/>
            <w:noWrap/>
            <w:vAlign w:val="center"/>
            <w:hideMark/>
          </w:tcPr>
          <w:p w14:paraId="116711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c>
          <w:tcPr>
            <w:tcW w:w="901" w:type="dxa"/>
            <w:tcBorders>
              <w:top w:val="nil"/>
              <w:left w:val="nil"/>
              <w:bottom w:val="nil"/>
              <w:right w:val="nil"/>
            </w:tcBorders>
            <w:shd w:val="clear" w:color="auto" w:fill="auto"/>
            <w:noWrap/>
            <w:vAlign w:val="center"/>
            <w:hideMark/>
          </w:tcPr>
          <w:p w14:paraId="3A1416F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3.85</w:t>
            </w:r>
          </w:p>
        </w:tc>
        <w:tc>
          <w:tcPr>
            <w:tcW w:w="867" w:type="dxa"/>
            <w:tcBorders>
              <w:top w:val="nil"/>
              <w:left w:val="nil"/>
              <w:bottom w:val="nil"/>
              <w:right w:val="nil"/>
            </w:tcBorders>
            <w:shd w:val="clear" w:color="auto" w:fill="auto"/>
            <w:noWrap/>
            <w:vAlign w:val="center"/>
            <w:hideMark/>
          </w:tcPr>
          <w:p w14:paraId="2FC25E3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1.68</w:t>
            </w:r>
          </w:p>
        </w:tc>
        <w:tc>
          <w:tcPr>
            <w:tcW w:w="733" w:type="dxa"/>
            <w:tcBorders>
              <w:top w:val="nil"/>
              <w:left w:val="nil"/>
              <w:bottom w:val="nil"/>
              <w:right w:val="nil"/>
            </w:tcBorders>
            <w:shd w:val="clear" w:color="auto" w:fill="auto"/>
            <w:noWrap/>
            <w:vAlign w:val="center"/>
            <w:hideMark/>
          </w:tcPr>
          <w:p w14:paraId="4EA6602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.46</w:t>
            </w:r>
          </w:p>
        </w:tc>
        <w:tc>
          <w:tcPr>
            <w:tcW w:w="1109" w:type="dxa"/>
            <w:tcBorders>
              <w:top w:val="nil"/>
              <w:left w:val="nil"/>
              <w:bottom w:val="nil"/>
              <w:right w:val="nil"/>
            </w:tcBorders>
            <w:shd w:val="clear" w:color="auto" w:fill="auto"/>
            <w:noWrap/>
            <w:vAlign w:val="center"/>
            <w:hideMark/>
          </w:tcPr>
          <w:p w14:paraId="5FC41D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867" w:type="dxa"/>
            <w:tcBorders>
              <w:top w:val="nil"/>
              <w:left w:val="nil"/>
              <w:bottom w:val="nil"/>
              <w:right w:val="nil"/>
            </w:tcBorders>
            <w:shd w:val="clear" w:color="auto" w:fill="auto"/>
            <w:noWrap/>
            <w:vAlign w:val="center"/>
            <w:hideMark/>
          </w:tcPr>
          <w:p w14:paraId="01B8F71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2FEB82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6.00</w:t>
            </w:r>
          </w:p>
        </w:tc>
        <w:tc>
          <w:tcPr>
            <w:tcW w:w="867" w:type="dxa"/>
            <w:tcBorders>
              <w:top w:val="nil"/>
              <w:left w:val="nil"/>
              <w:bottom w:val="nil"/>
              <w:right w:val="nil"/>
            </w:tcBorders>
            <w:shd w:val="clear" w:color="auto" w:fill="auto"/>
            <w:noWrap/>
            <w:vAlign w:val="center"/>
            <w:hideMark/>
          </w:tcPr>
          <w:p w14:paraId="78F7400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405F3DE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868" w:type="dxa"/>
            <w:tcBorders>
              <w:top w:val="nil"/>
              <w:left w:val="nil"/>
              <w:bottom w:val="nil"/>
              <w:right w:val="nil"/>
            </w:tcBorders>
            <w:shd w:val="clear" w:color="auto" w:fill="auto"/>
            <w:noWrap/>
            <w:vAlign w:val="center"/>
            <w:hideMark/>
          </w:tcPr>
          <w:p w14:paraId="20D5C09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334" w:type="dxa"/>
            <w:tcBorders>
              <w:top w:val="nil"/>
              <w:left w:val="nil"/>
              <w:bottom w:val="nil"/>
              <w:right w:val="nil"/>
            </w:tcBorders>
            <w:shd w:val="clear" w:color="auto" w:fill="auto"/>
            <w:noWrap/>
            <w:vAlign w:val="center"/>
            <w:hideMark/>
          </w:tcPr>
          <w:p w14:paraId="4349871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-.09</w:t>
            </w:r>
          </w:p>
        </w:tc>
        <w:tc>
          <w:tcPr>
            <w:tcW w:w="1156" w:type="dxa"/>
            <w:tcBorders>
              <w:top w:val="nil"/>
              <w:left w:val="nil"/>
              <w:bottom w:val="nil"/>
              <w:right w:val="nil"/>
            </w:tcBorders>
            <w:shd w:val="clear" w:color="auto" w:fill="auto"/>
            <w:noWrap/>
            <w:vAlign w:val="center"/>
            <w:hideMark/>
          </w:tcPr>
          <w:p w14:paraId="76D0665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-1.99</w:t>
            </w:r>
          </w:p>
        </w:tc>
      </w:tr>
      <w:tr w:rsidR="00E6060C" w:rsidRPr="00E6060C" w14:paraId="6E5F5EA9" w14:textId="77777777" w:rsidTr="0054677C">
        <w:trPr>
          <w:trHeight w:val="148"/>
        </w:trPr>
        <w:tc>
          <w:tcPr>
            <w:tcW w:w="1575" w:type="dxa"/>
            <w:tcBorders>
              <w:top w:val="nil"/>
              <w:left w:val="nil"/>
              <w:bottom w:val="nil"/>
              <w:right w:val="nil"/>
            </w:tcBorders>
            <w:shd w:val="clear" w:color="auto" w:fill="auto"/>
            <w:vAlign w:val="center"/>
            <w:hideMark/>
          </w:tcPr>
          <w:p w14:paraId="7BA67B0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Time qualified (yrs)</w:t>
            </w:r>
          </w:p>
        </w:tc>
        <w:tc>
          <w:tcPr>
            <w:tcW w:w="531" w:type="dxa"/>
            <w:tcBorders>
              <w:top w:val="nil"/>
              <w:left w:val="nil"/>
              <w:bottom w:val="nil"/>
              <w:right w:val="nil"/>
            </w:tcBorders>
            <w:shd w:val="clear" w:color="auto" w:fill="auto"/>
            <w:noWrap/>
            <w:vAlign w:val="center"/>
            <w:hideMark/>
          </w:tcPr>
          <w:p w14:paraId="3CCB488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w:t>
            </w:r>
          </w:p>
        </w:tc>
        <w:tc>
          <w:tcPr>
            <w:tcW w:w="901" w:type="dxa"/>
            <w:tcBorders>
              <w:top w:val="nil"/>
              <w:left w:val="nil"/>
              <w:bottom w:val="nil"/>
              <w:right w:val="nil"/>
            </w:tcBorders>
            <w:shd w:val="clear" w:color="auto" w:fill="auto"/>
            <w:noWrap/>
            <w:vAlign w:val="center"/>
            <w:hideMark/>
          </w:tcPr>
          <w:p w14:paraId="5DAA8D3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3.20</w:t>
            </w:r>
          </w:p>
        </w:tc>
        <w:tc>
          <w:tcPr>
            <w:tcW w:w="867" w:type="dxa"/>
            <w:tcBorders>
              <w:top w:val="nil"/>
              <w:left w:val="nil"/>
              <w:bottom w:val="nil"/>
              <w:right w:val="nil"/>
            </w:tcBorders>
            <w:shd w:val="clear" w:color="auto" w:fill="auto"/>
            <w:noWrap/>
            <w:vAlign w:val="center"/>
            <w:hideMark/>
          </w:tcPr>
          <w:p w14:paraId="72F7F12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1.64</w:t>
            </w:r>
          </w:p>
        </w:tc>
        <w:tc>
          <w:tcPr>
            <w:tcW w:w="733" w:type="dxa"/>
            <w:tcBorders>
              <w:top w:val="nil"/>
              <w:left w:val="nil"/>
              <w:bottom w:val="nil"/>
              <w:right w:val="nil"/>
            </w:tcBorders>
            <w:shd w:val="clear" w:color="auto" w:fill="auto"/>
            <w:noWrap/>
            <w:vAlign w:val="center"/>
            <w:hideMark/>
          </w:tcPr>
          <w:p w14:paraId="2CEA9F1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.73</w:t>
            </w:r>
          </w:p>
        </w:tc>
        <w:tc>
          <w:tcPr>
            <w:tcW w:w="1109" w:type="dxa"/>
            <w:tcBorders>
              <w:top w:val="nil"/>
              <w:left w:val="nil"/>
              <w:bottom w:val="nil"/>
              <w:right w:val="nil"/>
            </w:tcBorders>
            <w:shd w:val="clear" w:color="auto" w:fill="auto"/>
            <w:noWrap/>
            <w:vAlign w:val="center"/>
            <w:hideMark/>
          </w:tcPr>
          <w:p w14:paraId="3FE6D57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1597ACA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76C6DFD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867" w:type="dxa"/>
            <w:tcBorders>
              <w:top w:val="nil"/>
              <w:left w:val="nil"/>
              <w:bottom w:val="nil"/>
              <w:right w:val="nil"/>
            </w:tcBorders>
            <w:shd w:val="clear" w:color="auto" w:fill="auto"/>
            <w:noWrap/>
            <w:vAlign w:val="center"/>
            <w:hideMark/>
          </w:tcPr>
          <w:p w14:paraId="4685901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7" w:type="dxa"/>
            <w:tcBorders>
              <w:top w:val="nil"/>
              <w:left w:val="nil"/>
              <w:bottom w:val="nil"/>
              <w:right w:val="nil"/>
            </w:tcBorders>
            <w:shd w:val="clear" w:color="auto" w:fill="auto"/>
            <w:noWrap/>
            <w:vAlign w:val="center"/>
            <w:hideMark/>
          </w:tcPr>
          <w:p w14:paraId="0CF5DF0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68" w:type="dxa"/>
            <w:tcBorders>
              <w:top w:val="nil"/>
              <w:left w:val="nil"/>
              <w:bottom w:val="nil"/>
              <w:right w:val="nil"/>
            </w:tcBorders>
            <w:shd w:val="clear" w:color="auto" w:fill="auto"/>
            <w:noWrap/>
            <w:vAlign w:val="center"/>
            <w:hideMark/>
          </w:tcPr>
          <w:p w14:paraId="4F7A087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334" w:type="dxa"/>
            <w:tcBorders>
              <w:top w:val="nil"/>
              <w:left w:val="nil"/>
              <w:bottom w:val="nil"/>
              <w:right w:val="nil"/>
            </w:tcBorders>
            <w:shd w:val="clear" w:color="auto" w:fill="auto"/>
            <w:noWrap/>
            <w:vAlign w:val="center"/>
            <w:hideMark/>
          </w:tcPr>
          <w:p w14:paraId="17A4109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.61</w:t>
            </w:r>
          </w:p>
        </w:tc>
        <w:tc>
          <w:tcPr>
            <w:tcW w:w="1156" w:type="dxa"/>
            <w:tcBorders>
              <w:top w:val="nil"/>
              <w:left w:val="nil"/>
              <w:bottom w:val="nil"/>
              <w:right w:val="nil"/>
            </w:tcBorders>
            <w:shd w:val="clear" w:color="auto" w:fill="auto"/>
            <w:noWrap/>
            <w:vAlign w:val="center"/>
            <w:hideMark/>
          </w:tcPr>
          <w:p w14:paraId="0C1DCD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-3.33</w:t>
            </w:r>
          </w:p>
        </w:tc>
      </w:tr>
      <w:tr w:rsidR="00E6060C" w:rsidRPr="00E6060C" w14:paraId="33DCA558" w14:textId="77777777" w:rsidTr="0054677C">
        <w:trPr>
          <w:trHeight w:val="572"/>
        </w:trPr>
        <w:tc>
          <w:tcPr>
            <w:tcW w:w="1575" w:type="dxa"/>
            <w:tcBorders>
              <w:top w:val="nil"/>
              <w:left w:val="nil"/>
              <w:bottom w:val="nil"/>
              <w:right w:val="nil"/>
            </w:tcBorders>
            <w:shd w:val="clear" w:color="auto" w:fill="auto"/>
            <w:vAlign w:val="center"/>
            <w:hideMark/>
          </w:tcPr>
          <w:p w14:paraId="5BBF67D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Education level</w:t>
            </w:r>
          </w:p>
        </w:tc>
        <w:tc>
          <w:tcPr>
            <w:tcW w:w="531" w:type="dxa"/>
            <w:tcBorders>
              <w:top w:val="nil"/>
              <w:left w:val="nil"/>
              <w:bottom w:val="nil"/>
              <w:right w:val="nil"/>
            </w:tcBorders>
            <w:shd w:val="clear" w:color="auto" w:fill="auto"/>
            <w:noWrap/>
            <w:vAlign w:val="center"/>
            <w:hideMark/>
          </w:tcPr>
          <w:p w14:paraId="58FF730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w:t>
            </w:r>
          </w:p>
        </w:tc>
        <w:tc>
          <w:tcPr>
            <w:tcW w:w="901" w:type="dxa"/>
            <w:tcBorders>
              <w:top w:val="nil"/>
              <w:left w:val="nil"/>
              <w:bottom w:val="nil"/>
              <w:right w:val="nil"/>
            </w:tcBorders>
            <w:shd w:val="clear" w:color="auto" w:fill="auto"/>
            <w:noWrap/>
            <w:vAlign w:val="center"/>
            <w:hideMark/>
          </w:tcPr>
          <w:p w14:paraId="5AEDB2A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3.50</w:t>
            </w:r>
          </w:p>
        </w:tc>
        <w:tc>
          <w:tcPr>
            <w:tcW w:w="867" w:type="dxa"/>
            <w:tcBorders>
              <w:top w:val="nil"/>
              <w:left w:val="nil"/>
              <w:bottom w:val="nil"/>
              <w:right w:val="nil"/>
            </w:tcBorders>
            <w:shd w:val="clear" w:color="auto" w:fill="auto"/>
            <w:noWrap/>
            <w:vAlign w:val="center"/>
            <w:hideMark/>
          </w:tcPr>
          <w:p w14:paraId="6BEBB75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1.38</w:t>
            </w:r>
          </w:p>
        </w:tc>
        <w:tc>
          <w:tcPr>
            <w:tcW w:w="733" w:type="dxa"/>
            <w:tcBorders>
              <w:top w:val="nil"/>
              <w:left w:val="nil"/>
              <w:bottom w:val="nil"/>
              <w:right w:val="nil"/>
            </w:tcBorders>
            <w:shd w:val="clear" w:color="auto" w:fill="auto"/>
            <w:noWrap/>
            <w:vAlign w:val="center"/>
            <w:hideMark/>
          </w:tcPr>
          <w:p w14:paraId="4CE4619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w:t>
            </w:r>
          </w:p>
        </w:tc>
        <w:tc>
          <w:tcPr>
            <w:tcW w:w="1109" w:type="dxa"/>
            <w:tcBorders>
              <w:top w:val="nil"/>
              <w:left w:val="nil"/>
              <w:bottom w:val="nil"/>
              <w:right w:val="nil"/>
            </w:tcBorders>
            <w:shd w:val="clear" w:color="auto" w:fill="auto"/>
            <w:noWrap/>
            <w:vAlign w:val="center"/>
            <w:hideMark/>
          </w:tcPr>
          <w:p w14:paraId="707FA18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3.50</w:t>
            </w:r>
          </w:p>
        </w:tc>
        <w:tc>
          <w:tcPr>
            <w:tcW w:w="867" w:type="dxa"/>
            <w:tcBorders>
              <w:top w:val="nil"/>
              <w:left w:val="nil"/>
              <w:bottom w:val="nil"/>
              <w:right w:val="nil"/>
            </w:tcBorders>
            <w:shd w:val="clear" w:color="auto" w:fill="auto"/>
            <w:noWrap/>
            <w:vAlign w:val="center"/>
            <w:hideMark/>
          </w:tcPr>
          <w:p w14:paraId="6B65D96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7" w:type="dxa"/>
            <w:tcBorders>
              <w:top w:val="nil"/>
              <w:left w:val="nil"/>
              <w:bottom w:val="nil"/>
              <w:right w:val="nil"/>
            </w:tcBorders>
            <w:shd w:val="clear" w:color="auto" w:fill="auto"/>
            <w:noWrap/>
            <w:vAlign w:val="center"/>
            <w:hideMark/>
          </w:tcPr>
          <w:p w14:paraId="3D51C7A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867" w:type="dxa"/>
            <w:tcBorders>
              <w:top w:val="nil"/>
              <w:left w:val="nil"/>
              <w:bottom w:val="nil"/>
              <w:right w:val="nil"/>
            </w:tcBorders>
            <w:shd w:val="clear" w:color="auto" w:fill="auto"/>
            <w:noWrap/>
            <w:vAlign w:val="center"/>
            <w:hideMark/>
          </w:tcPr>
          <w:p w14:paraId="0564B13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2.25</w:t>
            </w:r>
          </w:p>
        </w:tc>
        <w:tc>
          <w:tcPr>
            <w:tcW w:w="867" w:type="dxa"/>
            <w:tcBorders>
              <w:top w:val="nil"/>
              <w:left w:val="nil"/>
              <w:bottom w:val="nil"/>
              <w:right w:val="nil"/>
            </w:tcBorders>
            <w:shd w:val="clear" w:color="auto" w:fill="auto"/>
            <w:noWrap/>
            <w:vAlign w:val="center"/>
            <w:hideMark/>
          </w:tcPr>
          <w:p w14:paraId="02EFBEF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3.50</w:t>
            </w:r>
          </w:p>
        </w:tc>
        <w:tc>
          <w:tcPr>
            <w:tcW w:w="868" w:type="dxa"/>
            <w:tcBorders>
              <w:top w:val="nil"/>
              <w:left w:val="nil"/>
              <w:bottom w:val="nil"/>
              <w:right w:val="nil"/>
            </w:tcBorders>
            <w:shd w:val="clear" w:color="auto" w:fill="auto"/>
            <w:noWrap/>
            <w:vAlign w:val="center"/>
            <w:hideMark/>
          </w:tcPr>
          <w:p w14:paraId="427DA26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334" w:type="dxa"/>
            <w:tcBorders>
              <w:top w:val="nil"/>
              <w:left w:val="nil"/>
              <w:bottom w:val="nil"/>
              <w:right w:val="nil"/>
            </w:tcBorders>
            <w:shd w:val="clear" w:color="auto" w:fill="auto"/>
            <w:noWrap/>
            <w:vAlign w:val="center"/>
            <w:hideMark/>
          </w:tcPr>
          <w:p w14:paraId="68CB5A3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-.37</w:t>
            </w:r>
          </w:p>
        </w:tc>
        <w:tc>
          <w:tcPr>
            <w:tcW w:w="1156" w:type="dxa"/>
            <w:tcBorders>
              <w:top w:val="nil"/>
              <w:left w:val="nil"/>
              <w:bottom w:val="nil"/>
              <w:right w:val="nil"/>
            </w:tcBorders>
            <w:shd w:val="clear" w:color="auto" w:fill="auto"/>
            <w:noWrap/>
            <w:vAlign w:val="center"/>
            <w:hideMark/>
          </w:tcPr>
          <w:p w14:paraId="5C513EA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-1.02</w:t>
            </w:r>
          </w:p>
        </w:tc>
      </w:tr>
      <w:tr w:rsidR="00E6060C" w:rsidRPr="00E6060C" w14:paraId="35A7C43A" w14:textId="77777777" w:rsidTr="0054677C">
        <w:trPr>
          <w:trHeight w:val="286"/>
        </w:trPr>
        <w:tc>
          <w:tcPr>
            <w:tcW w:w="1575" w:type="dxa"/>
            <w:tcBorders>
              <w:top w:val="nil"/>
              <w:left w:val="nil"/>
              <w:bottom w:val="nil"/>
              <w:right w:val="nil"/>
            </w:tcBorders>
            <w:shd w:val="clear" w:color="auto" w:fill="auto"/>
            <w:vAlign w:val="center"/>
            <w:hideMark/>
          </w:tcPr>
          <w:p w14:paraId="32BFE84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Manager</w:t>
            </w:r>
          </w:p>
        </w:tc>
        <w:tc>
          <w:tcPr>
            <w:tcW w:w="531" w:type="dxa"/>
            <w:tcBorders>
              <w:top w:val="nil"/>
              <w:left w:val="nil"/>
              <w:bottom w:val="nil"/>
              <w:right w:val="nil"/>
            </w:tcBorders>
            <w:shd w:val="clear" w:color="auto" w:fill="auto"/>
            <w:noWrap/>
            <w:vAlign w:val="center"/>
            <w:hideMark/>
          </w:tcPr>
          <w:p w14:paraId="073FA8D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w:t>
            </w:r>
          </w:p>
        </w:tc>
        <w:tc>
          <w:tcPr>
            <w:tcW w:w="901" w:type="dxa"/>
            <w:tcBorders>
              <w:top w:val="nil"/>
              <w:left w:val="nil"/>
              <w:bottom w:val="nil"/>
              <w:right w:val="nil"/>
            </w:tcBorders>
            <w:shd w:val="clear" w:color="auto" w:fill="auto"/>
            <w:noWrap/>
            <w:vAlign w:val="center"/>
            <w:hideMark/>
          </w:tcPr>
          <w:p w14:paraId="303C216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.58</w:t>
            </w:r>
          </w:p>
        </w:tc>
        <w:tc>
          <w:tcPr>
            <w:tcW w:w="867" w:type="dxa"/>
            <w:tcBorders>
              <w:top w:val="nil"/>
              <w:left w:val="nil"/>
              <w:bottom w:val="nil"/>
              <w:right w:val="nil"/>
            </w:tcBorders>
            <w:shd w:val="clear" w:color="auto" w:fill="auto"/>
            <w:noWrap/>
            <w:vAlign w:val="center"/>
            <w:hideMark/>
          </w:tcPr>
          <w:p w14:paraId="0DDA779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.51</w:t>
            </w:r>
          </w:p>
        </w:tc>
        <w:tc>
          <w:tcPr>
            <w:tcW w:w="733" w:type="dxa"/>
            <w:tcBorders>
              <w:top w:val="nil"/>
              <w:left w:val="nil"/>
              <w:bottom w:val="nil"/>
              <w:right w:val="nil"/>
            </w:tcBorders>
            <w:shd w:val="clear" w:color="auto" w:fill="auto"/>
            <w:noWrap/>
            <w:vAlign w:val="center"/>
            <w:hideMark/>
          </w:tcPr>
          <w:p w14:paraId="11298E8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w:t>
            </w:r>
          </w:p>
        </w:tc>
        <w:tc>
          <w:tcPr>
            <w:tcW w:w="1109" w:type="dxa"/>
            <w:tcBorders>
              <w:top w:val="nil"/>
              <w:left w:val="nil"/>
              <w:bottom w:val="nil"/>
              <w:right w:val="nil"/>
            </w:tcBorders>
            <w:shd w:val="clear" w:color="auto" w:fill="auto"/>
            <w:noWrap/>
            <w:vAlign w:val="center"/>
            <w:hideMark/>
          </w:tcPr>
          <w:p w14:paraId="024E9CC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7" w:type="dxa"/>
            <w:tcBorders>
              <w:top w:val="nil"/>
              <w:left w:val="nil"/>
              <w:bottom w:val="nil"/>
              <w:right w:val="nil"/>
            </w:tcBorders>
            <w:shd w:val="clear" w:color="auto" w:fill="auto"/>
            <w:noWrap/>
            <w:vAlign w:val="center"/>
            <w:hideMark/>
          </w:tcPr>
          <w:p w14:paraId="1CE0505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6475C96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7" w:type="dxa"/>
            <w:tcBorders>
              <w:top w:val="nil"/>
              <w:left w:val="nil"/>
              <w:bottom w:val="nil"/>
              <w:right w:val="nil"/>
            </w:tcBorders>
            <w:shd w:val="clear" w:color="auto" w:fill="auto"/>
            <w:noWrap/>
            <w:vAlign w:val="center"/>
            <w:hideMark/>
          </w:tcPr>
          <w:p w14:paraId="15BB878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nil"/>
              <w:right w:val="nil"/>
            </w:tcBorders>
            <w:shd w:val="clear" w:color="auto" w:fill="auto"/>
            <w:noWrap/>
            <w:vAlign w:val="center"/>
            <w:hideMark/>
          </w:tcPr>
          <w:p w14:paraId="564BE29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8" w:type="dxa"/>
            <w:tcBorders>
              <w:top w:val="nil"/>
              <w:left w:val="nil"/>
              <w:bottom w:val="nil"/>
              <w:right w:val="nil"/>
            </w:tcBorders>
            <w:shd w:val="clear" w:color="auto" w:fill="auto"/>
            <w:noWrap/>
            <w:vAlign w:val="center"/>
            <w:hideMark/>
          </w:tcPr>
          <w:p w14:paraId="3841C2A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334" w:type="dxa"/>
            <w:tcBorders>
              <w:top w:val="nil"/>
              <w:left w:val="nil"/>
              <w:bottom w:val="nil"/>
              <w:right w:val="nil"/>
            </w:tcBorders>
            <w:shd w:val="clear" w:color="auto" w:fill="auto"/>
            <w:noWrap/>
            <w:vAlign w:val="center"/>
            <w:hideMark/>
          </w:tcPr>
          <w:p w14:paraId="4DD5792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-.39</w:t>
            </w:r>
          </w:p>
        </w:tc>
        <w:tc>
          <w:tcPr>
            <w:tcW w:w="1156" w:type="dxa"/>
            <w:tcBorders>
              <w:top w:val="nil"/>
              <w:left w:val="nil"/>
              <w:bottom w:val="nil"/>
              <w:right w:val="nil"/>
            </w:tcBorders>
            <w:shd w:val="clear" w:color="auto" w:fill="auto"/>
            <w:noWrap/>
            <w:vAlign w:val="center"/>
            <w:hideMark/>
          </w:tcPr>
          <w:p w14:paraId="1195AA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-2.26</w:t>
            </w:r>
          </w:p>
        </w:tc>
      </w:tr>
      <w:tr w:rsidR="00E6060C" w:rsidRPr="00E6060C" w14:paraId="20124616" w14:textId="77777777" w:rsidTr="0054677C">
        <w:trPr>
          <w:trHeight w:val="286"/>
        </w:trPr>
        <w:tc>
          <w:tcPr>
            <w:tcW w:w="1575" w:type="dxa"/>
            <w:tcBorders>
              <w:top w:val="nil"/>
              <w:left w:val="nil"/>
              <w:bottom w:val="single" w:sz="4" w:space="0" w:color="auto"/>
              <w:right w:val="nil"/>
            </w:tcBorders>
            <w:shd w:val="clear" w:color="auto" w:fill="auto"/>
            <w:vAlign w:val="center"/>
            <w:hideMark/>
          </w:tcPr>
          <w:p w14:paraId="001FB31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FT/PT</w:t>
            </w:r>
          </w:p>
        </w:tc>
        <w:tc>
          <w:tcPr>
            <w:tcW w:w="531" w:type="dxa"/>
            <w:tcBorders>
              <w:top w:val="nil"/>
              <w:left w:val="nil"/>
              <w:bottom w:val="single" w:sz="4" w:space="0" w:color="auto"/>
              <w:right w:val="nil"/>
            </w:tcBorders>
            <w:shd w:val="clear" w:color="auto" w:fill="auto"/>
            <w:noWrap/>
            <w:vAlign w:val="center"/>
            <w:hideMark/>
          </w:tcPr>
          <w:p w14:paraId="5B2596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901" w:type="dxa"/>
            <w:tcBorders>
              <w:top w:val="nil"/>
              <w:left w:val="nil"/>
              <w:bottom w:val="single" w:sz="4" w:space="0" w:color="auto"/>
              <w:right w:val="nil"/>
            </w:tcBorders>
            <w:shd w:val="clear" w:color="auto" w:fill="auto"/>
            <w:noWrap/>
            <w:vAlign w:val="center"/>
            <w:hideMark/>
          </w:tcPr>
          <w:p w14:paraId="4C151C1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.57</w:t>
            </w:r>
          </w:p>
        </w:tc>
        <w:tc>
          <w:tcPr>
            <w:tcW w:w="867" w:type="dxa"/>
            <w:tcBorders>
              <w:top w:val="nil"/>
              <w:left w:val="nil"/>
              <w:bottom w:val="single" w:sz="4" w:space="0" w:color="auto"/>
              <w:right w:val="nil"/>
            </w:tcBorders>
            <w:shd w:val="clear" w:color="auto" w:fill="auto"/>
            <w:noWrap/>
            <w:vAlign w:val="center"/>
            <w:hideMark/>
          </w:tcPr>
          <w:p w14:paraId="60E38C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.51</w:t>
            </w:r>
          </w:p>
        </w:tc>
        <w:tc>
          <w:tcPr>
            <w:tcW w:w="733" w:type="dxa"/>
            <w:tcBorders>
              <w:top w:val="nil"/>
              <w:left w:val="nil"/>
              <w:bottom w:val="single" w:sz="4" w:space="0" w:color="auto"/>
              <w:right w:val="nil"/>
            </w:tcBorders>
            <w:shd w:val="clear" w:color="auto" w:fill="auto"/>
            <w:noWrap/>
            <w:vAlign w:val="center"/>
            <w:hideMark/>
          </w:tcPr>
          <w:p w14:paraId="1491E4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1109" w:type="dxa"/>
            <w:tcBorders>
              <w:top w:val="nil"/>
              <w:left w:val="nil"/>
              <w:bottom w:val="single" w:sz="4" w:space="0" w:color="auto"/>
              <w:right w:val="nil"/>
            </w:tcBorders>
            <w:shd w:val="clear" w:color="auto" w:fill="auto"/>
            <w:noWrap/>
            <w:vAlign w:val="center"/>
            <w:hideMark/>
          </w:tcPr>
          <w:p w14:paraId="3C02EE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7" w:type="dxa"/>
            <w:tcBorders>
              <w:top w:val="nil"/>
              <w:left w:val="nil"/>
              <w:bottom w:val="single" w:sz="4" w:space="0" w:color="auto"/>
              <w:right w:val="nil"/>
            </w:tcBorders>
            <w:shd w:val="clear" w:color="auto" w:fill="auto"/>
            <w:noWrap/>
            <w:vAlign w:val="center"/>
            <w:hideMark/>
          </w:tcPr>
          <w:p w14:paraId="57848B8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single" w:sz="4" w:space="0" w:color="auto"/>
              <w:right w:val="nil"/>
            </w:tcBorders>
            <w:shd w:val="clear" w:color="auto" w:fill="auto"/>
            <w:noWrap/>
            <w:vAlign w:val="center"/>
            <w:hideMark/>
          </w:tcPr>
          <w:p w14:paraId="12E98A8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7" w:type="dxa"/>
            <w:tcBorders>
              <w:top w:val="nil"/>
              <w:left w:val="nil"/>
              <w:bottom w:val="single" w:sz="4" w:space="0" w:color="auto"/>
              <w:right w:val="nil"/>
            </w:tcBorders>
            <w:shd w:val="clear" w:color="auto" w:fill="auto"/>
            <w:noWrap/>
            <w:vAlign w:val="center"/>
            <w:hideMark/>
          </w:tcPr>
          <w:p w14:paraId="2473C6F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67" w:type="dxa"/>
            <w:tcBorders>
              <w:top w:val="nil"/>
              <w:left w:val="nil"/>
              <w:bottom w:val="single" w:sz="4" w:space="0" w:color="auto"/>
              <w:right w:val="nil"/>
            </w:tcBorders>
            <w:shd w:val="clear" w:color="auto" w:fill="auto"/>
            <w:noWrap/>
            <w:vAlign w:val="center"/>
            <w:hideMark/>
          </w:tcPr>
          <w:p w14:paraId="08A3CE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68" w:type="dxa"/>
            <w:tcBorders>
              <w:top w:val="nil"/>
              <w:left w:val="nil"/>
              <w:bottom w:val="single" w:sz="4" w:space="0" w:color="auto"/>
              <w:right w:val="nil"/>
            </w:tcBorders>
            <w:shd w:val="clear" w:color="auto" w:fill="auto"/>
            <w:noWrap/>
            <w:vAlign w:val="center"/>
            <w:hideMark/>
          </w:tcPr>
          <w:p w14:paraId="0F4885A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334" w:type="dxa"/>
            <w:tcBorders>
              <w:top w:val="nil"/>
              <w:left w:val="nil"/>
              <w:bottom w:val="single" w:sz="4" w:space="0" w:color="auto"/>
              <w:right w:val="nil"/>
            </w:tcBorders>
            <w:shd w:val="clear" w:color="auto" w:fill="auto"/>
            <w:noWrap/>
            <w:vAlign w:val="center"/>
            <w:hideMark/>
          </w:tcPr>
          <w:p w14:paraId="6C3CCF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-.32</w:t>
            </w:r>
          </w:p>
        </w:tc>
        <w:tc>
          <w:tcPr>
            <w:tcW w:w="1156" w:type="dxa"/>
            <w:tcBorders>
              <w:top w:val="nil"/>
              <w:left w:val="nil"/>
              <w:bottom w:val="single" w:sz="4" w:space="0" w:color="auto"/>
              <w:right w:val="nil"/>
            </w:tcBorders>
            <w:shd w:val="clear" w:color="auto" w:fill="auto"/>
            <w:noWrap/>
            <w:vAlign w:val="center"/>
            <w:hideMark/>
          </w:tcPr>
          <w:p w14:paraId="73E129E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-2.24</w:t>
            </w:r>
          </w:p>
        </w:tc>
      </w:tr>
    </w:tbl>
    <w:p w14:paraId="78177D80" w14:textId="407F6A60" w:rsidR="00E6060C" w:rsidRPr="00E6060C" w:rsidRDefault="00E6060C" w:rsidP="0054677C">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M=mean; SD</w:t>
      </w:r>
      <w:r w:rsidRPr="00E6060C">
        <w:rPr>
          <w:rFonts w:ascii="Calibri" w:eastAsia="Calibri" w:hAnsi="Calibri" w:cs="Times New Roman"/>
        </w:rPr>
        <w:t xml:space="preserve">=standard deviation; </w:t>
      </w:r>
      <w:r w:rsidRPr="00E6060C">
        <w:rPr>
          <w:rFonts w:ascii="Calibri" w:eastAsia="Calibri" w:hAnsi="Calibri" w:cs="Times New Roman"/>
          <w:i/>
        </w:rPr>
        <w:t>SE</w:t>
      </w:r>
      <w:r w:rsidRPr="00E6060C">
        <w:rPr>
          <w:rFonts w:ascii="Calibri" w:eastAsia="Calibri" w:hAnsi="Calibri" w:cs="Times New Roman"/>
        </w:rPr>
        <w:t>=standard error; Min=Minimum value; Max=Maximum value; Time qualified=length of time qualified as a nurse; Manager=whether or not the respondents managed employees</w:t>
      </w:r>
      <w:r w:rsidR="00030B4D">
        <w:rPr>
          <w:rFonts w:ascii="Calibri" w:eastAsia="Calibri" w:hAnsi="Calibri" w:cs="Times New Roman"/>
        </w:rPr>
        <w:t>; FT/PT=full time/part time</w:t>
      </w:r>
    </w:p>
    <w:p w14:paraId="38368A97" w14:textId="77777777" w:rsidR="00E6060C" w:rsidRPr="00E6060C" w:rsidRDefault="00E6060C" w:rsidP="00E6060C">
      <w:pPr>
        <w:spacing w:after="200" w:line="240" w:lineRule="auto"/>
        <w:ind w:firstLine="720"/>
        <w:contextualSpacing/>
        <w:jc w:val="both"/>
        <w:rPr>
          <w:rFonts w:ascii="Calibri" w:eastAsia="Calibri" w:hAnsi="Calibri" w:cs="Times New Roman"/>
        </w:rPr>
      </w:pPr>
    </w:p>
    <w:p w14:paraId="4DA8FAEC" w14:textId="77777777" w:rsidR="00842587" w:rsidRDefault="00842587">
      <w:pPr>
        <w:spacing w:after="160"/>
        <w:rPr>
          <w:rFonts w:ascii="Calibri" w:eastAsia="Calibri" w:hAnsi="Calibri" w:cs="Times New Roman"/>
        </w:rPr>
      </w:pPr>
      <w:r>
        <w:rPr>
          <w:rFonts w:ascii="Calibri" w:eastAsia="Calibri" w:hAnsi="Calibri" w:cs="Times New Roman"/>
        </w:rPr>
        <w:br w:type="page"/>
      </w:r>
    </w:p>
    <w:p w14:paraId="78CB1D14" w14:textId="327666B3" w:rsidR="00842587" w:rsidRDefault="00842587" w:rsidP="005852AD">
      <w:pPr>
        <w:pStyle w:val="Figurestyle"/>
      </w:pPr>
      <w:bookmarkStart w:id="422" w:name="_Ref453581067"/>
      <w:bookmarkStart w:id="423" w:name="_Toc468286084"/>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10</w:t>
      </w:r>
      <w:r w:rsidR="00245D68">
        <w:rPr>
          <w:noProof/>
        </w:rPr>
        <w:fldChar w:fldCharType="end"/>
      </w:r>
      <w:bookmarkEnd w:id="422"/>
      <w:r>
        <w:t xml:space="preserve"> </w:t>
      </w:r>
      <w:r w:rsidRPr="00ED4C42">
        <w:t>Descriptive statistics for those in the intervention group who responded to the questionnaire at both Time 1 and Time 2 (N=31)</w:t>
      </w:r>
      <w:bookmarkEnd w:id="423"/>
    </w:p>
    <w:p w14:paraId="5251209A" w14:textId="77777777" w:rsidR="00842587" w:rsidRDefault="00842587" w:rsidP="005852AD">
      <w:pPr>
        <w:pStyle w:val="Figurestyle"/>
      </w:pPr>
    </w:p>
    <w:tbl>
      <w:tblPr>
        <w:tblW w:w="12730" w:type="dxa"/>
        <w:tblLook w:val="04A0" w:firstRow="1" w:lastRow="0" w:firstColumn="1" w:lastColumn="0" w:noHBand="0" w:noVBand="1"/>
      </w:tblPr>
      <w:tblGrid>
        <w:gridCol w:w="1599"/>
        <w:gridCol w:w="539"/>
        <w:gridCol w:w="914"/>
        <w:gridCol w:w="880"/>
        <w:gridCol w:w="744"/>
        <w:gridCol w:w="1125"/>
        <w:gridCol w:w="880"/>
        <w:gridCol w:w="880"/>
        <w:gridCol w:w="880"/>
        <w:gridCol w:w="880"/>
        <w:gridCol w:w="881"/>
        <w:gridCol w:w="1355"/>
        <w:gridCol w:w="1173"/>
      </w:tblGrid>
      <w:tr w:rsidR="00E6060C" w:rsidRPr="00E6060C" w14:paraId="144575A7" w14:textId="77777777" w:rsidTr="00FE03C0">
        <w:trPr>
          <w:trHeight w:val="290"/>
        </w:trPr>
        <w:tc>
          <w:tcPr>
            <w:tcW w:w="1599" w:type="dxa"/>
            <w:tcBorders>
              <w:top w:val="single" w:sz="4" w:space="0" w:color="auto"/>
              <w:left w:val="nil"/>
              <w:bottom w:val="nil"/>
              <w:right w:val="nil"/>
            </w:tcBorders>
            <w:shd w:val="clear" w:color="auto" w:fill="auto"/>
            <w:noWrap/>
            <w:vAlign w:val="bottom"/>
            <w:hideMark/>
          </w:tcPr>
          <w:p w14:paraId="6754805E" w14:textId="77777777" w:rsidR="00E6060C" w:rsidRPr="00E6060C" w:rsidRDefault="00E6060C" w:rsidP="00E6060C">
            <w:pPr>
              <w:spacing w:line="240" w:lineRule="auto"/>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 </w:t>
            </w:r>
          </w:p>
        </w:tc>
        <w:tc>
          <w:tcPr>
            <w:tcW w:w="539" w:type="dxa"/>
            <w:vMerge w:val="restart"/>
            <w:tcBorders>
              <w:top w:val="single" w:sz="4" w:space="0" w:color="auto"/>
              <w:left w:val="nil"/>
              <w:bottom w:val="single" w:sz="4" w:space="0" w:color="000000"/>
              <w:right w:val="nil"/>
            </w:tcBorders>
            <w:shd w:val="clear" w:color="auto" w:fill="auto"/>
            <w:vAlign w:val="center"/>
            <w:hideMark/>
          </w:tcPr>
          <w:p w14:paraId="2FCD879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914" w:type="dxa"/>
            <w:vMerge w:val="restart"/>
            <w:tcBorders>
              <w:top w:val="single" w:sz="4" w:space="0" w:color="auto"/>
              <w:left w:val="nil"/>
              <w:bottom w:val="single" w:sz="4" w:space="0" w:color="000000"/>
              <w:right w:val="nil"/>
            </w:tcBorders>
            <w:shd w:val="clear" w:color="auto" w:fill="auto"/>
            <w:vAlign w:val="center"/>
            <w:hideMark/>
          </w:tcPr>
          <w:p w14:paraId="7AD785D7"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M</w:t>
            </w:r>
          </w:p>
        </w:tc>
        <w:tc>
          <w:tcPr>
            <w:tcW w:w="880" w:type="dxa"/>
            <w:vMerge w:val="restart"/>
            <w:tcBorders>
              <w:top w:val="single" w:sz="4" w:space="0" w:color="auto"/>
              <w:left w:val="nil"/>
              <w:bottom w:val="single" w:sz="4" w:space="0" w:color="000000"/>
              <w:right w:val="nil"/>
            </w:tcBorders>
            <w:shd w:val="clear" w:color="auto" w:fill="auto"/>
            <w:vAlign w:val="center"/>
            <w:hideMark/>
          </w:tcPr>
          <w:p w14:paraId="39368F14"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744" w:type="dxa"/>
            <w:vMerge w:val="restart"/>
            <w:tcBorders>
              <w:top w:val="single" w:sz="4" w:space="0" w:color="auto"/>
              <w:left w:val="nil"/>
              <w:bottom w:val="single" w:sz="4" w:space="0" w:color="000000"/>
              <w:right w:val="nil"/>
            </w:tcBorders>
            <w:shd w:val="clear" w:color="auto" w:fill="auto"/>
            <w:vAlign w:val="center"/>
            <w:hideMark/>
          </w:tcPr>
          <w:p w14:paraId="7D1BC369"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125" w:type="dxa"/>
            <w:vMerge w:val="restart"/>
            <w:tcBorders>
              <w:top w:val="single" w:sz="4" w:space="0" w:color="auto"/>
              <w:left w:val="nil"/>
              <w:bottom w:val="single" w:sz="4" w:space="0" w:color="000000"/>
              <w:right w:val="nil"/>
            </w:tcBorders>
            <w:shd w:val="clear" w:color="auto" w:fill="auto"/>
            <w:vAlign w:val="center"/>
            <w:hideMark/>
          </w:tcPr>
          <w:p w14:paraId="2D24887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Median</w:t>
            </w:r>
          </w:p>
        </w:tc>
        <w:tc>
          <w:tcPr>
            <w:tcW w:w="880" w:type="dxa"/>
            <w:vMerge w:val="restart"/>
            <w:tcBorders>
              <w:top w:val="single" w:sz="4" w:space="0" w:color="auto"/>
              <w:left w:val="nil"/>
              <w:bottom w:val="single" w:sz="4" w:space="0" w:color="000000"/>
              <w:right w:val="nil"/>
            </w:tcBorders>
            <w:shd w:val="clear" w:color="auto" w:fill="auto"/>
            <w:vAlign w:val="center"/>
            <w:hideMark/>
          </w:tcPr>
          <w:p w14:paraId="6D94C1E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880" w:type="dxa"/>
            <w:vMerge w:val="restart"/>
            <w:tcBorders>
              <w:top w:val="single" w:sz="4" w:space="0" w:color="auto"/>
              <w:left w:val="nil"/>
              <w:bottom w:val="single" w:sz="4" w:space="0" w:color="000000"/>
              <w:right w:val="nil"/>
            </w:tcBorders>
            <w:shd w:val="clear" w:color="auto" w:fill="auto"/>
            <w:vAlign w:val="center"/>
            <w:hideMark/>
          </w:tcPr>
          <w:p w14:paraId="7EDFB85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2641" w:type="dxa"/>
            <w:gridSpan w:val="3"/>
            <w:tcBorders>
              <w:top w:val="single" w:sz="4" w:space="0" w:color="auto"/>
              <w:left w:val="nil"/>
              <w:bottom w:val="single" w:sz="4" w:space="0" w:color="auto"/>
              <w:right w:val="nil"/>
            </w:tcBorders>
            <w:shd w:val="clear" w:color="auto" w:fill="auto"/>
            <w:vAlign w:val="center"/>
            <w:hideMark/>
          </w:tcPr>
          <w:p w14:paraId="67B00AD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Percentiles</w:t>
            </w:r>
          </w:p>
        </w:tc>
        <w:tc>
          <w:tcPr>
            <w:tcW w:w="1355" w:type="dxa"/>
            <w:vMerge w:val="restart"/>
            <w:tcBorders>
              <w:top w:val="single" w:sz="4" w:space="0" w:color="auto"/>
              <w:left w:val="nil"/>
              <w:bottom w:val="single" w:sz="4" w:space="0" w:color="000000"/>
              <w:right w:val="nil"/>
            </w:tcBorders>
            <w:shd w:val="clear" w:color="auto" w:fill="auto"/>
            <w:vAlign w:val="center"/>
            <w:hideMark/>
          </w:tcPr>
          <w:p w14:paraId="679DCD1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173" w:type="dxa"/>
            <w:vMerge w:val="restart"/>
            <w:tcBorders>
              <w:top w:val="single" w:sz="4" w:space="0" w:color="auto"/>
              <w:left w:val="nil"/>
              <w:bottom w:val="single" w:sz="4" w:space="0" w:color="000000"/>
              <w:right w:val="nil"/>
            </w:tcBorders>
            <w:shd w:val="clear" w:color="auto" w:fill="auto"/>
            <w:vAlign w:val="center"/>
            <w:hideMark/>
          </w:tcPr>
          <w:p w14:paraId="2BD1375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7DD4A1CC" w14:textId="77777777" w:rsidTr="00FE03C0">
        <w:trPr>
          <w:trHeight w:val="290"/>
        </w:trPr>
        <w:tc>
          <w:tcPr>
            <w:tcW w:w="1599" w:type="dxa"/>
            <w:tcBorders>
              <w:top w:val="nil"/>
              <w:left w:val="nil"/>
              <w:bottom w:val="single" w:sz="4" w:space="0" w:color="auto"/>
              <w:right w:val="nil"/>
            </w:tcBorders>
            <w:shd w:val="clear" w:color="auto" w:fill="auto"/>
            <w:noWrap/>
            <w:vAlign w:val="bottom"/>
            <w:hideMark/>
          </w:tcPr>
          <w:p w14:paraId="47BF481B" w14:textId="77777777" w:rsidR="00E6060C" w:rsidRPr="00E6060C" w:rsidRDefault="00E6060C" w:rsidP="00E6060C">
            <w:pPr>
              <w:spacing w:line="240" w:lineRule="auto"/>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 </w:t>
            </w:r>
          </w:p>
        </w:tc>
        <w:tc>
          <w:tcPr>
            <w:tcW w:w="539" w:type="dxa"/>
            <w:vMerge/>
            <w:tcBorders>
              <w:top w:val="single" w:sz="4" w:space="0" w:color="auto"/>
              <w:left w:val="nil"/>
              <w:bottom w:val="single" w:sz="4" w:space="0" w:color="000000"/>
              <w:right w:val="nil"/>
            </w:tcBorders>
            <w:vAlign w:val="center"/>
            <w:hideMark/>
          </w:tcPr>
          <w:p w14:paraId="103E15BE"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914" w:type="dxa"/>
            <w:vMerge/>
            <w:tcBorders>
              <w:top w:val="single" w:sz="4" w:space="0" w:color="auto"/>
              <w:left w:val="nil"/>
              <w:bottom w:val="single" w:sz="4" w:space="0" w:color="000000"/>
              <w:right w:val="nil"/>
            </w:tcBorders>
            <w:vAlign w:val="center"/>
            <w:hideMark/>
          </w:tcPr>
          <w:p w14:paraId="38D4DD03"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80" w:type="dxa"/>
            <w:vMerge/>
            <w:tcBorders>
              <w:top w:val="single" w:sz="4" w:space="0" w:color="auto"/>
              <w:left w:val="nil"/>
              <w:bottom w:val="single" w:sz="4" w:space="0" w:color="000000"/>
              <w:right w:val="nil"/>
            </w:tcBorders>
            <w:vAlign w:val="center"/>
            <w:hideMark/>
          </w:tcPr>
          <w:p w14:paraId="592F7E66"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744" w:type="dxa"/>
            <w:vMerge/>
            <w:tcBorders>
              <w:top w:val="single" w:sz="4" w:space="0" w:color="auto"/>
              <w:left w:val="nil"/>
              <w:bottom w:val="single" w:sz="4" w:space="0" w:color="000000"/>
              <w:right w:val="nil"/>
            </w:tcBorders>
            <w:vAlign w:val="center"/>
            <w:hideMark/>
          </w:tcPr>
          <w:p w14:paraId="0E1105BF"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1125" w:type="dxa"/>
            <w:vMerge/>
            <w:tcBorders>
              <w:top w:val="single" w:sz="4" w:space="0" w:color="auto"/>
              <w:left w:val="nil"/>
              <w:bottom w:val="single" w:sz="4" w:space="0" w:color="000000"/>
              <w:right w:val="nil"/>
            </w:tcBorders>
            <w:vAlign w:val="center"/>
            <w:hideMark/>
          </w:tcPr>
          <w:p w14:paraId="3E161913"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80" w:type="dxa"/>
            <w:vMerge/>
            <w:tcBorders>
              <w:top w:val="single" w:sz="4" w:space="0" w:color="auto"/>
              <w:left w:val="nil"/>
              <w:bottom w:val="single" w:sz="4" w:space="0" w:color="000000"/>
              <w:right w:val="nil"/>
            </w:tcBorders>
            <w:vAlign w:val="center"/>
            <w:hideMark/>
          </w:tcPr>
          <w:p w14:paraId="70CCB994"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80" w:type="dxa"/>
            <w:vMerge/>
            <w:tcBorders>
              <w:top w:val="single" w:sz="4" w:space="0" w:color="auto"/>
              <w:left w:val="nil"/>
              <w:bottom w:val="single" w:sz="4" w:space="0" w:color="000000"/>
              <w:right w:val="nil"/>
            </w:tcBorders>
            <w:vAlign w:val="center"/>
            <w:hideMark/>
          </w:tcPr>
          <w:p w14:paraId="78F84E22"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880" w:type="dxa"/>
            <w:tcBorders>
              <w:top w:val="nil"/>
              <w:left w:val="nil"/>
              <w:bottom w:val="single" w:sz="4" w:space="0" w:color="auto"/>
              <w:right w:val="nil"/>
            </w:tcBorders>
            <w:shd w:val="clear" w:color="auto" w:fill="auto"/>
            <w:noWrap/>
            <w:vAlign w:val="center"/>
            <w:hideMark/>
          </w:tcPr>
          <w:p w14:paraId="68DA79C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25</w:t>
            </w:r>
          </w:p>
        </w:tc>
        <w:tc>
          <w:tcPr>
            <w:tcW w:w="880" w:type="dxa"/>
            <w:tcBorders>
              <w:top w:val="nil"/>
              <w:left w:val="nil"/>
              <w:bottom w:val="single" w:sz="4" w:space="0" w:color="auto"/>
              <w:right w:val="nil"/>
            </w:tcBorders>
            <w:shd w:val="clear" w:color="auto" w:fill="auto"/>
            <w:noWrap/>
            <w:vAlign w:val="center"/>
            <w:hideMark/>
          </w:tcPr>
          <w:p w14:paraId="207F3BF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50</w:t>
            </w:r>
          </w:p>
        </w:tc>
        <w:tc>
          <w:tcPr>
            <w:tcW w:w="881" w:type="dxa"/>
            <w:tcBorders>
              <w:top w:val="nil"/>
              <w:left w:val="nil"/>
              <w:bottom w:val="single" w:sz="4" w:space="0" w:color="auto"/>
              <w:right w:val="nil"/>
            </w:tcBorders>
            <w:shd w:val="clear" w:color="auto" w:fill="auto"/>
            <w:noWrap/>
            <w:vAlign w:val="center"/>
            <w:hideMark/>
          </w:tcPr>
          <w:p w14:paraId="4C2B1BD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75</w:t>
            </w:r>
          </w:p>
        </w:tc>
        <w:tc>
          <w:tcPr>
            <w:tcW w:w="1355" w:type="dxa"/>
            <w:vMerge/>
            <w:tcBorders>
              <w:top w:val="single" w:sz="4" w:space="0" w:color="auto"/>
              <w:left w:val="nil"/>
              <w:bottom w:val="single" w:sz="4" w:space="0" w:color="000000"/>
              <w:right w:val="nil"/>
            </w:tcBorders>
            <w:vAlign w:val="center"/>
            <w:hideMark/>
          </w:tcPr>
          <w:p w14:paraId="2CD7BCAE" w14:textId="77777777" w:rsidR="00E6060C" w:rsidRPr="00E6060C" w:rsidRDefault="00E6060C" w:rsidP="00E6060C">
            <w:pPr>
              <w:spacing w:line="240" w:lineRule="auto"/>
              <w:rPr>
                <w:rFonts w:ascii="Calibri" w:eastAsia="Times New Roman" w:hAnsi="Calibri" w:cs="Times New Roman"/>
                <w:b/>
                <w:bCs/>
                <w:color w:val="000000"/>
                <w:lang w:eastAsia="en-GB"/>
              </w:rPr>
            </w:pPr>
          </w:p>
        </w:tc>
        <w:tc>
          <w:tcPr>
            <w:tcW w:w="1173" w:type="dxa"/>
            <w:vMerge/>
            <w:tcBorders>
              <w:top w:val="single" w:sz="4" w:space="0" w:color="auto"/>
              <w:left w:val="nil"/>
              <w:bottom w:val="single" w:sz="4" w:space="0" w:color="000000"/>
              <w:right w:val="nil"/>
            </w:tcBorders>
            <w:vAlign w:val="center"/>
            <w:hideMark/>
          </w:tcPr>
          <w:p w14:paraId="6B6E342D" w14:textId="77777777" w:rsidR="00E6060C" w:rsidRPr="00E6060C" w:rsidRDefault="00E6060C" w:rsidP="00E6060C">
            <w:pPr>
              <w:spacing w:line="240" w:lineRule="auto"/>
              <w:rPr>
                <w:rFonts w:ascii="Calibri" w:eastAsia="Times New Roman" w:hAnsi="Calibri" w:cs="Times New Roman"/>
                <w:b/>
                <w:bCs/>
                <w:color w:val="000000"/>
                <w:lang w:eastAsia="en-GB"/>
              </w:rPr>
            </w:pPr>
          </w:p>
        </w:tc>
      </w:tr>
      <w:tr w:rsidR="00E6060C" w:rsidRPr="00E6060C" w14:paraId="69562574" w14:textId="77777777" w:rsidTr="00FE03C0">
        <w:trPr>
          <w:trHeight w:val="290"/>
        </w:trPr>
        <w:tc>
          <w:tcPr>
            <w:tcW w:w="1599" w:type="dxa"/>
            <w:tcBorders>
              <w:top w:val="nil"/>
              <w:left w:val="nil"/>
              <w:bottom w:val="nil"/>
              <w:right w:val="nil"/>
            </w:tcBorders>
            <w:shd w:val="clear" w:color="auto" w:fill="auto"/>
            <w:vAlign w:val="center"/>
            <w:hideMark/>
          </w:tcPr>
          <w:p w14:paraId="61500E4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Gender</w:t>
            </w:r>
          </w:p>
        </w:tc>
        <w:tc>
          <w:tcPr>
            <w:tcW w:w="539" w:type="dxa"/>
            <w:tcBorders>
              <w:top w:val="nil"/>
              <w:left w:val="nil"/>
              <w:bottom w:val="nil"/>
              <w:right w:val="nil"/>
            </w:tcBorders>
            <w:shd w:val="clear" w:color="auto" w:fill="auto"/>
            <w:noWrap/>
            <w:vAlign w:val="center"/>
            <w:hideMark/>
          </w:tcPr>
          <w:p w14:paraId="5740039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w:t>
            </w:r>
          </w:p>
        </w:tc>
        <w:tc>
          <w:tcPr>
            <w:tcW w:w="914" w:type="dxa"/>
            <w:tcBorders>
              <w:top w:val="nil"/>
              <w:left w:val="nil"/>
              <w:bottom w:val="nil"/>
              <w:right w:val="nil"/>
            </w:tcBorders>
            <w:shd w:val="clear" w:color="auto" w:fill="auto"/>
            <w:noWrap/>
            <w:vAlign w:val="center"/>
            <w:hideMark/>
          </w:tcPr>
          <w:p w14:paraId="4DD7B81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c>
          <w:tcPr>
            <w:tcW w:w="880" w:type="dxa"/>
            <w:tcBorders>
              <w:top w:val="nil"/>
              <w:left w:val="nil"/>
              <w:bottom w:val="nil"/>
              <w:right w:val="nil"/>
            </w:tcBorders>
            <w:shd w:val="clear" w:color="auto" w:fill="auto"/>
            <w:noWrap/>
            <w:vAlign w:val="center"/>
            <w:hideMark/>
          </w:tcPr>
          <w:p w14:paraId="67BE0F3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w:t>
            </w:r>
          </w:p>
        </w:tc>
        <w:tc>
          <w:tcPr>
            <w:tcW w:w="744" w:type="dxa"/>
            <w:tcBorders>
              <w:top w:val="nil"/>
              <w:left w:val="nil"/>
              <w:bottom w:val="nil"/>
              <w:right w:val="nil"/>
            </w:tcBorders>
            <w:shd w:val="clear" w:color="auto" w:fill="auto"/>
            <w:noWrap/>
            <w:vAlign w:val="center"/>
            <w:hideMark/>
          </w:tcPr>
          <w:p w14:paraId="015A880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1125" w:type="dxa"/>
            <w:tcBorders>
              <w:top w:val="nil"/>
              <w:left w:val="nil"/>
              <w:bottom w:val="nil"/>
              <w:right w:val="nil"/>
            </w:tcBorders>
            <w:shd w:val="clear" w:color="auto" w:fill="auto"/>
            <w:noWrap/>
            <w:vAlign w:val="center"/>
            <w:hideMark/>
          </w:tcPr>
          <w:p w14:paraId="092210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7AE947C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627475B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nil"/>
              <w:right w:val="nil"/>
            </w:tcBorders>
            <w:shd w:val="clear" w:color="auto" w:fill="auto"/>
            <w:noWrap/>
            <w:vAlign w:val="center"/>
            <w:hideMark/>
          </w:tcPr>
          <w:p w14:paraId="28D43DC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7151D3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1" w:type="dxa"/>
            <w:tcBorders>
              <w:top w:val="nil"/>
              <w:left w:val="nil"/>
              <w:bottom w:val="nil"/>
              <w:right w:val="nil"/>
            </w:tcBorders>
            <w:shd w:val="clear" w:color="auto" w:fill="auto"/>
            <w:noWrap/>
            <w:vAlign w:val="center"/>
            <w:hideMark/>
          </w:tcPr>
          <w:p w14:paraId="6B3B26F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1355" w:type="dxa"/>
            <w:tcBorders>
              <w:top w:val="nil"/>
              <w:left w:val="nil"/>
              <w:bottom w:val="nil"/>
              <w:right w:val="nil"/>
            </w:tcBorders>
            <w:shd w:val="clear" w:color="auto" w:fill="auto"/>
            <w:vAlign w:val="center"/>
            <w:hideMark/>
          </w:tcPr>
          <w:p w14:paraId="5753FBF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2.33</w:t>
            </w:r>
          </w:p>
        </w:tc>
        <w:tc>
          <w:tcPr>
            <w:tcW w:w="1173" w:type="dxa"/>
            <w:tcBorders>
              <w:top w:val="nil"/>
              <w:left w:val="nil"/>
              <w:bottom w:val="nil"/>
              <w:right w:val="nil"/>
            </w:tcBorders>
            <w:shd w:val="clear" w:color="auto" w:fill="auto"/>
            <w:vAlign w:val="center"/>
            <w:hideMark/>
          </w:tcPr>
          <w:p w14:paraId="4BF74D1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3.65</w:t>
            </w:r>
          </w:p>
        </w:tc>
      </w:tr>
      <w:tr w:rsidR="00E6060C" w:rsidRPr="00E6060C" w14:paraId="025E29B8" w14:textId="77777777" w:rsidTr="00FE03C0">
        <w:trPr>
          <w:trHeight w:val="290"/>
        </w:trPr>
        <w:tc>
          <w:tcPr>
            <w:tcW w:w="1599" w:type="dxa"/>
            <w:tcBorders>
              <w:top w:val="nil"/>
              <w:left w:val="nil"/>
              <w:bottom w:val="nil"/>
              <w:right w:val="nil"/>
            </w:tcBorders>
            <w:shd w:val="clear" w:color="auto" w:fill="auto"/>
            <w:vAlign w:val="center"/>
            <w:hideMark/>
          </w:tcPr>
          <w:p w14:paraId="28E7BDC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Age (yrs)</w:t>
            </w:r>
          </w:p>
        </w:tc>
        <w:tc>
          <w:tcPr>
            <w:tcW w:w="539" w:type="dxa"/>
            <w:tcBorders>
              <w:top w:val="nil"/>
              <w:left w:val="nil"/>
              <w:bottom w:val="nil"/>
              <w:right w:val="nil"/>
            </w:tcBorders>
            <w:shd w:val="clear" w:color="auto" w:fill="auto"/>
            <w:noWrap/>
            <w:vAlign w:val="center"/>
            <w:hideMark/>
          </w:tcPr>
          <w:p w14:paraId="5D67CDE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w:t>
            </w:r>
          </w:p>
        </w:tc>
        <w:tc>
          <w:tcPr>
            <w:tcW w:w="914" w:type="dxa"/>
            <w:tcBorders>
              <w:top w:val="nil"/>
              <w:left w:val="nil"/>
              <w:bottom w:val="nil"/>
              <w:right w:val="nil"/>
            </w:tcBorders>
            <w:shd w:val="clear" w:color="auto" w:fill="auto"/>
            <w:noWrap/>
            <w:vAlign w:val="center"/>
            <w:hideMark/>
          </w:tcPr>
          <w:p w14:paraId="7252547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38.10</w:t>
            </w:r>
          </w:p>
        </w:tc>
        <w:tc>
          <w:tcPr>
            <w:tcW w:w="880" w:type="dxa"/>
            <w:tcBorders>
              <w:top w:val="nil"/>
              <w:left w:val="nil"/>
              <w:bottom w:val="nil"/>
              <w:right w:val="nil"/>
            </w:tcBorders>
            <w:shd w:val="clear" w:color="auto" w:fill="auto"/>
            <w:noWrap/>
            <w:vAlign w:val="center"/>
            <w:hideMark/>
          </w:tcPr>
          <w:p w14:paraId="5B7EE1E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1.83</w:t>
            </w:r>
          </w:p>
        </w:tc>
        <w:tc>
          <w:tcPr>
            <w:tcW w:w="744" w:type="dxa"/>
            <w:tcBorders>
              <w:top w:val="nil"/>
              <w:left w:val="nil"/>
              <w:bottom w:val="nil"/>
              <w:right w:val="nil"/>
            </w:tcBorders>
            <w:shd w:val="clear" w:color="auto" w:fill="auto"/>
            <w:noWrap/>
            <w:vAlign w:val="center"/>
            <w:hideMark/>
          </w:tcPr>
          <w:p w14:paraId="2DADF74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1.98</w:t>
            </w:r>
          </w:p>
        </w:tc>
        <w:tc>
          <w:tcPr>
            <w:tcW w:w="1125" w:type="dxa"/>
            <w:tcBorders>
              <w:top w:val="nil"/>
              <w:left w:val="nil"/>
              <w:bottom w:val="nil"/>
              <w:right w:val="nil"/>
            </w:tcBorders>
            <w:shd w:val="clear" w:color="auto" w:fill="auto"/>
            <w:noWrap/>
            <w:vAlign w:val="center"/>
            <w:hideMark/>
          </w:tcPr>
          <w:p w14:paraId="05F3F8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36.00</w:t>
            </w:r>
          </w:p>
        </w:tc>
        <w:tc>
          <w:tcPr>
            <w:tcW w:w="880" w:type="dxa"/>
            <w:tcBorders>
              <w:top w:val="nil"/>
              <w:left w:val="nil"/>
              <w:bottom w:val="nil"/>
              <w:right w:val="nil"/>
            </w:tcBorders>
            <w:shd w:val="clear" w:color="auto" w:fill="auto"/>
            <w:noWrap/>
            <w:vAlign w:val="center"/>
            <w:hideMark/>
          </w:tcPr>
          <w:p w14:paraId="7B8DFF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21.00</w:t>
            </w:r>
          </w:p>
        </w:tc>
        <w:tc>
          <w:tcPr>
            <w:tcW w:w="880" w:type="dxa"/>
            <w:tcBorders>
              <w:top w:val="nil"/>
              <w:left w:val="nil"/>
              <w:bottom w:val="nil"/>
              <w:right w:val="nil"/>
            </w:tcBorders>
            <w:shd w:val="clear" w:color="auto" w:fill="auto"/>
            <w:noWrap/>
            <w:vAlign w:val="center"/>
            <w:hideMark/>
          </w:tcPr>
          <w:p w14:paraId="118A21C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65.00</w:t>
            </w:r>
          </w:p>
        </w:tc>
        <w:tc>
          <w:tcPr>
            <w:tcW w:w="880" w:type="dxa"/>
            <w:tcBorders>
              <w:top w:val="nil"/>
              <w:left w:val="nil"/>
              <w:bottom w:val="nil"/>
              <w:right w:val="nil"/>
            </w:tcBorders>
            <w:shd w:val="clear" w:color="auto" w:fill="auto"/>
            <w:noWrap/>
            <w:vAlign w:val="center"/>
            <w:hideMark/>
          </w:tcPr>
          <w:p w14:paraId="7B3E68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0" w:type="dxa"/>
            <w:tcBorders>
              <w:top w:val="nil"/>
              <w:left w:val="nil"/>
              <w:bottom w:val="nil"/>
              <w:right w:val="nil"/>
            </w:tcBorders>
            <w:shd w:val="clear" w:color="auto" w:fill="auto"/>
            <w:noWrap/>
            <w:vAlign w:val="center"/>
            <w:hideMark/>
          </w:tcPr>
          <w:p w14:paraId="244EBDB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36.00</w:t>
            </w:r>
          </w:p>
        </w:tc>
        <w:tc>
          <w:tcPr>
            <w:tcW w:w="881" w:type="dxa"/>
            <w:tcBorders>
              <w:top w:val="nil"/>
              <w:left w:val="nil"/>
              <w:bottom w:val="nil"/>
              <w:right w:val="nil"/>
            </w:tcBorders>
            <w:shd w:val="clear" w:color="auto" w:fill="auto"/>
            <w:noWrap/>
            <w:vAlign w:val="center"/>
            <w:hideMark/>
          </w:tcPr>
          <w:p w14:paraId="7BD160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47.00</w:t>
            </w:r>
          </w:p>
        </w:tc>
        <w:tc>
          <w:tcPr>
            <w:tcW w:w="1355" w:type="dxa"/>
            <w:tcBorders>
              <w:top w:val="nil"/>
              <w:left w:val="nil"/>
              <w:bottom w:val="nil"/>
              <w:right w:val="nil"/>
            </w:tcBorders>
            <w:shd w:val="clear" w:color="auto" w:fill="auto"/>
            <w:noWrap/>
            <w:vAlign w:val="center"/>
            <w:hideMark/>
          </w:tcPr>
          <w:p w14:paraId="2A68AB7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.78</w:t>
            </w:r>
          </w:p>
        </w:tc>
        <w:tc>
          <w:tcPr>
            <w:tcW w:w="1173" w:type="dxa"/>
            <w:tcBorders>
              <w:top w:val="nil"/>
              <w:left w:val="nil"/>
              <w:bottom w:val="nil"/>
              <w:right w:val="nil"/>
            </w:tcBorders>
            <w:shd w:val="clear" w:color="auto" w:fill="auto"/>
            <w:noWrap/>
            <w:vAlign w:val="center"/>
            <w:hideMark/>
          </w:tcPr>
          <w:p w14:paraId="0C85C18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.38</w:t>
            </w:r>
          </w:p>
        </w:tc>
      </w:tr>
      <w:tr w:rsidR="00E6060C" w:rsidRPr="00E6060C" w14:paraId="2FB97EFB" w14:textId="77777777" w:rsidTr="00FE03C0">
        <w:trPr>
          <w:trHeight w:val="161"/>
        </w:trPr>
        <w:tc>
          <w:tcPr>
            <w:tcW w:w="1599" w:type="dxa"/>
            <w:tcBorders>
              <w:top w:val="nil"/>
              <w:left w:val="nil"/>
              <w:bottom w:val="nil"/>
              <w:right w:val="nil"/>
            </w:tcBorders>
            <w:shd w:val="clear" w:color="auto" w:fill="auto"/>
            <w:vAlign w:val="center"/>
            <w:hideMark/>
          </w:tcPr>
          <w:p w14:paraId="71732AD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Ward tenure (yrs)</w:t>
            </w:r>
          </w:p>
        </w:tc>
        <w:tc>
          <w:tcPr>
            <w:tcW w:w="539" w:type="dxa"/>
            <w:tcBorders>
              <w:top w:val="nil"/>
              <w:left w:val="nil"/>
              <w:bottom w:val="nil"/>
              <w:right w:val="nil"/>
            </w:tcBorders>
            <w:shd w:val="clear" w:color="auto" w:fill="auto"/>
            <w:noWrap/>
            <w:vAlign w:val="center"/>
            <w:hideMark/>
          </w:tcPr>
          <w:p w14:paraId="6A407B3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w:t>
            </w:r>
          </w:p>
        </w:tc>
        <w:tc>
          <w:tcPr>
            <w:tcW w:w="914" w:type="dxa"/>
            <w:tcBorders>
              <w:top w:val="nil"/>
              <w:left w:val="nil"/>
              <w:bottom w:val="nil"/>
              <w:right w:val="nil"/>
            </w:tcBorders>
            <w:shd w:val="clear" w:color="auto" w:fill="auto"/>
            <w:noWrap/>
            <w:vAlign w:val="center"/>
            <w:hideMark/>
          </w:tcPr>
          <w:p w14:paraId="46C4B5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2.26</w:t>
            </w:r>
          </w:p>
        </w:tc>
        <w:tc>
          <w:tcPr>
            <w:tcW w:w="880" w:type="dxa"/>
            <w:tcBorders>
              <w:top w:val="nil"/>
              <w:left w:val="nil"/>
              <w:bottom w:val="nil"/>
              <w:right w:val="nil"/>
            </w:tcBorders>
            <w:shd w:val="clear" w:color="auto" w:fill="auto"/>
            <w:noWrap/>
            <w:vAlign w:val="center"/>
            <w:hideMark/>
          </w:tcPr>
          <w:p w14:paraId="03869B2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2.39</w:t>
            </w:r>
          </w:p>
        </w:tc>
        <w:tc>
          <w:tcPr>
            <w:tcW w:w="744" w:type="dxa"/>
            <w:tcBorders>
              <w:top w:val="nil"/>
              <w:left w:val="nil"/>
              <w:bottom w:val="nil"/>
              <w:right w:val="nil"/>
            </w:tcBorders>
            <w:shd w:val="clear" w:color="auto" w:fill="auto"/>
            <w:noWrap/>
            <w:vAlign w:val="center"/>
            <w:hideMark/>
          </w:tcPr>
          <w:p w14:paraId="5DFB04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.43</w:t>
            </w:r>
          </w:p>
        </w:tc>
        <w:tc>
          <w:tcPr>
            <w:tcW w:w="1125" w:type="dxa"/>
            <w:tcBorders>
              <w:top w:val="nil"/>
              <w:left w:val="nil"/>
              <w:bottom w:val="nil"/>
              <w:right w:val="nil"/>
            </w:tcBorders>
            <w:shd w:val="clear" w:color="auto" w:fill="auto"/>
            <w:noWrap/>
            <w:vAlign w:val="center"/>
            <w:hideMark/>
          </w:tcPr>
          <w:p w14:paraId="01F234F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1.58</w:t>
            </w:r>
          </w:p>
        </w:tc>
        <w:tc>
          <w:tcPr>
            <w:tcW w:w="880" w:type="dxa"/>
            <w:tcBorders>
              <w:top w:val="nil"/>
              <w:left w:val="nil"/>
              <w:bottom w:val="nil"/>
              <w:right w:val="nil"/>
            </w:tcBorders>
            <w:shd w:val="clear" w:color="auto" w:fill="auto"/>
            <w:noWrap/>
            <w:vAlign w:val="center"/>
            <w:hideMark/>
          </w:tcPr>
          <w:p w14:paraId="43E57FF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566B7A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nil"/>
              <w:right w:val="nil"/>
            </w:tcBorders>
            <w:shd w:val="clear" w:color="auto" w:fill="auto"/>
            <w:noWrap/>
            <w:vAlign w:val="center"/>
            <w:hideMark/>
          </w:tcPr>
          <w:p w14:paraId="745216C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.67</w:t>
            </w:r>
          </w:p>
        </w:tc>
        <w:tc>
          <w:tcPr>
            <w:tcW w:w="880" w:type="dxa"/>
            <w:tcBorders>
              <w:top w:val="nil"/>
              <w:left w:val="nil"/>
              <w:bottom w:val="nil"/>
              <w:right w:val="nil"/>
            </w:tcBorders>
            <w:shd w:val="clear" w:color="auto" w:fill="auto"/>
            <w:noWrap/>
            <w:vAlign w:val="center"/>
            <w:hideMark/>
          </w:tcPr>
          <w:p w14:paraId="0C40E57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1.58</w:t>
            </w:r>
          </w:p>
        </w:tc>
        <w:tc>
          <w:tcPr>
            <w:tcW w:w="881" w:type="dxa"/>
            <w:tcBorders>
              <w:top w:val="nil"/>
              <w:left w:val="nil"/>
              <w:bottom w:val="nil"/>
              <w:right w:val="nil"/>
            </w:tcBorders>
            <w:shd w:val="clear" w:color="auto" w:fill="auto"/>
            <w:noWrap/>
            <w:vAlign w:val="center"/>
            <w:hideMark/>
          </w:tcPr>
          <w:p w14:paraId="30B045A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2.50</w:t>
            </w:r>
          </w:p>
        </w:tc>
        <w:tc>
          <w:tcPr>
            <w:tcW w:w="1355" w:type="dxa"/>
            <w:tcBorders>
              <w:top w:val="nil"/>
              <w:left w:val="nil"/>
              <w:bottom w:val="nil"/>
              <w:right w:val="nil"/>
            </w:tcBorders>
            <w:shd w:val="clear" w:color="auto" w:fill="auto"/>
            <w:noWrap/>
            <w:vAlign w:val="center"/>
            <w:hideMark/>
          </w:tcPr>
          <w:p w14:paraId="756DB4D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2.03</w:t>
            </w:r>
          </w:p>
        </w:tc>
        <w:tc>
          <w:tcPr>
            <w:tcW w:w="1173" w:type="dxa"/>
            <w:tcBorders>
              <w:top w:val="nil"/>
              <w:left w:val="nil"/>
              <w:bottom w:val="nil"/>
              <w:right w:val="nil"/>
            </w:tcBorders>
            <w:shd w:val="clear" w:color="auto" w:fill="auto"/>
            <w:noWrap/>
            <w:vAlign w:val="center"/>
            <w:hideMark/>
          </w:tcPr>
          <w:p w14:paraId="0CBFA8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4.19</w:t>
            </w:r>
          </w:p>
        </w:tc>
      </w:tr>
      <w:tr w:rsidR="00E6060C" w:rsidRPr="00E6060C" w14:paraId="175EA2B4" w14:textId="77777777" w:rsidTr="00FE03C0">
        <w:trPr>
          <w:trHeight w:val="581"/>
        </w:trPr>
        <w:tc>
          <w:tcPr>
            <w:tcW w:w="1599" w:type="dxa"/>
            <w:tcBorders>
              <w:top w:val="nil"/>
              <w:left w:val="nil"/>
              <w:bottom w:val="nil"/>
              <w:right w:val="nil"/>
            </w:tcBorders>
            <w:shd w:val="clear" w:color="auto" w:fill="auto"/>
            <w:vAlign w:val="center"/>
            <w:hideMark/>
          </w:tcPr>
          <w:p w14:paraId="7A49239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Hospital tenure (yrs)</w:t>
            </w:r>
          </w:p>
        </w:tc>
        <w:tc>
          <w:tcPr>
            <w:tcW w:w="539" w:type="dxa"/>
            <w:tcBorders>
              <w:top w:val="nil"/>
              <w:left w:val="nil"/>
              <w:bottom w:val="nil"/>
              <w:right w:val="nil"/>
            </w:tcBorders>
            <w:shd w:val="clear" w:color="auto" w:fill="auto"/>
            <w:noWrap/>
            <w:vAlign w:val="center"/>
            <w:hideMark/>
          </w:tcPr>
          <w:p w14:paraId="62E86CB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w:t>
            </w:r>
          </w:p>
        </w:tc>
        <w:tc>
          <w:tcPr>
            <w:tcW w:w="914" w:type="dxa"/>
            <w:tcBorders>
              <w:top w:val="nil"/>
              <w:left w:val="nil"/>
              <w:bottom w:val="nil"/>
              <w:right w:val="nil"/>
            </w:tcBorders>
            <w:shd w:val="clear" w:color="auto" w:fill="auto"/>
            <w:noWrap/>
            <w:vAlign w:val="center"/>
            <w:hideMark/>
          </w:tcPr>
          <w:p w14:paraId="099EABB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4.13</w:t>
            </w:r>
          </w:p>
        </w:tc>
        <w:tc>
          <w:tcPr>
            <w:tcW w:w="880" w:type="dxa"/>
            <w:tcBorders>
              <w:top w:val="nil"/>
              <w:left w:val="nil"/>
              <w:bottom w:val="nil"/>
              <w:right w:val="nil"/>
            </w:tcBorders>
            <w:shd w:val="clear" w:color="auto" w:fill="auto"/>
            <w:noWrap/>
            <w:vAlign w:val="center"/>
            <w:hideMark/>
          </w:tcPr>
          <w:p w14:paraId="272EC7D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4.35</w:t>
            </w:r>
          </w:p>
        </w:tc>
        <w:tc>
          <w:tcPr>
            <w:tcW w:w="744" w:type="dxa"/>
            <w:tcBorders>
              <w:top w:val="nil"/>
              <w:left w:val="nil"/>
              <w:bottom w:val="nil"/>
              <w:right w:val="nil"/>
            </w:tcBorders>
            <w:shd w:val="clear" w:color="auto" w:fill="auto"/>
            <w:noWrap/>
            <w:vAlign w:val="center"/>
            <w:hideMark/>
          </w:tcPr>
          <w:p w14:paraId="48B5C26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.78</w:t>
            </w:r>
          </w:p>
        </w:tc>
        <w:tc>
          <w:tcPr>
            <w:tcW w:w="1125" w:type="dxa"/>
            <w:tcBorders>
              <w:top w:val="nil"/>
              <w:left w:val="nil"/>
              <w:bottom w:val="nil"/>
              <w:right w:val="nil"/>
            </w:tcBorders>
            <w:shd w:val="clear" w:color="auto" w:fill="auto"/>
            <w:noWrap/>
            <w:vAlign w:val="center"/>
            <w:hideMark/>
          </w:tcPr>
          <w:p w14:paraId="7FEF927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0" w:type="dxa"/>
            <w:tcBorders>
              <w:top w:val="nil"/>
              <w:left w:val="nil"/>
              <w:bottom w:val="nil"/>
              <w:right w:val="nil"/>
            </w:tcBorders>
            <w:shd w:val="clear" w:color="auto" w:fill="auto"/>
            <w:noWrap/>
            <w:vAlign w:val="center"/>
            <w:hideMark/>
          </w:tcPr>
          <w:p w14:paraId="24D340D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576B4EF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18.00</w:t>
            </w:r>
          </w:p>
        </w:tc>
        <w:tc>
          <w:tcPr>
            <w:tcW w:w="880" w:type="dxa"/>
            <w:tcBorders>
              <w:top w:val="nil"/>
              <w:left w:val="nil"/>
              <w:bottom w:val="nil"/>
              <w:right w:val="nil"/>
            </w:tcBorders>
            <w:shd w:val="clear" w:color="auto" w:fill="auto"/>
            <w:noWrap/>
            <w:vAlign w:val="center"/>
            <w:hideMark/>
          </w:tcPr>
          <w:p w14:paraId="4AC087C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.67</w:t>
            </w:r>
          </w:p>
        </w:tc>
        <w:tc>
          <w:tcPr>
            <w:tcW w:w="880" w:type="dxa"/>
            <w:tcBorders>
              <w:top w:val="nil"/>
              <w:left w:val="nil"/>
              <w:bottom w:val="nil"/>
              <w:right w:val="nil"/>
            </w:tcBorders>
            <w:shd w:val="clear" w:color="auto" w:fill="auto"/>
            <w:noWrap/>
            <w:vAlign w:val="center"/>
            <w:hideMark/>
          </w:tcPr>
          <w:p w14:paraId="5725024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1" w:type="dxa"/>
            <w:tcBorders>
              <w:top w:val="nil"/>
              <w:left w:val="nil"/>
              <w:bottom w:val="nil"/>
              <w:right w:val="nil"/>
            </w:tcBorders>
            <w:shd w:val="clear" w:color="auto" w:fill="auto"/>
            <w:noWrap/>
            <w:vAlign w:val="center"/>
            <w:hideMark/>
          </w:tcPr>
          <w:p w14:paraId="41D45D3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6.00</w:t>
            </w:r>
          </w:p>
        </w:tc>
        <w:tc>
          <w:tcPr>
            <w:tcW w:w="1355" w:type="dxa"/>
            <w:tcBorders>
              <w:top w:val="nil"/>
              <w:left w:val="nil"/>
              <w:bottom w:val="nil"/>
              <w:right w:val="nil"/>
            </w:tcBorders>
            <w:shd w:val="clear" w:color="auto" w:fill="auto"/>
            <w:noWrap/>
            <w:vAlign w:val="center"/>
            <w:hideMark/>
          </w:tcPr>
          <w:p w14:paraId="0B08EC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1.50</w:t>
            </w:r>
          </w:p>
        </w:tc>
        <w:tc>
          <w:tcPr>
            <w:tcW w:w="1173" w:type="dxa"/>
            <w:tcBorders>
              <w:top w:val="nil"/>
              <w:left w:val="nil"/>
              <w:bottom w:val="nil"/>
              <w:right w:val="nil"/>
            </w:tcBorders>
            <w:shd w:val="clear" w:color="auto" w:fill="auto"/>
            <w:noWrap/>
            <w:vAlign w:val="center"/>
            <w:hideMark/>
          </w:tcPr>
          <w:p w14:paraId="706615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2.18</w:t>
            </w:r>
          </w:p>
        </w:tc>
      </w:tr>
      <w:tr w:rsidR="00E6060C" w:rsidRPr="00E6060C" w14:paraId="1CAA0A29" w14:textId="77777777" w:rsidTr="00FE03C0">
        <w:trPr>
          <w:trHeight w:val="290"/>
        </w:trPr>
        <w:tc>
          <w:tcPr>
            <w:tcW w:w="1599" w:type="dxa"/>
            <w:tcBorders>
              <w:top w:val="nil"/>
              <w:left w:val="nil"/>
              <w:bottom w:val="nil"/>
              <w:right w:val="nil"/>
            </w:tcBorders>
            <w:shd w:val="clear" w:color="auto" w:fill="auto"/>
            <w:vAlign w:val="center"/>
            <w:hideMark/>
          </w:tcPr>
          <w:p w14:paraId="24948F6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539" w:type="dxa"/>
            <w:tcBorders>
              <w:top w:val="nil"/>
              <w:left w:val="nil"/>
              <w:bottom w:val="nil"/>
              <w:right w:val="nil"/>
            </w:tcBorders>
            <w:shd w:val="clear" w:color="auto" w:fill="auto"/>
            <w:noWrap/>
            <w:vAlign w:val="center"/>
            <w:hideMark/>
          </w:tcPr>
          <w:p w14:paraId="724E759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w:t>
            </w:r>
          </w:p>
        </w:tc>
        <w:tc>
          <w:tcPr>
            <w:tcW w:w="914" w:type="dxa"/>
            <w:tcBorders>
              <w:top w:val="nil"/>
              <w:left w:val="nil"/>
              <w:bottom w:val="nil"/>
              <w:right w:val="nil"/>
            </w:tcBorders>
            <w:shd w:val="clear" w:color="auto" w:fill="auto"/>
            <w:noWrap/>
            <w:vAlign w:val="center"/>
            <w:hideMark/>
          </w:tcPr>
          <w:p w14:paraId="47017E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2.40</w:t>
            </w:r>
          </w:p>
        </w:tc>
        <w:tc>
          <w:tcPr>
            <w:tcW w:w="880" w:type="dxa"/>
            <w:tcBorders>
              <w:top w:val="nil"/>
              <w:left w:val="nil"/>
              <w:bottom w:val="nil"/>
              <w:right w:val="nil"/>
            </w:tcBorders>
            <w:shd w:val="clear" w:color="auto" w:fill="auto"/>
            <w:noWrap/>
            <w:vAlign w:val="center"/>
            <w:hideMark/>
          </w:tcPr>
          <w:p w14:paraId="1F67052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.77</w:t>
            </w:r>
          </w:p>
        </w:tc>
        <w:tc>
          <w:tcPr>
            <w:tcW w:w="744" w:type="dxa"/>
            <w:tcBorders>
              <w:top w:val="nil"/>
              <w:left w:val="nil"/>
              <w:bottom w:val="nil"/>
              <w:right w:val="nil"/>
            </w:tcBorders>
            <w:shd w:val="clear" w:color="auto" w:fill="auto"/>
            <w:noWrap/>
            <w:vAlign w:val="center"/>
            <w:hideMark/>
          </w:tcPr>
          <w:p w14:paraId="4E3C83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1125" w:type="dxa"/>
            <w:tcBorders>
              <w:top w:val="nil"/>
              <w:left w:val="nil"/>
              <w:bottom w:val="nil"/>
              <w:right w:val="nil"/>
            </w:tcBorders>
            <w:shd w:val="clear" w:color="auto" w:fill="auto"/>
            <w:noWrap/>
            <w:vAlign w:val="center"/>
            <w:hideMark/>
          </w:tcPr>
          <w:p w14:paraId="029C0DC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0" w:type="dxa"/>
            <w:tcBorders>
              <w:top w:val="nil"/>
              <w:left w:val="nil"/>
              <w:bottom w:val="nil"/>
              <w:right w:val="nil"/>
            </w:tcBorders>
            <w:shd w:val="clear" w:color="auto" w:fill="auto"/>
            <w:noWrap/>
            <w:vAlign w:val="center"/>
            <w:hideMark/>
          </w:tcPr>
          <w:p w14:paraId="37C875B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nil"/>
              <w:right w:val="nil"/>
            </w:tcBorders>
            <w:shd w:val="clear" w:color="auto" w:fill="auto"/>
            <w:noWrap/>
            <w:vAlign w:val="center"/>
            <w:hideMark/>
          </w:tcPr>
          <w:p w14:paraId="2059983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0" w:type="dxa"/>
            <w:tcBorders>
              <w:top w:val="nil"/>
              <w:left w:val="nil"/>
              <w:bottom w:val="nil"/>
              <w:right w:val="nil"/>
            </w:tcBorders>
            <w:shd w:val="clear" w:color="auto" w:fill="auto"/>
            <w:noWrap/>
            <w:vAlign w:val="center"/>
            <w:hideMark/>
          </w:tcPr>
          <w:p w14:paraId="283194E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0" w:type="dxa"/>
            <w:tcBorders>
              <w:top w:val="nil"/>
              <w:left w:val="nil"/>
              <w:bottom w:val="nil"/>
              <w:right w:val="nil"/>
            </w:tcBorders>
            <w:shd w:val="clear" w:color="auto" w:fill="auto"/>
            <w:noWrap/>
            <w:vAlign w:val="center"/>
            <w:hideMark/>
          </w:tcPr>
          <w:p w14:paraId="112A45B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1" w:type="dxa"/>
            <w:tcBorders>
              <w:top w:val="nil"/>
              <w:left w:val="nil"/>
              <w:bottom w:val="nil"/>
              <w:right w:val="nil"/>
            </w:tcBorders>
            <w:shd w:val="clear" w:color="auto" w:fill="auto"/>
            <w:noWrap/>
            <w:vAlign w:val="center"/>
            <w:hideMark/>
          </w:tcPr>
          <w:p w14:paraId="1DC1A1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1355" w:type="dxa"/>
            <w:tcBorders>
              <w:top w:val="nil"/>
              <w:left w:val="nil"/>
              <w:bottom w:val="nil"/>
              <w:right w:val="nil"/>
            </w:tcBorders>
            <w:shd w:val="clear" w:color="auto" w:fill="auto"/>
            <w:noWrap/>
            <w:vAlign w:val="center"/>
            <w:hideMark/>
          </w:tcPr>
          <w:p w14:paraId="286EB5A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-.85</w:t>
            </w:r>
          </w:p>
        </w:tc>
        <w:tc>
          <w:tcPr>
            <w:tcW w:w="1173" w:type="dxa"/>
            <w:tcBorders>
              <w:top w:val="nil"/>
              <w:left w:val="nil"/>
              <w:bottom w:val="nil"/>
              <w:right w:val="nil"/>
            </w:tcBorders>
            <w:shd w:val="clear" w:color="auto" w:fill="auto"/>
            <w:noWrap/>
            <w:vAlign w:val="center"/>
            <w:hideMark/>
          </w:tcPr>
          <w:p w14:paraId="3A3BA15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-.73</w:t>
            </w:r>
          </w:p>
        </w:tc>
      </w:tr>
      <w:tr w:rsidR="00E6060C" w:rsidRPr="00E6060C" w14:paraId="45B65F7A" w14:textId="77777777" w:rsidTr="00FE03C0">
        <w:trPr>
          <w:trHeight w:val="581"/>
        </w:trPr>
        <w:tc>
          <w:tcPr>
            <w:tcW w:w="1599" w:type="dxa"/>
            <w:tcBorders>
              <w:top w:val="nil"/>
              <w:left w:val="nil"/>
              <w:bottom w:val="nil"/>
              <w:right w:val="nil"/>
            </w:tcBorders>
            <w:shd w:val="clear" w:color="auto" w:fill="auto"/>
            <w:vAlign w:val="center"/>
            <w:hideMark/>
          </w:tcPr>
          <w:p w14:paraId="4254822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Hierarchical level</w:t>
            </w:r>
          </w:p>
        </w:tc>
        <w:tc>
          <w:tcPr>
            <w:tcW w:w="539" w:type="dxa"/>
            <w:tcBorders>
              <w:top w:val="nil"/>
              <w:left w:val="nil"/>
              <w:bottom w:val="nil"/>
              <w:right w:val="nil"/>
            </w:tcBorders>
            <w:shd w:val="clear" w:color="auto" w:fill="auto"/>
            <w:noWrap/>
            <w:vAlign w:val="center"/>
            <w:hideMark/>
          </w:tcPr>
          <w:p w14:paraId="3F1252B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w:t>
            </w:r>
          </w:p>
        </w:tc>
        <w:tc>
          <w:tcPr>
            <w:tcW w:w="914" w:type="dxa"/>
            <w:tcBorders>
              <w:top w:val="nil"/>
              <w:left w:val="nil"/>
              <w:bottom w:val="nil"/>
              <w:right w:val="nil"/>
            </w:tcBorders>
            <w:shd w:val="clear" w:color="auto" w:fill="auto"/>
            <w:noWrap/>
            <w:vAlign w:val="center"/>
            <w:hideMark/>
          </w:tcPr>
          <w:p w14:paraId="3CFCC91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3.48</w:t>
            </w:r>
          </w:p>
        </w:tc>
        <w:tc>
          <w:tcPr>
            <w:tcW w:w="880" w:type="dxa"/>
            <w:tcBorders>
              <w:top w:val="nil"/>
              <w:left w:val="nil"/>
              <w:bottom w:val="nil"/>
              <w:right w:val="nil"/>
            </w:tcBorders>
            <w:shd w:val="clear" w:color="auto" w:fill="auto"/>
            <w:noWrap/>
            <w:vAlign w:val="center"/>
            <w:hideMark/>
          </w:tcPr>
          <w:p w14:paraId="48BB6C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1.88</w:t>
            </w:r>
          </w:p>
        </w:tc>
        <w:tc>
          <w:tcPr>
            <w:tcW w:w="744" w:type="dxa"/>
            <w:tcBorders>
              <w:top w:val="nil"/>
              <w:left w:val="nil"/>
              <w:bottom w:val="nil"/>
              <w:right w:val="nil"/>
            </w:tcBorders>
            <w:shd w:val="clear" w:color="auto" w:fill="auto"/>
            <w:noWrap/>
            <w:vAlign w:val="center"/>
            <w:hideMark/>
          </w:tcPr>
          <w:p w14:paraId="593FEDA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w:t>
            </w:r>
          </w:p>
        </w:tc>
        <w:tc>
          <w:tcPr>
            <w:tcW w:w="1125" w:type="dxa"/>
            <w:tcBorders>
              <w:top w:val="nil"/>
              <w:left w:val="nil"/>
              <w:bottom w:val="nil"/>
              <w:right w:val="nil"/>
            </w:tcBorders>
            <w:shd w:val="clear" w:color="auto" w:fill="auto"/>
            <w:noWrap/>
            <w:vAlign w:val="center"/>
            <w:hideMark/>
          </w:tcPr>
          <w:p w14:paraId="048C313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0" w:type="dxa"/>
            <w:tcBorders>
              <w:top w:val="nil"/>
              <w:left w:val="nil"/>
              <w:bottom w:val="nil"/>
              <w:right w:val="nil"/>
            </w:tcBorders>
            <w:shd w:val="clear" w:color="auto" w:fill="auto"/>
            <w:noWrap/>
            <w:vAlign w:val="center"/>
            <w:hideMark/>
          </w:tcPr>
          <w:p w14:paraId="11493B9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0" w:type="dxa"/>
            <w:tcBorders>
              <w:top w:val="nil"/>
              <w:left w:val="nil"/>
              <w:bottom w:val="nil"/>
              <w:right w:val="nil"/>
            </w:tcBorders>
            <w:shd w:val="clear" w:color="auto" w:fill="auto"/>
            <w:noWrap/>
            <w:vAlign w:val="center"/>
            <w:hideMark/>
          </w:tcPr>
          <w:p w14:paraId="417FC83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7.00</w:t>
            </w:r>
          </w:p>
        </w:tc>
        <w:tc>
          <w:tcPr>
            <w:tcW w:w="880" w:type="dxa"/>
            <w:tcBorders>
              <w:top w:val="nil"/>
              <w:left w:val="nil"/>
              <w:bottom w:val="nil"/>
              <w:right w:val="nil"/>
            </w:tcBorders>
            <w:shd w:val="clear" w:color="auto" w:fill="auto"/>
            <w:noWrap/>
            <w:vAlign w:val="center"/>
            <w:hideMark/>
          </w:tcPr>
          <w:p w14:paraId="5E303D2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0" w:type="dxa"/>
            <w:tcBorders>
              <w:top w:val="nil"/>
              <w:left w:val="nil"/>
              <w:bottom w:val="nil"/>
              <w:right w:val="nil"/>
            </w:tcBorders>
            <w:shd w:val="clear" w:color="auto" w:fill="auto"/>
            <w:noWrap/>
            <w:vAlign w:val="center"/>
            <w:hideMark/>
          </w:tcPr>
          <w:p w14:paraId="7BA68E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1" w:type="dxa"/>
            <w:tcBorders>
              <w:top w:val="nil"/>
              <w:left w:val="nil"/>
              <w:bottom w:val="nil"/>
              <w:right w:val="nil"/>
            </w:tcBorders>
            <w:shd w:val="clear" w:color="auto" w:fill="auto"/>
            <w:noWrap/>
            <w:vAlign w:val="center"/>
            <w:hideMark/>
          </w:tcPr>
          <w:p w14:paraId="3FB5D1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355" w:type="dxa"/>
            <w:tcBorders>
              <w:top w:val="nil"/>
              <w:left w:val="nil"/>
              <w:bottom w:val="nil"/>
              <w:right w:val="nil"/>
            </w:tcBorders>
            <w:shd w:val="clear" w:color="auto" w:fill="auto"/>
            <w:noWrap/>
            <w:vAlign w:val="center"/>
            <w:hideMark/>
          </w:tcPr>
          <w:p w14:paraId="3D30A92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.69</w:t>
            </w:r>
          </w:p>
        </w:tc>
        <w:tc>
          <w:tcPr>
            <w:tcW w:w="1173" w:type="dxa"/>
            <w:tcBorders>
              <w:top w:val="nil"/>
              <w:left w:val="nil"/>
              <w:bottom w:val="nil"/>
              <w:right w:val="nil"/>
            </w:tcBorders>
            <w:shd w:val="clear" w:color="auto" w:fill="auto"/>
            <w:noWrap/>
            <w:vAlign w:val="center"/>
            <w:hideMark/>
          </w:tcPr>
          <w:p w14:paraId="0ED6137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-1.15</w:t>
            </w:r>
          </w:p>
        </w:tc>
      </w:tr>
      <w:tr w:rsidR="00E6060C" w:rsidRPr="00E6060C" w14:paraId="19A0960D" w14:textId="77777777" w:rsidTr="00FE03C0">
        <w:trPr>
          <w:trHeight w:val="247"/>
        </w:trPr>
        <w:tc>
          <w:tcPr>
            <w:tcW w:w="1599" w:type="dxa"/>
            <w:tcBorders>
              <w:top w:val="nil"/>
              <w:left w:val="nil"/>
              <w:bottom w:val="nil"/>
              <w:right w:val="nil"/>
            </w:tcBorders>
            <w:shd w:val="clear" w:color="auto" w:fill="auto"/>
            <w:vAlign w:val="center"/>
            <w:hideMark/>
          </w:tcPr>
          <w:p w14:paraId="0079A69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Time qualified (yrs)</w:t>
            </w:r>
          </w:p>
        </w:tc>
        <w:tc>
          <w:tcPr>
            <w:tcW w:w="539" w:type="dxa"/>
            <w:tcBorders>
              <w:top w:val="nil"/>
              <w:left w:val="nil"/>
              <w:bottom w:val="nil"/>
              <w:right w:val="nil"/>
            </w:tcBorders>
            <w:shd w:val="clear" w:color="auto" w:fill="auto"/>
            <w:noWrap/>
            <w:vAlign w:val="center"/>
            <w:hideMark/>
          </w:tcPr>
          <w:p w14:paraId="55F8851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c>
          <w:tcPr>
            <w:tcW w:w="914" w:type="dxa"/>
            <w:tcBorders>
              <w:top w:val="nil"/>
              <w:left w:val="nil"/>
              <w:bottom w:val="nil"/>
              <w:right w:val="nil"/>
            </w:tcBorders>
            <w:shd w:val="clear" w:color="auto" w:fill="auto"/>
            <w:noWrap/>
            <w:vAlign w:val="center"/>
            <w:hideMark/>
          </w:tcPr>
          <w:p w14:paraId="3A175A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3.15</w:t>
            </w:r>
          </w:p>
        </w:tc>
        <w:tc>
          <w:tcPr>
            <w:tcW w:w="880" w:type="dxa"/>
            <w:tcBorders>
              <w:top w:val="nil"/>
              <w:left w:val="nil"/>
              <w:bottom w:val="nil"/>
              <w:right w:val="nil"/>
            </w:tcBorders>
            <w:shd w:val="clear" w:color="auto" w:fill="auto"/>
            <w:noWrap/>
            <w:vAlign w:val="center"/>
            <w:hideMark/>
          </w:tcPr>
          <w:p w14:paraId="2D0A7CB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1.28</w:t>
            </w:r>
          </w:p>
        </w:tc>
        <w:tc>
          <w:tcPr>
            <w:tcW w:w="744" w:type="dxa"/>
            <w:tcBorders>
              <w:top w:val="nil"/>
              <w:left w:val="nil"/>
              <w:bottom w:val="nil"/>
              <w:right w:val="nil"/>
            </w:tcBorders>
            <w:shd w:val="clear" w:color="auto" w:fill="auto"/>
            <w:noWrap/>
            <w:vAlign w:val="center"/>
            <w:hideMark/>
          </w:tcPr>
          <w:p w14:paraId="065F6C6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w:t>
            </w:r>
          </w:p>
        </w:tc>
        <w:tc>
          <w:tcPr>
            <w:tcW w:w="1125" w:type="dxa"/>
            <w:tcBorders>
              <w:top w:val="nil"/>
              <w:left w:val="nil"/>
              <w:bottom w:val="nil"/>
              <w:right w:val="nil"/>
            </w:tcBorders>
            <w:shd w:val="clear" w:color="auto" w:fill="auto"/>
            <w:noWrap/>
            <w:vAlign w:val="center"/>
            <w:hideMark/>
          </w:tcPr>
          <w:p w14:paraId="15CE38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0" w:type="dxa"/>
            <w:tcBorders>
              <w:top w:val="nil"/>
              <w:left w:val="nil"/>
              <w:bottom w:val="nil"/>
              <w:right w:val="nil"/>
            </w:tcBorders>
            <w:shd w:val="clear" w:color="auto" w:fill="auto"/>
            <w:noWrap/>
            <w:vAlign w:val="center"/>
            <w:hideMark/>
          </w:tcPr>
          <w:p w14:paraId="2358AB3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nil"/>
              <w:right w:val="nil"/>
            </w:tcBorders>
            <w:shd w:val="clear" w:color="auto" w:fill="auto"/>
            <w:noWrap/>
            <w:vAlign w:val="center"/>
            <w:hideMark/>
          </w:tcPr>
          <w:p w14:paraId="1BACEDC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880" w:type="dxa"/>
            <w:tcBorders>
              <w:top w:val="nil"/>
              <w:left w:val="nil"/>
              <w:bottom w:val="nil"/>
              <w:right w:val="nil"/>
            </w:tcBorders>
            <w:shd w:val="clear" w:color="auto" w:fill="auto"/>
            <w:noWrap/>
            <w:vAlign w:val="center"/>
            <w:hideMark/>
          </w:tcPr>
          <w:p w14:paraId="542A460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0" w:type="dxa"/>
            <w:tcBorders>
              <w:top w:val="nil"/>
              <w:left w:val="nil"/>
              <w:bottom w:val="nil"/>
              <w:right w:val="nil"/>
            </w:tcBorders>
            <w:shd w:val="clear" w:color="auto" w:fill="auto"/>
            <w:noWrap/>
            <w:vAlign w:val="center"/>
            <w:hideMark/>
          </w:tcPr>
          <w:p w14:paraId="74CE565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881" w:type="dxa"/>
            <w:tcBorders>
              <w:top w:val="nil"/>
              <w:left w:val="nil"/>
              <w:bottom w:val="nil"/>
              <w:right w:val="nil"/>
            </w:tcBorders>
            <w:shd w:val="clear" w:color="auto" w:fill="auto"/>
            <w:noWrap/>
            <w:vAlign w:val="center"/>
            <w:hideMark/>
          </w:tcPr>
          <w:p w14:paraId="2AD3E8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4.50</w:t>
            </w:r>
          </w:p>
        </w:tc>
        <w:tc>
          <w:tcPr>
            <w:tcW w:w="1355" w:type="dxa"/>
            <w:tcBorders>
              <w:top w:val="nil"/>
              <w:left w:val="nil"/>
              <w:bottom w:val="nil"/>
              <w:right w:val="nil"/>
            </w:tcBorders>
            <w:shd w:val="clear" w:color="auto" w:fill="auto"/>
            <w:noWrap/>
            <w:vAlign w:val="center"/>
            <w:hideMark/>
          </w:tcPr>
          <w:p w14:paraId="1E784D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.23</w:t>
            </w:r>
          </w:p>
        </w:tc>
        <w:tc>
          <w:tcPr>
            <w:tcW w:w="1173" w:type="dxa"/>
            <w:tcBorders>
              <w:top w:val="nil"/>
              <w:left w:val="nil"/>
              <w:bottom w:val="nil"/>
              <w:right w:val="nil"/>
            </w:tcBorders>
            <w:shd w:val="clear" w:color="auto" w:fill="auto"/>
            <w:noWrap/>
            <w:vAlign w:val="center"/>
            <w:hideMark/>
          </w:tcPr>
          <w:p w14:paraId="083FFB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-.74</w:t>
            </w:r>
          </w:p>
        </w:tc>
      </w:tr>
      <w:tr w:rsidR="00E6060C" w:rsidRPr="00E6060C" w14:paraId="55927413" w14:textId="77777777" w:rsidTr="00FE03C0">
        <w:trPr>
          <w:trHeight w:val="581"/>
        </w:trPr>
        <w:tc>
          <w:tcPr>
            <w:tcW w:w="1599" w:type="dxa"/>
            <w:tcBorders>
              <w:top w:val="nil"/>
              <w:left w:val="nil"/>
              <w:bottom w:val="nil"/>
              <w:right w:val="nil"/>
            </w:tcBorders>
            <w:shd w:val="clear" w:color="auto" w:fill="auto"/>
            <w:vAlign w:val="center"/>
            <w:hideMark/>
          </w:tcPr>
          <w:p w14:paraId="40A932C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Education level</w:t>
            </w:r>
          </w:p>
        </w:tc>
        <w:tc>
          <w:tcPr>
            <w:tcW w:w="539" w:type="dxa"/>
            <w:tcBorders>
              <w:top w:val="nil"/>
              <w:left w:val="nil"/>
              <w:bottom w:val="nil"/>
              <w:right w:val="nil"/>
            </w:tcBorders>
            <w:shd w:val="clear" w:color="auto" w:fill="auto"/>
            <w:noWrap/>
            <w:vAlign w:val="center"/>
            <w:hideMark/>
          </w:tcPr>
          <w:p w14:paraId="360F10F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24</w:t>
            </w:r>
          </w:p>
        </w:tc>
        <w:tc>
          <w:tcPr>
            <w:tcW w:w="914" w:type="dxa"/>
            <w:tcBorders>
              <w:top w:val="nil"/>
              <w:left w:val="nil"/>
              <w:bottom w:val="nil"/>
              <w:right w:val="nil"/>
            </w:tcBorders>
            <w:shd w:val="clear" w:color="auto" w:fill="auto"/>
            <w:noWrap/>
            <w:vAlign w:val="center"/>
            <w:hideMark/>
          </w:tcPr>
          <w:p w14:paraId="7B0B489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4.38</w:t>
            </w:r>
          </w:p>
        </w:tc>
        <w:tc>
          <w:tcPr>
            <w:tcW w:w="880" w:type="dxa"/>
            <w:tcBorders>
              <w:top w:val="nil"/>
              <w:left w:val="nil"/>
              <w:bottom w:val="nil"/>
              <w:right w:val="nil"/>
            </w:tcBorders>
            <w:shd w:val="clear" w:color="auto" w:fill="auto"/>
            <w:noWrap/>
            <w:vAlign w:val="center"/>
            <w:hideMark/>
          </w:tcPr>
          <w:p w14:paraId="7AECE02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1.24</w:t>
            </w:r>
          </w:p>
        </w:tc>
        <w:tc>
          <w:tcPr>
            <w:tcW w:w="744" w:type="dxa"/>
            <w:tcBorders>
              <w:top w:val="nil"/>
              <w:left w:val="nil"/>
              <w:bottom w:val="nil"/>
              <w:right w:val="nil"/>
            </w:tcBorders>
            <w:shd w:val="clear" w:color="auto" w:fill="auto"/>
            <w:noWrap/>
            <w:vAlign w:val="center"/>
            <w:hideMark/>
          </w:tcPr>
          <w:p w14:paraId="6C5F6E5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.25</w:t>
            </w:r>
          </w:p>
        </w:tc>
        <w:tc>
          <w:tcPr>
            <w:tcW w:w="1125" w:type="dxa"/>
            <w:tcBorders>
              <w:top w:val="nil"/>
              <w:left w:val="nil"/>
              <w:bottom w:val="nil"/>
              <w:right w:val="nil"/>
            </w:tcBorders>
            <w:shd w:val="clear" w:color="auto" w:fill="auto"/>
            <w:noWrap/>
            <w:vAlign w:val="center"/>
            <w:hideMark/>
          </w:tcPr>
          <w:p w14:paraId="2419C2E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880" w:type="dxa"/>
            <w:tcBorders>
              <w:top w:val="nil"/>
              <w:left w:val="nil"/>
              <w:bottom w:val="nil"/>
              <w:right w:val="nil"/>
            </w:tcBorders>
            <w:shd w:val="clear" w:color="auto" w:fill="auto"/>
            <w:noWrap/>
            <w:vAlign w:val="center"/>
            <w:hideMark/>
          </w:tcPr>
          <w:p w14:paraId="0B57A9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880" w:type="dxa"/>
            <w:tcBorders>
              <w:top w:val="nil"/>
              <w:left w:val="nil"/>
              <w:bottom w:val="nil"/>
              <w:right w:val="nil"/>
            </w:tcBorders>
            <w:shd w:val="clear" w:color="auto" w:fill="auto"/>
            <w:noWrap/>
            <w:vAlign w:val="center"/>
            <w:hideMark/>
          </w:tcPr>
          <w:p w14:paraId="3D02348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7.00</w:t>
            </w:r>
          </w:p>
        </w:tc>
        <w:tc>
          <w:tcPr>
            <w:tcW w:w="880" w:type="dxa"/>
            <w:tcBorders>
              <w:top w:val="nil"/>
              <w:left w:val="nil"/>
              <w:bottom w:val="nil"/>
              <w:right w:val="nil"/>
            </w:tcBorders>
            <w:shd w:val="clear" w:color="auto" w:fill="auto"/>
            <w:noWrap/>
            <w:vAlign w:val="center"/>
            <w:hideMark/>
          </w:tcPr>
          <w:p w14:paraId="18A72C8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3.25</w:t>
            </w:r>
          </w:p>
        </w:tc>
        <w:tc>
          <w:tcPr>
            <w:tcW w:w="880" w:type="dxa"/>
            <w:tcBorders>
              <w:top w:val="nil"/>
              <w:left w:val="nil"/>
              <w:bottom w:val="nil"/>
              <w:right w:val="nil"/>
            </w:tcBorders>
            <w:shd w:val="clear" w:color="auto" w:fill="auto"/>
            <w:noWrap/>
            <w:vAlign w:val="center"/>
            <w:hideMark/>
          </w:tcPr>
          <w:p w14:paraId="606474C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881" w:type="dxa"/>
            <w:tcBorders>
              <w:top w:val="nil"/>
              <w:left w:val="nil"/>
              <w:bottom w:val="nil"/>
              <w:right w:val="nil"/>
            </w:tcBorders>
            <w:shd w:val="clear" w:color="auto" w:fill="auto"/>
            <w:noWrap/>
            <w:vAlign w:val="center"/>
            <w:hideMark/>
          </w:tcPr>
          <w:p w14:paraId="08E0336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355" w:type="dxa"/>
            <w:tcBorders>
              <w:top w:val="nil"/>
              <w:left w:val="nil"/>
              <w:bottom w:val="nil"/>
              <w:right w:val="nil"/>
            </w:tcBorders>
            <w:shd w:val="clear" w:color="auto" w:fill="auto"/>
            <w:noWrap/>
            <w:vAlign w:val="center"/>
            <w:hideMark/>
          </w:tcPr>
          <w:p w14:paraId="1C20089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.39</w:t>
            </w:r>
          </w:p>
        </w:tc>
        <w:tc>
          <w:tcPr>
            <w:tcW w:w="1173" w:type="dxa"/>
            <w:tcBorders>
              <w:top w:val="nil"/>
              <w:left w:val="nil"/>
              <w:bottom w:val="nil"/>
              <w:right w:val="nil"/>
            </w:tcBorders>
            <w:shd w:val="clear" w:color="auto" w:fill="auto"/>
            <w:noWrap/>
            <w:vAlign w:val="center"/>
            <w:hideMark/>
          </w:tcPr>
          <w:p w14:paraId="13F5BE4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.17</w:t>
            </w:r>
          </w:p>
        </w:tc>
      </w:tr>
      <w:tr w:rsidR="00E6060C" w:rsidRPr="00E6060C" w14:paraId="1AA871FB" w14:textId="77777777" w:rsidTr="00FE03C0">
        <w:trPr>
          <w:trHeight w:val="290"/>
        </w:trPr>
        <w:tc>
          <w:tcPr>
            <w:tcW w:w="1599" w:type="dxa"/>
            <w:tcBorders>
              <w:top w:val="nil"/>
              <w:left w:val="nil"/>
              <w:bottom w:val="nil"/>
              <w:right w:val="nil"/>
            </w:tcBorders>
            <w:shd w:val="clear" w:color="auto" w:fill="auto"/>
            <w:vAlign w:val="center"/>
            <w:hideMark/>
          </w:tcPr>
          <w:p w14:paraId="6E7BF08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Manager</w:t>
            </w:r>
          </w:p>
        </w:tc>
        <w:tc>
          <w:tcPr>
            <w:tcW w:w="539" w:type="dxa"/>
            <w:tcBorders>
              <w:top w:val="nil"/>
              <w:left w:val="nil"/>
              <w:bottom w:val="nil"/>
              <w:right w:val="nil"/>
            </w:tcBorders>
            <w:shd w:val="clear" w:color="auto" w:fill="auto"/>
            <w:noWrap/>
            <w:vAlign w:val="center"/>
            <w:hideMark/>
          </w:tcPr>
          <w:p w14:paraId="23C6DC3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29</w:t>
            </w:r>
          </w:p>
        </w:tc>
        <w:tc>
          <w:tcPr>
            <w:tcW w:w="914" w:type="dxa"/>
            <w:tcBorders>
              <w:top w:val="nil"/>
              <w:left w:val="nil"/>
              <w:bottom w:val="nil"/>
              <w:right w:val="nil"/>
            </w:tcBorders>
            <w:shd w:val="clear" w:color="auto" w:fill="auto"/>
            <w:noWrap/>
            <w:vAlign w:val="center"/>
            <w:hideMark/>
          </w:tcPr>
          <w:p w14:paraId="1EFAB89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.24</w:t>
            </w:r>
          </w:p>
        </w:tc>
        <w:tc>
          <w:tcPr>
            <w:tcW w:w="880" w:type="dxa"/>
            <w:tcBorders>
              <w:top w:val="nil"/>
              <w:left w:val="nil"/>
              <w:bottom w:val="nil"/>
              <w:right w:val="nil"/>
            </w:tcBorders>
            <w:shd w:val="clear" w:color="auto" w:fill="auto"/>
            <w:noWrap/>
            <w:vAlign w:val="center"/>
            <w:hideMark/>
          </w:tcPr>
          <w:p w14:paraId="138862C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.44</w:t>
            </w:r>
          </w:p>
        </w:tc>
        <w:tc>
          <w:tcPr>
            <w:tcW w:w="744" w:type="dxa"/>
            <w:tcBorders>
              <w:top w:val="nil"/>
              <w:left w:val="nil"/>
              <w:bottom w:val="nil"/>
              <w:right w:val="nil"/>
            </w:tcBorders>
            <w:shd w:val="clear" w:color="auto" w:fill="auto"/>
            <w:noWrap/>
            <w:vAlign w:val="center"/>
            <w:hideMark/>
          </w:tcPr>
          <w:p w14:paraId="72434C8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.08</w:t>
            </w:r>
          </w:p>
        </w:tc>
        <w:tc>
          <w:tcPr>
            <w:tcW w:w="1125" w:type="dxa"/>
            <w:tcBorders>
              <w:top w:val="nil"/>
              <w:left w:val="nil"/>
              <w:bottom w:val="nil"/>
              <w:right w:val="nil"/>
            </w:tcBorders>
            <w:shd w:val="clear" w:color="auto" w:fill="auto"/>
            <w:noWrap/>
            <w:vAlign w:val="center"/>
            <w:hideMark/>
          </w:tcPr>
          <w:p w14:paraId="1ADBD3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7E3F44A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5C3A50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nil"/>
              <w:right w:val="nil"/>
            </w:tcBorders>
            <w:shd w:val="clear" w:color="auto" w:fill="auto"/>
            <w:noWrap/>
            <w:vAlign w:val="center"/>
            <w:hideMark/>
          </w:tcPr>
          <w:p w14:paraId="44296CD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nil"/>
              <w:right w:val="nil"/>
            </w:tcBorders>
            <w:shd w:val="clear" w:color="auto" w:fill="auto"/>
            <w:noWrap/>
            <w:vAlign w:val="center"/>
            <w:hideMark/>
          </w:tcPr>
          <w:p w14:paraId="0440DC9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1" w:type="dxa"/>
            <w:tcBorders>
              <w:top w:val="nil"/>
              <w:left w:val="nil"/>
              <w:bottom w:val="nil"/>
              <w:right w:val="nil"/>
            </w:tcBorders>
            <w:shd w:val="clear" w:color="auto" w:fill="auto"/>
            <w:noWrap/>
            <w:vAlign w:val="center"/>
            <w:hideMark/>
          </w:tcPr>
          <w:p w14:paraId="475AF24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w:t>
            </w:r>
          </w:p>
        </w:tc>
        <w:tc>
          <w:tcPr>
            <w:tcW w:w="1355" w:type="dxa"/>
            <w:tcBorders>
              <w:top w:val="nil"/>
              <w:left w:val="nil"/>
              <w:bottom w:val="nil"/>
              <w:right w:val="nil"/>
            </w:tcBorders>
            <w:shd w:val="clear" w:color="auto" w:fill="auto"/>
            <w:noWrap/>
            <w:vAlign w:val="center"/>
            <w:hideMark/>
          </w:tcPr>
          <w:p w14:paraId="070C955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1.28</w:t>
            </w:r>
          </w:p>
        </w:tc>
        <w:tc>
          <w:tcPr>
            <w:tcW w:w="1173" w:type="dxa"/>
            <w:tcBorders>
              <w:top w:val="nil"/>
              <w:left w:val="nil"/>
              <w:bottom w:val="nil"/>
              <w:right w:val="nil"/>
            </w:tcBorders>
            <w:shd w:val="clear" w:color="auto" w:fill="auto"/>
            <w:noWrap/>
            <w:vAlign w:val="center"/>
            <w:hideMark/>
          </w:tcPr>
          <w:p w14:paraId="08C8CE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-.41</w:t>
            </w:r>
          </w:p>
        </w:tc>
      </w:tr>
      <w:tr w:rsidR="00E6060C" w:rsidRPr="00E6060C" w14:paraId="61AD9BFA" w14:textId="77777777" w:rsidTr="00FE03C0">
        <w:trPr>
          <w:trHeight w:val="290"/>
        </w:trPr>
        <w:tc>
          <w:tcPr>
            <w:tcW w:w="1599" w:type="dxa"/>
            <w:tcBorders>
              <w:top w:val="nil"/>
              <w:left w:val="nil"/>
              <w:bottom w:val="single" w:sz="4" w:space="0" w:color="auto"/>
              <w:right w:val="nil"/>
            </w:tcBorders>
            <w:shd w:val="clear" w:color="auto" w:fill="auto"/>
            <w:vAlign w:val="center"/>
            <w:hideMark/>
          </w:tcPr>
          <w:p w14:paraId="4B29689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FT/PT</w:t>
            </w:r>
          </w:p>
        </w:tc>
        <w:tc>
          <w:tcPr>
            <w:tcW w:w="539" w:type="dxa"/>
            <w:tcBorders>
              <w:top w:val="nil"/>
              <w:left w:val="nil"/>
              <w:bottom w:val="single" w:sz="4" w:space="0" w:color="auto"/>
              <w:right w:val="nil"/>
            </w:tcBorders>
            <w:shd w:val="clear" w:color="auto" w:fill="auto"/>
            <w:noWrap/>
            <w:vAlign w:val="center"/>
            <w:hideMark/>
          </w:tcPr>
          <w:p w14:paraId="0E9E9B3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w:t>
            </w:r>
          </w:p>
        </w:tc>
        <w:tc>
          <w:tcPr>
            <w:tcW w:w="914" w:type="dxa"/>
            <w:tcBorders>
              <w:top w:val="nil"/>
              <w:left w:val="nil"/>
              <w:bottom w:val="single" w:sz="4" w:space="0" w:color="auto"/>
              <w:right w:val="nil"/>
            </w:tcBorders>
            <w:shd w:val="clear" w:color="auto" w:fill="auto"/>
            <w:noWrap/>
            <w:vAlign w:val="center"/>
            <w:hideMark/>
          </w:tcPr>
          <w:p w14:paraId="75B43F9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.61</w:t>
            </w:r>
          </w:p>
        </w:tc>
        <w:tc>
          <w:tcPr>
            <w:tcW w:w="880" w:type="dxa"/>
            <w:tcBorders>
              <w:top w:val="nil"/>
              <w:left w:val="nil"/>
              <w:bottom w:val="single" w:sz="4" w:space="0" w:color="auto"/>
              <w:right w:val="nil"/>
            </w:tcBorders>
            <w:shd w:val="clear" w:color="auto" w:fill="auto"/>
            <w:noWrap/>
            <w:vAlign w:val="center"/>
            <w:hideMark/>
          </w:tcPr>
          <w:p w14:paraId="1EF8D58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w:t>
            </w:r>
          </w:p>
        </w:tc>
        <w:tc>
          <w:tcPr>
            <w:tcW w:w="744" w:type="dxa"/>
            <w:tcBorders>
              <w:top w:val="nil"/>
              <w:left w:val="nil"/>
              <w:bottom w:val="single" w:sz="4" w:space="0" w:color="auto"/>
              <w:right w:val="nil"/>
            </w:tcBorders>
            <w:shd w:val="clear" w:color="auto" w:fill="auto"/>
            <w:noWrap/>
            <w:vAlign w:val="center"/>
            <w:hideMark/>
          </w:tcPr>
          <w:p w14:paraId="4B2398B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.09</w:t>
            </w:r>
          </w:p>
        </w:tc>
        <w:tc>
          <w:tcPr>
            <w:tcW w:w="1125" w:type="dxa"/>
            <w:tcBorders>
              <w:top w:val="nil"/>
              <w:left w:val="nil"/>
              <w:bottom w:val="single" w:sz="4" w:space="0" w:color="auto"/>
              <w:right w:val="nil"/>
            </w:tcBorders>
            <w:shd w:val="clear" w:color="auto" w:fill="auto"/>
            <w:noWrap/>
            <w:vAlign w:val="center"/>
            <w:hideMark/>
          </w:tcPr>
          <w:p w14:paraId="2FA5AE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single" w:sz="4" w:space="0" w:color="auto"/>
              <w:right w:val="nil"/>
            </w:tcBorders>
            <w:shd w:val="clear" w:color="auto" w:fill="auto"/>
            <w:noWrap/>
            <w:vAlign w:val="center"/>
            <w:hideMark/>
          </w:tcPr>
          <w:p w14:paraId="0225E81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single" w:sz="4" w:space="0" w:color="auto"/>
              <w:right w:val="nil"/>
            </w:tcBorders>
            <w:shd w:val="clear" w:color="auto" w:fill="auto"/>
            <w:noWrap/>
            <w:vAlign w:val="center"/>
            <w:hideMark/>
          </w:tcPr>
          <w:p w14:paraId="0345427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0" w:type="dxa"/>
            <w:tcBorders>
              <w:top w:val="nil"/>
              <w:left w:val="nil"/>
              <w:bottom w:val="single" w:sz="4" w:space="0" w:color="auto"/>
              <w:right w:val="nil"/>
            </w:tcBorders>
            <w:shd w:val="clear" w:color="auto" w:fill="auto"/>
            <w:noWrap/>
            <w:vAlign w:val="center"/>
            <w:hideMark/>
          </w:tcPr>
          <w:p w14:paraId="131300F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.00</w:t>
            </w:r>
          </w:p>
        </w:tc>
        <w:tc>
          <w:tcPr>
            <w:tcW w:w="880" w:type="dxa"/>
            <w:tcBorders>
              <w:top w:val="nil"/>
              <w:left w:val="nil"/>
              <w:bottom w:val="single" w:sz="4" w:space="0" w:color="auto"/>
              <w:right w:val="nil"/>
            </w:tcBorders>
            <w:shd w:val="clear" w:color="auto" w:fill="auto"/>
            <w:noWrap/>
            <w:vAlign w:val="center"/>
            <w:hideMark/>
          </w:tcPr>
          <w:p w14:paraId="5B17A26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881" w:type="dxa"/>
            <w:tcBorders>
              <w:top w:val="nil"/>
              <w:left w:val="nil"/>
              <w:bottom w:val="single" w:sz="4" w:space="0" w:color="auto"/>
              <w:right w:val="nil"/>
            </w:tcBorders>
            <w:shd w:val="clear" w:color="auto" w:fill="auto"/>
            <w:noWrap/>
            <w:vAlign w:val="center"/>
            <w:hideMark/>
          </w:tcPr>
          <w:p w14:paraId="34BEADA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355" w:type="dxa"/>
            <w:tcBorders>
              <w:top w:val="nil"/>
              <w:left w:val="nil"/>
              <w:bottom w:val="single" w:sz="4" w:space="0" w:color="auto"/>
              <w:right w:val="nil"/>
            </w:tcBorders>
            <w:shd w:val="clear" w:color="auto" w:fill="auto"/>
            <w:noWrap/>
            <w:vAlign w:val="center"/>
            <w:hideMark/>
          </w:tcPr>
          <w:p w14:paraId="121955B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-.49</w:t>
            </w:r>
          </w:p>
        </w:tc>
        <w:tc>
          <w:tcPr>
            <w:tcW w:w="1173" w:type="dxa"/>
            <w:tcBorders>
              <w:top w:val="nil"/>
              <w:left w:val="nil"/>
              <w:bottom w:val="single" w:sz="4" w:space="0" w:color="auto"/>
              <w:right w:val="nil"/>
            </w:tcBorders>
            <w:shd w:val="clear" w:color="auto" w:fill="auto"/>
            <w:noWrap/>
            <w:vAlign w:val="center"/>
            <w:hideMark/>
          </w:tcPr>
          <w:p w14:paraId="70FAD44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-1.89</w:t>
            </w:r>
          </w:p>
        </w:tc>
      </w:tr>
    </w:tbl>
    <w:p w14:paraId="5C45A20E" w14:textId="77777777" w:rsidR="00E6060C" w:rsidRPr="00E6060C" w:rsidRDefault="00E6060C" w:rsidP="00FE03C0">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M=mean; SD</w:t>
      </w:r>
      <w:r w:rsidRPr="00E6060C">
        <w:rPr>
          <w:rFonts w:ascii="Calibri" w:eastAsia="Calibri" w:hAnsi="Calibri" w:cs="Times New Roman"/>
        </w:rPr>
        <w:t xml:space="preserve">=standard deviation; </w:t>
      </w:r>
      <w:r w:rsidRPr="00E6060C">
        <w:rPr>
          <w:rFonts w:ascii="Calibri" w:eastAsia="Calibri" w:hAnsi="Calibri" w:cs="Times New Roman"/>
          <w:i/>
        </w:rPr>
        <w:t>SE</w:t>
      </w:r>
      <w:r w:rsidRPr="00E6060C">
        <w:rPr>
          <w:rFonts w:ascii="Calibri" w:eastAsia="Calibri" w:hAnsi="Calibri" w:cs="Times New Roman"/>
        </w:rPr>
        <w:t>=standard error; Min=Minimum value; Max=Maximum value; Time qualified=length of time qualified as a nurse; Manager=whether or not the respondents managed employees</w:t>
      </w:r>
    </w:p>
    <w:p w14:paraId="3604C20D" w14:textId="77777777" w:rsidR="00E6060C" w:rsidRPr="00E6060C" w:rsidRDefault="00E6060C" w:rsidP="00FE03C0">
      <w:pPr>
        <w:spacing w:after="200" w:line="360" w:lineRule="auto"/>
        <w:contextualSpacing/>
        <w:rPr>
          <w:rFonts w:ascii="Calibri" w:eastAsia="Calibri" w:hAnsi="Calibri" w:cs="Times New Roman"/>
        </w:rPr>
      </w:pPr>
    </w:p>
    <w:p w14:paraId="0CCA4849" w14:textId="77777777" w:rsidR="00842587" w:rsidRDefault="00842587">
      <w:pPr>
        <w:spacing w:after="160"/>
        <w:rPr>
          <w:rFonts w:ascii="Calibri" w:eastAsia="Calibri" w:hAnsi="Calibri" w:cs="Times New Roman"/>
        </w:rPr>
      </w:pPr>
      <w:r>
        <w:rPr>
          <w:rFonts w:ascii="Calibri" w:eastAsia="Calibri" w:hAnsi="Calibri" w:cs="Times New Roman"/>
        </w:rPr>
        <w:br w:type="page"/>
      </w:r>
    </w:p>
    <w:p w14:paraId="1FB079A0" w14:textId="0DC9795D" w:rsidR="00842587" w:rsidRDefault="00842587" w:rsidP="005852AD">
      <w:pPr>
        <w:pStyle w:val="Figurestyle"/>
      </w:pPr>
      <w:bookmarkStart w:id="424" w:name="_Ref453590389"/>
      <w:bookmarkStart w:id="425" w:name="_Toc468286085"/>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11</w:t>
      </w:r>
      <w:r w:rsidR="00245D68">
        <w:rPr>
          <w:noProof/>
        </w:rPr>
        <w:fldChar w:fldCharType="end"/>
      </w:r>
      <w:bookmarkEnd w:id="424"/>
      <w:r>
        <w:t xml:space="preserve"> </w:t>
      </w:r>
      <w:r w:rsidRPr="00622A3D">
        <w:t xml:space="preserve">Results of independent samples </w:t>
      </w:r>
      <w:r w:rsidRPr="00030B4D">
        <w:rPr>
          <w:i/>
        </w:rPr>
        <w:t>t-</w:t>
      </w:r>
      <w:r w:rsidRPr="00622A3D">
        <w:t>tests between the intervention (N=31) and control (N=14) groups at baseline (Time 1), for all of the demographic variables measured</w:t>
      </w:r>
      <w:bookmarkEnd w:id="425"/>
    </w:p>
    <w:p w14:paraId="4642371E" w14:textId="77777777" w:rsidR="00842587" w:rsidRDefault="00842587" w:rsidP="005852AD">
      <w:pPr>
        <w:pStyle w:val="Figurestyle"/>
      </w:pPr>
    </w:p>
    <w:tbl>
      <w:tblPr>
        <w:tblW w:w="12328" w:type="dxa"/>
        <w:tblLook w:val="04A0" w:firstRow="1" w:lastRow="0" w:firstColumn="1" w:lastColumn="0" w:noHBand="0" w:noVBand="1"/>
      </w:tblPr>
      <w:tblGrid>
        <w:gridCol w:w="2268"/>
        <w:gridCol w:w="1240"/>
        <w:gridCol w:w="948"/>
        <w:gridCol w:w="944"/>
        <w:gridCol w:w="946"/>
        <w:gridCol w:w="948"/>
        <w:gridCol w:w="944"/>
        <w:gridCol w:w="1251"/>
        <w:gridCol w:w="944"/>
        <w:gridCol w:w="949"/>
        <w:gridCol w:w="946"/>
      </w:tblGrid>
      <w:tr w:rsidR="00E6060C" w:rsidRPr="00E6060C" w14:paraId="32D78383" w14:textId="77777777" w:rsidTr="00FE03C0">
        <w:trPr>
          <w:trHeight w:val="290"/>
        </w:trPr>
        <w:tc>
          <w:tcPr>
            <w:tcW w:w="2268" w:type="dxa"/>
            <w:vMerge w:val="restart"/>
            <w:tcBorders>
              <w:top w:val="single" w:sz="4" w:space="0" w:color="auto"/>
              <w:left w:val="nil"/>
              <w:right w:val="nil"/>
            </w:tcBorders>
            <w:shd w:val="clear" w:color="auto" w:fill="auto"/>
            <w:vAlign w:val="center"/>
            <w:hideMark/>
          </w:tcPr>
          <w:p w14:paraId="1F32D6A5" w14:textId="77777777" w:rsidR="00E6060C" w:rsidRPr="00E6060C" w:rsidRDefault="00E6060C" w:rsidP="00E6060C">
            <w:pPr>
              <w:spacing w:line="240" w:lineRule="auto"/>
              <w:contextualSpacing/>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Variables</w:t>
            </w:r>
          </w:p>
        </w:tc>
        <w:tc>
          <w:tcPr>
            <w:tcW w:w="3132" w:type="dxa"/>
            <w:gridSpan w:val="3"/>
            <w:tcBorders>
              <w:top w:val="single" w:sz="4" w:space="0" w:color="auto"/>
              <w:left w:val="nil"/>
              <w:bottom w:val="single" w:sz="4" w:space="0" w:color="auto"/>
              <w:right w:val="single" w:sz="4" w:space="0" w:color="000000"/>
            </w:tcBorders>
            <w:shd w:val="clear" w:color="auto" w:fill="auto"/>
            <w:vAlign w:val="center"/>
            <w:hideMark/>
          </w:tcPr>
          <w:p w14:paraId="7C6134A1" w14:textId="77777777" w:rsidR="00E6060C" w:rsidRPr="00E6060C" w:rsidRDefault="00E6060C" w:rsidP="00E6060C">
            <w:pPr>
              <w:spacing w:line="240" w:lineRule="auto"/>
              <w:contextualSpacing/>
              <w:jc w:val="center"/>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Levene's test for equality of variances</w:t>
            </w:r>
            <w:r w:rsidRPr="00E6060C">
              <w:rPr>
                <w:rFonts w:ascii="Calibri" w:eastAsia="Times New Roman" w:hAnsi="Calibri" w:cs="Times New Roman"/>
                <w:b/>
                <w:color w:val="000000"/>
                <w:vertAlign w:val="superscript"/>
                <w:lang w:eastAsia="en-GB"/>
              </w:rPr>
              <w:t>1</w:t>
            </w:r>
          </w:p>
        </w:tc>
        <w:tc>
          <w:tcPr>
            <w:tcW w:w="6928" w:type="dxa"/>
            <w:gridSpan w:val="7"/>
            <w:tcBorders>
              <w:top w:val="single" w:sz="4" w:space="0" w:color="auto"/>
              <w:left w:val="nil"/>
              <w:bottom w:val="single" w:sz="4" w:space="0" w:color="auto"/>
              <w:right w:val="nil"/>
            </w:tcBorders>
            <w:shd w:val="clear" w:color="auto" w:fill="auto"/>
            <w:vAlign w:val="center"/>
            <w:hideMark/>
          </w:tcPr>
          <w:p w14:paraId="382D09A3"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i/>
                <w:color w:val="000000"/>
                <w:lang w:eastAsia="en-GB"/>
              </w:rPr>
              <w:t>t</w:t>
            </w:r>
            <w:r w:rsidRPr="00E6060C">
              <w:rPr>
                <w:rFonts w:ascii="Calibri" w:eastAsia="Times New Roman" w:hAnsi="Calibri" w:cs="Times New Roman"/>
                <w:b/>
                <w:color w:val="000000"/>
                <w:lang w:eastAsia="en-GB"/>
              </w:rPr>
              <w:t>-test for equality of means</w:t>
            </w:r>
          </w:p>
        </w:tc>
      </w:tr>
      <w:tr w:rsidR="00E6060C" w:rsidRPr="00E6060C" w14:paraId="7A578534" w14:textId="77777777" w:rsidTr="00FE03C0">
        <w:trPr>
          <w:trHeight w:val="860"/>
        </w:trPr>
        <w:tc>
          <w:tcPr>
            <w:tcW w:w="2268" w:type="dxa"/>
            <w:vMerge/>
            <w:tcBorders>
              <w:left w:val="nil"/>
              <w:bottom w:val="nil"/>
              <w:right w:val="nil"/>
            </w:tcBorders>
            <w:shd w:val="clear" w:color="auto" w:fill="auto"/>
            <w:vAlign w:val="center"/>
            <w:hideMark/>
          </w:tcPr>
          <w:p w14:paraId="10DD158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p>
        </w:tc>
        <w:tc>
          <w:tcPr>
            <w:tcW w:w="1240" w:type="dxa"/>
            <w:tcBorders>
              <w:top w:val="nil"/>
              <w:left w:val="nil"/>
              <w:bottom w:val="nil"/>
              <w:right w:val="nil"/>
            </w:tcBorders>
            <w:shd w:val="clear" w:color="auto" w:fill="auto"/>
            <w:vAlign w:val="center"/>
            <w:hideMark/>
          </w:tcPr>
          <w:p w14:paraId="0C8EB255"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Equal variances assumed?</w:t>
            </w:r>
          </w:p>
        </w:tc>
        <w:tc>
          <w:tcPr>
            <w:tcW w:w="948" w:type="dxa"/>
            <w:tcBorders>
              <w:top w:val="nil"/>
              <w:left w:val="nil"/>
              <w:bottom w:val="nil"/>
              <w:right w:val="nil"/>
            </w:tcBorders>
            <w:shd w:val="clear" w:color="auto" w:fill="auto"/>
            <w:vAlign w:val="center"/>
            <w:hideMark/>
          </w:tcPr>
          <w:p w14:paraId="595C30C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F</w:t>
            </w:r>
          </w:p>
        </w:tc>
        <w:tc>
          <w:tcPr>
            <w:tcW w:w="944" w:type="dxa"/>
            <w:tcBorders>
              <w:top w:val="nil"/>
              <w:left w:val="nil"/>
              <w:bottom w:val="nil"/>
              <w:right w:val="single" w:sz="4" w:space="0" w:color="auto"/>
            </w:tcBorders>
            <w:shd w:val="clear" w:color="auto" w:fill="auto"/>
            <w:vAlign w:val="center"/>
            <w:hideMark/>
          </w:tcPr>
          <w:p w14:paraId="40C76010"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946" w:type="dxa"/>
            <w:tcBorders>
              <w:top w:val="nil"/>
              <w:left w:val="nil"/>
              <w:bottom w:val="nil"/>
              <w:right w:val="nil"/>
            </w:tcBorders>
            <w:shd w:val="clear" w:color="auto" w:fill="auto"/>
            <w:vAlign w:val="center"/>
            <w:hideMark/>
          </w:tcPr>
          <w:p w14:paraId="3BBD1AA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T</w:t>
            </w:r>
          </w:p>
        </w:tc>
        <w:tc>
          <w:tcPr>
            <w:tcW w:w="948" w:type="dxa"/>
            <w:tcBorders>
              <w:top w:val="nil"/>
              <w:left w:val="nil"/>
              <w:bottom w:val="nil"/>
              <w:right w:val="nil"/>
            </w:tcBorders>
            <w:shd w:val="clear" w:color="auto" w:fill="auto"/>
            <w:vAlign w:val="center"/>
            <w:hideMark/>
          </w:tcPr>
          <w:p w14:paraId="60B38401"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df</w:t>
            </w:r>
          </w:p>
        </w:tc>
        <w:tc>
          <w:tcPr>
            <w:tcW w:w="944" w:type="dxa"/>
            <w:tcBorders>
              <w:top w:val="nil"/>
              <w:left w:val="nil"/>
              <w:bottom w:val="nil"/>
              <w:right w:val="nil"/>
            </w:tcBorders>
            <w:shd w:val="clear" w:color="auto" w:fill="auto"/>
            <w:vAlign w:val="center"/>
            <w:hideMark/>
          </w:tcPr>
          <w:p w14:paraId="61DBFB5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1251" w:type="dxa"/>
            <w:tcBorders>
              <w:top w:val="nil"/>
              <w:left w:val="nil"/>
              <w:bottom w:val="nil"/>
              <w:right w:val="nil"/>
            </w:tcBorders>
            <w:shd w:val="clear" w:color="auto" w:fill="auto"/>
            <w:vAlign w:val="center"/>
            <w:hideMark/>
          </w:tcPr>
          <w:p w14:paraId="4F455447"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Mean difference</w:t>
            </w:r>
          </w:p>
        </w:tc>
        <w:tc>
          <w:tcPr>
            <w:tcW w:w="944" w:type="dxa"/>
            <w:tcBorders>
              <w:top w:val="nil"/>
              <w:left w:val="nil"/>
              <w:bottom w:val="nil"/>
              <w:right w:val="nil"/>
            </w:tcBorders>
            <w:shd w:val="clear" w:color="auto" w:fill="auto"/>
            <w:vAlign w:val="center"/>
            <w:hideMark/>
          </w:tcPr>
          <w:p w14:paraId="31BEF951"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SE</w:t>
            </w:r>
          </w:p>
        </w:tc>
        <w:tc>
          <w:tcPr>
            <w:tcW w:w="1895" w:type="dxa"/>
            <w:gridSpan w:val="2"/>
            <w:tcBorders>
              <w:top w:val="nil"/>
              <w:left w:val="nil"/>
              <w:bottom w:val="single" w:sz="4" w:space="0" w:color="auto"/>
              <w:right w:val="nil"/>
            </w:tcBorders>
            <w:shd w:val="clear" w:color="auto" w:fill="auto"/>
            <w:vAlign w:val="center"/>
            <w:hideMark/>
          </w:tcPr>
          <w:p w14:paraId="066F63E2"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95%-CI</w:t>
            </w:r>
          </w:p>
        </w:tc>
      </w:tr>
      <w:tr w:rsidR="00E6060C" w:rsidRPr="00E6060C" w14:paraId="527A6F35" w14:textId="77777777" w:rsidTr="00FE03C0">
        <w:trPr>
          <w:trHeight w:val="290"/>
        </w:trPr>
        <w:tc>
          <w:tcPr>
            <w:tcW w:w="2268" w:type="dxa"/>
            <w:tcBorders>
              <w:top w:val="nil"/>
              <w:left w:val="nil"/>
              <w:bottom w:val="single" w:sz="4" w:space="0" w:color="auto"/>
              <w:right w:val="nil"/>
            </w:tcBorders>
            <w:shd w:val="clear" w:color="auto" w:fill="auto"/>
            <w:vAlign w:val="center"/>
            <w:hideMark/>
          </w:tcPr>
          <w:p w14:paraId="0A9E0D43" w14:textId="77777777" w:rsidR="00E6060C" w:rsidRPr="00E6060C" w:rsidRDefault="00E6060C" w:rsidP="00E6060C">
            <w:pPr>
              <w:spacing w:line="240" w:lineRule="auto"/>
              <w:contextualSpacing/>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 </w:t>
            </w:r>
          </w:p>
        </w:tc>
        <w:tc>
          <w:tcPr>
            <w:tcW w:w="1240" w:type="dxa"/>
            <w:tcBorders>
              <w:top w:val="nil"/>
              <w:left w:val="nil"/>
              <w:bottom w:val="single" w:sz="4" w:space="0" w:color="auto"/>
              <w:right w:val="nil"/>
            </w:tcBorders>
            <w:shd w:val="clear" w:color="auto" w:fill="auto"/>
            <w:vAlign w:val="center"/>
            <w:hideMark/>
          </w:tcPr>
          <w:p w14:paraId="6C6F7012"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948" w:type="dxa"/>
            <w:tcBorders>
              <w:top w:val="nil"/>
              <w:left w:val="nil"/>
              <w:bottom w:val="single" w:sz="4" w:space="0" w:color="auto"/>
              <w:right w:val="nil"/>
            </w:tcBorders>
            <w:shd w:val="clear" w:color="auto" w:fill="auto"/>
            <w:vAlign w:val="center"/>
            <w:hideMark/>
          </w:tcPr>
          <w:p w14:paraId="0A2B4D3E"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4" w:type="dxa"/>
            <w:tcBorders>
              <w:top w:val="nil"/>
              <w:left w:val="nil"/>
              <w:bottom w:val="single" w:sz="4" w:space="0" w:color="auto"/>
              <w:right w:val="single" w:sz="4" w:space="0" w:color="auto"/>
            </w:tcBorders>
            <w:shd w:val="clear" w:color="auto" w:fill="auto"/>
            <w:vAlign w:val="center"/>
            <w:hideMark/>
          </w:tcPr>
          <w:p w14:paraId="3A3EE9D0"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6" w:type="dxa"/>
            <w:tcBorders>
              <w:top w:val="nil"/>
              <w:left w:val="nil"/>
              <w:bottom w:val="single" w:sz="4" w:space="0" w:color="auto"/>
              <w:right w:val="nil"/>
            </w:tcBorders>
            <w:shd w:val="clear" w:color="auto" w:fill="auto"/>
            <w:vAlign w:val="center"/>
            <w:hideMark/>
          </w:tcPr>
          <w:p w14:paraId="1A9CA370"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8" w:type="dxa"/>
            <w:tcBorders>
              <w:top w:val="nil"/>
              <w:left w:val="nil"/>
              <w:bottom w:val="single" w:sz="4" w:space="0" w:color="auto"/>
              <w:right w:val="nil"/>
            </w:tcBorders>
            <w:shd w:val="clear" w:color="auto" w:fill="auto"/>
            <w:vAlign w:val="center"/>
            <w:hideMark/>
          </w:tcPr>
          <w:p w14:paraId="0636AF1F"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4" w:type="dxa"/>
            <w:tcBorders>
              <w:top w:val="nil"/>
              <w:left w:val="nil"/>
              <w:bottom w:val="single" w:sz="4" w:space="0" w:color="auto"/>
              <w:right w:val="nil"/>
            </w:tcBorders>
            <w:shd w:val="clear" w:color="auto" w:fill="auto"/>
            <w:vAlign w:val="center"/>
            <w:hideMark/>
          </w:tcPr>
          <w:p w14:paraId="7AE8EAE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1251" w:type="dxa"/>
            <w:tcBorders>
              <w:top w:val="nil"/>
              <w:left w:val="nil"/>
              <w:bottom w:val="single" w:sz="4" w:space="0" w:color="auto"/>
              <w:right w:val="nil"/>
            </w:tcBorders>
            <w:shd w:val="clear" w:color="auto" w:fill="auto"/>
            <w:vAlign w:val="center"/>
            <w:hideMark/>
          </w:tcPr>
          <w:p w14:paraId="5488E4C1"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944" w:type="dxa"/>
            <w:tcBorders>
              <w:top w:val="nil"/>
              <w:left w:val="nil"/>
              <w:bottom w:val="single" w:sz="4" w:space="0" w:color="auto"/>
              <w:right w:val="nil"/>
            </w:tcBorders>
            <w:shd w:val="clear" w:color="auto" w:fill="auto"/>
            <w:vAlign w:val="center"/>
            <w:hideMark/>
          </w:tcPr>
          <w:p w14:paraId="22BCA08C"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949" w:type="dxa"/>
            <w:tcBorders>
              <w:top w:val="nil"/>
              <w:left w:val="nil"/>
              <w:bottom w:val="single" w:sz="4" w:space="0" w:color="auto"/>
              <w:right w:val="nil"/>
            </w:tcBorders>
            <w:shd w:val="clear" w:color="auto" w:fill="auto"/>
            <w:vAlign w:val="center"/>
            <w:hideMark/>
          </w:tcPr>
          <w:p w14:paraId="3967EBEF"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LL</w:t>
            </w:r>
          </w:p>
        </w:tc>
        <w:tc>
          <w:tcPr>
            <w:tcW w:w="946" w:type="dxa"/>
            <w:tcBorders>
              <w:top w:val="nil"/>
              <w:left w:val="nil"/>
              <w:bottom w:val="single" w:sz="4" w:space="0" w:color="auto"/>
              <w:right w:val="nil"/>
            </w:tcBorders>
            <w:shd w:val="clear" w:color="auto" w:fill="auto"/>
            <w:vAlign w:val="center"/>
            <w:hideMark/>
          </w:tcPr>
          <w:p w14:paraId="62D2F7D4"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UL</w:t>
            </w:r>
          </w:p>
        </w:tc>
      </w:tr>
      <w:tr w:rsidR="00E6060C" w:rsidRPr="00E6060C" w14:paraId="30E64CA5" w14:textId="77777777" w:rsidTr="00FE03C0">
        <w:trPr>
          <w:trHeight w:val="397"/>
        </w:trPr>
        <w:tc>
          <w:tcPr>
            <w:tcW w:w="2268" w:type="dxa"/>
            <w:tcBorders>
              <w:top w:val="nil"/>
              <w:left w:val="nil"/>
              <w:bottom w:val="nil"/>
              <w:right w:val="nil"/>
            </w:tcBorders>
            <w:shd w:val="clear" w:color="auto" w:fill="auto"/>
            <w:vAlign w:val="center"/>
            <w:hideMark/>
          </w:tcPr>
          <w:p w14:paraId="3E09335F"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Gender</w:t>
            </w:r>
          </w:p>
        </w:tc>
        <w:tc>
          <w:tcPr>
            <w:tcW w:w="1240" w:type="dxa"/>
            <w:tcBorders>
              <w:top w:val="nil"/>
              <w:left w:val="nil"/>
              <w:bottom w:val="nil"/>
              <w:right w:val="nil"/>
            </w:tcBorders>
            <w:shd w:val="clear" w:color="auto" w:fill="auto"/>
            <w:vAlign w:val="center"/>
            <w:hideMark/>
          </w:tcPr>
          <w:p w14:paraId="0204ABA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hideMark/>
          </w:tcPr>
          <w:p w14:paraId="083A5EA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1.92</w:t>
            </w:r>
          </w:p>
        </w:tc>
        <w:tc>
          <w:tcPr>
            <w:tcW w:w="944" w:type="dxa"/>
            <w:tcBorders>
              <w:top w:val="nil"/>
              <w:left w:val="nil"/>
              <w:bottom w:val="nil"/>
              <w:right w:val="single" w:sz="4" w:space="0" w:color="auto"/>
            </w:tcBorders>
            <w:shd w:val="clear" w:color="auto" w:fill="auto"/>
            <w:noWrap/>
            <w:vAlign w:val="center"/>
            <w:hideMark/>
          </w:tcPr>
          <w:p w14:paraId="424E8BA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&lt;.00*</w:t>
            </w:r>
          </w:p>
        </w:tc>
        <w:tc>
          <w:tcPr>
            <w:tcW w:w="946" w:type="dxa"/>
            <w:tcBorders>
              <w:top w:val="nil"/>
              <w:left w:val="nil"/>
              <w:bottom w:val="nil"/>
              <w:right w:val="nil"/>
            </w:tcBorders>
            <w:shd w:val="clear" w:color="auto" w:fill="auto"/>
            <w:noWrap/>
            <w:vAlign w:val="center"/>
            <w:hideMark/>
          </w:tcPr>
          <w:p w14:paraId="5A508C1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2.11</w:t>
            </w:r>
          </w:p>
        </w:tc>
        <w:tc>
          <w:tcPr>
            <w:tcW w:w="948" w:type="dxa"/>
            <w:tcBorders>
              <w:top w:val="nil"/>
              <w:left w:val="nil"/>
              <w:bottom w:val="nil"/>
              <w:right w:val="nil"/>
            </w:tcBorders>
            <w:shd w:val="clear" w:color="auto" w:fill="auto"/>
            <w:noWrap/>
            <w:vAlign w:val="center"/>
            <w:hideMark/>
          </w:tcPr>
          <w:p w14:paraId="5F1AC6F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944" w:type="dxa"/>
            <w:tcBorders>
              <w:top w:val="nil"/>
              <w:left w:val="nil"/>
              <w:bottom w:val="nil"/>
              <w:right w:val="nil"/>
            </w:tcBorders>
            <w:shd w:val="clear" w:color="auto" w:fill="auto"/>
            <w:noWrap/>
            <w:vAlign w:val="center"/>
            <w:hideMark/>
          </w:tcPr>
          <w:p w14:paraId="214EBFB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.04*</w:t>
            </w:r>
          </w:p>
        </w:tc>
        <w:tc>
          <w:tcPr>
            <w:tcW w:w="1251" w:type="dxa"/>
            <w:tcBorders>
              <w:top w:val="nil"/>
              <w:left w:val="nil"/>
              <w:bottom w:val="nil"/>
              <w:right w:val="nil"/>
            </w:tcBorders>
            <w:shd w:val="clear" w:color="auto" w:fill="auto"/>
            <w:noWrap/>
            <w:vAlign w:val="center"/>
            <w:hideMark/>
          </w:tcPr>
          <w:p w14:paraId="651D200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c>
          <w:tcPr>
            <w:tcW w:w="944" w:type="dxa"/>
            <w:tcBorders>
              <w:top w:val="nil"/>
              <w:left w:val="nil"/>
              <w:bottom w:val="nil"/>
              <w:right w:val="nil"/>
            </w:tcBorders>
            <w:shd w:val="clear" w:color="auto" w:fill="auto"/>
            <w:noWrap/>
            <w:vAlign w:val="center"/>
            <w:hideMark/>
          </w:tcPr>
          <w:p w14:paraId="29636D6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949" w:type="dxa"/>
            <w:tcBorders>
              <w:top w:val="nil"/>
              <w:left w:val="nil"/>
              <w:bottom w:val="nil"/>
              <w:right w:val="nil"/>
            </w:tcBorders>
            <w:shd w:val="clear" w:color="auto" w:fill="auto"/>
            <w:noWrap/>
            <w:vAlign w:val="center"/>
            <w:hideMark/>
          </w:tcPr>
          <w:p w14:paraId="6668408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&lt;.01</w:t>
            </w:r>
          </w:p>
        </w:tc>
        <w:tc>
          <w:tcPr>
            <w:tcW w:w="946" w:type="dxa"/>
            <w:tcBorders>
              <w:top w:val="nil"/>
              <w:left w:val="nil"/>
              <w:bottom w:val="nil"/>
              <w:right w:val="nil"/>
            </w:tcBorders>
            <w:shd w:val="clear" w:color="auto" w:fill="auto"/>
            <w:noWrap/>
            <w:vAlign w:val="center"/>
            <w:hideMark/>
          </w:tcPr>
          <w:p w14:paraId="4881A6B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.25</w:t>
            </w:r>
          </w:p>
        </w:tc>
      </w:tr>
      <w:tr w:rsidR="00E6060C" w:rsidRPr="00E6060C" w14:paraId="7A8DF219" w14:textId="77777777" w:rsidTr="00FE03C0">
        <w:trPr>
          <w:trHeight w:val="397"/>
        </w:trPr>
        <w:tc>
          <w:tcPr>
            <w:tcW w:w="2268" w:type="dxa"/>
            <w:tcBorders>
              <w:top w:val="nil"/>
              <w:left w:val="nil"/>
              <w:bottom w:val="nil"/>
              <w:right w:val="nil"/>
            </w:tcBorders>
            <w:shd w:val="clear" w:color="auto" w:fill="auto"/>
            <w:vAlign w:val="center"/>
            <w:hideMark/>
          </w:tcPr>
          <w:p w14:paraId="0E172153"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Age (yrs)</w:t>
            </w:r>
          </w:p>
        </w:tc>
        <w:tc>
          <w:tcPr>
            <w:tcW w:w="1240" w:type="dxa"/>
            <w:tcBorders>
              <w:top w:val="nil"/>
              <w:left w:val="nil"/>
              <w:bottom w:val="nil"/>
              <w:right w:val="nil"/>
            </w:tcBorders>
            <w:shd w:val="clear" w:color="auto" w:fill="auto"/>
            <w:vAlign w:val="center"/>
            <w:hideMark/>
          </w:tcPr>
          <w:p w14:paraId="2866164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hideMark/>
          </w:tcPr>
          <w:p w14:paraId="6F71E40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.09</w:t>
            </w:r>
          </w:p>
        </w:tc>
        <w:tc>
          <w:tcPr>
            <w:tcW w:w="944" w:type="dxa"/>
            <w:tcBorders>
              <w:top w:val="nil"/>
              <w:left w:val="nil"/>
              <w:bottom w:val="nil"/>
              <w:right w:val="single" w:sz="4" w:space="0" w:color="auto"/>
            </w:tcBorders>
            <w:shd w:val="clear" w:color="auto" w:fill="auto"/>
            <w:noWrap/>
            <w:vAlign w:val="center"/>
            <w:hideMark/>
          </w:tcPr>
          <w:p w14:paraId="7F44F35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.77</w:t>
            </w:r>
          </w:p>
        </w:tc>
        <w:tc>
          <w:tcPr>
            <w:tcW w:w="946" w:type="dxa"/>
            <w:tcBorders>
              <w:top w:val="nil"/>
              <w:left w:val="nil"/>
              <w:bottom w:val="nil"/>
              <w:right w:val="nil"/>
            </w:tcBorders>
            <w:shd w:val="clear" w:color="auto" w:fill="auto"/>
            <w:noWrap/>
            <w:vAlign w:val="center"/>
            <w:hideMark/>
          </w:tcPr>
          <w:p w14:paraId="13396AD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948" w:type="dxa"/>
            <w:tcBorders>
              <w:top w:val="nil"/>
              <w:left w:val="nil"/>
              <w:bottom w:val="nil"/>
              <w:right w:val="nil"/>
            </w:tcBorders>
            <w:shd w:val="clear" w:color="auto" w:fill="auto"/>
            <w:noWrap/>
            <w:vAlign w:val="center"/>
            <w:hideMark/>
          </w:tcPr>
          <w:p w14:paraId="1CC4802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42.00</w:t>
            </w:r>
          </w:p>
        </w:tc>
        <w:tc>
          <w:tcPr>
            <w:tcW w:w="944" w:type="dxa"/>
            <w:tcBorders>
              <w:top w:val="nil"/>
              <w:left w:val="nil"/>
              <w:bottom w:val="nil"/>
              <w:right w:val="nil"/>
            </w:tcBorders>
            <w:shd w:val="clear" w:color="auto" w:fill="auto"/>
            <w:noWrap/>
            <w:vAlign w:val="center"/>
            <w:hideMark/>
          </w:tcPr>
          <w:p w14:paraId="39759EB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.32</w:t>
            </w:r>
          </w:p>
        </w:tc>
        <w:tc>
          <w:tcPr>
            <w:tcW w:w="1251" w:type="dxa"/>
            <w:tcBorders>
              <w:top w:val="nil"/>
              <w:left w:val="nil"/>
              <w:bottom w:val="nil"/>
              <w:right w:val="nil"/>
            </w:tcBorders>
            <w:shd w:val="clear" w:color="auto" w:fill="auto"/>
            <w:noWrap/>
            <w:vAlign w:val="center"/>
            <w:hideMark/>
          </w:tcPr>
          <w:p w14:paraId="70572CB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-3.47</w:t>
            </w:r>
          </w:p>
        </w:tc>
        <w:tc>
          <w:tcPr>
            <w:tcW w:w="944" w:type="dxa"/>
            <w:tcBorders>
              <w:top w:val="nil"/>
              <w:left w:val="nil"/>
              <w:bottom w:val="nil"/>
              <w:right w:val="nil"/>
            </w:tcBorders>
            <w:shd w:val="clear" w:color="auto" w:fill="auto"/>
            <w:noWrap/>
            <w:vAlign w:val="center"/>
            <w:hideMark/>
          </w:tcPr>
          <w:p w14:paraId="5B5C79C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3.48</w:t>
            </w:r>
          </w:p>
        </w:tc>
        <w:tc>
          <w:tcPr>
            <w:tcW w:w="949" w:type="dxa"/>
            <w:tcBorders>
              <w:top w:val="nil"/>
              <w:left w:val="nil"/>
              <w:bottom w:val="nil"/>
              <w:right w:val="nil"/>
            </w:tcBorders>
            <w:shd w:val="clear" w:color="auto" w:fill="auto"/>
            <w:noWrap/>
            <w:vAlign w:val="center"/>
            <w:hideMark/>
          </w:tcPr>
          <w:p w14:paraId="05B95BD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-1.49</w:t>
            </w:r>
          </w:p>
        </w:tc>
        <w:tc>
          <w:tcPr>
            <w:tcW w:w="946" w:type="dxa"/>
            <w:tcBorders>
              <w:top w:val="nil"/>
              <w:left w:val="nil"/>
              <w:bottom w:val="nil"/>
              <w:right w:val="nil"/>
            </w:tcBorders>
            <w:shd w:val="clear" w:color="auto" w:fill="auto"/>
            <w:noWrap/>
            <w:vAlign w:val="center"/>
            <w:hideMark/>
          </w:tcPr>
          <w:p w14:paraId="3305A4B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3.54</w:t>
            </w:r>
          </w:p>
        </w:tc>
      </w:tr>
      <w:tr w:rsidR="00E6060C" w:rsidRPr="00E6060C" w14:paraId="6C29B22A" w14:textId="77777777" w:rsidTr="00FE03C0">
        <w:trPr>
          <w:trHeight w:val="397"/>
        </w:trPr>
        <w:tc>
          <w:tcPr>
            <w:tcW w:w="2268" w:type="dxa"/>
            <w:tcBorders>
              <w:top w:val="nil"/>
              <w:left w:val="nil"/>
              <w:bottom w:val="nil"/>
              <w:right w:val="nil"/>
            </w:tcBorders>
            <w:shd w:val="clear" w:color="auto" w:fill="auto"/>
            <w:vAlign w:val="center"/>
            <w:hideMark/>
          </w:tcPr>
          <w:p w14:paraId="328DAA8F"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Ward tenure (yrs)</w:t>
            </w:r>
          </w:p>
        </w:tc>
        <w:tc>
          <w:tcPr>
            <w:tcW w:w="1240" w:type="dxa"/>
            <w:tcBorders>
              <w:top w:val="nil"/>
              <w:left w:val="nil"/>
              <w:bottom w:val="nil"/>
              <w:right w:val="nil"/>
            </w:tcBorders>
            <w:shd w:val="clear" w:color="auto" w:fill="auto"/>
            <w:vAlign w:val="center"/>
            <w:hideMark/>
          </w:tcPr>
          <w:p w14:paraId="7FD504F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hideMark/>
          </w:tcPr>
          <w:p w14:paraId="2A2D645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1.39</w:t>
            </w:r>
          </w:p>
        </w:tc>
        <w:tc>
          <w:tcPr>
            <w:tcW w:w="944" w:type="dxa"/>
            <w:tcBorders>
              <w:top w:val="nil"/>
              <w:left w:val="nil"/>
              <w:bottom w:val="nil"/>
              <w:right w:val="single" w:sz="4" w:space="0" w:color="auto"/>
            </w:tcBorders>
            <w:shd w:val="clear" w:color="auto" w:fill="auto"/>
            <w:noWrap/>
            <w:vAlign w:val="center"/>
            <w:hideMark/>
          </w:tcPr>
          <w:p w14:paraId="2A6EE5A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&lt;.01*</w:t>
            </w:r>
          </w:p>
        </w:tc>
        <w:tc>
          <w:tcPr>
            <w:tcW w:w="946" w:type="dxa"/>
            <w:tcBorders>
              <w:top w:val="nil"/>
              <w:left w:val="nil"/>
              <w:bottom w:val="nil"/>
              <w:right w:val="nil"/>
            </w:tcBorders>
            <w:shd w:val="clear" w:color="auto" w:fill="auto"/>
            <w:noWrap/>
            <w:vAlign w:val="center"/>
            <w:hideMark/>
          </w:tcPr>
          <w:p w14:paraId="7B6BEF4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-2.31</w:t>
            </w:r>
          </w:p>
        </w:tc>
        <w:tc>
          <w:tcPr>
            <w:tcW w:w="948" w:type="dxa"/>
            <w:tcBorders>
              <w:top w:val="nil"/>
              <w:left w:val="nil"/>
              <w:bottom w:val="nil"/>
              <w:right w:val="nil"/>
            </w:tcBorders>
            <w:shd w:val="clear" w:color="auto" w:fill="auto"/>
            <w:noWrap/>
            <w:vAlign w:val="center"/>
            <w:hideMark/>
          </w:tcPr>
          <w:p w14:paraId="76C88EC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17.13</w:t>
            </w:r>
          </w:p>
        </w:tc>
        <w:tc>
          <w:tcPr>
            <w:tcW w:w="944" w:type="dxa"/>
            <w:tcBorders>
              <w:top w:val="nil"/>
              <w:left w:val="nil"/>
              <w:bottom w:val="nil"/>
              <w:right w:val="nil"/>
            </w:tcBorders>
            <w:shd w:val="clear" w:color="auto" w:fill="auto"/>
            <w:noWrap/>
            <w:vAlign w:val="center"/>
            <w:hideMark/>
          </w:tcPr>
          <w:p w14:paraId="071A437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.03*</w:t>
            </w:r>
          </w:p>
        </w:tc>
        <w:tc>
          <w:tcPr>
            <w:tcW w:w="1251" w:type="dxa"/>
            <w:tcBorders>
              <w:top w:val="nil"/>
              <w:left w:val="nil"/>
              <w:bottom w:val="nil"/>
              <w:right w:val="nil"/>
            </w:tcBorders>
            <w:shd w:val="clear" w:color="auto" w:fill="auto"/>
            <w:noWrap/>
            <w:vAlign w:val="center"/>
            <w:hideMark/>
          </w:tcPr>
          <w:p w14:paraId="159BA1C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-2.72</w:t>
            </w:r>
          </w:p>
        </w:tc>
        <w:tc>
          <w:tcPr>
            <w:tcW w:w="944" w:type="dxa"/>
            <w:tcBorders>
              <w:top w:val="nil"/>
              <w:left w:val="nil"/>
              <w:bottom w:val="nil"/>
              <w:right w:val="nil"/>
            </w:tcBorders>
            <w:shd w:val="clear" w:color="auto" w:fill="auto"/>
            <w:noWrap/>
            <w:vAlign w:val="center"/>
            <w:hideMark/>
          </w:tcPr>
          <w:p w14:paraId="0E99E57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1.18</w:t>
            </w:r>
          </w:p>
        </w:tc>
        <w:tc>
          <w:tcPr>
            <w:tcW w:w="949" w:type="dxa"/>
            <w:tcBorders>
              <w:top w:val="nil"/>
              <w:left w:val="nil"/>
              <w:bottom w:val="nil"/>
              <w:right w:val="nil"/>
            </w:tcBorders>
            <w:shd w:val="clear" w:color="auto" w:fill="auto"/>
            <w:noWrap/>
            <w:vAlign w:val="center"/>
            <w:hideMark/>
          </w:tcPr>
          <w:p w14:paraId="410523C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-5.20</w:t>
            </w:r>
          </w:p>
        </w:tc>
        <w:tc>
          <w:tcPr>
            <w:tcW w:w="946" w:type="dxa"/>
            <w:tcBorders>
              <w:top w:val="nil"/>
              <w:left w:val="nil"/>
              <w:bottom w:val="nil"/>
              <w:right w:val="nil"/>
            </w:tcBorders>
            <w:shd w:val="clear" w:color="auto" w:fill="auto"/>
            <w:noWrap/>
            <w:vAlign w:val="center"/>
            <w:hideMark/>
          </w:tcPr>
          <w:p w14:paraId="7D3B6F4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-.24</w:t>
            </w:r>
          </w:p>
        </w:tc>
      </w:tr>
      <w:tr w:rsidR="00E6060C" w:rsidRPr="00E6060C" w14:paraId="41FEA9A2" w14:textId="77777777" w:rsidTr="00FE03C0">
        <w:trPr>
          <w:trHeight w:val="397"/>
        </w:trPr>
        <w:tc>
          <w:tcPr>
            <w:tcW w:w="2268" w:type="dxa"/>
            <w:tcBorders>
              <w:top w:val="nil"/>
              <w:left w:val="nil"/>
              <w:bottom w:val="nil"/>
              <w:right w:val="nil"/>
            </w:tcBorders>
            <w:shd w:val="clear" w:color="auto" w:fill="auto"/>
            <w:vAlign w:val="center"/>
            <w:hideMark/>
          </w:tcPr>
          <w:p w14:paraId="16A4E355"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Hospital tenure (yrs)</w:t>
            </w:r>
          </w:p>
        </w:tc>
        <w:tc>
          <w:tcPr>
            <w:tcW w:w="1240" w:type="dxa"/>
            <w:tcBorders>
              <w:top w:val="nil"/>
              <w:left w:val="nil"/>
              <w:bottom w:val="nil"/>
              <w:right w:val="nil"/>
            </w:tcBorders>
            <w:shd w:val="clear" w:color="auto" w:fill="auto"/>
            <w:vAlign w:val="center"/>
            <w:hideMark/>
          </w:tcPr>
          <w:p w14:paraId="4EB1E0E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hideMark/>
          </w:tcPr>
          <w:p w14:paraId="190E2AD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6.14</w:t>
            </w:r>
          </w:p>
        </w:tc>
        <w:tc>
          <w:tcPr>
            <w:tcW w:w="944" w:type="dxa"/>
            <w:tcBorders>
              <w:top w:val="nil"/>
              <w:left w:val="nil"/>
              <w:bottom w:val="nil"/>
              <w:right w:val="single" w:sz="4" w:space="0" w:color="auto"/>
            </w:tcBorders>
            <w:shd w:val="clear" w:color="auto" w:fill="auto"/>
            <w:noWrap/>
            <w:vAlign w:val="center"/>
            <w:hideMark/>
          </w:tcPr>
          <w:p w14:paraId="4F8ECFB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.02*</w:t>
            </w:r>
          </w:p>
        </w:tc>
        <w:tc>
          <w:tcPr>
            <w:tcW w:w="946" w:type="dxa"/>
            <w:tcBorders>
              <w:top w:val="nil"/>
              <w:left w:val="nil"/>
              <w:bottom w:val="nil"/>
              <w:right w:val="nil"/>
            </w:tcBorders>
            <w:shd w:val="clear" w:color="auto" w:fill="auto"/>
            <w:noWrap/>
            <w:vAlign w:val="center"/>
            <w:hideMark/>
          </w:tcPr>
          <w:p w14:paraId="34C3E6F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-1.91</w:t>
            </w:r>
          </w:p>
        </w:tc>
        <w:tc>
          <w:tcPr>
            <w:tcW w:w="948" w:type="dxa"/>
            <w:tcBorders>
              <w:top w:val="nil"/>
              <w:left w:val="nil"/>
              <w:bottom w:val="nil"/>
              <w:right w:val="nil"/>
            </w:tcBorders>
            <w:shd w:val="clear" w:color="auto" w:fill="auto"/>
            <w:noWrap/>
            <w:vAlign w:val="center"/>
            <w:hideMark/>
          </w:tcPr>
          <w:p w14:paraId="5A7F734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15.36</w:t>
            </w:r>
          </w:p>
        </w:tc>
        <w:tc>
          <w:tcPr>
            <w:tcW w:w="944" w:type="dxa"/>
            <w:tcBorders>
              <w:top w:val="nil"/>
              <w:left w:val="nil"/>
              <w:bottom w:val="nil"/>
              <w:right w:val="nil"/>
            </w:tcBorders>
            <w:shd w:val="clear" w:color="auto" w:fill="auto"/>
            <w:noWrap/>
            <w:vAlign w:val="center"/>
            <w:hideMark/>
          </w:tcPr>
          <w:p w14:paraId="66757E4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.08</w:t>
            </w:r>
          </w:p>
        </w:tc>
        <w:tc>
          <w:tcPr>
            <w:tcW w:w="1251" w:type="dxa"/>
            <w:tcBorders>
              <w:top w:val="nil"/>
              <w:left w:val="nil"/>
              <w:bottom w:val="nil"/>
              <w:right w:val="nil"/>
            </w:tcBorders>
            <w:shd w:val="clear" w:color="auto" w:fill="auto"/>
            <w:noWrap/>
            <w:vAlign w:val="center"/>
            <w:hideMark/>
          </w:tcPr>
          <w:p w14:paraId="447B02D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-4.31</w:t>
            </w:r>
          </w:p>
        </w:tc>
        <w:tc>
          <w:tcPr>
            <w:tcW w:w="944" w:type="dxa"/>
            <w:tcBorders>
              <w:top w:val="nil"/>
              <w:left w:val="nil"/>
              <w:bottom w:val="nil"/>
              <w:right w:val="nil"/>
            </w:tcBorders>
            <w:shd w:val="clear" w:color="auto" w:fill="auto"/>
            <w:noWrap/>
            <w:vAlign w:val="center"/>
            <w:hideMark/>
          </w:tcPr>
          <w:p w14:paraId="3E29257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2.26</w:t>
            </w:r>
          </w:p>
        </w:tc>
        <w:tc>
          <w:tcPr>
            <w:tcW w:w="949" w:type="dxa"/>
            <w:tcBorders>
              <w:top w:val="nil"/>
              <w:left w:val="nil"/>
              <w:bottom w:val="nil"/>
              <w:right w:val="nil"/>
            </w:tcBorders>
            <w:shd w:val="clear" w:color="auto" w:fill="auto"/>
            <w:noWrap/>
            <w:vAlign w:val="center"/>
            <w:hideMark/>
          </w:tcPr>
          <w:p w14:paraId="4B8FDA0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-9.11</w:t>
            </w:r>
          </w:p>
        </w:tc>
        <w:tc>
          <w:tcPr>
            <w:tcW w:w="946" w:type="dxa"/>
            <w:tcBorders>
              <w:top w:val="nil"/>
              <w:left w:val="nil"/>
              <w:bottom w:val="nil"/>
              <w:right w:val="nil"/>
            </w:tcBorders>
            <w:shd w:val="clear" w:color="auto" w:fill="auto"/>
            <w:noWrap/>
            <w:vAlign w:val="center"/>
            <w:hideMark/>
          </w:tcPr>
          <w:p w14:paraId="68ACA33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w:t>
            </w:r>
          </w:p>
        </w:tc>
      </w:tr>
      <w:tr w:rsidR="00E6060C" w:rsidRPr="00E6060C" w14:paraId="5E1A5D55" w14:textId="77777777" w:rsidTr="00FE03C0">
        <w:trPr>
          <w:trHeight w:val="397"/>
        </w:trPr>
        <w:tc>
          <w:tcPr>
            <w:tcW w:w="2268" w:type="dxa"/>
            <w:tcBorders>
              <w:top w:val="nil"/>
              <w:left w:val="nil"/>
              <w:bottom w:val="nil"/>
              <w:right w:val="nil"/>
            </w:tcBorders>
            <w:shd w:val="clear" w:color="auto" w:fill="auto"/>
            <w:vAlign w:val="center"/>
            <w:hideMark/>
          </w:tcPr>
          <w:p w14:paraId="61BE8337"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Role</w:t>
            </w:r>
          </w:p>
        </w:tc>
        <w:tc>
          <w:tcPr>
            <w:tcW w:w="1240" w:type="dxa"/>
            <w:tcBorders>
              <w:top w:val="nil"/>
              <w:left w:val="nil"/>
              <w:bottom w:val="nil"/>
              <w:right w:val="nil"/>
            </w:tcBorders>
            <w:shd w:val="clear" w:color="auto" w:fill="auto"/>
            <w:vAlign w:val="center"/>
            <w:hideMark/>
          </w:tcPr>
          <w:p w14:paraId="64BCCD3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hideMark/>
          </w:tcPr>
          <w:p w14:paraId="3A1A8B7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.02</w:t>
            </w:r>
          </w:p>
        </w:tc>
        <w:tc>
          <w:tcPr>
            <w:tcW w:w="944" w:type="dxa"/>
            <w:tcBorders>
              <w:top w:val="nil"/>
              <w:left w:val="nil"/>
              <w:bottom w:val="nil"/>
              <w:right w:val="single" w:sz="4" w:space="0" w:color="auto"/>
            </w:tcBorders>
            <w:shd w:val="clear" w:color="auto" w:fill="auto"/>
            <w:noWrap/>
            <w:vAlign w:val="center"/>
            <w:hideMark/>
          </w:tcPr>
          <w:p w14:paraId="2764C95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.89</w:t>
            </w:r>
          </w:p>
        </w:tc>
        <w:tc>
          <w:tcPr>
            <w:tcW w:w="946" w:type="dxa"/>
            <w:tcBorders>
              <w:top w:val="nil"/>
              <w:left w:val="nil"/>
              <w:bottom w:val="nil"/>
              <w:right w:val="nil"/>
            </w:tcBorders>
            <w:shd w:val="clear" w:color="auto" w:fill="auto"/>
            <w:noWrap/>
            <w:vAlign w:val="center"/>
            <w:hideMark/>
          </w:tcPr>
          <w:p w14:paraId="608DE80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-2.07</w:t>
            </w:r>
          </w:p>
        </w:tc>
        <w:tc>
          <w:tcPr>
            <w:tcW w:w="948" w:type="dxa"/>
            <w:tcBorders>
              <w:top w:val="nil"/>
              <w:left w:val="nil"/>
              <w:bottom w:val="nil"/>
              <w:right w:val="nil"/>
            </w:tcBorders>
            <w:shd w:val="clear" w:color="auto" w:fill="auto"/>
            <w:noWrap/>
            <w:vAlign w:val="center"/>
            <w:hideMark/>
          </w:tcPr>
          <w:p w14:paraId="3F0B15F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42.00</w:t>
            </w:r>
          </w:p>
        </w:tc>
        <w:tc>
          <w:tcPr>
            <w:tcW w:w="944" w:type="dxa"/>
            <w:tcBorders>
              <w:top w:val="nil"/>
              <w:left w:val="nil"/>
              <w:bottom w:val="nil"/>
              <w:right w:val="nil"/>
            </w:tcBorders>
            <w:shd w:val="clear" w:color="auto" w:fill="auto"/>
            <w:noWrap/>
            <w:vAlign w:val="center"/>
            <w:hideMark/>
          </w:tcPr>
          <w:p w14:paraId="2756216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.05*</w:t>
            </w:r>
          </w:p>
        </w:tc>
        <w:tc>
          <w:tcPr>
            <w:tcW w:w="1251" w:type="dxa"/>
            <w:tcBorders>
              <w:top w:val="nil"/>
              <w:left w:val="nil"/>
              <w:bottom w:val="nil"/>
              <w:right w:val="nil"/>
            </w:tcBorders>
            <w:shd w:val="clear" w:color="auto" w:fill="auto"/>
            <w:noWrap/>
            <w:vAlign w:val="center"/>
            <w:hideMark/>
          </w:tcPr>
          <w:p w14:paraId="2E4D797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w:t>
            </w:r>
          </w:p>
        </w:tc>
        <w:tc>
          <w:tcPr>
            <w:tcW w:w="944" w:type="dxa"/>
            <w:tcBorders>
              <w:top w:val="nil"/>
              <w:left w:val="nil"/>
              <w:bottom w:val="nil"/>
              <w:right w:val="nil"/>
            </w:tcBorders>
            <w:shd w:val="clear" w:color="auto" w:fill="auto"/>
            <w:noWrap/>
            <w:vAlign w:val="center"/>
            <w:hideMark/>
          </w:tcPr>
          <w:p w14:paraId="6D39916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.26</w:t>
            </w:r>
          </w:p>
        </w:tc>
        <w:tc>
          <w:tcPr>
            <w:tcW w:w="949" w:type="dxa"/>
            <w:tcBorders>
              <w:top w:val="nil"/>
              <w:left w:val="nil"/>
              <w:bottom w:val="nil"/>
              <w:right w:val="nil"/>
            </w:tcBorders>
            <w:shd w:val="clear" w:color="auto" w:fill="auto"/>
            <w:noWrap/>
            <w:vAlign w:val="center"/>
            <w:hideMark/>
          </w:tcPr>
          <w:p w14:paraId="548C586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-1.04</w:t>
            </w:r>
          </w:p>
        </w:tc>
        <w:tc>
          <w:tcPr>
            <w:tcW w:w="946" w:type="dxa"/>
            <w:tcBorders>
              <w:top w:val="nil"/>
              <w:left w:val="nil"/>
              <w:bottom w:val="nil"/>
              <w:right w:val="nil"/>
            </w:tcBorders>
            <w:shd w:val="clear" w:color="auto" w:fill="auto"/>
            <w:noWrap/>
            <w:vAlign w:val="center"/>
            <w:hideMark/>
          </w:tcPr>
          <w:p w14:paraId="2728AA4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-.01</w:t>
            </w:r>
          </w:p>
        </w:tc>
      </w:tr>
      <w:tr w:rsidR="00E6060C" w:rsidRPr="00E6060C" w14:paraId="175EF8EE" w14:textId="77777777" w:rsidTr="00FE03C0">
        <w:trPr>
          <w:trHeight w:val="397"/>
        </w:trPr>
        <w:tc>
          <w:tcPr>
            <w:tcW w:w="2268" w:type="dxa"/>
            <w:tcBorders>
              <w:top w:val="nil"/>
              <w:left w:val="nil"/>
              <w:bottom w:val="nil"/>
              <w:right w:val="nil"/>
            </w:tcBorders>
            <w:shd w:val="clear" w:color="auto" w:fill="auto"/>
            <w:vAlign w:val="center"/>
            <w:hideMark/>
          </w:tcPr>
          <w:p w14:paraId="347B6E68"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Hierarchical level</w:t>
            </w:r>
          </w:p>
        </w:tc>
        <w:tc>
          <w:tcPr>
            <w:tcW w:w="1240" w:type="dxa"/>
            <w:tcBorders>
              <w:top w:val="nil"/>
              <w:left w:val="nil"/>
              <w:bottom w:val="nil"/>
              <w:right w:val="nil"/>
            </w:tcBorders>
            <w:shd w:val="clear" w:color="auto" w:fill="auto"/>
            <w:vAlign w:val="center"/>
            <w:hideMark/>
          </w:tcPr>
          <w:p w14:paraId="7E474E2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hideMark/>
          </w:tcPr>
          <w:p w14:paraId="108E9EE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.71</w:t>
            </w:r>
          </w:p>
        </w:tc>
        <w:tc>
          <w:tcPr>
            <w:tcW w:w="944" w:type="dxa"/>
            <w:tcBorders>
              <w:top w:val="nil"/>
              <w:left w:val="nil"/>
              <w:bottom w:val="nil"/>
              <w:right w:val="single" w:sz="4" w:space="0" w:color="auto"/>
            </w:tcBorders>
            <w:shd w:val="clear" w:color="auto" w:fill="auto"/>
            <w:noWrap/>
            <w:vAlign w:val="center"/>
            <w:hideMark/>
          </w:tcPr>
          <w:p w14:paraId="4A73420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w:t>
            </w:r>
          </w:p>
        </w:tc>
        <w:tc>
          <w:tcPr>
            <w:tcW w:w="946" w:type="dxa"/>
            <w:tcBorders>
              <w:top w:val="nil"/>
              <w:left w:val="nil"/>
              <w:bottom w:val="nil"/>
              <w:right w:val="nil"/>
            </w:tcBorders>
            <w:shd w:val="clear" w:color="auto" w:fill="auto"/>
            <w:noWrap/>
            <w:vAlign w:val="center"/>
            <w:hideMark/>
          </w:tcPr>
          <w:p w14:paraId="42B8401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-.60</w:t>
            </w:r>
          </w:p>
        </w:tc>
        <w:tc>
          <w:tcPr>
            <w:tcW w:w="948" w:type="dxa"/>
            <w:tcBorders>
              <w:top w:val="nil"/>
              <w:left w:val="nil"/>
              <w:bottom w:val="nil"/>
              <w:right w:val="nil"/>
            </w:tcBorders>
            <w:shd w:val="clear" w:color="auto" w:fill="auto"/>
            <w:noWrap/>
            <w:vAlign w:val="center"/>
            <w:hideMark/>
          </w:tcPr>
          <w:p w14:paraId="318055E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42.00</w:t>
            </w:r>
          </w:p>
        </w:tc>
        <w:tc>
          <w:tcPr>
            <w:tcW w:w="944" w:type="dxa"/>
            <w:tcBorders>
              <w:top w:val="nil"/>
              <w:left w:val="nil"/>
              <w:bottom w:val="nil"/>
              <w:right w:val="nil"/>
            </w:tcBorders>
            <w:shd w:val="clear" w:color="auto" w:fill="auto"/>
            <w:noWrap/>
            <w:vAlign w:val="center"/>
            <w:hideMark/>
          </w:tcPr>
          <w:p w14:paraId="236C4FB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.55</w:t>
            </w:r>
          </w:p>
        </w:tc>
        <w:tc>
          <w:tcPr>
            <w:tcW w:w="1251" w:type="dxa"/>
            <w:tcBorders>
              <w:top w:val="nil"/>
              <w:left w:val="nil"/>
              <w:bottom w:val="nil"/>
              <w:right w:val="nil"/>
            </w:tcBorders>
            <w:shd w:val="clear" w:color="auto" w:fill="auto"/>
            <w:noWrap/>
            <w:vAlign w:val="center"/>
            <w:hideMark/>
          </w:tcPr>
          <w:p w14:paraId="0D3A0BC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w:t>
            </w:r>
          </w:p>
        </w:tc>
        <w:tc>
          <w:tcPr>
            <w:tcW w:w="944" w:type="dxa"/>
            <w:tcBorders>
              <w:top w:val="nil"/>
              <w:left w:val="nil"/>
              <w:bottom w:val="nil"/>
              <w:right w:val="nil"/>
            </w:tcBorders>
            <w:shd w:val="clear" w:color="auto" w:fill="auto"/>
            <w:noWrap/>
            <w:vAlign w:val="center"/>
            <w:hideMark/>
          </w:tcPr>
          <w:p w14:paraId="06E36A6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.60</w:t>
            </w:r>
          </w:p>
        </w:tc>
        <w:tc>
          <w:tcPr>
            <w:tcW w:w="949" w:type="dxa"/>
            <w:tcBorders>
              <w:top w:val="nil"/>
              <w:left w:val="nil"/>
              <w:bottom w:val="nil"/>
              <w:right w:val="nil"/>
            </w:tcBorders>
            <w:shd w:val="clear" w:color="auto" w:fill="auto"/>
            <w:noWrap/>
            <w:vAlign w:val="center"/>
            <w:hideMark/>
          </w:tcPr>
          <w:p w14:paraId="5D769ED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-1.58</w:t>
            </w:r>
          </w:p>
        </w:tc>
        <w:tc>
          <w:tcPr>
            <w:tcW w:w="946" w:type="dxa"/>
            <w:tcBorders>
              <w:top w:val="nil"/>
              <w:left w:val="nil"/>
              <w:bottom w:val="nil"/>
              <w:right w:val="nil"/>
            </w:tcBorders>
            <w:shd w:val="clear" w:color="auto" w:fill="auto"/>
            <w:noWrap/>
            <w:vAlign w:val="center"/>
            <w:hideMark/>
          </w:tcPr>
          <w:p w14:paraId="2AB9076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.85</w:t>
            </w:r>
          </w:p>
        </w:tc>
      </w:tr>
      <w:tr w:rsidR="00E6060C" w:rsidRPr="00E6060C" w14:paraId="389A0808" w14:textId="77777777" w:rsidTr="00FE03C0">
        <w:trPr>
          <w:trHeight w:val="397"/>
        </w:trPr>
        <w:tc>
          <w:tcPr>
            <w:tcW w:w="2268" w:type="dxa"/>
            <w:tcBorders>
              <w:top w:val="nil"/>
              <w:left w:val="nil"/>
              <w:bottom w:val="nil"/>
              <w:right w:val="nil"/>
            </w:tcBorders>
            <w:shd w:val="clear" w:color="auto" w:fill="auto"/>
            <w:vAlign w:val="center"/>
            <w:hideMark/>
          </w:tcPr>
          <w:p w14:paraId="31808081"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Time qualified (yrs)</w:t>
            </w:r>
          </w:p>
        </w:tc>
        <w:tc>
          <w:tcPr>
            <w:tcW w:w="1240" w:type="dxa"/>
            <w:tcBorders>
              <w:top w:val="nil"/>
              <w:left w:val="nil"/>
              <w:bottom w:val="nil"/>
              <w:right w:val="nil"/>
            </w:tcBorders>
            <w:shd w:val="clear" w:color="auto" w:fill="auto"/>
            <w:vAlign w:val="center"/>
            <w:hideMark/>
          </w:tcPr>
          <w:p w14:paraId="29CE97A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hideMark/>
          </w:tcPr>
          <w:p w14:paraId="759BA8E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1.60</w:t>
            </w:r>
          </w:p>
        </w:tc>
        <w:tc>
          <w:tcPr>
            <w:tcW w:w="944" w:type="dxa"/>
            <w:tcBorders>
              <w:top w:val="nil"/>
              <w:left w:val="nil"/>
              <w:bottom w:val="nil"/>
              <w:right w:val="single" w:sz="4" w:space="0" w:color="auto"/>
            </w:tcBorders>
            <w:shd w:val="clear" w:color="auto" w:fill="auto"/>
            <w:noWrap/>
            <w:vAlign w:val="center"/>
            <w:hideMark/>
          </w:tcPr>
          <w:p w14:paraId="6FAB35E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w:t>
            </w:r>
          </w:p>
        </w:tc>
        <w:tc>
          <w:tcPr>
            <w:tcW w:w="946" w:type="dxa"/>
            <w:tcBorders>
              <w:top w:val="nil"/>
              <w:left w:val="nil"/>
              <w:bottom w:val="nil"/>
              <w:right w:val="nil"/>
            </w:tcBorders>
            <w:shd w:val="clear" w:color="auto" w:fill="auto"/>
            <w:noWrap/>
            <w:vAlign w:val="center"/>
            <w:hideMark/>
          </w:tcPr>
          <w:p w14:paraId="163EC6B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948" w:type="dxa"/>
            <w:tcBorders>
              <w:top w:val="nil"/>
              <w:left w:val="nil"/>
              <w:bottom w:val="nil"/>
              <w:right w:val="nil"/>
            </w:tcBorders>
            <w:shd w:val="clear" w:color="auto" w:fill="auto"/>
            <w:noWrap/>
            <w:vAlign w:val="center"/>
            <w:hideMark/>
          </w:tcPr>
          <w:p w14:paraId="015B1DF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16.00</w:t>
            </w:r>
          </w:p>
        </w:tc>
        <w:tc>
          <w:tcPr>
            <w:tcW w:w="944" w:type="dxa"/>
            <w:tcBorders>
              <w:top w:val="nil"/>
              <w:left w:val="nil"/>
              <w:bottom w:val="nil"/>
              <w:right w:val="nil"/>
            </w:tcBorders>
            <w:shd w:val="clear" w:color="auto" w:fill="auto"/>
            <w:noWrap/>
            <w:vAlign w:val="center"/>
            <w:hideMark/>
          </w:tcPr>
          <w:p w14:paraId="1F98AC3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.95</w:t>
            </w:r>
          </w:p>
        </w:tc>
        <w:tc>
          <w:tcPr>
            <w:tcW w:w="1251" w:type="dxa"/>
            <w:tcBorders>
              <w:top w:val="nil"/>
              <w:left w:val="nil"/>
              <w:bottom w:val="nil"/>
              <w:right w:val="nil"/>
            </w:tcBorders>
            <w:shd w:val="clear" w:color="auto" w:fill="auto"/>
            <w:noWrap/>
            <w:vAlign w:val="center"/>
            <w:hideMark/>
          </w:tcPr>
          <w:p w14:paraId="3F13E25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-.05</w:t>
            </w:r>
          </w:p>
        </w:tc>
        <w:tc>
          <w:tcPr>
            <w:tcW w:w="944" w:type="dxa"/>
            <w:tcBorders>
              <w:top w:val="nil"/>
              <w:left w:val="nil"/>
              <w:bottom w:val="nil"/>
              <w:right w:val="nil"/>
            </w:tcBorders>
            <w:shd w:val="clear" w:color="auto" w:fill="auto"/>
            <w:noWrap/>
            <w:vAlign w:val="center"/>
            <w:hideMark/>
          </w:tcPr>
          <w:p w14:paraId="78DF34E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.73</w:t>
            </w:r>
          </w:p>
        </w:tc>
        <w:tc>
          <w:tcPr>
            <w:tcW w:w="949" w:type="dxa"/>
            <w:tcBorders>
              <w:top w:val="nil"/>
              <w:left w:val="nil"/>
              <w:bottom w:val="nil"/>
              <w:right w:val="nil"/>
            </w:tcBorders>
            <w:shd w:val="clear" w:color="auto" w:fill="auto"/>
            <w:noWrap/>
            <w:vAlign w:val="center"/>
            <w:hideMark/>
          </w:tcPr>
          <w:p w14:paraId="25FE604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-1.59</w:t>
            </w:r>
          </w:p>
        </w:tc>
        <w:tc>
          <w:tcPr>
            <w:tcW w:w="946" w:type="dxa"/>
            <w:tcBorders>
              <w:top w:val="nil"/>
              <w:left w:val="nil"/>
              <w:bottom w:val="nil"/>
              <w:right w:val="nil"/>
            </w:tcBorders>
            <w:shd w:val="clear" w:color="auto" w:fill="auto"/>
            <w:noWrap/>
            <w:vAlign w:val="center"/>
            <w:hideMark/>
          </w:tcPr>
          <w:p w14:paraId="2AC0917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1.49</w:t>
            </w:r>
          </w:p>
        </w:tc>
      </w:tr>
      <w:tr w:rsidR="00E6060C" w:rsidRPr="00E6060C" w14:paraId="7C75657B" w14:textId="77777777" w:rsidTr="00FE03C0">
        <w:trPr>
          <w:trHeight w:val="397"/>
        </w:trPr>
        <w:tc>
          <w:tcPr>
            <w:tcW w:w="2268" w:type="dxa"/>
            <w:tcBorders>
              <w:top w:val="nil"/>
              <w:left w:val="nil"/>
              <w:bottom w:val="nil"/>
              <w:right w:val="nil"/>
            </w:tcBorders>
            <w:shd w:val="clear" w:color="auto" w:fill="auto"/>
            <w:vAlign w:val="center"/>
            <w:hideMark/>
          </w:tcPr>
          <w:p w14:paraId="0832E769"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Education level</w:t>
            </w:r>
          </w:p>
        </w:tc>
        <w:tc>
          <w:tcPr>
            <w:tcW w:w="1240" w:type="dxa"/>
            <w:tcBorders>
              <w:top w:val="nil"/>
              <w:left w:val="nil"/>
              <w:bottom w:val="nil"/>
              <w:right w:val="nil"/>
            </w:tcBorders>
            <w:shd w:val="clear" w:color="auto" w:fill="auto"/>
            <w:vAlign w:val="center"/>
            <w:hideMark/>
          </w:tcPr>
          <w:p w14:paraId="23E46C1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hideMark/>
          </w:tcPr>
          <w:p w14:paraId="0D13194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.51</w:t>
            </w:r>
          </w:p>
        </w:tc>
        <w:tc>
          <w:tcPr>
            <w:tcW w:w="944" w:type="dxa"/>
            <w:tcBorders>
              <w:top w:val="nil"/>
              <w:left w:val="nil"/>
              <w:bottom w:val="nil"/>
              <w:right w:val="single" w:sz="4" w:space="0" w:color="auto"/>
            </w:tcBorders>
            <w:shd w:val="clear" w:color="auto" w:fill="auto"/>
            <w:noWrap/>
            <w:vAlign w:val="center"/>
            <w:hideMark/>
          </w:tcPr>
          <w:p w14:paraId="30BE773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.48</w:t>
            </w:r>
          </w:p>
        </w:tc>
        <w:tc>
          <w:tcPr>
            <w:tcW w:w="946" w:type="dxa"/>
            <w:tcBorders>
              <w:top w:val="nil"/>
              <w:left w:val="nil"/>
              <w:bottom w:val="nil"/>
              <w:right w:val="nil"/>
            </w:tcBorders>
            <w:shd w:val="clear" w:color="auto" w:fill="auto"/>
            <w:noWrap/>
            <w:vAlign w:val="center"/>
            <w:hideMark/>
          </w:tcPr>
          <w:p w14:paraId="15F137F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1.92</w:t>
            </w:r>
          </w:p>
        </w:tc>
        <w:tc>
          <w:tcPr>
            <w:tcW w:w="948" w:type="dxa"/>
            <w:tcBorders>
              <w:top w:val="nil"/>
              <w:left w:val="nil"/>
              <w:bottom w:val="nil"/>
              <w:right w:val="nil"/>
            </w:tcBorders>
            <w:shd w:val="clear" w:color="auto" w:fill="auto"/>
            <w:noWrap/>
            <w:vAlign w:val="center"/>
            <w:hideMark/>
          </w:tcPr>
          <w:p w14:paraId="61FC487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34.00</w:t>
            </w:r>
          </w:p>
        </w:tc>
        <w:tc>
          <w:tcPr>
            <w:tcW w:w="944" w:type="dxa"/>
            <w:tcBorders>
              <w:top w:val="nil"/>
              <w:left w:val="nil"/>
              <w:bottom w:val="nil"/>
              <w:right w:val="nil"/>
            </w:tcBorders>
            <w:shd w:val="clear" w:color="auto" w:fill="auto"/>
            <w:noWrap/>
            <w:vAlign w:val="center"/>
            <w:hideMark/>
          </w:tcPr>
          <w:p w14:paraId="2675836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1251" w:type="dxa"/>
            <w:tcBorders>
              <w:top w:val="nil"/>
              <w:left w:val="nil"/>
              <w:bottom w:val="nil"/>
              <w:right w:val="nil"/>
            </w:tcBorders>
            <w:shd w:val="clear" w:color="auto" w:fill="auto"/>
            <w:noWrap/>
            <w:vAlign w:val="center"/>
            <w:hideMark/>
          </w:tcPr>
          <w:p w14:paraId="053EF5C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.88</w:t>
            </w:r>
          </w:p>
        </w:tc>
        <w:tc>
          <w:tcPr>
            <w:tcW w:w="944" w:type="dxa"/>
            <w:tcBorders>
              <w:top w:val="nil"/>
              <w:left w:val="nil"/>
              <w:bottom w:val="nil"/>
              <w:right w:val="nil"/>
            </w:tcBorders>
            <w:shd w:val="clear" w:color="auto" w:fill="auto"/>
            <w:noWrap/>
            <w:vAlign w:val="center"/>
            <w:hideMark/>
          </w:tcPr>
          <w:p w14:paraId="5B67108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.46</w:t>
            </w:r>
          </w:p>
        </w:tc>
        <w:tc>
          <w:tcPr>
            <w:tcW w:w="949" w:type="dxa"/>
            <w:tcBorders>
              <w:top w:val="nil"/>
              <w:left w:val="nil"/>
              <w:bottom w:val="nil"/>
              <w:right w:val="nil"/>
            </w:tcBorders>
            <w:shd w:val="clear" w:color="auto" w:fill="auto"/>
            <w:noWrap/>
            <w:vAlign w:val="center"/>
            <w:hideMark/>
          </w:tcPr>
          <w:p w14:paraId="1BF2115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-.05</w:t>
            </w:r>
          </w:p>
        </w:tc>
        <w:tc>
          <w:tcPr>
            <w:tcW w:w="946" w:type="dxa"/>
            <w:tcBorders>
              <w:top w:val="nil"/>
              <w:left w:val="nil"/>
              <w:bottom w:val="nil"/>
              <w:right w:val="nil"/>
            </w:tcBorders>
            <w:shd w:val="clear" w:color="auto" w:fill="auto"/>
            <w:noWrap/>
            <w:vAlign w:val="center"/>
            <w:hideMark/>
          </w:tcPr>
          <w:p w14:paraId="308F171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1.80</w:t>
            </w:r>
          </w:p>
        </w:tc>
      </w:tr>
      <w:tr w:rsidR="00E6060C" w:rsidRPr="00E6060C" w14:paraId="45C49F5B" w14:textId="77777777" w:rsidTr="00FE03C0">
        <w:trPr>
          <w:trHeight w:val="397"/>
        </w:trPr>
        <w:tc>
          <w:tcPr>
            <w:tcW w:w="2268" w:type="dxa"/>
            <w:tcBorders>
              <w:top w:val="nil"/>
              <w:left w:val="nil"/>
              <w:bottom w:val="nil"/>
              <w:right w:val="nil"/>
            </w:tcBorders>
            <w:shd w:val="clear" w:color="auto" w:fill="auto"/>
            <w:vAlign w:val="center"/>
            <w:hideMark/>
          </w:tcPr>
          <w:p w14:paraId="3EC30C41"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Manager</w:t>
            </w:r>
          </w:p>
        </w:tc>
        <w:tc>
          <w:tcPr>
            <w:tcW w:w="1240" w:type="dxa"/>
            <w:tcBorders>
              <w:top w:val="nil"/>
              <w:left w:val="nil"/>
              <w:bottom w:val="nil"/>
              <w:right w:val="nil"/>
            </w:tcBorders>
            <w:shd w:val="clear" w:color="auto" w:fill="auto"/>
            <w:vAlign w:val="center"/>
            <w:hideMark/>
          </w:tcPr>
          <w:p w14:paraId="5BB9FB1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hideMark/>
          </w:tcPr>
          <w:p w14:paraId="08E2ADA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3.17</w:t>
            </w:r>
          </w:p>
        </w:tc>
        <w:tc>
          <w:tcPr>
            <w:tcW w:w="944" w:type="dxa"/>
            <w:tcBorders>
              <w:top w:val="nil"/>
              <w:left w:val="nil"/>
              <w:bottom w:val="nil"/>
              <w:right w:val="single" w:sz="4" w:space="0" w:color="auto"/>
            </w:tcBorders>
            <w:shd w:val="clear" w:color="auto" w:fill="auto"/>
            <w:noWrap/>
            <w:vAlign w:val="center"/>
            <w:hideMark/>
          </w:tcPr>
          <w:p w14:paraId="7B2B87C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.08*</w:t>
            </w:r>
          </w:p>
        </w:tc>
        <w:tc>
          <w:tcPr>
            <w:tcW w:w="946" w:type="dxa"/>
            <w:tcBorders>
              <w:top w:val="nil"/>
              <w:left w:val="nil"/>
              <w:bottom w:val="nil"/>
              <w:right w:val="nil"/>
            </w:tcBorders>
            <w:shd w:val="clear" w:color="auto" w:fill="auto"/>
            <w:noWrap/>
            <w:vAlign w:val="center"/>
            <w:hideMark/>
          </w:tcPr>
          <w:p w14:paraId="5005918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-2.17</w:t>
            </w:r>
          </w:p>
        </w:tc>
        <w:tc>
          <w:tcPr>
            <w:tcW w:w="948" w:type="dxa"/>
            <w:tcBorders>
              <w:top w:val="nil"/>
              <w:left w:val="nil"/>
              <w:bottom w:val="nil"/>
              <w:right w:val="nil"/>
            </w:tcBorders>
            <w:shd w:val="clear" w:color="auto" w:fill="auto"/>
            <w:noWrap/>
            <w:vAlign w:val="center"/>
            <w:hideMark/>
          </w:tcPr>
          <w:p w14:paraId="00AD8C3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39.00</w:t>
            </w:r>
          </w:p>
        </w:tc>
        <w:tc>
          <w:tcPr>
            <w:tcW w:w="944" w:type="dxa"/>
            <w:tcBorders>
              <w:top w:val="nil"/>
              <w:left w:val="nil"/>
              <w:bottom w:val="nil"/>
              <w:right w:val="nil"/>
            </w:tcBorders>
            <w:shd w:val="clear" w:color="auto" w:fill="auto"/>
            <w:noWrap/>
            <w:vAlign w:val="center"/>
            <w:hideMark/>
          </w:tcPr>
          <w:p w14:paraId="1CE7EF9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.04*</w:t>
            </w:r>
          </w:p>
        </w:tc>
        <w:tc>
          <w:tcPr>
            <w:tcW w:w="1251" w:type="dxa"/>
            <w:tcBorders>
              <w:top w:val="nil"/>
              <w:left w:val="nil"/>
              <w:bottom w:val="nil"/>
              <w:right w:val="nil"/>
            </w:tcBorders>
            <w:shd w:val="clear" w:color="auto" w:fill="auto"/>
            <w:noWrap/>
            <w:vAlign w:val="center"/>
            <w:hideMark/>
          </w:tcPr>
          <w:p w14:paraId="08DF721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-.34</w:t>
            </w:r>
          </w:p>
        </w:tc>
        <w:tc>
          <w:tcPr>
            <w:tcW w:w="944" w:type="dxa"/>
            <w:tcBorders>
              <w:top w:val="nil"/>
              <w:left w:val="nil"/>
              <w:bottom w:val="nil"/>
              <w:right w:val="nil"/>
            </w:tcBorders>
            <w:shd w:val="clear" w:color="auto" w:fill="auto"/>
            <w:noWrap/>
            <w:vAlign w:val="center"/>
            <w:hideMark/>
          </w:tcPr>
          <w:p w14:paraId="7F2983F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w:t>
            </w:r>
          </w:p>
        </w:tc>
        <w:tc>
          <w:tcPr>
            <w:tcW w:w="949" w:type="dxa"/>
            <w:tcBorders>
              <w:top w:val="nil"/>
              <w:left w:val="nil"/>
              <w:bottom w:val="nil"/>
              <w:right w:val="nil"/>
            </w:tcBorders>
            <w:shd w:val="clear" w:color="auto" w:fill="auto"/>
            <w:noWrap/>
            <w:vAlign w:val="center"/>
            <w:hideMark/>
          </w:tcPr>
          <w:p w14:paraId="76B93AA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-.66</w:t>
            </w:r>
          </w:p>
        </w:tc>
        <w:tc>
          <w:tcPr>
            <w:tcW w:w="946" w:type="dxa"/>
            <w:tcBorders>
              <w:top w:val="nil"/>
              <w:left w:val="nil"/>
              <w:bottom w:val="nil"/>
              <w:right w:val="nil"/>
            </w:tcBorders>
            <w:shd w:val="clear" w:color="auto" w:fill="auto"/>
            <w:noWrap/>
            <w:vAlign w:val="center"/>
            <w:hideMark/>
          </w:tcPr>
          <w:p w14:paraId="3B0B90F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-.02</w:t>
            </w:r>
          </w:p>
        </w:tc>
      </w:tr>
      <w:tr w:rsidR="00E6060C" w:rsidRPr="00E6060C" w14:paraId="5DB3B40A" w14:textId="77777777" w:rsidTr="00FE03C0">
        <w:trPr>
          <w:trHeight w:val="397"/>
        </w:trPr>
        <w:tc>
          <w:tcPr>
            <w:tcW w:w="2268" w:type="dxa"/>
            <w:tcBorders>
              <w:top w:val="nil"/>
              <w:left w:val="nil"/>
              <w:bottom w:val="single" w:sz="4" w:space="0" w:color="auto"/>
              <w:right w:val="nil"/>
            </w:tcBorders>
            <w:shd w:val="clear" w:color="auto" w:fill="auto"/>
            <w:vAlign w:val="center"/>
            <w:hideMark/>
          </w:tcPr>
          <w:p w14:paraId="2322412C"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FT/PT</w:t>
            </w:r>
          </w:p>
        </w:tc>
        <w:tc>
          <w:tcPr>
            <w:tcW w:w="1240" w:type="dxa"/>
            <w:tcBorders>
              <w:top w:val="nil"/>
              <w:left w:val="nil"/>
              <w:bottom w:val="single" w:sz="4" w:space="0" w:color="auto"/>
              <w:right w:val="nil"/>
            </w:tcBorders>
            <w:shd w:val="clear" w:color="auto" w:fill="auto"/>
            <w:vAlign w:val="center"/>
            <w:hideMark/>
          </w:tcPr>
          <w:p w14:paraId="742B0A0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single" w:sz="4" w:space="0" w:color="auto"/>
              <w:right w:val="nil"/>
            </w:tcBorders>
            <w:shd w:val="clear" w:color="auto" w:fill="auto"/>
            <w:noWrap/>
            <w:vAlign w:val="center"/>
            <w:hideMark/>
          </w:tcPr>
          <w:p w14:paraId="322C8E9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.22</w:t>
            </w:r>
          </w:p>
        </w:tc>
        <w:tc>
          <w:tcPr>
            <w:tcW w:w="944" w:type="dxa"/>
            <w:tcBorders>
              <w:top w:val="nil"/>
              <w:left w:val="nil"/>
              <w:bottom w:val="single" w:sz="4" w:space="0" w:color="auto"/>
              <w:right w:val="single" w:sz="4" w:space="0" w:color="auto"/>
            </w:tcBorders>
            <w:shd w:val="clear" w:color="auto" w:fill="auto"/>
            <w:noWrap/>
            <w:vAlign w:val="center"/>
            <w:hideMark/>
          </w:tcPr>
          <w:p w14:paraId="72677EB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.64</w:t>
            </w:r>
          </w:p>
        </w:tc>
        <w:tc>
          <w:tcPr>
            <w:tcW w:w="946" w:type="dxa"/>
            <w:tcBorders>
              <w:top w:val="nil"/>
              <w:left w:val="nil"/>
              <w:bottom w:val="single" w:sz="4" w:space="0" w:color="auto"/>
              <w:right w:val="nil"/>
            </w:tcBorders>
            <w:shd w:val="clear" w:color="auto" w:fill="auto"/>
            <w:noWrap/>
            <w:vAlign w:val="center"/>
            <w:hideMark/>
          </w:tcPr>
          <w:p w14:paraId="0774107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.26</w:t>
            </w:r>
          </w:p>
        </w:tc>
        <w:tc>
          <w:tcPr>
            <w:tcW w:w="948" w:type="dxa"/>
            <w:tcBorders>
              <w:top w:val="nil"/>
              <w:left w:val="nil"/>
              <w:bottom w:val="single" w:sz="4" w:space="0" w:color="auto"/>
              <w:right w:val="nil"/>
            </w:tcBorders>
            <w:shd w:val="clear" w:color="auto" w:fill="auto"/>
            <w:noWrap/>
            <w:vAlign w:val="center"/>
            <w:hideMark/>
          </w:tcPr>
          <w:p w14:paraId="0AA94A4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43.00</w:t>
            </w:r>
          </w:p>
        </w:tc>
        <w:tc>
          <w:tcPr>
            <w:tcW w:w="944" w:type="dxa"/>
            <w:tcBorders>
              <w:top w:val="nil"/>
              <w:left w:val="nil"/>
              <w:bottom w:val="single" w:sz="4" w:space="0" w:color="auto"/>
              <w:right w:val="nil"/>
            </w:tcBorders>
            <w:shd w:val="clear" w:color="auto" w:fill="auto"/>
            <w:noWrap/>
            <w:vAlign w:val="center"/>
            <w:hideMark/>
          </w:tcPr>
          <w:p w14:paraId="1B93487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.80</w:t>
            </w:r>
          </w:p>
        </w:tc>
        <w:tc>
          <w:tcPr>
            <w:tcW w:w="1251" w:type="dxa"/>
            <w:tcBorders>
              <w:top w:val="nil"/>
              <w:left w:val="nil"/>
              <w:bottom w:val="single" w:sz="4" w:space="0" w:color="auto"/>
              <w:right w:val="nil"/>
            </w:tcBorders>
            <w:shd w:val="clear" w:color="auto" w:fill="auto"/>
            <w:noWrap/>
            <w:vAlign w:val="center"/>
            <w:hideMark/>
          </w:tcPr>
          <w:p w14:paraId="7C50637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.04</w:t>
            </w:r>
          </w:p>
        </w:tc>
        <w:tc>
          <w:tcPr>
            <w:tcW w:w="944" w:type="dxa"/>
            <w:tcBorders>
              <w:top w:val="nil"/>
              <w:left w:val="nil"/>
              <w:bottom w:val="single" w:sz="4" w:space="0" w:color="auto"/>
              <w:right w:val="nil"/>
            </w:tcBorders>
            <w:shd w:val="clear" w:color="auto" w:fill="auto"/>
            <w:noWrap/>
            <w:vAlign w:val="center"/>
            <w:hideMark/>
          </w:tcPr>
          <w:p w14:paraId="33056CD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w:t>
            </w:r>
          </w:p>
        </w:tc>
        <w:tc>
          <w:tcPr>
            <w:tcW w:w="949" w:type="dxa"/>
            <w:tcBorders>
              <w:top w:val="nil"/>
              <w:left w:val="nil"/>
              <w:bottom w:val="single" w:sz="4" w:space="0" w:color="auto"/>
              <w:right w:val="nil"/>
            </w:tcBorders>
            <w:shd w:val="clear" w:color="auto" w:fill="auto"/>
            <w:noWrap/>
            <w:vAlign w:val="center"/>
            <w:hideMark/>
          </w:tcPr>
          <w:p w14:paraId="722DDB1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-.28</w:t>
            </w:r>
          </w:p>
        </w:tc>
        <w:tc>
          <w:tcPr>
            <w:tcW w:w="946" w:type="dxa"/>
            <w:tcBorders>
              <w:top w:val="nil"/>
              <w:left w:val="nil"/>
              <w:bottom w:val="single" w:sz="4" w:space="0" w:color="auto"/>
              <w:right w:val="nil"/>
            </w:tcBorders>
            <w:shd w:val="clear" w:color="auto" w:fill="auto"/>
            <w:noWrap/>
            <w:vAlign w:val="center"/>
            <w:hideMark/>
          </w:tcPr>
          <w:p w14:paraId="643B9AE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.37</w:t>
            </w:r>
          </w:p>
        </w:tc>
      </w:tr>
    </w:tbl>
    <w:p w14:paraId="520ECF14" w14:textId="77777777" w:rsidR="00E6060C" w:rsidRPr="00E6060C" w:rsidRDefault="00E6060C" w:rsidP="00356DC7">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1D2B1E3D" w14:textId="77777777" w:rsidR="00E6060C" w:rsidRPr="00E6060C" w:rsidRDefault="00E6060C" w:rsidP="00356DC7">
      <w:pPr>
        <w:tabs>
          <w:tab w:val="left" w:pos="284"/>
        </w:tabs>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Where Levene’s test for equality of variances indicates that equal variances between groups cannot be assumed (</w:t>
      </w:r>
      <w:r w:rsidRPr="00E6060C">
        <w:rPr>
          <w:rFonts w:ascii="Calibri" w:eastAsia="Calibri" w:hAnsi="Calibri" w:cs="Times New Roman"/>
          <w:i/>
        </w:rPr>
        <w:t>p</w:t>
      </w:r>
      <w:r w:rsidRPr="00E6060C">
        <w:rPr>
          <w:rFonts w:ascii="Calibri" w:eastAsia="Calibri" w:hAnsi="Calibri" w:cs="Times New Roman"/>
        </w:rPr>
        <w:t xml:space="preserve">&lt;.05),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are </w:t>
      </w:r>
      <w:r w:rsidRPr="00E6060C">
        <w:rPr>
          <w:rFonts w:ascii="Calibri" w:eastAsia="Calibri" w:hAnsi="Calibri" w:cs="Times New Roman"/>
          <w:i/>
        </w:rPr>
        <w:t>not</w:t>
      </w:r>
      <w:r w:rsidRPr="00E6060C">
        <w:rPr>
          <w:rFonts w:ascii="Calibri" w:eastAsia="Calibri" w:hAnsi="Calibri" w:cs="Times New Roman"/>
        </w:rPr>
        <w:t xml:space="preserve"> equal. Conversely, where equal variances </w:t>
      </w:r>
      <w:r w:rsidRPr="00E6060C">
        <w:rPr>
          <w:rFonts w:ascii="Calibri" w:eastAsia="Calibri" w:hAnsi="Calibri" w:cs="Times New Roman"/>
          <w:i/>
        </w:rPr>
        <w:t xml:space="preserve">can </w:t>
      </w:r>
      <w:r w:rsidRPr="00E6060C">
        <w:rPr>
          <w:rFonts w:ascii="Calibri" w:eastAsia="Calibri" w:hAnsi="Calibri" w:cs="Times New Roman"/>
        </w:rPr>
        <w:t>be assumed (</w:t>
      </w:r>
      <w:r w:rsidRPr="00E6060C">
        <w:rPr>
          <w:rFonts w:ascii="Calibri" w:eastAsia="Calibri" w:hAnsi="Calibri" w:cs="Times New Roman"/>
          <w:i/>
        </w:rPr>
        <w:t>p</w:t>
      </w:r>
      <w:r w:rsidRPr="00E6060C">
        <w:rPr>
          <w:rFonts w:ascii="Calibri" w:eastAsia="Calibri" w:hAnsi="Calibri" w:cs="Times New Roman"/>
        </w:rPr>
        <w:t xml:space="preserve">&gt;.05),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w:t>
      </w:r>
      <w:r w:rsidRPr="00E6060C">
        <w:rPr>
          <w:rFonts w:ascii="Calibri" w:eastAsia="Calibri" w:hAnsi="Calibri" w:cs="Times New Roman"/>
          <w:i/>
        </w:rPr>
        <w:t>are</w:t>
      </w:r>
      <w:r w:rsidRPr="00E6060C">
        <w:rPr>
          <w:rFonts w:ascii="Calibri" w:eastAsia="Calibri" w:hAnsi="Calibri" w:cs="Times New Roman"/>
        </w:rPr>
        <w:t xml:space="preserve"> equal.    </w:t>
      </w:r>
    </w:p>
    <w:p w14:paraId="1A33DA30" w14:textId="6B7D65B4" w:rsidR="00E6060C" w:rsidRPr="00E6060C" w:rsidRDefault="00E6060C" w:rsidP="00356DC7">
      <w:pPr>
        <w:tabs>
          <w:tab w:val="left" w:pos="284"/>
        </w:tabs>
        <w:spacing w:after="200" w:line="240" w:lineRule="auto"/>
        <w:contextualSpacing/>
        <w:rPr>
          <w:rFonts w:ascii="Calibri" w:eastAsia="Calibri" w:hAnsi="Calibri" w:cs="Times New Roman"/>
        </w:rPr>
        <w:sectPr w:rsidR="00E6060C" w:rsidRPr="00E6060C"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i/>
        </w:rPr>
        <w:t>Notes: N</w:t>
      </w:r>
      <w:r w:rsidRPr="00E6060C">
        <w:rPr>
          <w:rFonts w:ascii="Calibri" w:eastAsia="Calibri" w:hAnsi="Calibri" w:cs="Times New Roman"/>
        </w:rPr>
        <w:t>=number of respondents;</w:t>
      </w:r>
      <w:r w:rsidRPr="00E6060C">
        <w:rPr>
          <w:rFonts w:ascii="Calibri" w:eastAsia="Calibri" w:hAnsi="Calibri" w:cs="Times New Roman"/>
          <w:i/>
        </w:rPr>
        <w:t xml:space="preserve"> 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 xml:space="preserve">-value; </w:t>
      </w:r>
      <w:r w:rsidRPr="00E6060C">
        <w:rPr>
          <w:rFonts w:ascii="Calibri" w:eastAsia="Calibri" w:hAnsi="Calibri" w:cs="Times New Roman"/>
          <w:i/>
        </w:rPr>
        <w:t>t</w:t>
      </w:r>
      <w:r w:rsidRPr="00E6060C">
        <w:rPr>
          <w:rFonts w:ascii="Calibri" w:eastAsia="Calibri" w:hAnsi="Calibri" w:cs="Times New Roman"/>
        </w:rPr>
        <w:t>=</w:t>
      </w:r>
      <w:r w:rsidRPr="00E6060C">
        <w:rPr>
          <w:rFonts w:ascii="Calibri" w:eastAsia="Calibri" w:hAnsi="Calibri" w:cs="Times New Roman"/>
          <w:i/>
        </w:rPr>
        <w:t>t</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SE</w:t>
      </w:r>
      <w:r w:rsidRPr="00E6060C">
        <w:rPr>
          <w:rFonts w:ascii="Calibri" w:eastAsia="Calibri" w:hAnsi="Calibri" w:cs="Times New Roman"/>
        </w:rPr>
        <w:t xml:space="preserve">=standard error; 95%-CI=95% confidence level; </w:t>
      </w:r>
      <w:r w:rsidRPr="00E6060C">
        <w:rPr>
          <w:rFonts w:ascii="Calibri" w:eastAsia="Calibri" w:hAnsi="Calibri" w:cs="Times New Roman"/>
          <w:i/>
        </w:rPr>
        <w:t>LL</w:t>
      </w:r>
      <w:r w:rsidRPr="00E6060C">
        <w:rPr>
          <w:rFonts w:ascii="Calibri" w:eastAsia="Calibri" w:hAnsi="Calibri" w:cs="Times New Roman"/>
        </w:rPr>
        <w:t xml:space="preserve">=lower level CI; </w:t>
      </w:r>
      <w:r w:rsidRPr="00E6060C">
        <w:rPr>
          <w:rFonts w:ascii="Calibri" w:eastAsia="Calibri" w:hAnsi="Calibri" w:cs="Times New Roman"/>
          <w:i/>
        </w:rPr>
        <w:t>UL</w:t>
      </w:r>
      <w:r w:rsidRPr="00E6060C">
        <w:rPr>
          <w:rFonts w:ascii="Calibri" w:eastAsia="Calibri" w:hAnsi="Calibri" w:cs="Times New Roman"/>
        </w:rPr>
        <w:t>=upper level CI;</w:t>
      </w:r>
      <w:r w:rsidRPr="00E6060C">
        <w:rPr>
          <w:rFonts w:ascii="Calibri" w:eastAsia="Calibri" w:hAnsi="Calibri" w:cs="Times New Roman"/>
          <w:i/>
        </w:rPr>
        <w:t xml:space="preserve"> </w:t>
      </w:r>
      <w:r w:rsidRPr="00E6060C">
        <w:rPr>
          <w:rFonts w:ascii="Calibri" w:eastAsia="Calibri" w:hAnsi="Calibri" w:cs="Times New Roman"/>
        </w:rPr>
        <w:t>Time qualified=length of time qualified as a nurse; Manager=whether or not the respondents managed employees</w:t>
      </w:r>
      <w:r w:rsidR="00030B4D">
        <w:rPr>
          <w:rFonts w:ascii="Calibri" w:eastAsia="Calibri" w:hAnsi="Calibri" w:cs="Times New Roman"/>
        </w:rPr>
        <w:t>; FT/PT=full time/part time</w:t>
      </w:r>
    </w:p>
    <w:p w14:paraId="5246169D" w14:textId="754985F9" w:rsidR="00E6060C" w:rsidRPr="00E6060C" w:rsidRDefault="00E6060C" w:rsidP="0009618B">
      <w:pPr>
        <w:pStyle w:val="Heading3"/>
      </w:pPr>
      <w:bookmarkStart w:id="426" w:name="_Ref453581589"/>
      <w:bookmarkStart w:id="427" w:name="_Toc468286014"/>
      <w:r w:rsidRPr="00E6060C">
        <w:lastRenderedPageBreak/>
        <w:t>Descriptive statistics of the research variables for the matched sample</w:t>
      </w:r>
      <w:bookmarkEnd w:id="426"/>
      <w:bookmarkEnd w:id="427"/>
      <w:r w:rsidRPr="00E6060C">
        <w:t xml:space="preserve"> </w:t>
      </w:r>
    </w:p>
    <w:p w14:paraId="65DE6132" w14:textId="77777777" w:rsidR="00E6060C" w:rsidRPr="00E6060C" w:rsidRDefault="00E6060C" w:rsidP="00E6060C">
      <w:pPr>
        <w:spacing w:after="200" w:line="360" w:lineRule="auto"/>
        <w:contextualSpacing/>
        <w:rPr>
          <w:rFonts w:ascii="Calibri" w:eastAsia="Calibri" w:hAnsi="Calibri" w:cs="Times New Roman"/>
        </w:rPr>
      </w:pPr>
    </w:p>
    <w:p w14:paraId="1F43A50A" w14:textId="2256352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Descriptive statistics at Time 1 and Time 2 for the research variables measured by the scales in the questionnaire are displayed in </w:t>
      </w:r>
      <w:r w:rsidR="000676CE">
        <w:rPr>
          <w:rFonts w:ascii="Calibri" w:eastAsia="Calibri" w:hAnsi="Calibri" w:cs="Times New Roman"/>
        </w:rPr>
        <w:fldChar w:fldCharType="begin"/>
      </w:r>
      <w:r w:rsidR="000676CE">
        <w:rPr>
          <w:rFonts w:ascii="Calibri" w:eastAsia="Calibri" w:hAnsi="Calibri" w:cs="Times New Roman"/>
        </w:rPr>
        <w:instrText xml:space="preserve"> REF _Ref453590470 \h </w:instrText>
      </w:r>
      <w:r w:rsidR="000676CE">
        <w:rPr>
          <w:rFonts w:ascii="Calibri" w:eastAsia="Calibri" w:hAnsi="Calibri" w:cs="Times New Roman"/>
        </w:rPr>
      </w:r>
      <w:r w:rsidR="000676CE">
        <w:rPr>
          <w:rFonts w:ascii="Calibri" w:eastAsia="Calibri" w:hAnsi="Calibri" w:cs="Times New Roman"/>
        </w:rPr>
        <w:fldChar w:fldCharType="separate"/>
      </w:r>
      <w:r w:rsidR="00152F6D">
        <w:t xml:space="preserve">Table </w:t>
      </w:r>
      <w:r w:rsidR="00152F6D">
        <w:rPr>
          <w:noProof/>
        </w:rPr>
        <w:t>8</w:t>
      </w:r>
      <w:r w:rsidR="00152F6D">
        <w:t>.</w:t>
      </w:r>
      <w:r w:rsidR="00152F6D">
        <w:rPr>
          <w:noProof/>
        </w:rPr>
        <w:t>12</w:t>
      </w:r>
      <w:r w:rsidR="000676CE">
        <w:rPr>
          <w:rFonts w:ascii="Calibri" w:eastAsia="Calibri" w:hAnsi="Calibri" w:cs="Times New Roman"/>
        </w:rPr>
        <w:fldChar w:fldCharType="end"/>
      </w:r>
      <w:r w:rsidRPr="00E6060C">
        <w:rPr>
          <w:rFonts w:ascii="Calibri" w:eastAsia="Calibri" w:hAnsi="Calibri" w:cs="Times New Roman"/>
        </w:rPr>
        <w:t>,</w:t>
      </w:r>
      <w:r w:rsidR="00B111C0">
        <w:rPr>
          <w:rFonts w:ascii="Calibri" w:eastAsia="Calibri" w:hAnsi="Calibri" w:cs="Times New Roman"/>
        </w:rPr>
        <w:fldChar w:fldCharType="begin"/>
      </w:r>
      <w:r w:rsidR="00B111C0">
        <w:rPr>
          <w:rFonts w:ascii="Calibri" w:eastAsia="Calibri" w:hAnsi="Calibri" w:cs="Times New Roman"/>
        </w:rPr>
        <w:instrText xml:space="preserve"> REF _Ref453590545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13</w:t>
      </w:r>
      <w:r w:rsidR="00B111C0">
        <w:rPr>
          <w:rFonts w:ascii="Calibri" w:eastAsia="Calibri" w:hAnsi="Calibri" w:cs="Times New Roman"/>
        </w:rPr>
        <w:fldChar w:fldCharType="end"/>
      </w:r>
      <w:r w:rsidR="00B111C0">
        <w:rPr>
          <w:rFonts w:ascii="Calibri" w:eastAsia="Calibri" w:hAnsi="Calibri" w:cs="Times New Roman"/>
        </w:rPr>
        <w:t xml:space="preserve"> </w:t>
      </w:r>
      <w:r w:rsidRPr="00E6060C">
        <w:rPr>
          <w:rFonts w:ascii="Calibri" w:eastAsia="Calibri" w:hAnsi="Calibri" w:cs="Times New Roman"/>
        </w:rPr>
        <w:t>and</w:t>
      </w:r>
      <w:r w:rsidR="00030B4D">
        <w:rPr>
          <w:rFonts w:ascii="Calibri" w:eastAsia="Calibri" w:hAnsi="Calibri" w:cs="Times New Roman"/>
        </w:rPr>
        <w:t xml:space="preserve"> </w:t>
      </w:r>
      <w:r w:rsidR="00B111C0">
        <w:rPr>
          <w:rFonts w:ascii="Calibri" w:eastAsia="Calibri" w:hAnsi="Calibri" w:cs="Times New Roman"/>
        </w:rPr>
        <w:fldChar w:fldCharType="begin"/>
      </w:r>
      <w:r w:rsidR="00B111C0">
        <w:rPr>
          <w:rFonts w:ascii="Calibri" w:eastAsia="Calibri" w:hAnsi="Calibri" w:cs="Times New Roman"/>
        </w:rPr>
        <w:instrText xml:space="preserve"> REF _Ref453590570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14</w:t>
      </w:r>
      <w:r w:rsidR="00B111C0">
        <w:rPr>
          <w:rFonts w:ascii="Calibri" w:eastAsia="Calibri" w:hAnsi="Calibri" w:cs="Times New Roman"/>
        </w:rPr>
        <w:fldChar w:fldCharType="end"/>
      </w:r>
      <w:r w:rsidRPr="00E6060C">
        <w:rPr>
          <w:rFonts w:ascii="Calibri" w:eastAsia="Calibri" w:hAnsi="Calibri" w:cs="Times New Roman"/>
        </w:rPr>
        <w:t xml:space="preserve">. </w:t>
      </w:r>
      <w:r w:rsidR="00B111C0">
        <w:rPr>
          <w:rFonts w:ascii="Calibri" w:eastAsia="Calibri" w:hAnsi="Calibri" w:cs="Times New Roman"/>
        </w:rPr>
        <w:fldChar w:fldCharType="begin"/>
      </w:r>
      <w:r w:rsidR="00B111C0">
        <w:rPr>
          <w:rFonts w:ascii="Calibri" w:eastAsia="Calibri" w:hAnsi="Calibri" w:cs="Times New Roman"/>
        </w:rPr>
        <w:instrText xml:space="preserve"> REF _Ref453590470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12</w:t>
      </w:r>
      <w:r w:rsidR="00B111C0">
        <w:rPr>
          <w:rFonts w:ascii="Calibri" w:eastAsia="Calibri" w:hAnsi="Calibri" w:cs="Times New Roman"/>
        </w:rPr>
        <w:fldChar w:fldCharType="end"/>
      </w:r>
      <w:r w:rsidR="00B111C0">
        <w:rPr>
          <w:rFonts w:ascii="Calibri" w:eastAsia="Calibri" w:hAnsi="Calibri" w:cs="Times New Roman"/>
        </w:rPr>
        <w:t xml:space="preserve"> </w:t>
      </w:r>
      <w:r w:rsidRPr="00E6060C">
        <w:rPr>
          <w:rFonts w:ascii="Calibri" w:eastAsia="Calibri" w:hAnsi="Calibri" w:cs="Times New Roman"/>
        </w:rPr>
        <w:t>displays descriptive</w:t>
      </w:r>
      <w:r w:rsidR="00030B4D">
        <w:rPr>
          <w:rFonts w:ascii="Calibri" w:eastAsia="Calibri" w:hAnsi="Calibri" w:cs="Times New Roman"/>
        </w:rPr>
        <w:t xml:space="preserve"> statistics</w:t>
      </w:r>
      <w:r w:rsidRPr="00E6060C">
        <w:rPr>
          <w:rFonts w:ascii="Calibri" w:eastAsia="Calibri" w:hAnsi="Calibri" w:cs="Times New Roman"/>
        </w:rPr>
        <w:t xml:space="preserve"> for the </w:t>
      </w:r>
      <w:r w:rsidR="00B111C0">
        <w:rPr>
          <w:rFonts w:ascii="Calibri" w:eastAsia="Calibri" w:hAnsi="Calibri" w:cs="Times New Roman"/>
        </w:rPr>
        <w:t>entire</w:t>
      </w:r>
      <w:r w:rsidRPr="00E6060C">
        <w:rPr>
          <w:rFonts w:ascii="Calibri" w:eastAsia="Calibri" w:hAnsi="Calibri" w:cs="Times New Roman"/>
        </w:rPr>
        <w:t xml:space="preserve"> </w:t>
      </w:r>
      <w:r w:rsidR="00B111C0">
        <w:rPr>
          <w:rFonts w:ascii="Calibri" w:eastAsia="Calibri" w:hAnsi="Calibri" w:cs="Times New Roman"/>
        </w:rPr>
        <w:t xml:space="preserve">matched </w:t>
      </w:r>
      <w:r w:rsidRPr="00E6060C">
        <w:rPr>
          <w:rFonts w:ascii="Calibri" w:eastAsia="Calibri" w:hAnsi="Calibri" w:cs="Times New Roman"/>
        </w:rPr>
        <w:t xml:space="preserve">sample at each time point, that is, both the intervention and control groups together, and </w:t>
      </w:r>
      <w:r w:rsidR="00B111C0">
        <w:rPr>
          <w:rFonts w:ascii="Calibri" w:eastAsia="Calibri" w:hAnsi="Calibri" w:cs="Times New Roman"/>
        </w:rPr>
        <w:fldChar w:fldCharType="begin"/>
      </w:r>
      <w:r w:rsidR="00B111C0">
        <w:rPr>
          <w:rFonts w:ascii="Calibri" w:eastAsia="Calibri" w:hAnsi="Calibri" w:cs="Times New Roman"/>
        </w:rPr>
        <w:instrText xml:space="preserve"> REF _Ref453590545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13</w:t>
      </w:r>
      <w:r w:rsidR="00B111C0">
        <w:rPr>
          <w:rFonts w:ascii="Calibri" w:eastAsia="Calibri" w:hAnsi="Calibri" w:cs="Times New Roman"/>
        </w:rPr>
        <w:fldChar w:fldCharType="end"/>
      </w:r>
      <w:r w:rsidR="00B111C0">
        <w:rPr>
          <w:rFonts w:ascii="Calibri" w:eastAsia="Calibri" w:hAnsi="Calibri" w:cs="Times New Roman"/>
        </w:rPr>
        <w:t xml:space="preserve"> </w:t>
      </w:r>
      <w:r w:rsidRPr="00E6060C">
        <w:rPr>
          <w:rFonts w:ascii="Calibri" w:eastAsia="Calibri" w:hAnsi="Calibri" w:cs="Times New Roman"/>
        </w:rPr>
        <w:t>and</w:t>
      </w:r>
      <w:r w:rsidR="00A63859">
        <w:rPr>
          <w:rFonts w:ascii="Calibri" w:eastAsia="Calibri" w:hAnsi="Calibri" w:cs="Times New Roman"/>
        </w:rPr>
        <w:t xml:space="preserve"> </w:t>
      </w:r>
      <w:r w:rsidR="00B111C0">
        <w:rPr>
          <w:rFonts w:ascii="Calibri" w:eastAsia="Calibri" w:hAnsi="Calibri" w:cs="Times New Roman"/>
        </w:rPr>
        <w:fldChar w:fldCharType="begin"/>
      </w:r>
      <w:r w:rsidR="00B111C0">
        <w:rPr>
          <w:rFonts w:ascii="Calibri" w:eastAsia="Calibri" w:hAnsi="Calibri" w:cs="Times New Roman"/>
        </w:rPr>
        <w:instrText xml:space="preserve"> REF _Ref453590570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14</w:t>
      </w:r>
      <w:r w:rsidR="00B111C0">
        <w:rPr>
          <w:rFonts w:ascii="Calibri" w:eastAsia="Calibri" w:hAnsi="Calibri" w:cs="Times New Roman"/>
        </w:rPr>
        <w:fldChar w:fldCharType="end"/>
      </w:r>
      <w:r w:rsidR="00B111C0">
        <w:rPr>
          <w:rFonts w:ascii="Calibri" w:eastAsia="Calibri" w:hAnsi="Calibri" w:cs="Times New Roman"/>
        </w:rPr>
        <w:t xml:space="preserve"> </w:t>
      </w:r>
      <w:r w:rsidRPr="00E6060C">
        <w:rPr>
          <w:rFonts w:ascii="Calibri" w:eastAsia="Calibri" w:hAnsi="Calibri" w:cs="Times New Roman"/>
        </w:rPr>
        <w:t>display descriptive</w:t>
      </w:r>
      <w:r w:rsidR="00A63859">
        <w:rPr>
          <w:rFonts w:ascii="Calibri" w:eastAsia="Calibri" w:hAnsi="Calibri" w:cs="Times New Roman"/>
        </w:rPr>
        <w:t xml:space="preserve"> statistic</w:t>
      </w:r>
      <w:r w:rsidRPr="00E6060C">
        <w:rPr>
          <w:rFonts w:ascii="Calibri" w:eastAsia="Calibri" w:hAnsi="Calibri" w:cs="Times New Roman"/>
        </w:rPr>
        <w:t xml:space="preserve">s for each group separately. </w:t>
      </w:r>
    </w:p>
    <w:p w14:paraId="011F3D5D" w14:textId="77777777" w:rsidR="00E6060C" w:rsidRPr="00E6060C" w:rsidRDefault="00E6060C" w:rsidP="00E6060C">
      <w:pPr>
        <w:spacing w:after="200" w:line="360" w:lineRule="auto"/>
        <w:contextualSpacing/>
        <w:rPr>
          <w:rFonts w:ascii="Calibri" w:eastAsia="Calibri" w:hAnsi="Calibri" w:cs="Times New Roman"/>
        </w:rPr>
      </w:pPr>
    </w:p>
    <w:p w14:paraId="2681CC43" w14:textId="3766677E"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According to </w:t>
      </w:r>
      <w:r w:rsidR="00B111C0">
        <w:rPr>
          <w:rFonts w:ascii="Calibri" w:eastAsia="Calibri" w:hAnsi="Calibri" w:cs="Times New Roman"/>
        </w:rPr>
        <w:fldChar w:fldCharType="begin"/>
      </w:r>
      <w:r w:rsidR="00B111C0">
        <w:rPr>
          <w:rFonts w:ascii="Calibri" w:eastAsia="Calibri" w:hAnsi="Calibri" w:cs="Times New Roman"/>
        </w:rPr>
        <w:instrText xml:space="preserve"> REF _Ref453590470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12</w:t>
      </w:r>
      <w:r w:rsidR="00B111C0">
        <w:rPr>
          <w:rFonts w:ascii="Calibri" w:eastAsia="Calibri" w:hAnsi="Calibri" w:cs="Times New Roman"/>
        </w:rPr>
        <w:fldChar w:fldCharType="end"/>
      </w:r>
      <w:r w:rsidRPr="00E6060C">
        <w:rPr>
          <w:rFonts w:ascii="Calibri" w:eastAsia="Calibri" w:hAnsi="Calibri" w:cs="Times New Roman"/>
        </w:rPr>
        <w:t>, at Time 1 the highest mean</w:t>
      </w:r>
      <w:r w:rsidR="00A63859">
        <w:rPr>
          <w:rFonts w:ascii="Calibri" w:eastAsia="Calibri" w:hAnsi="Calibri" w:cs="Times New Roman"/>
        </w:rPr>
        <w:t>,</w:t>
      </w:r>
      <w:r w:rsidRPr="00E6060C">
        <w:rPr>
          <w:rFonts w:ascii="Calibri" w:eastAsia="Calibri" w:hAnsi="Calibri" w:cs="Times New Roman"/>
        </w:rPr>
        <w:t xml:space="preserve"> for those scales scored out of 7</w:t>
      </w:r>
      <w:r w:rsidR="00A63859">
        <w:rPr>
          <w:rFonts w:ascii="Calibri" w:eastAsia="Calibri" w:hAnsi="Calibri" w:cs="Times New Roman"/>
        </w:rPr>
        <w:t>,</w:t>
      </w:r>
      <w:r w:rsidRPr="00E6060C">
        <w:rPr>
          <w:rFonts w:ascii="Calibri" w:eastAsia="Calibri" w:hAnsi="Calibri" w:cs="Times New Roman"/>
        </w:rPr>
        <w:t xml:space="preserve"> was for the </w:t>
      </w:r>
      <w:r w:rsidR="001D6140">
        <w:rPr>
          <w:rFonts w:ascii="Calibri" w:eastAsia="Calibri" w:hAnsi="Calibri" w:cs="Times New Roman"/>
        </w:rPr>
        <w:t>well-being</w:t>
      </w:r>
      <w:r w:rsidRPr="00E6060C">
        <w:rPr>
          <w:rFonts w:ascii="Calibri" w:eastAsia="Calibri" w:hAnsi="Calibri" w:cs="Times New Roman"/>
        </w:rPr>
        <w:t xml:space="preserve"> component, low activation unpleasant affect, </w:t>
      </w:r>
      <w:r w:rsidR="00A63859">
        <w:rPr>
          <w:rFonts w:ascii="Calibri" w:eastAsia="Calibri" w:hAnsi="Calibri" w:cs="Times New Roman"/>
        </w:rPr>
        <w:t>Mean</w:t>
      </w:r>
      <w:r w:rsidRPr="00E6060C">
        <w:rPr>
          <w:rFonts w:ascii="Calibri" w:eastAsia="Calibri" w:hAnsi="Calibri" w:cs="Times New Roman"/>
        </w:rPr>
        <w:t xml:space="preserve">=6.00, </w:t>
      </w:r>
      <w:r w:rsidRPr="00E6060C">
        <w:rPr>
          <w:rFonts w:ascii="Calibri" w:eastAsia="Calibri" w:hAnsi="Calibri" w:cs="Times New Roman"/>
          <w:i/>
        </w:rPr>
        <w:t>SD</w:t>
      </w:r>
      <w:r w:rsidRPr="00E6060C">
        <w:rPr>
          <w:rFonts w:ascii="Calibri" w:eastAsia="Calibri" w:hAnsi="Calibri" w:cs="Times New Roman"/>
        </w:rPr>
        <w:t xml:space="preserve">=.87. This suggests that, on average, respondents felt ‘depressed’ ‘a little of the time’ (the response option which reflects a score of 6, after reverse scoring). The second highest mean score was observed for work engagement, </w:t>
      </w:r>
      <w:r w:rsidR="00A63859">
        <w:rPr>
          <w:rFonts w:ascii="Calibri" w:eastAsia="Calibri" w:hAnsi="Calibri" w:cs="Times New Roman"/>
        </w:rPr>
        <w:t>Mean</w:t>
      </w:r>
      <w:r w:rsidRPr="00E6060C">
        <w:rPr>
          <w:rFonts w:ascii="Calibri" w:eastAsia="Calibri" w:hAnsi="Calibri" w:cs="Times New Roman"/>
        </w:rPr>
        <w:t xml:space="preserve">=5.76, </w:t>
      </w:r>
      <w:r w:rsidRPr="00E6060C">
        <w:rPr>
          <w:rFonts w:ascii="Calibri" w:eastAsia="Calibri" w:hAnsi="Calibri" w:cs="Times New Roman"/>
          <w:i/>
        </w:rPr>
        <w:t>SD</w:t>
      </w:r>
      <w:r w:rsidRPr="00E6060C">
        <w:rPr>
          <w:rFonts w:ascii="Calibri" w:eastAsia="Calibri" w:hAnsi="Calibri" w:cs="Times New Roman"/>
        </w:rPr>
        <w:t xml:space="preserve">=1.20, which suggests that respondents felt engaged in their work, on average, ‘a few times a week’. This score was closely followed by the mean for the </w:t>
      </w:r>
      <w:r w:rsidR="001D6140">
        <w:rPr>
          <w:rFonts w:ascii="Calibri" w:eastAsia="Calibri" w:hAnsi="Calibri" w:cs="Times New Roman"/>
        </w:rPr>
        <w:t>well-being</w:t>
      </w:r>
      <w:r w:rsidRPr="00E6060C">
        <w:rPr>
          <w:rFonts w:ascii="Calibri" w:eastAsia="Calibri" w:hAnsi="Calibri" w:cs="Times New Roman"/>
        </w:rPr>
        <w:t xml:space="preserve"> component, high activation unpleasant affect, </w:t>
      </w:r>
      <w:r w:rsidR="00A63859">
        <w:rPr>
          <w:rFonts w:ascii="Calibri" w:eastAsia="Calibri" w:hAnsi="Calibri" w:cs="Times New Roman"/>
        </w:rPr>
        <w:t>Mean</w:t>
      </w:r>
      <w:r w:rsidRPr="00E6060C">
        <w:rPr>
          <w:rFonts w:ascii="Calibri" w:eastAsia="Calibri" w:hAnsi="Calibri" w:cs="Times New Roman"/>
        </w:rPr>
        <w:t xml:space="preserve">=5.55, </w:t>
      </w:r>
      <w:r w:rsidRPr="00E6060C">
        <w:rPr>
          <w:rFonts w:ascii="Calibri" w:eastAsia="Calibri" w:hAnsi="Calibri" w:cs="Times New Roman"/>
          <w:i/>
        </w:rPr>
        <w:t>SD</w:t>
      </w:r>
      <w:r w:rsidRPr="00E6060C">
        <w:rPr>
          <w:rFonts w:ascii="Calibri" w:eastAsia="Calibri" w:hAnsi="Calibri" w:cs="Times New Roman"/>
        </w:rPr>
        <w:t xml:space="preserve">=.85, which suggests that respondents felt ‘anxious’, on average, ‘once a month or less’. Investigation of the scales scored out of 5, also at Time 1, reveals that the highest mean was for colleague support, </w:t>
      </w:r>
      <w:r w:rsidR="00A63859">
        <w:rPr>
          <w:rFonts w:ascii="Calibri" w:eastAsia="Calibri" w:hAnsi="Calibri" w:cs="Times New Roman"/>
        </w:rPr>
        <w:t>Mean</w:t>
      </w:r>
      <w:r w:rsidRPr="00E6060C">
        <w:rPr>
          <w:rFonts w:ascii="Calibri" w:eastAsia="Calibri" w:hAnsi="Calibri" w:cs="Times New Roman"/>
        </w:rPr>
        <w:t xml:space="preserve">=3.85, </w:t>
      </w:r>
      <w:r w:rsidRPr="00E6060C">
        <w:rPr>
          <w:rFonts w:ascii="Calibri" w:eastAsia="Calibri" w:hAnsi="Calibri" w:cs="Times New Roman"/>
          <w:i/>
        </w:rPr>
        <w:t>SD</w:t>
      </w:r>
      <w:r w:rsidRPr="00E6060C">
        <w:rPr>
          <w:rFonts w:ascii="Calibri" w:eastAsia="Calibri" w:hAnsi="Calibri" w:cs="Times New Roman"/>
        </w:rPr>
        <w:t xml:space="preserve">=.91, which suggests that respondents felt, on average, that they were supported by their colleagues ‘to a great extent’. The mean for demands followed, </w:t>
      </w:r>
      <w:r w:rsidR="00A63859">
        <w:rPr>
          <w:rFonts w:ascii="Calibri" w:eastAsia="Calibri" w:hAnsi="Calibri" w:cs="Times New Roman"/>
        </w:rPr>
        <w:t>Mean</w:t>
      </w:r>
      <w:r w:rsidRPr="00E6060C">
        <w:rPr>
          <w:rFonts w:ascii="Calibri" w:eastAsia="Calibri" w:hAnsi="Calibri" w:cs="Times New Roman"/>
        </w:rPr>
        <w:t xml:space="preserve">=3.21, </w:t>
      </w:r>
      <w:r w:rsidRPr="00E6060C">
        <w:rPr>
          <w:rFonts w:ascii="Calibri" w:eastAsia="Calibri" w:hAnsi="Calibri" w:cs="Times New Roman"/>
          <w:i/>
        </w:rPr>
        <w:t>SD</w:t>
      </w:r>
      <w:r w:rsidRPr="00E6060C">
        <w:rPr>
          <w:rFonts w:ascii="Calibri" w:eastAsia="Calibri" w:hAnsi="Calibri" w:cs="Times New Roman"/>
        </w:rPr>
        <w:t xml:space="preserve">=.87, suggesting that respondents neither agreed nor disagreed with statements investigating whether or not they had too many demands on their time. The lowest means were observed for resources, </w:t>
      </w:r>
      <w:r w:rsidR="00A63859">
        <w:rPr>
          <w:rFonts w:ascii="Calibri" w:eastAsia="Calibri" w:hAnsi="Calibri" w:cs="Times New Roman"/>
        </w:rPr>
        <w:t>Mean</w:t>
      </w:r>
      <w:r w:rsidRPr="00E6060C">
        <w:rPr>
          <w:rFonts w:ascii="Calibri" w:eastAsia="Calibri" w:hAnsi="Calibri" w:cs="Times New Roman"/>
        </w:rPr>
        <w:t xml:space="preserve">=2.67, </w:t>
      </w:r>
      <w:r w:rsidRPr="00E6060C">
        <w:rPr>
          <w:rFonts w:ascii="Calibri" w:eastAsia="Calibri" w:hAnsi="Calibri" w:cs="Times New Roman"/>
          <w:i/>
        </w:rPr>
        <w:t>SD</w:t>
      </w:r>
      <w:r w:rsidRPr="00E6060C">
        <w:rPr>
          <w:rFonts w:ascii="Calibri" w:eastAsia="Calibri" w:hAnsi="Calibri" w:cs="Times New Roman"/>
        </w:rPr>
        <w:t xml:space="preserve">=.90, suggesting that respondents, on average, neither agreed nor disagreed with statements investigating whether or not there were sufficient resources on their ward, and influence in decision-making, </w:t>
      </w:r>
      <w:r w:rsidR="00A63859">
        <w:rPr>
          <w:rFonts w:ascii="Calibri" w:eastAsia="Calibri" w:hAnsi="Calibri" w:cs="Times New Roman"/>
        </w:rPr>
        <w:t>Mean</w:t>
      </w:r>
      <w:r w:rsidRPr="00E6060C">
        <w:rPr>
          <w:rFonts w:ascii="Calibri" w:eastAsia="Calibri" w:hAnsi="Calibri" w:cs="Times New Roman"/>
        </w:rPr>
        <w:t xml:space="preserve">=2.99, </w:t>
      </w:r>
      <w:r w:rsidRPr="00E6060C">
        <w:rPr>
          <w:rFonts w:ascii="Calibri" w:eastAsia="Calibri" w:hAnsi="Calibri" w:cs="Times New Roman"/>
          <w:i/>
        </w:rPr>
        <w:t>SD</w:t>
      </w:r>
      <w:r w:rsidRPr="00E6060C">
        <w:rPr>
          <w:rFonts w:ascii="Calibri" w:eastAsia="Calibri" w:hAnsi="Calibri" w:cs="Times New Roman"/>
        </w:rPr>
        <w:t xml:space="preserve">=.91, suggesting that respondents, on average, felt they had a ‘moderate amount’ of influence over decisions at work. </w:t>
      </w:r>
    </w:p>
    <w:p w14:paraId="5C85F803" w14:textId="77777777" w:rsidR="00E6060C" w:rsidRPr="00E6060C" w:rsidRDefault="00E6060C" w:rsidP="00E6060C">
      <w:pPr>
        <w:spacing w:after="200" w:line="360" w:lineRule="auto"/>
        <w:contextualSpacing/>
        <w:rPr>
          <w:rFonts w:ascii="Calibri" w:eastAsia="Calibri" w:hAnsi="Calibri" w:cs="Times New Roman"/>
        </w:rPr>
      </w:pPr>
    </w:p>
    <w:p w14:paraId="1A886FFC" w14:textId="2F581CC9"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results at Time 2 were very similar to those at Time 1 (</w:t>
      </w:r>
      <w:r w:rsidR="00B111C0">
        <w:rPr>
          <w:rFonts w:ascii="Calibri" w:eastAsia="Calibri" w:hAnsi="Calibri" w:cs="Times New Roman"/>
        </w:rPr>
        <w:fldChar w:fldCharType="begin"/>
      </w:r>
      <w:r w:rsidR="00B111C0">
        <w:rPr>
          <w:rFonts w:ascii="Calibri" w:eastAsia="Calibri" w:hAnsi="Calibri" w:cs="Times New Roman"/>
        </w:rPr>
        <w:instrText xml:space="preserve"> REF _Ref453590470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12</w:t>
      </w:r>
      <w:r w:rsidR="00B111C0">
        <w:rPr>
          <w:rFonts w:ascii="Calibri" w:eastAsia="Calibri" w:hAnsi="Calibri" w:cs="Times New Roman"/>
        </w:rPr>
        <w:fldChar w:fldCharType="end"/>
      </w:r>
      <w:r w:rsidRPr="00E6060C">
        <w:rPr>
          <w:rFonts w:ascii="Calibri" w:eastAsia="Calibri" w:hAnsi="Calibri" w:cs="Times New Roman"/>
        </w:rPr>
        <w:t>), with the highest means for the scales scored out of 7 observed for low activation unpleasant affect (depression), high activation unpleasant affect (anxiety) and work engagement, and the highest means for the scales scored out of 5 observed for colleague support</w:t>
      </w:r>
      <w:r w:rsidR="00A63859">
        <w:rPr>
          <w:rFonts w:ascii="Calibri" w:eastAsia="Calibri" w:hAnsi="Calibri" w:cs="Times New Roman"/>
        </w:rPr>
        <w:t>,</w:t>
      </w:r>
      <w:r w:rsidRPr="00E6060C">
        <w:rPr>
          <w:rFonts w:ascii="Calibri" w:eastAsia="Calibri" w:hAnsi="Calibri" w:cs="Times New Roman"/>
        </w:rPr>
        <w:t xml:space="preserve"> and demands. The lowest means were again observed for resources and influence in decision-making. Investigation of the skewness and kurtosis statistics reveals that there was some negative skewness (&gt;-1.00)</w:t>
      </w:r>
      <w:r w:rsidR="00A63859">
        <w:rPr>
          <w:rFonts w:ascii="Calibri" w:eastAsia="Calibri" w:hAnsi="Calibri" w:cs="Times New Roman"/>
        </w:rPr>
        <w:t>,</w:t>
      </w:r>
      <w:r w:rsidRPr="00E6060C">
        <w:rPr>
          <w:rFonts w:ascii="Calibri" w:eastAsia="Calibri" w:hAnsi="Calibri" w:cs="Times New Roman"/>
        </w:rPr>
        <w:t xml:space="preserve"> and considerable kurtosis (&gt;.2.00)</w:t>
      </w:r>
      <w:r w:rsidR="00A63859">
        <w:rPr>
          <w:rFonts w:ascii="Calibri" w:eastAsia="Calibri" w:hAnsi="Calibri" w:cs="Times New Roman"/>
        </w:rPr>
        <w:t>,</w:t>
      </w:r>
      <w:r w:rsidRPr="00E6060C">
        <w:rPr>
          <w:rFonts w:ascii="Calibri" w:eastAsia="Calibri" w:hAnsi="Calibri" w:cs="Times New Roman"/>
        </w:rPr>
        <w:t xml:space="preserve"> of the distributions of autonomy, competence, relatedness, and work engagement at Time 1. The highest value</w:t>
      </w:r>
      <w:r w:rsidR="00A63859">
        <w:rPr>
          <w:rFonts w:ascii="Calibri" w:eastAsia="Calibri" w:hAnsi="Calibri" w:cs="Times New Roman"/>
        </w:rPr>
        <w:t>s were observed for competence (</w:t>
      </w:r>
      <w:r w:rsidRPr="00E6060C">
        <w:rPr>
          <w:rFonts w:ascii="Calibri" w:eastAsia="Calibri" w:hAnsi="Calibri" w:cs="Times New Roman"/>
          <w:i/>
        </w:rPr>
        <w:t>skewness</w:t>
      </w:r>
      <w:r w:rsidR="00A63859">
        <w:rPr>
          <w:rFonts w:ascii="Calibri" w:eastAsia="Calibri" w:hAnsi="Calibri" w:cs="Times New Roman"/>
        </w:rPr>
        <w:t>=-1.87;</w:t>
      </w:r>
      <w:r w:rsidRPr="00E6060C">
        <w:rPr>
          <w:rFonts w:ascii="Calibri" w:eastAsia="Calibri" w:hAnsi="Calibri" w:cs="Times New Roman"/>
        </w:rPr>
        <w:t xml:space="preserve"> </w:t>
      </w:r>
      <w:r w:rsidRPr="00E6060C">
        <w:rPr>
          <w:rFonts w:ascii="Calibri" w:eastAsia="Calibri" w:hAnsi="Calibri" w:cs="Times New Roman"/>
          <w:i/>
        </w:rPr>
        <w:t>kurtosis</w:t>
      </w:r>
      <w:r w:rsidRPr="00E6060C">
        <w:rPr>
          <w:rFonts w:ascii="Calibri" w:eastAsia="Calibri" w:hAnsi="Calibri" w:cs="Times New Roman"/>
        </w:rPr>
        <w:t>= 7.63</w:t>
      </w:r>
      <w:r w:rsidR="00A63859">
        <w:rPr>
          <w:rFonts w:ascii="Calibri" w:eastAsia="Calibri" w:hAnsi="Calibri" w:cs="Times New Roman"/>
        </w:rPr>
        <w:t>)</w:t>
      </w:r>
      <w:r w:rsidRPr="00E6060C">
        <w:rPr>
          <w:rFonts w:ascii="Calibri" w:eastAsia="Calibri" w:hAnsi="Calibri" w:cs="Times New Roman"/>
        </w:rPr>
        <w:t xml:space="preserve">. These results suggest substantial deviation from the normal distribution, which should be taken into account when </w:t>
      </w:r>
      <w:r w:rsidRPr="00E6060C">
        <w:rPr>
          <w:rFonts w:ascii="Calibri" w:eastAsia="Calibri" w:hAnsi="Calibri" w:cs="Times New Roman"/>
        </w:rPr>
        <w:lastRenderedPageBreak/>
        <w:t>interpreting results. This deviation was not observed at Time 2. Inspection of the skewness and kurtosis variables specific to each of the control and intervention groups reveals that these same four variables also displayed more skewness and kurtosis within the control group (</w:t>
      </w:r>
      <w:r w:rsidR="00B111C0">
        <w:rPr>
          <w:rFonts w:ascii="Calibri" w:eastAsia="Calibri" w:hAnsi="Calibri" w:cs="Times New Roman"/>
        </w:rPr>
        <w:fldChar w:fldCharType="begin"/>
      </w:r>
      <w:r w:rsidR="00B111C0">
        <w:rPr>
          <w:rFonts w:ascii="Calibri" w:eastAsia="Calibri" w:hAnsi="Calibri" w:cs="Times New Roman"/>
        </w:rPr>
        <w:instrText xml:space="preserve"> REF _Ref453590545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13</w:t>
      </w:r>
      <w:r w:rsidR="00B111C0">
        <w:rPr>
          <w:rFonts w:ascii="Calibri" w:eastAsia="Calibri" w:hAnsi="Calibri" w:cs="Times New Roman"/>
        </w:rPr>
        <w:fldChar w:fldCharType="end"/>
      </w:r>
      <w:r w:rsidRPr="00E6060C">
        <w:rPr>
          <w:rFonts w:ascii="Calibri" w:eastAsia="Calibri" w:hAnsi="Calibri" w:cs="Times New Roman"/>
        </w:rPr>
        <w:t>) than within the intervention group (</w:t>
      </w:r>
      <w:r w:rsidR="00B111C0">
        <w:rPr>
          <w:rFonts w:ascii="Calibri" w:eastAsia="Calibri" w:hAnsi="Calibri" w:cs="Times New Roman"/>
        </w:rPr>
        <w:fldChar w:fldCharType="begin"/>
      </w:r>
      <w:r w:rsidR="00B111C0">
        <w:rPr>
          <w:rFonts w:ascii="Calibri" w:eastAsia="Calibri" w:hAnsi="Calibri" w:cs="Times New Roman"/>
        </w:rPr>
        <w:instrText xml:space="preserve"> REF _Ref453590570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14</w:t>
      </w:r>
      <w:r w:rsidR="00B111C0">
        <w:rPr>
          <w:rFonts w:ascii="Calibri" w:eastAsia="Calibri" w:hAnsi="Calibri" w:cs="Times New Roman"/>
        </w:rPr>
        <w:fldChar w:fldCharType="end"/>
      </w:r>
      <w:r w:rsidRPr="00E6060C">
        <w:rPr>
          <w:rFonts w:ascii="Calibri" w:eastAsia="Calibri" w:hAnsi="Calibri" w:cs="Times New Roman"/>
        </w:rPr>
        <w:t>), with competence amongst the control group ag</w:t>
      </w:r>
      <w:r w:rsidR="00A63859">
        <w:rPr>
          <w:rFonts w:ascii="Calibri" w:eastAsia="Calibri" w:hAnsi="Calibri" w:cs="Times New Roman"/>
        </w:rPr>
        <w:t>ain scoring the highest values (</w:t>
      </w:r>
      <w:r w:rsidRPr="00E6060C">
        <w:rPr>
          <w:rFonts w:ascii="Calibri" w:eastAsia="Calibri" w:hAnsi="Calibri" w:cs="Times New Roman"/>
          <w:i/>
        </w:rPr>
        <w:t>skewness</w:t>
      </w:r>
      <w:r w:rsidR="00A63859">
        <w:rPr>
          <w:rFonts w:ascii="Calibri" w:eastAsia="Calibri" w:hAnsi="Calibri" w:cs="Times New Roman"/>
        </w:rPr>
        <w:t>=-2.29;</w:t>
      </w:r>
      <w:r w:rsidRPr="00E6060C">
        <w:rPr>
          <w:rFonts w:ascii="Calibri" w:eastAsia="Calibri" w:hAnsi="Calibri" w:cs="Times New Roman"/>
        </w:rPr>
        <w:t xml:space="preserve"> </w:t>
      </w:r>
      <w:r w:rsidRPr="00E6060C">
        <w:rPr>
          <w:rFonts w:ascii="Calibri" w:eastAsia="Calibri" w:hAnsi="Calibri" w:cs="Times New Roman"/>
          <w:i/>
        </w:rPr>
        <w:t>kurtosis</w:t>
      </w:r>
      <w:r w:rsidRPr="00E6060C">
        <w:rPr>
          <w:rFonts w:ascii="Calibri" w:eastAsia="Calibri" w:hAnsi="Calibri" w:cs="Times New Roman"/>
        </w:rPr>
        <w:t>= 7.5</w:t>
      </w:r>
      <w:r w:rsidR="00A63859">
        <w:rPr>
          <w:rFonts w:ascii="Calibri" w:eastAsia="Calibri" w:hAnsi="Calibri" w:cs="Times New Roman"/>
        </w:rPr>
        <w:t>)</w:t>
      </w:r>
      <w:r w:rsidRPr="00E6060C">
        <w:rPr>
          <w:rFonts w:ascii="Calibri" w:eastAsia="Calibri" w:hAnsi="Calibri" w:cs="Times New Roman"/>
        </w:rPr>
        <w:t xml:space="preserve">. This could be due to the low sample size in the control group (n=14).   </w:t>
      </w:r>
    </w:p>
    <w:p w14:paraId="7F3CCD17" w14:textId="77777777" w:rsidR="00E6060C" w:rsidRPr="00E6060C" w:rsidRDefault="00E6060C" w:rsidP="00E6060C">
      <w:pPr>
        <w:spacing w:after="200" w:line="360" w:lineRule="auto"/>
        <w:contextualSpacing/>
        <w:rPr>
          <w:rFonts w:ascii="Calibri" w:eastAsia="Calibri" w:hAnsi="Calibri" w:cs="Times New Roman"/>
        </w:rPr>
      </w:pPr>
    </w:p>
    <w:p w14:paraId="5A94F48C" w14:textId="5EAE07C3" w:rsidR="00E6060C" w:rsidRPr="00E6060C" w:rsidRDefault="00B111C0" w:rsidP="00E6060C">
      <w:pPr>
        <w:spacing w:after="200" w:line="360" w:lineRule="auto"/>
        <w:contextualSpacing/>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_Ref453590737 \h </w:instrText>
      </w:r>
      <w:r>
        <w:rPr>
          <w:rFonts w:ascii="Calibri" w:eastAsia="Calibri" w:hAnsi="Calibri" w:cs="Times New Roman"/>
        </w:rPr>
      </w:r>
      <w:r>
        <w:rPr>
          <w:rFonts w:ascii="Calibri" w:eastAsia="Calibri" w:hAnsi="Calibri" w:cs="Times New Roman"/>
        </w:rPr>
        <w:fldChar w:fldCharType="separate"/>
      </w:r>
      <w:r w:rsidR="00152F6D">
        <w:t xml:space="preserve">Table </w:t>
      </w:r>
      <w:r w:rsidR="00152F6D">
        <w:rPr>
          <w:noProof/>
        </w:rPr>
        <w:t>8</w:t>
      </w:r>
      <w:r w:rsidR="00152F6D">
        <w:t>.</w:t>
      </w:r>
      <w:r w:rsidR="00152F6D">
        <w:rPr>
          <w:noProof/>
        </w:rPr>
        <w:t>15</w:t>
      </w:r>
      <w:r>
        <w:rPr>
          <w:rFonts w:ascii="Calibri" w:eastAsia="Calibri" w:hAnsi="Calibri" w:cs="Times New Roman"/>
        </w:rPr>
        <w:fldChar w:fldCharType="end"/>
      </w:r>
      <w:r>
        <w:rPr>
          <w:rFonts w:ascii="Calibri" w:eastAsia="Calibri" w:hAnsi="Calibri" w:cs="Times New Roman"/>
        </w:rPr>
        <w:t xml:space="preserve"> </w:t>
      </w:r>
      <w:r w:rsidR="00E6060C" w:rsidRPr="00E6060C">
        <w:rPr>
          <w:rFonts w:ascii="Calibri" w:eastAsia="Calibri" w:hAnsi="Calibri" w:cs="Times New Roman"/>
        </w:rPr>
        <w:t>displays the bivariate Pearson’s correlations between the research variables and the demographic variable, job role (e.g. healthcare assistant, nurse, sister), for the matched sample (N=45) at Time 1 (below the diagonal)</w:t>
      </w:r>
      <w:r w:rsidR="00A63859">
        <w:rPr>
          <w:rFonts w:ascii="Calibri" w:eastAsia="Calibri" w:hAnsi="Calibri" w:cs="Times New Roman"/>
        </w:rPr>
        <w:t>,</w:t>
      </w:r>
      <w:r w:rsidR="00E6060C" w:rsidRPr="00E6060C">
        <w:rPr>
          <w:rFonts w:ascii="Calibri" w:eastAsia="Calibri" w:hAnsi="Calibri" w:cs="Times New Roman"/>
        </w:rPr>
        <w:t xml:space="preserve"> and Time 2 (above the diagonal). Role was included as it was entered as a control variable in analyses involving the matched sample. Viewing its correlations with the other research variables allows an assessment of its relationship with these other variables. However, as it is not an ordinal variable, it does not make sense to interpret the correlations, hence this has not been attempted here. At Time 1, the correlations ranged between </w:t>
      </w:r>
      <w:r w:rsidR="00E6060C" w:rsidRPr="00E6060C">
        <w:rPr>
          <w:rFonts w:ascii="Calibri" w:eastAsia="Calibri" w:hAnsi="Calibri" w:cs="Times New Roman"/>
          <w:i/>
        </w:rPr>
        <w:t>r=</w:t>
      </w:r>
      <w:r w:rsidR="00E6060C" w:rsidRPr="00E6060C">
        <w:rPr>
          <w:rFonts w:ascii="Calibri" w:eastAsia="Calibri" w:hAnsi="Calibri" w:cs="Times New Roman"/>
        </w:rPr>
        <w:t>&lt;</w:t>
      </w:r>
      <w:r w:rsidR="00E6060C" w:rsidRPr="00E6060C">
        <w:rPr>
          <w:rFonts w:ascii="Calibri" w:eastAsia="Calibri" w:hAnsi="Calibri" w:cs="Times New Roman"/>
          <w:i/>
        </w:rPr>
        <w:t>.</w:t>
      </w:r>
      <w:r w:rsidR="00E6060C" w:rsidRPr="00E6060C">
        <w:rPr>
          <w:rFonts w:ascii="Calibri" w:eastAsia="Calibri" w:hAnsi="Calibri" w:cs="Times New Roman"/>
        </w:rPr>
        <w:t xml:space="preserve">01, observed between role and low activation pleasant affect (reflective of ‘comfort’), and </w:t>
      </w:r>
      <w:r w:rsidR="00E6060C" w:rsidRPr="00E6060C">
        <w:rPr>
          <w:rFonts w:ascii="Calibri" w:eastAsia="Calibri" w:hAnsi="Calibri" w:cs="Times New Roman"/>
          <w:i/>
        </w:rPr>
        <w:t>r</w:t>
      </w:r>
      <w:r w:rsidR="00E6060C" w:rsidRPr="00E6060C">
        <w:rPr>
          <w:rFonts w:ascii="Calibri" w:eastAsia="Calibri" w:hAnsi="Calibri" w:cs="Times New Roman"/>
        </w:rPr>
        <w:t xml:space="preserve">=.78, observed between relatedness and autonomy. Similar to the correlations observed for the whole sample at Time 1, including the unmatched respondents (N=179, Table 8.7), autonomy was also strongly correlated with competence </w:t>
      </w:r>
      <w:r w:rsidR="001B5BAE">
        <w:rPr>
          <w:rFonts w:ascii="Calibri" w:eastAsia="Calibri" w:hAnsi="Calibri" w:cs="Times New Roman"/>
        </w:rPr>
        <w:t>(</w:t>
      </w:r>
      <w:r w:rsidR="00E6060C" w:rsidRPr="00E6060C">
        <w:rPr>
          <w:rFonts w:ascii="Calibri" w:eastAsia="Calibri" w:hAnsi="Calibri" w:cs="Times New Roman"/>
          <w:i/>
        </w:rPr>
        <w:t>r</w:t>
      </w:r>
      <w:r w:rsidR="00E6060C" w:rsidRPr="00E6060C">
        <w:rPr>
          <w:rFonts w:ascii="Calibri" w:eastAsia="Calibri" w:hAnsi="Calibri" w:cs="Times New Roman"/>
        </w:rPr>
        <w:t>=.76</w:t>
      </w:r>
      <w:r w:rsidR="001B5BAE">
        <w:rPr>
          <w:rFonts w:ascii="Calibri" w:eastAsia="Calibri" w:hAnsi="Calibri" w:cs="Times New Roman"/>
        </w:rPr>
        <w:t>), work engagement</w:t>
      </w:r>
      <w:r w:rsidR="00E6060C" w:rsidRPr="00E6060C">
        <w:rPr>
          <w:rFonts w:ascii="Calibri" w:eastAsia="Calibri" w:hAnsi="Calibri" w:cs="Times New Roman"/>
        </w:rPr>
        <w:t xml:space="preserve"> </w:t>
      </w:r>
      <w:r w:rsidR="001B5BAE">
        <w:rPr>
          <w:rFonts w:ascii="Calibri" w:eastAsia="Calibri" w:hAnsi="Calibri" w:cs="Times New Roman"/>
        </w:rPr>
        <w:t>(</w:t>
      </w:r>
      <w:r w:rsidR="00E6060C" w:rsidRPr="00E6060C">
        <w:rPr>
          <w:rFonts w:ascii="Calibri" w:eastAsia="Calibri" w:hAnsi="Calibri" w:cs="Times New Roman"/>
          <w:i/>
        </w:rPr>
        <w:t>r</w:t>
      </w:r>
      <w:r w:rsidR="00E6060C" w:rsidRPr="00E6060C">
        <w:rPr>
          <w:rFonts w:ascii="Calibri" w:eastAsia="Calibri" w:hAnsi="Calibri" w:cs="Times New Roman"/>
        </w:rPr>
        <w:t>=.64</w:t>
      </w:r>
      <w:r w:rsidR="001B5BAE">
        <w:rPr>
          <w:rFonts w:ascii="Calibri" w:eastAsia="Calibri" w:hAnsi="Calibri" w:cs="Times New Roman"/>
        </w:rPr>
        <w:t>)</w:t>
      </w:r>
      <w:r w:rsidR="00E6060C" w:rsidRPr="00E6060C">
        <w:rPr>
          <w:rFonts w:ascii="Calibri" w:eastAsia="Calibri" w:hAnsi="Calibri" w:cs="Times New Roman"/>
        </w:rPr>
        <w:t>, and high activation pleasant aff</w:t>
      </w:r>
      <w:r w:rsidR="001B5BAE">
        <w:rPr>
          <w:rFonts w:ascii="Calibri" w:eastAsia="Calibri" w:hAnsi="Calibri" w:cs="Times New Roman"/>
        </w:rPr>
        <w:t>ect (reflective of ‘enthusiasm’;</w:t>
      </w:r>
      <w:r w:rsidR="00E6060C" w:rsidRPr="00E6060C">
        <w:rPr>
          <w:rFonts w:ascii="Calibri" w:eastAsia="Calibri" w:hAnsi="Calibri" w:cs="Times New Roman"/>
        </w:rPr>
        <w:t xml:space="preserve"> </w:t>
      </w:r>
      <w:r w:rsidR="00E6060C" w:rsidRPr="00E6060C">
        <w:rPr>
          <w:rFonts w:ascii="Calibri" w:eastAsia="Calibri" w:hAnsi="Calibri" w:cs="Times New Roman"/>
          <w:i/>
        </w:rPr>
        <w:t>r</w:t>
      </w:r>
      <w:r w:rsidR="00E6060C" w:rsidRPr="00E6060C">
        <w:rPr>
          <w:rFonts w:ascii="Calibri" w:eastAsia="Calibri" w:hAnsi="Calibri" w:cs="Times New Roman"/>
        </w:rPr>
        <w:t>=.62</w:t>
      </w:r>
      <w:r w:rsidR="001B5BAE">
        <w:rPr>
          <w:rFonts w:ascii="Calibri" w:eastAsia="Calibri" w:hAnsi="Calibri" w:cs="Times New Roman"/>
        </w:rPr>
        <w:t>)</w:t>
      </w:r>
      <w:r w:rsidR="00E6060C" w:rsidRPr="00E6060C">
        <w:rPr>
          <w:rFonts w:ascii="Calibri" w:eastAsia="Calibri" w:hAnsi="Calibri" w:cs="Times New Roman"/>
        </w:rPr>
        <w:t xml:space="preserve">. At Time 2, a similar pattern of results emerged, with the weakest correlation being observed between role and one of the four </w:t>
      </w:r>
      <w:r w:rsidR="001D6140">
        <w:rPr>
          <w:rFonts w:ascii="Calibri" w:eastAsia="Calibri" w:hAnsi="Calibri" w:cs="Times New Roman"/>
        </w:rPr>
        <w:t>well-being</w:t>
      </w:r>
      <w:r w:rsidR="00E6060C" w:rsidRPr="00E6060C">
        <w:rPr>
          <w:rFonts w:ascii="Calibri" w:eastAsia="Calibri" w:hAnsi="Calibri" w:cs="Times New Roman"/>
        </w:rPr>
        <w:t xml:space="preserve"> scales, </w:t>
      </w:r>
      <w:r w:rsidR="001B5BAE">
        <w:rPr>
          <w:rFonts w:ascii="Calibri" w:eastAsia="Calibri" w:hAnsi="Calibri" w:cs="Times New Roman"/>
        </w:rPr>
        <w:t>high activation pleasant affect</w:t>
      </w:r>
      <w:r w:rsidR="00E6060C" w:rsidRPr="00E6060C">
        <w:rPr>
          <w:rFonts w:ascii="Calibri" w:eastAsia="Calibri" w:hAnsi="Calibri" w:cs="Times New Roman"/>
        </w:rPr>
        <w:t xml:space="preserve"> </w:t>
      </w:r>
      <w:r w:rsidR="001B5BAE">
        <w:rPr>
          <w:rFonts w:ascii="Calibri" w:eastAsia="Calibri" w:hAnsi="Calibri" w:cs="Times New Roman"/>
        </w:rPr>
        <w:t>(</w:t>
      </w:r>
      <w:r w:rsidR="00E6060C" w:rsidRPr="00E6060C">
        <w:rPr>
          <w:rFonts w:ascii="Calibri" w:eastAsia="Calibri" w:hAnsi="Calibri" w:cs="Times New Roman"/>
          <w:i/>
        </w:rPr>
        <w:t>r</w:t>
      </w:r>
      <w:r w:rsidR="00E6060C" w:rsidRPr="00E6060C">
        <w:rPr>
          <w:rFonts w:ascii="Calibri" w:eastAsia="Calibri" w:hAnsi="Calibri" w:cs="Times New Roman"/>
        </w:rPr>
        <w:t>=-.02</w:t>
      </w:r>
      <w:r w:rsidR="001B5BAE">
        <w:rPr>
          <w:rFonts w:ascii="Calibri" w:eastAsia="Calibri" w:hAnsi="Calibri" w:cs="Times New Roman"/>
        </w:rPr>
        <w:t>)</w:t>
      </w:r>
      <w:r w:rsidR="00E6060C" w:rsidRPr="00E6060C">
        <w:rPr>
          <w:rFonts w:ascii="Calibri" w:eastAsia="Calibri" w:hAnsi="Calibri" w:cs="Times New Roman"/>
        </w:rPr>
        <w:t xml:space="preserve">, and the strongest being observed </w:t>
      </w:r>
      <w:r w:rsidR="001B5BAE">
        <w:rPr>
          <w:rFonts w:ascii="Calibri" w:eastAsia="Calibri" w:hAnsi="Calibri" w:cs="Times New Roman"/>
        </w:rPr>
        <w:t>between autonomy and competence</w:t>
      </w:r>
      <w:r w:rsidR="00E6060C" w:rsidRPr="00E6060C">
        <w:rPr>
          <w:rFonts w:ascii="Calibri" w:eastAsia="Calibri" w:hAnsi="Calibri" w:cs="Times New Roman"/>
        </w:rPr>
        <w:t xml:space="preserve"> </w:t>
      </w:r>
      <w:r w:rsidR="001B5BAE">
        <w:rPr>
          <w:rFonts w:ascii="Calibri" w:eastAsia="Calibri" w:hAnsi="Calibri" w:cs="Times New Roman"/>
        </w:rPr>
        <w:t>(</w:t>
      </w:r>
      <w:r w:rsidR="00E6060C" w:rsidRPr="00E6060C">
        <w:rPr>
          <w:rFonts w:ascii="Calibri" w:eastAsia="Calibri" w:hAnsi="Calibri" w:cs="Times New Roman"/>
          <w:i/>
        </w:rPr>
        <w:t>r</w:t>
      </w:r>
      <w:r w:rsidR="00E6060C" w:rsidRPr="00E6060C">
        <w:rPr>
          <w:rFonts w:ascii="Calibri" w:eastAsia="Calibri" w:hAnsi="Calibri" w:cs="Times New Roman"/>
        </w:rPr>
        <w:t>=.64</w:t>
      </w:r>
      <w:r w:rsidR="001B5BAE">
        <w:rPr>
          <w:rFonts w:ascii="Calibri" w:eastAsia="Calibri" w:hAnsi="Calibri" w:cs="Times New Roman"/>
        </w:rPr>
        <w:t>)</w:t>
      </w:r>
      <w:r w:rsidR="00E6060C" w:rsidRPr="00E6060C">
        <w:rPr>
          <w:rFonts w:ascii="Calibri" w:eastAsia="Calibri" w:hAnsi="Calibri" w:cs="Times New Roman"/>
        </w:rPr>
        <w:t>. Autonomy was again stron</w:t>
      </w:r>
      <w:r w:rsidR="001B5BAE">
        <w:rPr>
          <w:rFonts w:ascii="Calibri" w:eastAsia="Calibri" w:hAnsi="Calibri" w:cs="Times New Roman"/>
        </w:rPr>
        <w:t>gly correlated with relatedness (</w:t>
      </w:r>
      <w:r w:rsidR="00E6060C" w:rsidRPr="00E6060C">
        <w:rPr>
          <w:rFonts w:ascii="Calibri" w:eastAsia="Calibri" w:hAnsi="Calibri" w:cs="Times New Roman"/>
          <w:i/>
        </w:rPr>
        <w:t>r</w:t>
      </w:r>
      <w:r w:rsidR="00E6060C" w:rsidRPr="00E6060C">
        <w:rPr>
          <w:rFonts w:ascii="Calibri" w:eastAsia="Calibri" w:hAnsi="Calibri" w:cs="Times New Roman"/>
        </w:rPr>
        <w:t>=.61</w:t>
      </w:r>
      <w:r w:rsidR="001B5BAE">
        <w:rPr>
          <w:rFonts w:ascii="Calibri" w:eastAsia="Calibri" w:hAnsi="Calibri" w:cs="Times New Roman"/>
        </w:rPr>
        <w:t>)</w:t>
      </w:r>
      <w:r w:rsidR="00E6060C" w:rsidRPr="00E6060C">
        <w:rPr>
          <w:rFonts w:ascii="Calibri" w:eastAsia="Calibri" w:hAnsi="Calibri" w:cs="Times New Roman"/>
        </w:rPr>
        <w:t xml:space="preserve">, but less strongly correlated with work engagement </w:t>
      </w:r>
      <w:r w:rsidR="001B5BAE">
        <w:rPr>
          <w:rFonts w:ascii="Calibri" w:eastAsia="Calibri" w:hAnsi="Calibri" w:cs="Times New Roman"/>
        </w:rPr>
        <w:t>(</w:t>
      </w:r>
      <w:r w:rsidR="00E6060C" w:rsidRPr="00E6060C">
        <w:rPr>
          <w:rFonts w:ascii="Calibri" w:eastAsia="Calibri" w:hAnsi="Calibri" w:cs="Times New Roman"/>
          <w:i/>
        </w:rPr>
        <w:t>r</w:t>
      </w:r>
      <w:r w:rsidR="00E6060C" w:rsidRPr="00E6060C">
        <w:rPr>
          <w:rFonts w:ascii="Calibri" w:eastAsia="Calibri" w:hAnsi="Calibri" w:cs="Times New Roman"/>
        </w:rPr>
        <w:t>=.40</w:t>
      </w:r>
      <w:r w:rsidR="001B5BAE">
        <w:rPr>
          <w:rFonts w:ascii="Calibri" w:eastAsia="Calibri" w:hAnsi="Calibri" w:cs="Times New Roman"/>
        </w:rPr>
        <w:t>)</w:t>
      </w:r>
      <w:r w:rsidR="00E6060C" w:rsidRPr="00E6060C">
        <w:rPr>
          <w:rFonts w:ascii="Calibri" w:eastAsia="Calibri" w:hAnsi="Calibri" w:cs="Times New Roman"/>
        </w:rPr>
        <w:t xml:space="preserve">, and high activation pleasant affect </w:t>
      </w:r>
      <w:r w:rsidR="001B5BAE">
        <w:rPr>
          <w:rFonts w:ascii="Calibri" w:eastAsia="Calibri" w:hAnsi="Calibri" w:cs="Times New Roman"/>
        </w:rPr>
        <w:t>(</w:t>
      </w:r>
      <w:r w:rsidR="00E6060C" w:rsidRPr="00E6060C">
        <w:rPr>
          <w:rFonts w:ascii="Calibri" w:eastAsia="Calibri" w:hAnsi="Calibri" w:cs="Times New Roman"/>
          <w:i/>
        </w:rPr>
        <w:t>r</w:t>
      </w:r>
      <w:r w:rsidR="00E6060C" w:rsidRPr="00E6060C">
        <w:rPr>
          <w:rFonts w:ascii="Calibri" w:eastAsia="Calibri" w:hAnsi="Calibri" w:cs="Times New Roman"/>
        </w:rPr>
        <w:t>=.50</w:t>
      </w:r>
      <w:r w:rsidR="001B5BAE">
        <w:rPr>
          <w:rFonts w:ascii="Calibri" w:eastAsia="Calibri" w:hAnsi="Calibri" w:cs="Times New Roman"/>
        </w:rPr>
        <w:t>)</w:t>
      </w:r>
      <w:r w:rsidR="00E6060C" w:rsidRPr="00E6060C">
        <w:rPr>
          <w:rFonts w:ascii="Calibri" w:eastAsia="Calibri" w:hAnsi="Calibri" w:cs="Times New Roman"/>
        </w:rPr>
        <w:t>. Despite some high correlations, particularly at Time 1, it is unlikely that any of the correlations are strong enough to pose an issue of multicollinearity which could violate the statistical assumptions of subsequent analyses using this dataset.</w:t>
      </w:r>
    </w:p>
    <w:p w14:paraId="225F95E7" w14:textId="77777777" w:rsidR="00E6060C" w:rsidRPr="00E6060C" w:rsidRDefault="00E6060C" w:rsidP="00E6060C">
      <w:pPr>
        <w:spacing w:after="200" w:line="360" w:lineRule="auto"/>
        <w:contextualSpacing/>
        <w:rPr>
          <w:rFonts w:ascii="Calibri" w:eastAsia="Calibri" w:hAnsi="Calibri" w:cs="Times New Roman"/>
        </w:rPr>
      </w:pPr>
    </w:p>
    <w:p w14:paraId="48068F9E" w14:textId="77777777" w:rsidR="00E6060C" w:rsidRPr="00E6060C" w:rsidRDefault="00E6060C" w:rsidP="00E6060C">
      <w:pPr>
        <w:spacing w:after="200" w:line="360" w:lineRule="auto"/>
        <w:contextualSpacing/>
        <w:rPr>
          <w:rFonts w:ascii="Calibri" w:eastAsia="Calibri" w:hAnsi="Calibri" w:cs="Times New Roman"/>
          <w:i/>
        </w:rPr>
      </w:pPr>
      <w:r w:rsidRPr="00E6060C">
        <w:rPr>
          <w:rFonts w:ascii="Calibri" w:eastAsia="Calibri" w:hAnsi="Calibri" w:cs="Times New Roman"/>
          <w:i/>
        </w:rPr>
        <w:t>Investigation of the differences between the control and intervention groups on the research variables at baseline</w:t>
      </w:r>
    </w:p>
    <w:p w14:paraId="3EC06BED" w14:textId="77777777" w:rsidR="00E6060C" w:rsidRPr="00E6060C" w:rsidRDefault="00E6060C" w:rsidP="00E6060C">
      <w:pPr>
        <w:spacing w:after="200" w:line="360" w:lineRule="auto"/>
        <w:contextualSpacing/>
        <w:rPr>
          <w:rFonts w:ascii="Calibri" w:eastAsia="Calibri" w:hAnsi="Calibri" w:cs="Times New Roman"/>
        </w:rPr>
      </w:pPr>
    </w:p>
    <w:p w14:paraId="76F94088" w14:textId="54F43C46"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Independent samples </w:t>
      </w:r>
      <w:r w:rsidRPr="00E6060C">
        <w:rPr>
          <w:rFonts w:ascii="Calibri" w:eastAsia="Calibri" w:hAnsi="Calibri" w:cs="Times New Roman"/>
          <w:i/>
        </w:rPr>
        <w:t>t</w:t>
      </w:r>
      <w:r w:rsidRPr="00E6060C">
        <w:rPr>
          <w:rFonts w:ascii="Calibri" w:eastAsia="Calibri" w:hAnsi="Calibri" w:cs="Times New Roman"/>
        </w:rPr>
        <w:t xml:space="preserve">-tests revealed that the mean of the control group was significantly lower </w:t>
      </w:r>
      <w:r w:rsidR="001B5BAE">
        <w:rPr>
          <w:rFonts w:ascii="Calibri" w:eastAsia="Calibri" w:hAnsi="Calibri" w:cs="Times New Roman"/>
        </w:rPr>
        <w:t>than the intervention group at T</w:t>
      </w:r>
      <w:r w:rsidRPr="00E6060C">
        <w:rPr>
          <w:rFonts w:ascii="Calibri" w:eastAsia="Calibri" w:hAnsi="Calibri" w:cs="Times New Roman"/>
        </w:rPr>
        <w:t>ime 1 on four of the variables (</w:t>
      </w:r>
      <w:r w:rsidR="00B111C0">
        <w:rPr>
          <w:rFonts w:ascii="Calibri" w:eastAsia="Calibri" w:hAnsi="Calibri" w:cs="Times New Roman"/>
        </w:rPr>
        <w:fldChar w:fldCharType="begin"/>
      </w:r>
      <w:r w:rsidR="00B111C0">
        <w:rPr>
          <w:rFonts w:ascii="Calibri" w:eastAsia="Calibri" w:hAnsi="Calibri" w:cs="Times New Roman"/>
        </w:rPr>
        <w:instrText xml:space="preserve"> REF _Ref453590759 \h </w:instrText>
      </w:r>
      <w:r w:rsidR="00B111C0">
        <w:rPr>
          <w:rFonts w:ascii="Calibri" w:eastAsia="Calibri" w:hAnsi="Calibri" w:cs="Times New Roman"/>
        </w:rPr>
      </w:r>
      <w:r w:rsidR="00B111C0">
        <w:rPr>
          <w:rFonts w:ascii="Calibri" w:eastAsia="Calibri" w:hAnsi="Calibri" w:cs="Times New Roman"/>
        </w:rPr>
        <w:fldChar w:fldCharType="separate"/>
      </w:r>
      <w:r w:rsidR="00152F6D">
        <w:t xml:space="preserve">Table </w:t>
      </w:r>
      <w:r w:rsidR="00152F6D">
        <w:rPr>
          <w:noProof/>
        </w:rPr>
        <w:t>8</w:t>
      </w:r>
      <w:r w:rsidR="00152F6D">
        <w:t>.</w:t>
      </w:r>
      <w:r w:rsidR="00152F6D">
        <w:rPr>
          <w:noProof/>
        </w:rPr>
        <w:t>16</w:t>
      </w:r>
      <w:r w:rsidR="00B111C0">
        <w:rPr>
          <w:rFonts w:ascii="Calibri" w:eastAsia="Calibri" w:hAnsi="Calibri" w:cs="Times New Roman"/>
        </w:rPr>
        <w:fldChar w:fldCharType="end"/>
      </w:r>
      <w:r w:rsidRPr="00E6060C">
        <w:rPr>
          <w:rFonts w:ascii="Calibri" w:eastAsia="Calibri" w:hAnsi="Calibri" w:cs="Times New Roman"/>
        </w:rPr>
        <w:t>): autonomy (equal var</w:t>
      </w:r>
      <w:r w:rsidR="00345254">
        <w:rPr>
          <w:rFonts w:ascii="Calibri" w:eastAsia="Calibri" w:hAnsi="Calibri" w:cs="Times New Roman"/>
        </w:rPr>
        <w:t>iances assumed, mean difference</w:t>
      </w:r>
      <w:r w:rsidRPr="00E6060C">
        <w:rPr>
          <w:rFonts w:ascii="Calibri" w:eastAsia="Calibri" w:hAnsi="Calibri" w:cs="Times New Roman"/>
        </w:rPr>
        <w:t xml:space="preserve">=-.54, </w:t>
      </w:r>
      <w:r w:rsidRPr="00E6060C">
        <w:rPr>
          <w:rFonts w:ascii="Calibri" w:eastAsia="Calibri" w:hAnsi="Calibri" w:cs="Times New Roman"/>
          <w:i/>
        </w:rPr>
        <w:t>t</w:t>
      </w:r>
      <w:r w:rsidRPr="00E6060C">
        <w:rPr>
          <w:rFonts w:ascii="Calibri" w:eastAsia="Calibri" w:hAnsi="Calibri" w:cs="Times New Roman"/>
        </w:rPr>
        <w:t xml:space="preserve">(43)=-2.33, </w:t>
      </w:r>
      <w:r w:rsidRPr="00E6060C">
        <w:rPr>
          <w:rFonts w:ascii="Calibri" w:eastAsia="Calibri" w:hAnsi="Calibri" w:cs="Times New Roman"/>
          <w:i/>
        </w:rPr>
        <w:t>p</w:t>
      </w:r>
      <w:r w:rsidRPr="00E6060C">
        <w:rPr>
          <w:rFonts w:ascii="Calibri" w:eastAsia="Calibri" w:hAnsi="Calibri" w:cs="Times New Roman"/>
        </w:rPr>
        <w:t>=.02), competence (equal var</w:t>
      </w:r>
      <w:r w:rsidR="00345254">
        <w:rPr>
          <w:rFonts w:ascii="Calibri" w:eastAsia="Calibri" w:hAnsi="Calibri" w:cs="Times New Roman"/>
        </w:rPr>
        <w:t>iances assumed, mean difference</w:t>
      </w:r>
      <w:r w:rsidRPr="00E6060C">
        <w:rPr>
          <w:rFonts w:ascii="Calibri" w:eastAsia="Calibri" w:hAnsi="Calibri" w:cs="Times New Roman"/>
        </w:rPr>
        <w:t xml:space="preserve">=-.77, </w:t>
      </w:r>
      <w:r w:rsidRPr="00E6060C">
        <w:rPr>
          <w:rFonts w:ascii="Calibri" w:eastAsia="Calibri" w:hAnsi="Calibri" w:cs="Times New Roman"/>
          <w:i/>
        </w:rPr>
        <w:t>t</w:t>
      </w:r>
      <w:r w:rsidRPr="00E6060C">
        <w:rPr>
          <w:rFonts w:ascii="Calibri" w:eastAsia="Calibri" w:hAnsi="Calibri" w:cs="Times New Roman"/>
        </w:rPr>
        <w:t xml:space="preserve">(42)=-3.07, </w:t>
      </w:r>
      <w:r w:rsidRPr="00E6060C">
        <w:rPr>
          <w:rFonts w:ascii="Calibri" w:eastAsia="Calibri" w:hAnsi="Calibri" w:cs="Times New Roman"/>
          <w:i/>
        </w:rPr>
        <w:t>p</w:t>
      </w:r>
      <w:r w:rsidRPr="00E6060C">
        <w:rPr>
          <w:rFonts w:ascii="Calibri" w:eastAsia="Calibri" w:hAnsi="Calibri" w:cs="Times New Roman"/>
        </w:rPr>
        <w:t xml:space="preserve">=&lt;.001), relatedness (equal variances assumed, mean </w:t>
      </w:r>
      <w:r w:rsidR="00345254">
        <w:rPr>
          <w:rFonts w:ascii="Calibri" w:eastAsia="Calibri" w:hAnsi="Calibri" w:cs="Times New Roman"/>
        </w:rPr>
        <w:lastRenderedPageBreak/>
        <w:t>difference</w:t>
      </w:r>
      <w:r w:rsidRPr="00E6060C">
        <w:rPr>
          <w:rFonts w:ascii="Calibri" w:eastAsia="Calibri" w:hAnsi="Calibri" w:cs="Times New Roman"/>
        </w:rPr>
        <w:t xml:space="preserve">=-.45, </w:t>
      </w:r>
      <w:r w:rsidRPr="00E6060C">
        <w:rPr>
          <w:rFonts w:ascii="Calibri" w:eastAsia="Calibri" w:hAnsi="Calibri" w:cs="Times New Roman"/>
          <w:i/>
        </w:rPr>
        <w:t>t</w:t>
      </w:r>
      <w:r w:rsidRPr="00E6060C">
        <w:rPr>
          <w:rFonts w:ascii="Calibri" w:eastAsia="Calibri" w:hAnsi="Calibri" w:cs="Times New Roman"/>
        </w:rPr>
        <w:t xml:space="preserve">(42)=-1.98, </w:t>
      </w:r>
      <w:r w:rsidRPr="00E6060C">
        <w:rPr>
          <w:rFonts w:ascii="Calibri" w:eastAsia="Calibri" w:hAnsi="Calibri" w:cs="Times New Roman"/>
          <w:i/>
        </w:rPr>
        <w:t>p</w:t>
      </w:r>
      <w:r w:rsidRPr="00E6060C">
        <w:rPr>
          <w:rFonts w:ascii="Calibri" w:eastAsia="Calibri" w:hAnsi="Calibri" w:cs="Times New Roman"/>
        </w:rPr>
        <w:t>=.05), and work engagement (equal varianc</w:t>
      </w:r>
      <w:r w:rsidR="00345254">
        <w:rPr>
          <w:rFonts w:ascii="Calibri" w:eastAsia="Calibri" w:hAnsi="Calibri" w:cs="Times New Roman"/>
        </w:rPr>
        <w:t>es not assumed, mean difference</w:t>
      </w:r>
      <w:r w:rsidRPr="00E6060C">
        <w:rPr>
          <w:rFonts w:ascii="Calibri" w:eastAsia="Calibri" w:hAnsi="Calibri" w:cs="Times New Roman"/>
        </w:rPr>
        <w:t xml:space="preserve">=-1.08, </w:t>
      </w:r>
      <w:r w:rsidRPr="00E6060C">
        <w:rPr>
          <w:rFonts w:ascii="Calibri" w:eastAsia="Calibri" w:hAnsi="Calibri" w:cs="Times New Roman"/>
          <w:i/>
        </w:rPr>
        <w:t>t</w:t>
      </w:r>
      <w:r w:rsidRPr="00E6060C">
        <w:rPr>
          <w:rFonts w:ascii="Calibri" w:eastAsia="Calibri" w:hAnsi="Calibri" w:cs="Times New Roman"/>
        </w:rPr>
        <w:t xml:space="preserve">(15.88)=-2.39, </w:t>
      </w:r>
      <w:r w:rsidRPr="00E6060C">
        <w:rPr>
          <w:rFonts w:ascii="Calibri" w:eastAsia="Calibri" w:hAnsi="Calibri" w:cs="Times New Roman"/>
          <w:i/>
        </w:rPr>
        <w:t>p</w:t>
      </w:r>
      <w:r w:rsidRPr="00E6060C">
        <w:rPr>
          <w:rFonts w:ascii="Calibri" w:eastAsia="Calibri" w:hAnsi="Calibri" w:cs="Times New Roman"/>
        </w:rPr>
        <w:t xml:space="preserve">=.03). These statistically significant differences could indicate a biased sample but could also be related to the particularly small sample size in the control group, which decreases the robustness of the results.  </w:t>
      </w:r>
    </w:p>
    <w:p w14:paraId="532D8EA7" w14:textId="77777777" w:rsidR="00E6060C" w:rsidRPr="00E6060C" w:rsidRDefault="00E6060C" w:rsidP="00E6060C">
      <w:pPr>
        <w:spacing w:after="200" w:line="360" w:lineRule="auto"/>
        <w:contextualSpacing/>
        <w:rPr>
          <w:rFonts w:ascii="Calibri" w:eastAsia="Calibri" w:hAnsi="Calibri" w:cs="Times New Roman"/>
        </w:rPr>
      </w:pPr>
    </w:p>
    <w:p w14:paraId="15C67037" w14:textId="7118E446"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In summary, the results of independent samples </w:t>
      </w:r>
      <w:r w:rsidRPr="00E6060C">
        <w:rPr>
          <w:rFonts w:ascii="Calibri" w:eastAsia="Calibri" w:hAnsi="Calibri" w:cs="Times New Roman"/>
          <w:i/>
        </w:rPr>
        <w:t>t</w:t>
      </w:r>
      <w:r w:rsidRPr="00E6060C">
        <w:rPr>
          <w:rFonts w:ascii="Calibri" w:eastAsia="Calibri" w:hAnsi="Calibri" w:cs="Times New Roman"/>
        </w:rPr>
        <w:t>-tests</w:t>
      </w:r>
      <w:r w:rsidRPr="00E6060C">
        <w:rPr>
          <w:rFonts w:ascii="Calibri" w:eastAsia="Calibri" w:hAnsi="Calibri" w:cs="Times New Roman"/>
          <w:i/>
        </w:rPr>
        <w:t xml:space="preserve"> </w:t>
      </w:r>
      <w:r w:rsidRPr="00E6060C">
        <w:rPr>
          <w:rFonts w:ascii="Calibri" w:eastAsia="Calibri" w:hAnsi="Calibri" w:cs="Times New Roman"/>
        </w:rPr>
        <w:t>suggest that there were significant differences between the control and intervention groups at Time 1 in terms of each of the three basic needs, autonomy, competence, and relatedness, and work engagement. The potential for these differences to bias results should be taken into account if using these variables in analyses investigating the effectiveness of the intervention using the matched data. However, this was not one of the aims of this study, hence these differences are not important here. Descriptive statistics revealed that these same variables also demonstrated some deviation from the normal distribution, particularly amongst the control group. This deviation was not considered large enough to be of concern to the robustness of further analyses, however. In addition, the small sample size that these results are based on reduces confidence in these results, hence</w:t>
      </w:r>
      <w:r w:rsidR="001B5BAE">
        <w:rPr>
          <w:rFonts w:ascii="Calibri" w:eastAsia="Calibri" w:hAnsi="Calibri" w:cs="Times New Roman"/>
        </w:rPr>
        <w:t>,</w:t>
      </w:r>
      <w:r w:rsidRPr="00E6060C">
        <w:rPr>
          <w:rFonts w:ascii="Calibri" w:eastAsia="Calibri" w:hAnsi="Calibri" w:cs="Times New Roman"/>
        </w:rPr>
        <w:t xml:space="preserve"> while of note, these findings are not of any considerable concern.    </w:t>
      </w:r>
    </w:p>
    <w:p w14:paraId="78CBB5C2" w14:textId="77777777" w:rsidR="00E6060C" w:rsidRPr="00E6060C" w:rsidRDefault="00E6060C" w:rsidP="00E6060C">
      <w:pPr>
        <w:spacing w:after="200" w:line="360" w:lineRule="auto"/>
        <w:contextualSpacing/>
        <w:rPr>
          <w:rFonts w:ascii="Calibri" w:eastAsia="Calibri" w:hAnsi="Calibri" w:cs="Times New Roman"/>
          <w:i/>
        </w:rPr>
      </w:pPr>
    </w:p>
    <w:p w14:paraId="3A08D421" w14:textId="77777777" w:rsidR="00E6060C" w:rsidRPr="00E6060C" w:rsidRDefault="00E6060C" w:rsidP="00E6060C">
      <w:pPr>
        <w:spacing w:after="200" w:line="276" w:lineRule="auto"/>
        <w:rPr>
          <w:rFonts w:ascii="Calibri" w:eastAsia="Calibri" w:hAnsi="Calibri" w:cs="Times New Roman"/>
        </w:rPr>
      </w:pPr>
      <w:r w:rsidRPr="00E6060C">
        <w:rPr>
          <w:rFonts w:ascii="Calibri" w:eastAsia="Calibri" w:hAnsi="Calibri" w:cs="Times New Roman"/>
        </w:rPr>
        <w:br w:type="page"/>
      </w:r>
    </w:p>
    <w:p w14:paraId="7FBECB2E" w14:textId="77777777" w:rsidR="00E6060C" w:rsidRPr="00E6060C" w:rsidRDefault="00E6060C" w:rsidP="00E6060C">
      <w:pPr>
        <w:spacing w:after="200" w:line="360" w:lineRule="auto"/>
        <w:contextualSpacing/>
        <w:rPr>
          <w:rFonts w:ascii="Calibri" w:eastAsia="Calibri" w:hAnsi="Calibri" w:cs="Times New Roman"/>
        </w:rPr>
        <w:sectPr w:rsidR="00E6060C" w:rsidRPr="00E6060C" w:rsidSect="005B1A3C">
          <w:footerReference w:type="first" r:id="rId38"/>
          <w:pgSz w:w="11906" w:h="16838"/>
          <w:pgMar w:top="1440" w:right="1440" w:bottom="1440" w:left="1440" w:header="709" w:footer="709" w:gutter="0"/>
          <w:cols w:space="708"/>
          <w:titlePg/>
          <w:docGrid w:linePitch="360"/>
        </w:sectPr>
      </w:pPr>
    </w:p>
    <w:p w14:paraId="37C1AD70" w14:textId="6D931455" w:rsidR="00842587" w:rsidRDefault="00842587" w:rsidP="005852AD">
      <w:pPr>
        <w:pStyle w:val="Figurestyle"/>
      </w:pPr>
      <w:bookmarkStart w:id="428" w:name="_Ref453590470"/>
      <w:bookmarkStart w:id="429" w:name="_Toc468286086"/>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12</w:t>
      </w:r>
      <w:r w:rsidR="00245D68">
        <w:rPr>
          <w:noProof/>
        </w:rPr>
        <w:fldChar w:fldCharType="end"/>
      </w:r>
      <w:bookmarkEnd w:id="428"/>
      <w:r>
        <w:t xml:space="preserve"> </w:t>
      </w:r>
      <w:r w:rsidRPr="0063731A">
        <w:t xml:space="preserve">Descriptive statistics for the whole sample (including both intervention &amp; control groups) at Time 1 and </w:t>
      </w:r>
      <w:r w:rsidR="001B5BAE">
        <w:t xml:space="preserve">Time </w:t>
      </w:r>
      <w:r w:rsidRPr="0063731A">
        <w:t>2 (N=45)</w:t>
      </w:r>
      <w:bookmarkEnd w:id="429"/>
    </w:p>
    <w:p w14:paraId="05AD8137" w14:textId="77777777" w:rsidR="00842587" w:rsidRDefault="00842587" w:rsidP="005852AD">
      <w:pPr>
        <w:pStyle w:val="Figurestyle"/>
      </w:pPr>
    </w:p>
    <w:tbl>
      <w:tblPr>
        <w:tblW w:w="13416" w:type="dxa"/>
        <w:tblLook w:val="04A0" w:firstRow="1" w:lastRow="0" w:firstColumn="1" w:lastColumn="0" w:noHBand="0" w:noVBand="1"/>
      </w:tblPr>
      <w:tblGrid>
        <w:gridCol w:w="2122"/>
        <w:gridCol w:w="531"/>
        <w:gridCol w:w="536"/>
        <w:gridCol w:w="901"/>
        <w:gridCol w:w="607"/>
        <w:gridCol w:w="707"/>
        <w:gridCol w:w="607"/>
        <w:gridCol w:w="733"/>
        <w:gridCol w:w="607"/>
        <w:gridCol w:w="867"/>
        <w:gridCol w:w="607"/>
        <w:gridCol w:w="867"/>
        <w:gridCol w:w="739"/>
        <w:gridCol w:w="751"/>
        <w:gridCol w:w="712"/>
        <w:gridCol w:w="692"/>
        <w:gridCol w:w="830"/>
      </w:tblGrid>
      <w:tr w:rsidR="00E6060C" w:rsidRPr="00E6060C" w14:paraId="46DC034F" w14:textId="77777777" w:rsidTr="005852AD">
        <w:trPr>
          <w:trHeight w:val="286"/>
        </w:trPr>
        <w:tc>
          <w:tcPr>
            <w:tcW w:w="2122" w:type="dxa"/>
            <w:vMerge w:val="restart"/>
            <w:tcBorders>
              <w:top w:val="single" w:sz="4" w:space="0" w:color="auto"/>
            </w:tcBorders>
            <w:shd w:val="clear" w:color="auto" w:fill="auto"/>
            <w:hideMark/>
          </w:tcPr>
          <w:p w14:paraId="56857E2B"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067" w:type="dxa"/>
            <w:gridSpan w:val="2"/>
            <w:tcBorders>
              <w:top w:val="single" w:sz="4" w:space="0" w:color="auto"/>
              <w:bottom w:val="single" w:sz="4" w:space="0" w:color="auto"/>
            </w:tcBorders>
            <w:shd w:val="clear" w:color="auto" w:fill="auto"/>
            <w:vAlign w:val="center"/>
            <w:hideMark/>
          </w:tcPr>
          <w:p w14:paraId="5A461DE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508" w:type="dxa"/>
            <w:gridSpan w:val="2"/>
            <w:tcBorders>
              <w:top w:val="single" w:sz="4" w:space="0" w:color="auto"/>
              <w:bottom w:val="single" w:sz="4" w:space="0" w:color="auto"/>
            </w:tcBorders>
            <w:shd w:val="clear" w:color="auto" w:fill="auto"/>
            <w:vAlign w:val="center"/>
            <w:hideMark/>
          </w:tcPr>
          <w:p w14:paraId="4EF5E675" w14:textId="77777777" w:rsidR="00E6060C" w:rsidRPr="00E6060C" w:rsidRDefault="00E6060C" w:rsidP="00E6060C">
            <w:pPr>
              <w:spacing w:line="240" w:lineRule="auto"/>
              <w:jc w:val="center"/>
              <w:rPr>
                <w:rFonts w:ascii="Calibri" w:eastAsia="Times New Roman" w:hAnsi="Calibri" w:cs="Times New Roman"/>
                <w:b/>
                <w:bCs/>
                <w:i/>
                <w:color w:val="000000"/>
                <w:vertAlign w:val="superscript"/>
                <w:lang w:eastAsia="en-GB"/>
              </w:rPr>
            </w:pPr>
            <w:r w:rsidRPr="00E6060C">
              <w:rPr>
                <w:rFonts w:ascii="Calibri" w:eastAsia="Times New Roman" w:hAnsi="Calibri" w:cs="Times New Roman"/>
                <w:b/>
                <w:bCs/>
                <w:i/>
                <w:color w:val="000000"/>
                <w:lang w:eastAsia="en-GB"/>
              </w:rPr>
              <w:t>M</w:t>
            </w:r>
          </w:p>
        </w:tc>
        <w:tc>
          <w:tcPr>
            <w:tcW w:w="1314" w:type="dxa"/>
            <w:gridSpan w:val="2"/>
            <w:tcBorders>
              <w:top w:val="single" w:sz="4" w:space="0" w:color="auto"/>
              <w:bottom w:val="single" w:sz="4" w:space="0" w:color="auto"/>
            </w:tcBorders>
            <w:shd w:val="clear" w:color="auto" w:fill="auto"/>
            <w:vAlign w:val="center"/>
            <w:hideMark/>
          </w:tcPr>
          <w:p w14:paraId="4A96F18B"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2"/>
            <w:tcBorders>
              <w:top w:val="single" w:sz="4" w:space="0" w:color="auto"/>
              <w:bottom w:val="single" w:sz="4" w:space="0" w:color="auto"/>
            </w:tcBorders>
            <w:shd w:val="clear" w:color="auto" w:fill="auto"/>
            <w:vAlign w:val="center"/>
            <w:hideMark/>
          </w:tcPr>
          <w:p w14:paraId="1BBD2F93"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474" w:type="dxa"/>
            <w:gridSpan w:val="2"/>
            <w:tcBorders>
              <w:top w:val="single" w:sz="4" w:space="0" w:color="auto"/>
              <w:bottom w:val="single" w:sz="4" w:space="0" w:color="auto"/>
            </w:tcBorders>
            <w:shd w:val="clear" w:color="auto" w:fill="auto"/>
            <w:vAlign w:val="center"/>
            <w:hideMark/>
          </w:tcPr>
          <w:p w14:paraId="43D6D83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606" w:type="dxa"/>
            <w:gridSpan w:val="2"/>
            <w:tcBorders>
              <w:top w:val="single" w:sz="4" w:space="0" w:color="auto"/>
              <w:bottom w:val="single" w:sz="4" w:space="0" w:color="auto"/>
            </w:tcBorders>
            <w:shd w:val="clear" w:color="auto" w:fill="auto"/>
            <w:vAlign w:val="center"/>
            <w:hideMark/>
          </w:tcPr>
          <w:p w14:paraId="2431B09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3" w:type="dxa"/>
            <w:gridSpan w:val="2"/>
            <w:tcBorders>
              <w:top w:val="single" w:sz="4" w:space="0" w:color="auto"/>
              <w:bottom w:val="single" w:sz="4" w:space="0" w:color="auto"/>
            </w:tcBorders>
            <w:shd w:val="clear" w:color="auto" w:fill="auto"/>
            <w:vAlign w:val="center"/>
            <w:hideMark/>
          </w:tcPr>
          <w:p w14:paraId="214F647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522" w:type="dxa"/>
            <w:gridSpan w:val="2"/>
            <w:tcBorders>
              <w:top w:val="single" w:sz="4" w:space="0" w:color="auto"/>
              <w:bottom w:val="single" w:sz="4" w:space="0" w:color="auto"/>
            </w:tcBorders>
            <w:shd w:val="clear" w:color="auto" w:fill="auto"/>
            <w:vAlign w:val="center"/>
            <w:hideMark/>
          </w:tcPr>
          <w:p w14:paraId="7DCD44F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65D75161" w14:textId="77777777" w:rsidTr="005852AD">
        <w:trPr>
          <w:trHeight w:val="286"/>
        </w:trPr>
        <w:tc>
          <w:tcPr>
            <w:tcW w:w="2122" w:type="dxa"/>
            <w:vMerge/>
            <w:tcBorders>
              <w:bottom w:val="single" w:sz="4" w:space="0" w:color="auto"/>
            </w:tcBorders>
            <w:shd w:val="clear" w:color="auto" w:fill="auto"/>
            <w:vAlign w:val="center"/>
            <w:hideMark/>
          </w:tcPr>
          <w:p w14:paraId="0177DB7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531" w:type="dxa"/>
            <w:tcBorders>
              <w:top w:val="single" w:sz="4" w:space="0" w:color="auto"/>
              <w:bottom w:val="single" w:sz="4" w:space="0" w:color="auto"/>
            </w:tcBorders>
            <w:shd w:val="clear" w:color="auto" w:fill="auto"/>
            <w:vAlign w:val="center"/>
            <w:hideMark/>
          </w:tcPr>
          <w:p w14:paraId="6E2B686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536" w:type="dxa"/>
            <w:tcBorders>
              <w:top w:val="single" w:sz="4" w:space="0" w:color="auto"/>
              <w:bottom w:val="single" w:sz="4" w:space="0" w:color="auto"/>
            </w:tcBorders>
            <w:shd w:val="clear" w:color="auto" w:fill="D9D9D9"/>
            <w:vAlign w:val="center"/>
          </w:tcPr>
          <w:p w14:paraId="1251212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901" w:type="dxa"/>
            <w:tcBorders>
              <w:top w:val="single" w:sz="4" w:space="0" w:color="auto"/>
              <w:bottom w:val="single" w:sz="4" w:space="0" w:color="auto"/>
            </w:tcBorders>
            <w:shd w:val="clear" w:color="auto" w:fill="auto"/>
            <w:vAlign w:val="center"/>
            <w:hideMark/>
          </w:tcPr>
          <w:p w14:paraId="4D7152D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0F84107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07" w:type="dxa"/>
            <w:tcBorders>
              <w:top w:val="single" w:sz="4" w:space="0" w:color="auto"/>
              <w:bottom w:val="single" w:sz="4" w:space="0" w:color="auto"/>
            </w:tcBorders>
            <w:shd w:val="clear" w:color="auto" w:fill="auto"/>
            <w:vAlign w:val="center"/>
            <w:hideMark/>
          </w:tcPr>
          <w:p w14:paraId="5878A9E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281BDD3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33" w:type="dxa"/>
            <w:tcBorders>
              <w:top w:val="single" w:sz="4" w:space="0" w:color="auto"/>
              <w:bottom w:val="single" w:sz="4" w:space="0" w:color="auto"/>
            </w:tcBorders>
            <w:shd w:val="clear" w:color="auto" w:fill="auto"/>
            <w:vAlign w:val="center"/>
            <w:hideMark/>
          </w:tcPr>
          <w:p w14:paraId="5003357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2626FAF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67" w:type="dxa"/>
            <w:tcBorders>
              <w:top w:val="single" w:sz="4" w:space="0" w:color="auto"/>
              <w:bottom w:val="single" w:sz="4" w:space="0" w:color="auto"/>
            </w:tcBorders>
            <w:shd w:val="clear" w:color="auto" w:fill="auto"/>
            <w:vAlign w:val="center"/>
            <w:hideMark/>
          </w:tcPr>
          <w:p w14:paraId="40758175"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76F44F2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67" w:type="dxa"/>
            <w:tcBorders>
              <w:top w:val="single" w:sz="4" w:space="0" w:color="auto"/>
              <w:bottom w:val="single" w:sz="4" w:space="0" w:color="auto"/>
            </w:tcBorders>
            <w:shd w:val="clear" w:color="auto" w:fill="auto"/>
            <w:vAlign w:val="center"/>
            <w:hideMark/>
          </w:tcPr>
          <w:p w14:paraId="158D695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39" w:type="dxa"/>
            <w:tcBorders>
              <w:top w:val="single" w:sz="4" w:space="0" w:color="auto"/>
              <w:bottom w:val="single" w:sz="4" w:space="0" w:color="auto"/>
            </w:tcBorders>
            <w:shd w:val="clear" w:color="auto" w:fill="D9D9D9"/>
            <w:vAlign w:val="center"/>
          </w:tcPr>
          <w:p w14:paraId="6D0F87F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51" w:type="dxa"/>
            <w:tcBorders>
              <w:top w:val="single" w:sz="4" w:space="0" w:color="auto"/>
              <w:bottom w:val="single" w:sz="4" w:space="0" w:color="auto"/>
            </w:tcBorders>
            <w:shd w:val="clear" w:color="auto" w:fill="auto"/>
            <w:vAlign w:val="center"/>
            <w:hideMark/>
          </w:tcPr>
          <w:p w14:paraId="07E032F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12" w:type="dxa"/>
            <w:tcBorders>
              <w:top w:val="single" w:sz="4" w:space="0" w:color="auto"/>
              <w:bottom w:val="single" w:sz="4" w:space="0" w:color="auto"/>
            </w:tcBorders>
            <w:shd w:val="clear" w:color="auto" w:fill="D9D9D9"/>
            <w:vAlign w:val="center"/>
          </w:tcPr>
          <w:p w14:paraId="3F105A4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692" w:type="dxa"/>
            <w:tcBorders>
              <w:top w:val="single" w:sz="4" w:space="0" w:color="auto"/>
              <w:bottom w:val="single" w:sz="4" w:space="0" w:color="auto"/>
            </w:tcBorders>
            <w:shd w:val="clear" w:color="auto" w:fill="auto"/>
            <w:vAlign w:val="center"/>
            <w:hideMark/>
          </w:tcPr>
          <w:p w14:paraId="7164AEE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830" w:type="dxa"/>
            <w:tcBorders>
              <w:top w:val="single" w:sz="4" w:space="0" w:color="auto"/>
              <w:bottom w:val="single" w:sz="4" w:space="0" w:color="auto"/>
            </w:tcBorders>
            <w:shd w:val="clear" w:color="auto" w:fill="D9D9D9"/>
            <w:vAlign w:val="center"/>
          </w:tcPr>
          <w:p w14:paraId="3E97EFC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r>
      <w:tr w:rsidR="00E6060C" w:rsidRPr="00E6060C" w14:paraId="6BD7AD8A" w14:textId="77777777" w:rsidTr="005852AD">
        <w:trPr>
          <w:trHeight w:val="482"/>
        </w:trPr>
        <w:tc>
          <w:tcPr>
            <w:tcW w:w="2122" w:type="dxa"/>
            <w:tcBorders>
              <w:top w:val="single" w:sz="4" w:space="0" w:color="auto"/>
            </w:tcBorders>
            <w:shd w:val="clear" w:color="auto" w:fill="auto"/>
            <w:vAlign w:val="center"/>
          </w:tcPr>
          <w:p w14:paraId="1059E22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Colleague support</w:t>
            </w:r>
          </w:p>
        </w:tc>
        <w:tc>
          <w:tcPr>
            <w:tcW w:w="531" w:type="dxa"/>
            <w:tcBorders>
              <w:top w:val="nil"/>
              <w:left w:val="nil"/>
              <w:bottom w:val="nil"/>
              <w:right w:val="nil"/>
            </w:tcBorders>
            <w:shd w:val="clear" w:color="auto" w:fill="auto"/>
            <w:noWrap/>
            <w:vAlign w:val="center"/>
          </w:tcPr>
          <w:p w14:paraId="634521C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536" w:type="dxa"/>
            <w:tcBorders>
              <w:top w:val="nil"/>
              <w:left w:val="nil"/>
              <w:bottom w:val="nil"/>
              <w:right w:val="nil"/>
            </w:tcBorders>
            <w:shd w:val="clear" w:color="auto" w:fill="D9D9D9"/>
            <w:vAlign w:val="center"/>
          </w:tcPr>
          <w:p w14:paraId="6E2D603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w:t>
            </w:r>
          </w:p>
        </w:tc>
        <w:tc>
          <w:tcPr>
            <w:tcW w:w="901" w:type="dxa"/>
            <w:tcBorders>
              <w:top w:val="nil"/>
              <w:left w:val="nil"/>
              <w:bottom w:val="nil"/>
              <w:right w:val="nil"/>
            </w:tcBorders>
            <w:shd w:val="clear" w:color="auto" w:fill="auto"/>
            <w:noWrap/>
            <w:vAlign w:val="center"/>
          </w:tcPr>
          <w:p w14:paraId="5DD16CD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3.85</w:t>
            </w:r>
          </w:p>
        </w:tc>
        <w:tc>
          <w:tcPr>
            <w:tcW w:w="607" w:type="dxa"/>
            <w:tcBorders>
              <w:top w:val="nil"/>
              <w:left w:val="nil"/>
              <w:bottom w:val="nil"/>
              <w:right w:val="nil"/>
            </w:tcBorders>
            <w:shd w:val="clear" w:color="auto" w:fill="D9D9D9"/>
            <w:vAlign w:val="center"/>
          </w:tcPr>
          <w:p w14:paraId="4649FB0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707" w:type="dxa"/>
            <w:tcBorders>
              <w:top w:val="nil"/>
              <w:left w:val="nil"/>
              <w:bottom w:val="nil"/>
              <w:right w:val="nil"/>
            </w:tcBorders>
            <w:shd w:val="clear" w:color="auto" w:fill="auto"/>
            <w:noWrap/>
            <w:vAlign w:val="center"/>
          </w:tcPr>
          <w:p w14:paraId="1F3023D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.91</w:t>
            </w:r>
          </w:p>
        </w:tc>
        <w:tc>
          <w:tcPr>
            <w:tcW w:w="607" w:type="dxa"/>
            <w:tcBorders>
              <w:top w:val="nil"/>
              <w:left w:val="nil"/>
              <w:bottom w:val="nil"/>
              <w:right w:val="nil"/>
            </w:tcBorders>
            <w:shd w:val="clear" w:color="auto" w:fill="D9D9D9"/>
            <w:vAlign w:val="center"/>
          </w:tcPr>
          <w:p w14:paraId="14DBE95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.84</w:t>
            </w:r>
          </w:p>
        </w:tc>
        <w:tc>
          <w:tcPr>
            <w:tcW w:w="733" w:type="dxa"/>
            <w:tcBorders>
              <w:top w:val="nil"/>
              <w:left w:val="nil"/>
              <w:bottom w:val="nil"/>
              <w:right w:val="nil"/>
            </w:tcBorders>
            <w:shd w:val="clear" w:color="auto" w:fill="auto"/>
            <w:noWrap/>
            <w:vAlign w:val="center"/>
          </w:tcPr>
          <w:p w14:paraId="539285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w:t>
            </w:r>
          </w:p>
        </w:tc>
        <w:tc>
          <w:tcPr>
            <w:tcW w:w="607" w:type="dxa"/>
            <w:tcBorders>
              <w:top w:val="nil"/>
              <w:left w:val="nil"/>
              <w:bottom w:val="nil"/>
              <w:right w:val="nil"/>
            </w:tcBorders>
            <w:shd w:val="clear" w:color="auto" w:fill="D9D9D9"/>
            <w:vAlign w:val="center"/>
          </w:tcPr>
          <w:p w14:paraId="3720ADA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w:t>
            </w:r>
          </w:p>
        </w:tc>
        <w:tc>
          <w:tcPr>
            <w:tcW w:w="867" w:type="dxa"/>
            <w:tcBorders>
              <w:top w:val="nil"/>
              <w:left w:val="nil"/>
              <w:bottom w:val="nil"/>
              <w:right w:val="nil"/>
            </w:tcBorders>
            <w:shd w:val="clear" w:color="auto" w:fill="auto"/>
            <w:noWrap/>
            <w:vAlign w:val="center"/>
          </w:tcPr>
          <w:p w14:paraId="7BB28FE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1.67</w:t>
            </w:r>
          </w:p>
        </w:tc>
        <w:tc>
          <w:tcPr>
            <w:tcW w:w="607" w:type="dxa"/>
            <w:tcBorders>
              <w:top w:val="nil"/>
              <w:left w:val="nil"/>
              <w:bottom w:val="nil"/>
              <w:right w:val="nil"/>
            </w:tcBorders>
            <w:shd w:val="clear" w:color="auto" w:fill="D9D9D9"/>
            <w:vAlign w:val="center"/>
          </w:tcPr>
          <w:p w14:paraId="0C4829A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867" w:type="dxa"/>
            <w:tcBorders>
              <w:top w:val="nil"/>
              <w:left w:val="nil"/>
              <w:bottom w:val="nil"/>
              <w:right w:val="nil"/>
            </w:tcBorders>
            <w:shd w:val="clear" w:color="auto" w:fill="auto"/>
            <w:noWrap/>
            <w:vAlign w:val="center"/>
          </w:tcPr>
          <w:p w14:paraId="47739CB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39" w:type="dxa"/>
            <w:tcBorders>
              <w:top w:val="nil"/>
              <w:left w:val="nil"/>
              <w:bottom w:val="nil"/>
              <w:right w:val="nil"/>
            </w:tcBorders>
            <w:shd w:val="clear" w:color="auto" w:fill="D9D9D9"/>
            <w:vAlign w:val="center"/>
          </w:tcPr>
          <w:p w14:paraId="394F6A7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tcBorders>
              <w:top w:val="nil"/>
              <w:left w:val="nil"/>
              <w:bottom w:val="nil"/>
              <w:right w:val="nil"/>
            </w:tcBorders>
            <w:shd w:val="clear" w:color="auto" w:fill="auto"/>
            <w:vAlign w:val="center"/>
          </w:tcPr>
          <w:p w14:paraId="36B48FE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-.81</w:t>
            </w:r>
          </w:p>
        </w:tc>
        <w:tc>
          <w:tcPr>
            <w:tcW w:w="712" w:type="dxa"/>
            <w:tcBorders>
              <w:top w:val="nil"/>
              <w:left w:val="nil"/>
              <w:bottom w:val="nil"/>
              <w:right w:val="nil"/>
            </w:tcBorders>
            <w:shd w:val="clear" w:color="auto" w:fill="D9D9D9"/>
            <w:vAlign w:val="center"/>
          </w:tcPr>
          <w:p w14:paraId="48026D7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-.81</w:t>
            </w:r>
          </w:p>
        </w:tc>
        <w:tc>
          <w:tcPr>
            <w:tcW w:w="692" w:type="dxa"/>
            <w:tcBorders>
              <w:top w:val="nil"/>
              <w:left w:val="nil"/>
              <w:bottom w:val="nil"/>
              <w:right w:val="nil"/>
            </w:tcBorders>
            <w:shd w:val="clear" w:color="auto" w:fill="auto"/>
            <w:vAlign w:val="center"/>
          </w:tcPr>
          <w:p w14:paraId="202F0797" w14:textId="77777777" w:rsidR="00E6060C" w:rsidRPr="00E6060C" w:rsidRDefault="00E6060C" w:rsidP="00E6060C">
            <w:pPr>
              <w:spacing w:line="240" w:lineRule="auto"/>
              <w:jc w:val="center"/>
              <w:rPr>
                <w:rFonts w:ascii="Times New Roman" w:eastAsia="Times New Roman" w:hAnsi="Times New Roman" w:cs="Times New Roman"/>
                <w:sz w:val="20"/>
                <w:szCs w:val="20"/>
                <w:lang w:eastAsia="en-GB"/>
              </w:rPr>
            </w:pPr>
            <w:r w:rsidRPr="00E6060C">
              <w:rPr>
                <w:rFonts w:ascii="Calibri" w:eastAsia="Calibri" w:hAnsi="Calibri" w:cs="Times New Roman"/>
                <w:color w:val="000000"/>
              </w:rPr>
              <w:t>.25</w:t>
            </w:r>
          </w:p>
        </w:tc>
        <w:tc>
          <w:tcPr>
            <w:tcW w:w="830" w:type="dxa"/>
            <w:tcBorders>
              <w:top w:val="nil"/>
              <w:left w:val="nil"/>
              <w:bottom w:val="nil"/>
              <w:right w:val="nil"/>
            </w:tcBorders>
            <w:shd w:val="clear" w:color="auto" w:fill="D9D9D9"/>
            <w:vAlign w:val="center"/>
          </w:tcPr>
          <w:p w14:paraId="4742E1A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.54</w:t>
            </w:r>
          </w:p>
        </w:tc>
      </w:tr>
      <w:tr w:rsidR="00E6060C" w:rsidRPr="00E6060C" w14:paraId="3D78419D" w14:textId="77777777" w:rsidTr="005852AD">
        <w:trPr>
          <w:trHeight w:val="482"/>
        </w:trPr>
        <w:tc>
          <w:tcPr>
            <w:tcW w:w="2122" w:type="dxa"/>
            <w:shd w:val="clear" w:color="auto" w:fill="auto"/>
            <w:vAlign w:val="center"/>
          </w:tcPr>
          <w:p w14:paraId="4C297A3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Influence in decision-making</w:t>
            </w:r>
          </w:p>
        </w:tc>
        <w:tc>
          <w:tcPr>
            <w:tcW w:w="531" w:type="dxa"/>
            <w:tcBorders>
              <w:top w:val="nil"/>
              <w:left w:val="nil"/>
              <w:bottom w:val="nil"/>
              <w:right w:val="nil"/>
            </w:tcBorders>
            <w:shd w:val="clear" w:color="auto" w:fill="auto"/>
            <w:noWrap/>
            <w:vAlign w:val="center"/>
          </w:tcPr>
          <w:p w14:paraId="6E42B6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536" w:type="dxa"/>
            <w:tcBorders>
              <w:top w:val="nil"/>
              <w:left w:val="nil"/>
              <w:bottom w:val="nil"/>
              <w:right w:val="nil"/>
            </w:tcBorders>
            <w:shd w:val="clear" w:color="auto" w:fill="D9D9D9"/>
            <w:vAlign w:val="center"/>
          </w:tcPr>
          <w:p w14:paraId="1061EA8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w:t>
            </w:r>
          </w:p>
        </w:tc>
        <w:tc>
          <w:tcPr>
            <w:tcW w:w="901" w:type="dxa"/>
            <w:tcBorders>
              <w:top w:val="nil"/>
              <w:left w:val="nil"/>
              <w:bottom w:val="nil"/>
              <w:right w:val="nil"/>
            </w:tcBorders>
            <w:shd w:val="clear" w:color="auto" w:fill="auto"/>
            <w:noWrap/>
            <w:vAlign w:val="center"/>
          </w:tcPr>
          <w:p w14:paraId="176F3C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2.99</w:t>
            </w:r>
          </w:p>
        </w:tc>
        <w:tc>
          <w:tcPr>
            <w:tcW w:w="607" w:type="dxa"/>
            <w:tcBorders>
              <w:top w:val="nil"/>
              <w:left w:val="nil"/>
              <w:bottom w:val="nil"/>
              <w:right w:val="nil"/>
            </w:tcBorders>
            <w:shd w:val="clear" w:color="auto" w:fill="D9D9D9"/>
            <w:vAlign w:val="center"/>
          </w:tcPr>
          <w:p w14:paraId="2181EC1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3.14</w:t>
            </w:r>
          </w:p>
        </w:tc>
        <w:tc>
          <w:tcPr>
            <w:tcW w:w="707" w:type="dxa"/>
            <w:tcBorders>
              <w:top w:val="nil"/>
              <w:left w:val="nil"/>
              <w:bottom w:val="nil"/>
              <w:right w:val="nil"/>
            </w:tcBorders>
            <w:shd w:val="clear" w:color="auto" w:fill="auto"/>
            <w:noWrap/>
            <w:vAlign w:val="center"/>
          </w:tcPr>
          <w:p w14:paraId="104A7E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.91</w:t>
            </w:r>
          </w:p>
        </w:tc>
        <w:tc>
          <w:tcPr>
            <w:tcW w:w="607" w:type="dxa"/>
            <w:tcBorders>
              <w:top w:val="nil"/>
              <w:left w:val="nil"/>
              <w:bottom w:val="nil"/>
              <w:right w:val="nil"/>
            </w:tcBorders>
            <w:shd w:val="clear" w:color="auto" w:fill="D9D9D9"/>
            <w:vAlign w:val="center"/>
          </w:tcPr>
          <w:p w14:paraId="14EE650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.79</w:t>
            </w:r>
          </w:p>
        </w:tc>
        <w:tc>
          <w:tcPr>
            <w:tcW w:w="733" w:type="dxa"/>
            <w:tcBorders>
              <w:top w:val="nil"/>
              <w:left w:val="nil"/>
              <w:bottom w:val="nil"/>
              <w:right w:val="nil"/>
            </w:tcBorders>
            <w:shd w:val="clear" w:color="auto" w:fill="auto"/>
            <w:noWrap/>
            <w:vAlign w:val="center"/>
          </w:tcPr>
          <w:p w14:paraId="18A64AA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w:t>
            </w:r>
          </w:p>
        </w:tc>
        <w:tc>
          <w:tcPr>
            <w:tcW w:w="607" w:type="dxa"/>
            <w:tcBorders>
              <w:top w:val="nil"/>
              <w:left w:val="nil"/>
              <w:bottom w:val="nil"/>
              <w:right w:val="nil"/>
            </w:tcBorders>
            <w:shd w:val="clear" w:color="auto" w:fill="D9D9D9"/>
            <w:vAlign w:val="center"/>
          </w:tcPr>
          <w:p w14:paraId="3E8AE0B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w:t>
            </w:r>
          </w:p>
        </w:tc>
        <w:tc>
          <w:tcPr>
            <w:tcW w:w="867" w:type="dxa"/>
            <w:tcBorders>
              <w:top w:val="nil"/>
              <w:left w:val="nil"/>
              <w:bottom w:val="nil"/>
              <w:right w:val="nil"/>
            </w:tcBorders>
            <w:shd w:val="clear" w:color="auto" w:fill="auto"/>
            <w:noWrap/>
            <w:vAlign w:val="center"/>
          </w:tcPr>
          <w:p w14:paraId="70DB32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607" w:type="dxa"/>
            <w:tcBorders>
              <w:top w:val="nil"/>
              <w:left w:val="nil"/>
              <w:bottom w:val="nil"/>
              <w:right w:val="nil"/>
            </w:tcBorders>
            <w:shd w:val="clear" w:color="auto" w:fill="D9D9D9"/>
            <w:vAlign w:val="center"/>
          </w:tcPr>
          <w:p w14:paraId="2437F0E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1.67</w:t>
            </w:r>
          </w:p>
        </w:tc>
        <w:tc>
          <w:tcPr>
            <w:tcW w:w="867" w:type="dxa"/>
            <w:tcBorders>
              <w:top w:val="nil"/>
              <w:left w:val="nil"/>
              <w:bottom w:val="nil"/>
              <w:right w:val="nil"/>
            </w:tcBorders>
            <w:shd w:val="clear" w:color="auto" w:fill="auto"/>
            <w:noWrap/>
            <w:vAlign w:val="center"/>
          </w:tcPr>
          <w:p w14:paraId="1120D9D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39" w:type="dxa"/>
            <w:tcBorders>
              <w:top w:val="nil"/>
              <w:left w:val="nil"/>
              <w:bottom w:val="nil"/>
              <w:right w:val="nil"/>
            </w:tcBorders>
            <w:shd w:val="clear" w:color="auto" w:fill="D9D9D9"/>
            <w:vAlign w:val="center"/>
          </w:tcPr>
          <w:p w14:paraId="3452728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tcBorders>
              <w:top w:val="nil"/>
              <w:left w:val="nil"/>
              <w:bottom w:val="nil"/>
              <w:right w:val="nil"/>
            </w:tcBorders>
            <w:shd w:val="clear" w:color="auto" w:fill="auto"/>
            <w:noWrap/>
            <w:vAlign w:val="center"/>
          </w:tcPr>
          <w:p w14:paraId="5A00D2A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712" w:type="dxa"/>
            <w:tcBorders>
              <w:top w:val="nil"/>
              <w:left w:val="nil"/>
              <w:bottom w:val="nil"/>
              <w:right w:val="nil"/>
            </w:tcBorders>
            <w:shd w:val="clear" w:color="auto" w:fill="D9D9D9"/>
            <w:vAlign w:val="center"/>
          </w:tcPr>
          <w:p w14:paraId="6C9E252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.53</w:t>
            </w:r>
          </w:p>
        </w:tc>
        <w:tc>
          <w:tcPr>
            <w:tcW w:w="692" w:type="dxa"/>
            <w:tcBorders>
              <w:top w:val="nil"/>
              <w:left w:val="nil"/>
              <w:bottom w:val="nil"/>
              <w:right w:val="nil"/>
            </w:tcBorders>
            <w:shd w:val="clear" w:color="auto" w:fill="auto"/>
            <w:noWrap/>
            <w:vAlign w:val="center"/>
          </w:tcPr>
          <w:p w14:paraId="0A05781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.52</w:t>
            </w:r>
          </w:p>
        </w:tc>
        <w:tc>
          <w:tcPr>
            <w:tcW w:w="830" w:type="dxa"/>
            <w:tcBorders>
              <w:top w:val="nil"/>
              <w:left w:val="nil"/>
              <w:bottom w:val="nil"/>
              <w:right w:val="nil"/>
            </w:tcBorders>
            <w:shd w:val="clear" w:color="auto" w:fill="D9D9D9"/>
            <w:vAlign w:val="center"/>
          </w:tcPr>
          <w:p w14:paraId="0EDC88C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w:t>
            </w:r>
          </w:p>
        </w:tc>
      </w:tr>
      <w:tr w:rsidR="00E6060C" w:rsidRPr="00E6060C" w14:paraId="5623F0DB" w14:textId="77777777" w:rsidTr="005852AD">
        <w:trPr>
          <w:trHeight w:val="482"/>
        </w:trPr>
        <w:tc>
          <w:tcPr>
            <w:tcW w:w="2122" w:type="dxa"/>
            <w:shd w:val="clear" w:color="auto" w:fill="auto"/>
            <w:vAlign w:val="center"/>
          </w:tcPr>
          <w:p w14:paraId="4979FF8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Resources and demands</w:t>
            </w:r>
          </w:p>
        </w:tc>
        <w:tc>
          <w:tcPr>
            <w:tcW w:w="531" w:type="dxa"/>
            <w:tcBorders>
              <w:top w:val="nil"/>
              <w:left w:val="nil"/>
              <w:bottom w:val="nil"/>
              <w:right w:val="nil"/>
            </w:tcBorders>
            <w:shd w:val="clear" w:color="auto" w:fill="auto"/>
            <w:noWrap/>
            <w:vAlign w:val="center"/>
          </w:tcPr>
          <w:p w14:paraId="684C893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45</w:t>
            </w:r>
          </w:p>
        </w:tc>
        <w:tc>
          <w:tcPr>
            <w:tcW w:w="536" w:type="dxa"/>
            <w:tcBorders>
              <w:top w:val="nil"/>
              <w:left w:val="nil"/>
              <w:bottom w:val="nil"/>
              <w:right w:val="nil"/>
            </w:tcBorders>
            <w:shd w:val="clear" w:color="auto" w:fill="D9D9D9"/>
            <w:vAlign w:val="center"/>
          </w:tcPr>
          <w:p w14:paraId="5B385B5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45</w:t>
            </w:r>
          </w:p>
        </w:tc>
        <w:tc>
          <w:tcPr>
            <w:tcW w:w="901" w:type="dxa"/>
            <w:tcBorders>
              <w:top w:val="nil"/>
              <w:left w:val="nil"/>
              <w:bottom w:val="nil"/>
              <w:right w:val="nil"/>
            </w:tcBorders>
            <w:shd w:val="clear" w:color="auto" w:fill="auto"/>
            <w:noWrap/>
            <w:vAlign w:val="center"/>
          </w:tcPr>
          <w:p w14:paraId="1C15157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2.90</w:t>
            </w:r>
          </w:p>
        </w:tc>
        <w:tc>
          <w:tcPr>
            <w:tcW w:w="607" w:type="dxa"/>
            <w:tcBorders>
              <w:top w:val="nil"/>
              <w:left w:val="nil"/>
              <w:bottom w:val="nil"/>
              <w:right w:val="nil"/>
            </w:tcBorders>
            <w:shd w:val="clear" w:color="auto" w:fill="D9D9D9"/>
            <w:vAlign w:val="center"/>
          </w:tcPr>
          <w:p w14:paraId="6FE434B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3.12</w:t>
            </w:r>
          </w:p>
        </w:tc>
        <w:tc>
          <w:tcPr>
            <w:tcW w:w="707" w:type="dxa"/>
            <w:tcBorders>
              <w:top w:val="nil"/>
              <w:left w:val="nil"/>
              <w:bottom w:val="nil"/>
              <w:right w:val="nil"/>
            </w:tcBorders>
            <w:shd w:val="clear" w:color="auto" w:fill="auto"/>
            <w:noWrap/>
            <w:vAlign w:val="center"/>
          </w:tcPr>
          <w:p w14:paraId="20C63D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.77</w:t>
            </w:r>
          </w:p>
        </w:tc>
        <w:tc>
          <w:tcPr>
            <w:tcW w:w="607" w:type="dxa"/>
            <w:tcBorders>
              <w:top w:val="nil"/>
              <w:left w:val="nil"/>
              <w:bottom w:val="nil"/>
              <w:right w:val="nil"/>
            </w:tcBorders>
            <w:shd w:val="clear" w:color="auto" w:fill="D9D9D9"/>
            <w:vAlign w:val="center"/>
          </w:tcPr>
          <w:p w14:paraId="702B568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.72</w:t>
            </w:r>
          </w:p>
        </w:tc>
        <w:tc>
          <w:tcPr>
            <w:tcW w:w="733" w:type="dxa"/>
            <w:tcBorders>
              <w:top w:val="nil"/>
              <w:left w:val="nil"/>
              <w:bottom w:val="nil"/>
              <w:right w:val="nil"/>
            </w:tcBorders>
            <w:shd w:val="clear" w:color="auto" w:fill="auto"/>
            <w:noWrap/>
            <w:vAlign w:val="center"/>
          </w:tcPr>
          <w:p w14:paraId="49A2FD1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.11</w:t>
            </w:r>
          </w:p>
        </w:tc>
        <w:tc>
          <w:tcPr>
            <w:tcW w:w="607" w:type="dxa"/>
            <w:tcBorders>
              <w:top w:val="nil"/>
              <w:left w:val="nil"/>
              <w:bottom w:val="nil"/>
              <w:right w:val="nil"/>
            </w:tcBorders>
            <w:shd w:val="clear" w:color="auto" w:fill="D9D9D9"/>
            <w:vAlign w:val="center"/>
          </w:tcPr>
          <w:p w14:paraId="0CD42E0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.11</w:t>
            </w:r>
          </w:p>
        </w:tc>
        <w:tc>
          <w:tcPr>
            <w:tcW w:w="867" w:type="dxa"/>
            <w:tcBorders>
              <w:top w:val="nil"/>
              <w:left w:val="nil"/>
              <w:bottom w:val="nil"/>
              <w:right w:val="nil"/>
            </w:tcBorders>
            <w:shd w:val="clear" w:color="auto" w:fill="auto"/>
            <w:noWrap/>
            <w:vAlign w:val="center"/>
          </w:tcPr>
          <w:p w14:paraId="42F59D4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1.29</w:t>
            </w:r>
          </w:p>
        </w:tc>
        <w:tc>
          <w:tcPr>
            <w:tcW w:w="607" w:type="dxa"/>
            <w:tcBorders>
              <w:top w:val="nil"/>
              <w:left w:val="nil"/>
              <w:bottom w:val="nil"/>
              <w:right w:val="nil"/>
            </w:tcBorders>
            <w:shd w:val="clear" w:color="auto" w:fill="D9D9D9"/>
            <w:vAlign w:val="center"/>
          </w:tcPr>
          <w:p w14:paraId="639E85A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1.14</w:t>
            </w:r>
          </w:p>
        </w:tc>
        <w:tc>
          <w:tcPr>
            <w:tcW w:w="867" w:type="dxa"/>
            <w:tcBorders>
              <w:top w:val="nil"/>
              <w:left w:val="nil"/>
              <w:bottom w:val="nil"/>
              <w:right w:val="nil"/>
            </w:tcBorders>
            <w:shd w:val="clear" w:color="auto" w:fill="auto"/>
            <w:noWrap/>
            <w:vAlign w:val="center"/>
          </w:tcPr>
          <w:p w14:paraId="5379421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739" w:type="dxa"/>
            <w:tcBorders>
              <w:top w:val="nil"/>
              <w:left w:val="nil"/>
              <w:bottom w:val="nil"/>
              <w:right w:val="nil"/>
            </w:tcBorders>
            <w:shd w:val="clear" w:color="auto" w:fill="D9D9D9"/>
            <w:vAlign w:val="center"/>
          </w:tcPr>
          <w:p w14:paraId="6DEA171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5.00</w:t>
            </w:r>
          </w:p>
        </w:tc>
        <w:tc>
          <w:tcPr>
            <w:tcW w:w="751" w:type="dxa"/>
            <w:tcBorders>
              <w:top w:val="nil"/>
              <w:left w:val="nil"/>
              <w:bottom w:val="nil"/>
              <w:right w:val="nil"/>
            </w:tcBorders>
            <w:shd w:val="clear" w:color="auto" w:fill="auto"/>
            <w:noWrap/>
            <w:vAlign w:val="center"/>
          </w:tcPr>
          <w:p w14:paraId="4884D54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.29</w:t>
            </w:r>
          </w:p>
        </w:tc>
        <w:tc>
          <w:tcPr>
            <w:tcW w:w="712" w:type="dxa"/>
            <w:tcBorders>
              <w:top w:val="nil"/>
              <w:left w:val="nil"/>
              <w:bottom w:val="nil"/>
              <w:right w:val="nil"/>
            </w:tcBorders>
            <w:shd w:val="clear" w:color="auto" w:fill="D9D9D9"/>
            <w:vAlign w:val="center"/>
          </w:tcPr>
          <w:p w14:paraId="2AF6CB7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&lt;.01</w:t>
            </w:r>
          </w:p>
        </w:tc>
        <w:tc>
          <w:tcPr>
            <w:tcW w:w="692" w:type="dxa"/>
            <w:tcBorders>
              <w:top w:val="nil"/>
              <w:left w:val="nil"/>
              <w:bottom w:val="nil"/>
              <w:right w:val="nil"/>
            </w:tcBorders>
            <w:shd w:val="clear" w:color="auto" w:fill="auto"/>
            <w:noWrap/>
            <w:vAlign w:val="center"/>
          </w:tcPr>
          <w:p w14:paraId="58E7DFA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w:t>
            </w:r>
          </w:p>
        </w:tc>
        <w:tc>
          <w:tcPr>
            <w:tcW w:w="830" w:type="dxa"/>
            <w:tcBorders>
              <w:top w:val="nil"/>
              <w:left w:val="nil"/>
              <w:bottom w:val="nil"/>
              <w:right w:val="nil"/>
            </w:tcBorders>
            <w:shd w:val="clear" w:color="auto" w:fill="D9D9D9"/>
            <w:vAlign w:val="center"/>
          </w:tcPr>
          <w:p w14:paraId="527B100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.70</w:t>
            </w:r>
          </w:p>
        </w:tc>
      </w:tr>
      <w:tr w:rsidR="00E6060C" w:rsidRPr="00E6060C" w14:paraId="5D5AACA5" w14:textId="77777777" w:rsidTr="005852AD">
        <w:trPr>
          <w:trHeight w:val="482"/>
        </w:trPr>
        <w:tc>
          <w:tcPr>
            <w:tcW w:w="2122" w:type="dxa"/>
            <w:shd w:val="clear" w:color="auto" w:fill="auto"/>
            <w:vAlign w:val="center"/>
          </w:tcPr>
          <w:p w14:paraId="3BDBE07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Autonomy</w:t>
            </w:r>
          </w:p>
        </w:tc>
        <w:tc>
          <w:tcPr>
            <w:tcW w:w="531" w:type="dxa"/>
            <w:tcBorders>
              <w:top w:val="nil"/>
              <w:left w:val="nil"/>
              <w:bottom w:val="nil"/>
              <w:right w:val="nil"/>
            </w:tcBorders>
            <w:shd w:val="clear" w:color="auto" w:fill="auto"/>
            <w:noWrap/>
            <w:vAlign w:val="center"/>
          </w:tcPr>
          <w:p w14:paraId="7D4020E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536" w:type="dxa"/>
            <w:tcBorders>
              <w:top w:val="nil"/>
              <w:left w:val="nil"/>
              <w:bottom w:val="nil"/>
              <w:right w:val="nil"/>
            </w:tcBorders>
            <w:shd w:val="clear" w:color="auto" w:fill="D9D9D9"/>
            <w:vAlign w:val="center"/>
          </w:tcPr>
          <w:p w14:paraId="203C3E8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44</w:t>
            </w:r>
          </w:p>
        </w:tc>
        <w:tc>
          <w:tcPr>
            <w:tcW w:w="901" w:type="dxa"/>
            <w:tcBorders>
              <w:top w:val="nil"/>
              <w:left w:val="nil"/>
              <w:bottom w:val="nil"/>
              <w:right w:val="nil"/>
            </w:tcBorders>
            <w:shd w:val="clear" w:color="auto" w:fill="auto"/>
            <w:noWrap/>
            <w:vAlign w:val="center"/>
          </w:tcPr>
          <w:p w14:paraId="423782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3.99</w:t>
            </w:r>
          </w:p>
        </w:tc>
        <w:tc>
          <w:tcPr>
            <w:tcW w:w="607" w:type="dxa"/>
            <w:tcBorders>
              <w:top w:val="nil"/>
              <w:left w:val="nil"/>
              <w:bottom w:val="nil"/>
              <w:right w:val="nil"/>
            </w:tcBorders>
            <w:shd w:val="clear" w:color="auto" w:fill="D9D9D9"/>
            <w:vAlign w:val="center"/>
          </w:tcPr>
          <w:p w14:paraId="66948BE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4.17</w:t>
            </w:r>
          </w:p>
        </w:tc>
        <w:tc>
          <w:tcPr>
            <w:tcW w:w="707" w:type="dxa"/>
            <w:tcBorders>
              <w:top w:val="nil"/>
              <w:left w:val="nil"/>
              <w:bottom w:val="nil"/>
              <w:right w:val="nil"/>
            </w:tcBorders>
            <w:shd w:val="clear" w:color="auto" w:fill="auto"/>
            <w:noWrap/>
            <w:vAlign w:val="center"/>
          </w:tcPr>
          <w:p w14:paraId="6BC929F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.76</w:t>
            </w:r>
          </w:p>
        </w:tc>
        <w:tc>
          <w:tcPr>
            <w:tcW w:w="607" w:type="dxa"/>
            <w:tcBorders>
              <w:top w:val="nil"/>
              <w:left w:val="nil"/>
              <w:bottom w:val="nil"/>
              <w:right w:val="nil"/>
            </w:tcBorders>
            <w:shd w:val="clear" w:color="auto" w:fill="D9D9D9"/>
            <w:vAlign w:val="center"/>
          </w:tcPr>
          <w:p w14:paraId="1F5BAFE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.51</w:t>
            </w:r>
          </w:p>
        </w:tc>
        <w:tc>
          <w:tcPr>
            <w:tcW w:w="733" w:type="dxa"/>
            <w:tcBorders>
              <w:top w:val="nil"/>
              <w:left w:val="nil"/>
              <w:bottom w:val="nil"/>
              <w:right w:val="nil"/>
            </w:tcBorders>
            <w:shd w:val="clear" w:color="auto" w:fill="auto"/>
            <w:noWrap/>
            <w:vAlign w:val="center"/>
          </w:tcPr>
          <w:p w14:paraId="1B786D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w:t>
            </w:r>
          </w:p>
        </w:tc>
        <w:tc>
          <w:tcPr>
            <w:tcW w:w="607" w:type="dxa"/>
            <w:tcBorders>
              <w:top w:val="nil"/>
              <w:left w:val="nil"/>
              <w:bottom w:val="nil"/>
              <w:right w:val="nil"/>
            </w:tcBorders>
            <w:shd w:val="clear" w:color="auto" w:fill="D9D9D9"/>
            <w:vAlign w:val="center"/>
          </w:tcPr>
          <w:p w14:paraId="75FCDC7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w:t>
            </w:r>
          </w:p>
        </w:tc>
        <w:tc>
          <w:tcPr>
            <w:tcW w:w="867" w:type="dxa"/>
            <w:tcBorders>
              <w:top w:val="nil"/>
              <w:left w:val="nil"/>
              <w:bottom w:val="nil"/>
              <w:right w:val="nil"/>
            </w:tcBorders>
            <w:shd w:val="clear" w:color="auto" w:fill="auto"/>
            <w:noWrap/>
            <w:vAlign w:val="center"/>
          </w:tcPr>
          <w:p w14:paraId="00A2E9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607" w:type="dxa"/>
            <w:tcBorders>
              <w:top w:val="nil"/>
              <w:left w:val="nil"/>
              <w:bottom w:val="nil"/>
              <w:right w:val="nil"/>
            </w:tcBorders>
            <w:shd w:val="clear" w:color="auto" w:fill="D9D9D9"/>
            <w:vAlign w:val="center"/>
          </w:tcPr>
          <w:p w14:paraId="04EE0B7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867" w:type="dxa"/>
            <w:tcBorders>
              <w:top w:val="nil"/>
              <w:left w:val="nil"/>
              <w:bottom w:val="nil"/>
              <w:right w:val="nil"/>
            </w:tcBorders>
            <w:shd w:val="clear" w:color="auto" w:fill="auto"/>
            <w:noWrap/>
            <w:vAlign w:val="center"/>
          </w:tcPr>
          <w:p w14:paraId="3B3BC91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39" w:type="dxa"/>
            <w:tcBorders>
              <w:top w:val="nil"/>
              <w:left w:val="nil"/>
              <w:bottom w:val="nil"/>
              <w:right w:val="nil"/>
            </w:tcBorders>
            <w:shd w:val="clear" w:color="auto" w:fill="D9D9D9"/>
            <w:vAlign w:val="center"/>
          </w:tcPr>
          <w:p w14:paraId="7F9DBD3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tcBorders>
              <w:top w:val="nil"/>
              <w:left w:val="nil"/>
              <w:bottom w:val="nil"/>
              <w:right w:val="nil"/>
            </w:tcBorders>
            <w:shd w:val="clear" w:color="auto" w:fill="auto"/>
            <w:noWrap/>
            <w:vAlign w:val="center"/>
          </w:tcPr>
          <w:p w14:paraId="6171DE3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-1.35</w:t>
            </w:r>
          </w:p>
        </w:tc>
        <w:tc>
          <w:tcPr>
            <w:tcW w:w="712" w:type="dxa"/>
            <w:tcBorders>
              <w:top w:val="nil"/>
              <w:left w:val="nil"/>
              <w:bottom w:val="nil"/>
              <w:right w:val="nil"/>
            </w:tcBorders>
            <w:shd w:val="clear" w:color="auto" w:fill="D9D9D9"/>
            <w:vAlign w:val="center"/>
          </w:tcPr>
          <w:p w14:paraId="6866FD5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.37</w:t>
            </w:r>
          </w:p>
        </w:tc>
        <w:tc>
          <w:tcPr>
            <w:tcW w:w="692" w:type="dxa"/>
            <w:tcBorders>
              <w:top w:val="nil"/>
              <w:left w:val="nil"/>
              <w:bottom w:val="nil"/>
              <w:right w:val="nil"/>
            </w:tcBorders>
            <w:shd w:val="clear" w:color="auto" w:fill="auto"/>
            <w:noWrap/>
            <w:vAlign w:val="center"/>
          </w:tcPr>
          <w:p w14:paraId="5212854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4.55</w:t>
            </w:r>
          </w:p>
        </w:tc>
        <w:tc>
          <w:tcPr>
            <w:tcW w:w="830" w:type="dxa"/>
            <w:tcBorders>
              <w:top w:val="nil"/>
              <w:left w:val="nil"/>
              <w:bottom w:val="nil"/>
              <w:right w:val="nil"/>
            </w:tcBorders>
            <w:shd w:val="clear" w:color="auto" w:fill="D9D9D9"/>
            <w:vAlign w:val="center"/>
          </w:tcPr>
          <w:p w14:paraId="2B90640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-.79</w:t>
            </w:r>
          </w:p>
        </w:tc>
      </w:tr>
      <w:tr w:rsidR="00E6060C" w:rsidRPr="00E6060C" w14:paraId="7E58BA3B" w14:textId="77777777" w:rsidTr="005852AD">
        <w:trPr>
          <w:trHeight w:val="482"/>
        </w:trPr>
        <w:tc>
          <w:tcPr>
            <w:tcW w:w="2122" w:type="dxa"/>
            <w:shd w:val="clear" w:color="auto" w:fill="auto"/>
            <w:vAlign w:val="center"/>
          </w:tcPr>
          <w:p w14:paraId="7A9E2E0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Competence</w:t>
            </w:r>
          </w:p>
        </w:tc>
        <w:tc>
          <w:tcPr>
            <w:tcW w:w="531" w:type="dxa"/>
            <w:tcBorders>
              <w:top w:val="nil"/>
              <w:left w:val="nil"/>
              <w:bottom w:val="nil"/>
              <w:right w:val="nil"/>
            </w:tcBorders>
            <w:shd w:val="clear" w:color="auto" w:fill="auto"/>
            <w:noWrap/>
            <w:vAlign w:val="center"/>
          </w:tcPr>
          <w:p w14:paraId="2159891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44</w:t>
            </w:r>
          </w:p>
        </w:tc>
        <w:tc>
          <w:tcPr>
            <w:tcW w:w="536" w:type="dxa"/>
            <w:tcBorders>
              <w:top w:val="nil"/>
              <w:left w:val="nil"/>
              <w:bottom w:val="nil"/>
              <w:right w:val="nil"/>
            </w:tcBorders>
            <w:shd w:val="clear" w:color="auto" w:fill="D9D9D9"/>
            <w:vAlign w:val="center"/>
          </w:tcPr>
          <w:p w14:paraId="02ECB4E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w:t>
            </w:r>
          </w:p>
        </w:tc>
        <w:tc>
          <w:tcPr>
            <w:tcW w:w="901" w:type="dxa"/>
            <w:tcBorders>
              <w:top w:val="nil"/>
              <w:left w:val="nil"/>
              <w:bottom w:val="nil"/>
              <w:right w:val="nil"/>
            </w:tcBorders>
            <w:shd w:val="clear" w:color="auto" w:fill="auto"/>
            <w:noWrap/>
            <w:vAlign w:val="center"/>
          </w:tcPr>
          <w:p w14:paraId="4DE41C2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4.21</w:t>
            </w:r>
          </w:p>
        </w:tc>
        <w:tc>
          <w:tcPr>
            <w:tcW w:w="607" w:type="dxa"/>
            <w:tcBorders>
              <w:top w:val="nil"/>
              <w:left w:val="nil"/>
              <w:bottom w:val="nil"/>
              <w:right w:val="nil"/>
            </w:tcBorders>
            <w:shd w:val="clear" w:color="auto" w:fill="D9D9D9"/>
            <w:vAlign w:val="center"/>
          </w:tcPr>
          <w:p w14:paraId="43195DD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4.30</w:t>
            </w:r>
          </w:p>
        </w:tc>
        <w:tc>
          <w:tcPr>
            <w:tcW w:w="707" w:type="dxa"/>
            <w:tcBorders>
              <w:top w:val="nil"/>
              <w:left w:val="nil"/>
              <w:bottom w:val="nil"/>
              <w:right w:val="nil"/>
            </w:tcBorders>
            <w:shd w:val="clear" w:color="auto" w:fill="auto"/>
            <w:noWrap/>
            <w:vAlign w:val="center"/>
          </w:tcPr>
          <w:p w14:paraId="3F31BEC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.73</w:t>
            </w:r>
          </w:p>
        </w:tc>
        <w:tc>
          <w:tcPr>
            <w:tcW w:w="607" w:type="dxa"/>
            <w:tcBorders>
              <w:top w:val="nil"/>
              <w:left w:val="nil"/>
              <w:bottom w:val="nil"/>
              <w:right w:val="nil"/>
            </w:tcBorders>
            <w:shd w:val="clear" w:color="auto" w:fill="D9D9D9"/>
            <w:vAlign w:val="center"/>
          </w:tcPr>
          <w:p w14:paraId="7270783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.49</w:t>
            </w:r>
          </w:p>
        </w:tc>
        <w:tc>
          <w:tcPr>
            <w:tcW w:w="733" w:type="dxa"/>
            <w:tcBorders>
              <w:top w:val="nil"/>
              <w:left w:val="nil"/>
              <w:bottom w:val="nil"/>
              <w:right w:val="nil"/>
            </w:tcBorders>
            <w:shd w:val="clear" w:color="auto" w:fill="auto"/>
            <w:noWrap/>
            <w:vAlign w:val="center"/>
          </w:tcPr>
          <w:p w14:paraId="5FC097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.11</w:t>
            </w:r>
          </w:p>
        </w:tc>
        <w:tc>
          <w:tcPr>
            <w:tcW w:w="607" w:type="dxa"/>
            <w:tcBorders>
              <w:top w:val="nil"/>
              <w:left w:val="nil"/>
              <w:bottom w:val="nil"/>
              <w:right w:val="nil"/>
            </w:tcBorders>
            <w:shd w:val="clear" w:color="auto" w:fill="D9D9D9"/>
            <w:vAlign w:val="center"/>
          </w:tcPr>
          <w:p w14:paraId="7A93C62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w:t>
            </w:r>
          </w:p>
        </w:tc>
        <w:tc>
          <w:tcPr>
            <w:tcW w:w="867" w:type="dxa"/>
            <w:tcBorders>
              <w:top w:val="nil"/>
              <w:left w:val="nil"/>
              <w:bottom w:val="nil"/>
              <w:right w:val="nil"/>
            </w:tcBorders>
            <w:shd w:val="clear" w:color="auto" w:fill="auto"/>
            <w:noWrap/>
            <w:vAlign w:val="center"/>
          </w:tcPr>
          <w:p w14:paraId="1225F96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607" w:type="dxa"/>
            <w:tcBorders>
              <w:top w:val="nil"/>
              <w:left w:val="nil"/>
              <w:bottom w:val="nil"/>
              <w:right w:val="nil"/>
            </w:tcBorders>
            <w:shd w:val="clear" w:color="auto" w:fill="D9D9D9"/>
            <w:vAlign w:val="center"/>
          </w:tcPr>
          <w:p w14:paraId="55DD841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867" w:type="dxa"/>
            <w:tcBorders>
              <w:top w:val="nil"/>
              <w:left w:val="nil"/>
              <w:bottom w:val="nil"/>
              <w:right w:val="nil"/>
            </w:tcBorders>
            <w:shd w:val="clear" w:color="auto" w:fill="auto"/>
            <w:noWrap/>
            <w:vAlign w:val="center"/>
          </w:tcPr>
          <w:p w14:paraId="2E2220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39" w:type="dxa"/>
            <w:tcBorders>
              <w:top w:val="nil"/>
              <w:left w:val="nil"/>
              <w:bottom w:val="nil"/>
              <w:right w:val="nil"/>
            </w:tcBorders>
            <w:shd w:val="clear" w:color="auto" w:fill="D9D9D9"/>
            <w:vAlign w:val="center"/>
          </w:tcPr>
          <w:p w14:paraId="6E32AD8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tcBorders>
              <w:top w:val="nil"/>
              <w:left w:val="nil"/>
              <w:bottom w:val="nil"/>
              <w:right w:val="nil"/>
            </w:tcBorders>
            <w:shd w:val="clear" w:color="auto" w:fill="auto"/>
            <w:noWrap/>
            <w:vAlign w:val="center"/>
          </w:tcPr>
          <w:p w14:paraId="2938658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-1.87</w:t>
            </w:r>
          </w:p>
        </w:tc>
        <w:tc>
          <w:tcPr>
            <w:tcW w:w="712" w:type="dxa"/>
            <w:tcBorders>
              <w:top w:val="nil"/>
              <w:left w:val="nil"/>
              <w:bottom w:val="nil"/>
              <w:right w:val="nil"/>
            </w:tcBorders>
            <w:shd w:val="clear" w:color="auto" w:fill="D9D9D9"/>
            <w:vAlign w:val="center"/>
          </w:tcPr>
          <w:p w14:paraId="739C5A3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.39</w:t>
            </w:r>
          </w:p>
        </w:tc>
        <w:tc>
          <w:tcPr>
            <w:tcW w:w="692" w:type="dxa"/>
            <w:tcBorders>
              <w:top w:val="nil"/>
              <w:left w:val="nil"/>
              <w:bottom w:val="nil"/>
              <w:right w:val="nil"/>
            </w:tcBorders>
            <w:shd w:val="clear" w:color="auto" w:fill="auto"/>
            <w:noWrap/>
            <w:vAlign w:val="center"/>
          </w:tcPr>
          <w:p w14:paraId="503EC0B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7.63</w:t>
            </w:r>
          </w:p>
        </w:tc>
        <w:tc>
          <w:tcPr>
            <w:tcW w:w="830" w:type="dxa"/>
            <w:tcBorders>
              <w:top w:val="nil"/>
              <w:left w:val="nil"/>
              <w:bottom w:val="nil"/>
              <w:right w:val="nil"/>
            </w:tcBorders>
            <w:shd w:val="clear" w:color="auto" w:fill="D9D9D9"/>
            <w:vAlign w:val="center"/>
          </w:tcPr>
          <w:p w14:paraId="1273C4F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-1.15</w:t>
            </w:r>
          </w:p>
        </w:tc>
      </w:tr>
      <w:tr w:rsidR="00E6060C" w:rsidRPr="00E6060C" w14:paraId="2C513517" w14:textId="77777777" w:rsidTr="005852AD">
        <w:trPr>
          <w:trHeight w:val="482"/>
        </w:trPr>
        <w:tc>
          <w:tcPr>
            <w:tcW w:w="2122" w:type="dxa"/>
            <w:shd w:val="clear" w:color="auto" w:fill="auto"/>
            <w:vAlign w:val="center"/>
          </w:tcPr>
          <w:p w14:paraId="2CED5C9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531" w:type="dxa"/>
            <w:tcBorders>
              <w:top w:val="nil"/>
              <w:left w:val="nil"/>
              <w:bottom w:val="nil"/>
              <w:right w:val="nil"/>
            </w:tcBorders>
            <w:shd w:val="clear" w:color="auto" w:fill="auto"/>
            <w:noWrap/>
            <w:vAlign w:val="center"/>
          </w:tcPr>
          <w:p w14:paraId="29063A7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44</w:t>
            </w:r>
          </w:p>
        </w:tc>
        <w:tc>
          <w:tcPr>
            <w:tcW w:w="536" w:type="dxa"/>
            <w:tcBorders>
              <w:top w:val="nil"/>
              <w:left w:val="nil"/>
              <w:bottom w:val="nil"/>
              <w:right w:val="nil"/>
            </w:tcBorders>
            <w:shd w:val="clear" w:color="auto" w:fill="D9D9D9"/>
            <w:vAlign w:val="center"/>
          </w:tcPr>
          <w:p w14:paraId="6EFDBBB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w:t>
            </w:r>
          </w:p>
        </w:tc>
        <w:tc>
          <w:tcPr>
            <w:tcW w:w="901" w:type="dxa"/>
            <w:tcBorders>
              <w:top w:val="nil"/>
              <w:left w:val="nil"/>
              <w:bottom w:val="nil"/>
              <w:right w:val="nil"/>
            </w:tcBorders>
            <w:shd w:val="clear" w:color="auto" w:fill="auto"/>
            <w:noWrap/>
            <w:vAlign w:val="center"/>
          </w:tcPr>
          <w:p w14:paraId="17188A6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3.95</w:t>
            </w:r>
          </w:p>
        </w:tc>
        <w:tc>
          <w:tcPr>
            <w:tcW w:w="607" w:type="dxa"/>
            <w:tcBorders>
              <w:top w:val="nil"/>
              <w:left w:val="nil"/>
              <w:bottom w:val="nil"/>
              <w:right w:val="nil"/>
            </w:tcBorders>
            <w:shd w:val="clear" w:color="auto" w:fill="D9D9D9"/>
            <w:vAlign w:val="center"/>
          </w:tcPr>
          <w:p w14:paraId="23820FD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4.15</w:t>
            </w:r>
          </w:p>
        </w:tc>
        <w:tc>
          <w:tcPr>
            <w:tcW w:w="707" w:type="dxa"/>
            <w:tcBorders>
              <w:top w:val="nil"/>
              <w:left w:val="nil"/>
              <w:bottom w:val="nil"/>
              <w:right w:val="nil"/>
            </w:tcBorders>
            <w:shd w:val="clear" w:color="auto" w:fill="auto"/>
            <w:noWrap/>
            <w:vAlign w:val="center"/>
          </w:tcPr>
          <w:p w14:paraId="4FA6B26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.85</w:t>
            </w:r>
          </w:p>
        </w:tc>
        <w:tc>
          <w:tcPr>
            <w:tcW w:w="607" w:type="dxa"/>
            <w:tcBorders>
              <w:top w:val="nil"/>
              <w:left w:val="nil"/>
              <w:bottom w:val="nil"/>
              <w:right w:val="nil"/>
            </w:tcBorders>
            <w:shd w:val="clear" w:color="auto" w:fill="D9D9D9"/>
            <w:vAlign w:val="center"/>
          </w:tcPr>
          <w:p w14:paraId="4917DB1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.51</w:t>
            </w:r>
          </w:p>
        </w:tc>
        <w:tc>
          <w:tcPr>
            <w:tcW w:w="733" w:type="dxa"/>
            <w:tcBorders>
              <w:top w:val="nil"/>
              <w:left w:val="nil"/>
              <w:bottom w:val="nil"/>
              <w:right w:val="nil"/>
            </w:tcBorders>
            <w:shd w:val="clear" w:color="auto" w:fill="auto"/>
            <w:noWrap/>
            <w:vAlign w:val="center"/>
          </w:tcPr>
          <w:p w14:paraId="333CAC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607" w:type="dxa"/>
            <w:tcBorders>
              <w:top w:val="nil"/>
              <w:left w:val="nil"/>
              <w:bottom w:val="nil"/>
              <w:right w:val="nil"/>
            </w:tcBorders>
            <w:shd w:val="clear" w:color="auto" w:fill="D9D9D9"/>
            <w:vAlign w:val="center"/>
          </w:tcPr>
          <w:p w14:paraId="39B30F6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w:t>
            </w:r>
          </w:p>
        </w:tc>
        <w:tc>
          <w:tcPr>
            <w:tcW w:w="867" w:type="dxa"/>
            <w:tcBorders>
              <w:top w:val="nil"/>
              <w:left w:val="nil"/>
              <w:bottom w:val="nil"/>
              <w:right w:val="nil"/>
            </w:tcBorders>
            <w:shd w:val="clear" w:color="auto" w:fill="auto"/>
            <w:noWrap/>
            <w:vAlign w:val="center"/>
          </w:tcPr>
          <w:p w14:paraId="2562DF4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607" w:type="dxa"/>
            <w:tcBorders>
              <w:top w:val="nil"/>
              <w:left w:val="nil"/>
              <w:bottom w:val="nil"/>
              <w:right w:val="nil"/>
            </w:tcBorders>
            <w:shd w:val="clear" w:color="auto" w:fill="D9D9D9"/>
            <w:vAlign w:val="center"/>
          </w:tcPr>
          <w:p w14:paraId="5D1B654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867" w:type="dxa"/>
            <w:tcBorders>
              <w:top w:val="nil"/>
              <w:left w:val="nil"/>
              <w:bottom w:val="nil"/>
              <w:right w:val="nil"/>
            </w:tcBorders>
            <w:shd w:val="clear" w:color="auto" w:fill="auto"/>
            <w:noWrap/>
            <w:vAlign w:val="center"/>
          </w:tcPr>
          <w:p w14:paraId="7F0841A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739" w:type="dxa"/>
            <w:tcBorders>
              <w:top w:val="nil"/>
              <w:left w:val="nil"/>
              <w:bottom w:val="nil"/>
              <w:right w:val="nil"/>
            </w:tcBorders>
            <w:shd w:val="clear" w:color="auto" w:fill="D9D9D9"/>
            <w:vAlign w:val="center"/>
          </w:tcPr>
          <w:p w14:paraId="7ACAC79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tcBorders>
              <w:top w:val="nil"/>
              <w:left w:val="nil"/>
              <w:bottom w:val="nil"/>
              <w:right w:val="nil"/>
            </w:tcBorders>
            <w:shd w:val="clear" w:color="auto" w:fill="auto"/>
            <w:noWrap/>
            <w:vAlign w:val="center"/>
          </w:tcPr>
          <w:p w14:paraId="50576FF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-1.33</w:t>
            </w:r>
          </w:p>
        </w:tc>
        <w:tc>
          <w:tcPr>
            <w:tcW w:w="712" w:type="dxa"/>
            <w:tcBorders>
              <w:top w:val="nil"/>
              <w:left w:val="nil"/>
              <w:bottom w:val="nil"/>
              <w:right w:val="nil"/>
            </w:tcBorders>
            <w:shd w:val="clear" w:color="auto" w:fill="D9D9D9"/>
            <w:vAlign w:val="center"/>
          </w:tcPr>
          <w:p w14:paraId="456FA35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w:t>
            </w:r>
          </w:p>
        </w:tc>
        <w:tc>
          <w:tcPr>
            <w:tcW w:w="692" w:type="dxa"/>
            <w:tcBorders>
              <w:top w:val="nil"/>
              <w:left w:val="nil"/>
              <w:bottom w:val="nil"/>
              <w:right w:val="nil"/>
            </w:tcBorders>
            <w:shd w:val="clear" w:color="auto" w:fill="auto"/>
            <w:noWrap/>
            <w:vAlign w:val="center"/>
          </w:tcPr>
          <w:p w14:paraId="66DADC9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2.96</w:t>
            </w:r>
          </w:p>
        </w:tc>
        <w:tc>
          <w:tcPr>
            <w:tcW w:w="830" w:type="dxa"/>
            <w:tcBorders>
              <w:top w:val="nil"/>
              <w:left w:val="nil"/>
              <w:bottom w:val="nil"/>
              <w:right w:val="nil"/>
            </w:tcBorders>
            <w:shd w:val="clear" w:color="auto" w:fill="D9D9D9"/>
            <w:vAlign w:val="center"/>
          </w:tcPr>
          <w:p w14:paraId="754D2A0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w:t>
            </w:r>
          </w:p>
        </w:tc>
      </w:tr>
      <w:tr w:rsidR="00E6060C" w:rsidRPr="00E6060C" w14:paraId="7EC8C2B8" w14:textId="77777777" w:rsidTr="005852AD">
        <w:trPr>
          <w:trHeight w:val="482"/>
        </w:trPr>
        <w:tc>
          <w:tcPr>
            <w:tcW w:w="2122" w:type="dxa"/>
            <w:shd w:val="clear" w:color="auto" w:fill="auto"/>
            <w:vAlign w:val="center"/>
          </w:tcPr>
          <w:p w14:paraId="426E8D32"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531" w:type="dxa"/>
            <w:tcBorders>
              <w:top w:val="nil"/>
              <w:left w:val="nil"/>
              <w:bottom w:val="nil"/>
              <w:right w:val="nil"/>
            </w:tcBorders>
            <w:shd w:val="clear" w:color="auto" w:fill="auto"/>
            <w:noWrap/>
            <w:vAlign w:val="center"/>
          </w:tcPr>
          <w:p w14:paraId="262B88D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44</w:t>
            </w:r>
          </w:p>
        </w:tc>
        <w:tc>
          <w:tcPr>
            <w:tcW w:w="536" w:type="dxa"/>
            <w:tcBorders>
              <w:top w:val="nil"/>
              <w:left w:val="nil"/>
              <w:bottom w:val="nil"/>
              <w:right w:val="nil"/>
            </w:tcBorders>
            <w:shd w:val="clear" w:color="auto" w:fill="D9D9D9"/>
            <w:vAlign w:val="center"/>
          </w:tcPr>
          <w:p w14:paraId="6F2D532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43</w:t>
            </w:r>
          </w:p>
        </w:tc>
        <w:tc>
          <w:tcPr>
            <w:tcW w:w="901" w:type="dxa"/>
            <w:tcBorders>
              <w:top w:val="nil"/>
              <w:left w:val="nil"/>
              <w:bottom w:val="nil"/>
              <w:right w:val="nil"/>
            </w:tcBorders>
            <w:shd w:val="clear" w:color="auto" w:fill="auto"/>
            <w:noWrap/>
            <w:vAlign w:val="center"/>
          </w:tcPr>
          <w:p w14:paraId="38DB0D9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5.76</w:t>
            </w:r>
          </w:p>
        </w:tc>
        <w:tc>
          <w:tcPr>
            <w:tcW w:w="607" w:type="dxa"/>
            <w:tcBorders>
              <w:top w:val="nil"/>
              <w:left w:val="nil"/>
              <w:bottom w:val="nil"/>
              <w:right w:val="nil"/>
            </w:tcBorders>
            <w:shd w:val="clear" w:color="auto" w:fill="D9D9D9"/>
            <w:vAlign w:val="center"/>
          </w:tcPr>
          <w:p w14:paraId="46A4B28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5.55</w:t>
            </w:r>
          </w:p>
        </w:tc>
        <w:tc>
          <w:tcPr>
            <w:tcW w:w="707" w:type="dxa"/>
            <w:tcBorders>
              <w:top w:val="nil"/>
              <w:left w:val="nil"/>
              <w:bottom w:val="nil"/>
              <w:right w:val="nil"/>
            </w:tcBorders>
            <w:shd w:val="clear" w:color="auto" w:fill="auto"/>
            <w:noWrap/>
            <w:vAlign w:val="center"/>
          </w:tcPr>
          <w:p w14:paraId="3761644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1.20</w:t>
            </w:r>
          </w:p>
        </w:tc>
        <w:tc>
          <w:tcPr>
            <w:tcW w:w="607" w:type="dxa"/>
            <w:tcBorders>
              <w:top w:val="nil"/>
              <w:left w:val="nil"/>
              <w:bottom w:val="nil"/>
              <w:right w:val="nil"/>
            </w:tcBorders>
            <w:shd w:val="clear" w:color="auto" w:fill="D9D9D9"/>
            <w:vAlign w:val="center"/>
          </w:tcPr>
          <w:p w14:paraId="2E51722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1.08</w:t>
            </w:r>
          </w:p>
        </w:tc>
        <w:tc>
          <w:tcPr>
            <w:tcW w:w="733" w:type="dxa"/>
            <w:tcBorders>
              <w:top w:val="nil"/>
              <w:left w:val="nil"/>
              <w:bottom w:val="nil"/>
              <w:right w:val="nil"/>
            </w:tcBorders>
            <w:shd w:val="clear" w:color="auto" w:fill="auto"/>
            <w:noWrap/>
            <w:vAlign w:val="center"/>
          </w:tcPr>
          <w:p w14:paraId="059430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w:t>
            </w:r>
          </w:p>
        </w:tc>
        <w:tc>
          <w:tcPr>
            <w:tcW w:w="607" w:type="dxa"/>
            <w:tcBorders>
              <w:top w:val="nil"/>
              <w:left w:val="nil"/>
              <w:bottom w:val="nil"/>
              <w:right w:val="nil"/>
            </w:tcBorders>
            <w:shd w:val="clear" w:color="auto" w:fill="D9D9D9"/>
            <w:vAlign w:val="center"/>
          </w:tcPr>
          <w:p w14:paraId="2115C0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w:t>
            </w:r>
          </w:p>
        </w:tc>
        <w:tc>
          <w:tcPr>
            <w:tcW w:w="867" w:type="dxa"/>
            <w:tcBorders>
              <w:top w:val="nil"/>
              <w:left w:val="nil"/>
              <w:bottom w:val="nil"/>
              <w:right w:val="nil"/>
            </w:tcBorders>
            <w:shd w:val="clear" w:color="auto" w:fill="auto"/>
            <w:noWrap/>
            <w:vAlign w:val="center"/>
          </w:tcPr>
          <w:p w14:paraId="5A94F61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607" w:type="dxa"/>
            <w:tcBorders>
              <w:top w:val="nil"/>
              <w:left w:val="nil"/>
              <w:bottom w:val="nil"/>
              <w:right w:val="nil"/>
            </w:tcBorders>
            <w:shd w:val="clear" w:color="auto" w:fill="D9D9D9"/>
            <w:vAlign w:val="center"/>
          </w:tcPr>
          <w:p w14:paraId="1FB1AA5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2.44</w:t>
            </w:r>
          </w:p>
        </w:tc>
        <w:tc>
          <w:tcPr>
            <w:tcW w:w="867" w:type="dxa"/>
            <w:tcBorders>
              <w:top w:val="nil"/>
              <w:left w:val="nil"/>
              <w:bottom w:val="nil"/>
              <w:right w:val="nil"/>
            </w:tcBorders>
            <w:shd w:val="clear" w:color="auto" w:fill="auto"/>
            <w:noWrap/>
            <w:vAlign w:val="center"/>
          </w:tcPr>
          <w:p w14:paraId="7DE0D19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39" w:type="dxa"/>
            <w:tcBorders>
              <w:top w:val="nil"/>
              <w:left w:val="nil"/>
              <w:bottom w:val="nil"/>
              <w:right w:val="nil"/>
            </w:tcBorders>
            <w:shd w:val="clear" w:color="auto" w:fill="D9D9D9"/>
            <w:vAlign w:val="center"/>
          </w:tcPr>
          <w:p w14:paraId="34D4EBE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51" w:type="dxa"/>
            <w:tcBorders>
              <w:top w:val="nil"/>
              <w:left w:val="nil"/>
              <w:bottom w:val="nil"/>
              <w:right w:val="nil"/>
            </w:tcBorders>
            <w:shd w:val="clear" w:color="auto" w:fill="auto"/>
            <w:noWrap/>
            <w:vAlign w:val="center"/>
          </w:tcPr>
          <w:p w14:paraId="676B3F0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-1.66</w:t>
            </w:r>
          </w:p>
        </w:tc>
        <w:tc>
          <w:tcPr>
            <w:tcW w:w="712" w:type="dxa"/>
            <w:tcBorders>
              <w:top w:val="nil"/>
              <w:left w:val="nil"/>
              <w:bottom w:val="nil"/>
              <w:right w:val="nil"/>
            </w:tcBorders>
            <w:shd w:val="clear" w:color="auto" w:fill="D9D9D9"/>
            <w:vAlign w:val="center"/>
          </w:tcPr>
          <w:p w14:paraId="185EEE2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-.99</w:t>
            </w:r>
          </w:p>
        </w:tc>
        <w:tc>
          <w:tcPr>
            <w:tcW w:w="692" w:type="dxa"/>
            <w:tcBorders>
              <w:top w:val="nil"/>
              <w:left w:val="nil"/>
              <w:bottom w:val="nil"/>
              <w:right w:val="nil"/>
            </w:tcBorders>
            <w:shd w:val="clear" w:color="auto" w:fill="auto"/>
            <w:noWrap/>
            <w:vAlign w:val="center"/>
          </w:tcPr>
          <w:p w14:paraId="0CE22D0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4.43</w:t>
            </w:r>
          </w:p>
        </w:tc>
        <w:tc>
          <w:tcPr>
            <w:tcW w:w="830" w:type="dxa"/>
            <w:tcBorders>
              <w:top w:val="nil"/>
              <w:left w:val="nil"/>
              <w:bottom w:val="nil"/>
              <w:right w:val="nil"/>
            </w:tcBorders>
            <w:shd w:val="clear" w:color="auto" w:fill="D9D9D9"/>
            <w:vAlign w:val="center"/>
          </w:tcPr>
          <w:p w14:paraId="5BE517A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.77</w:t>
            </w:r>
          </w:p>
        </w:tc>
      </w:tr>
      <w:tr w:rsidR="00E6060C" w:rsidRPr="00E6060C" w14:paraId="4E83E162" w14:textId="77777777" w:rsidTr="005852AD">
        <w:trPr>
          <w:trHeight w:val="482"/>
        </w:trPr>
        <w:tc>
          <w:tcPr>
            <w:tcW w:w="2122" w:type="dxa"/>
            <w:shd w:val="clear" w:color="auto" w:fill="auto"/>
            <w:vAlign w:val="center"/>
          </w:tcPr>
          <w:p w14:paraId="76E30C5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531" w:type="dxa"/>
            <w:tcBorders>
              <w:top w:val="nil"/>
              <w:left w:val="nil"/>
              <w:bottom w:val="nil"/>
              <w:right w:val="nil"/>
            </w:tcBorders>
            <w:shd w:val="clear" w:color="auto" w:fill="auto"/>
            <w:noWrap/>
            <w:vAlign w:val="center"/>
          </w:tcPr>
          <w:p w14:paraId="7F5E785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536" w:type="dxa"/>
            <w:tcBorders>
              <w:top w:val="nil"/>
              <w:left w:val="nil"/>
              <w:bottom w:val="nil"/>
              <w:right w:val="nil"/>
            </w:tcBorders>
            <w:shd w:val="clear" w:color="auto" w:fill="D9D9D9"/>
            <w:vAlign w:val="center"/>
          </w:tcPr>
          <w:p w14:paraId="663BAE1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44</w:t>
            </w:r>
          </w:p>
        </w:tc>
        <w:tc>
          <w:tcPr>
            <w:tcW w:w="901" w:type="dxa"/>
            <w:tcBorders>
              <w:top w:val="nil"/>
              <w:left w:val="nil"/>
              <w:bottom w:val="nil"/>
              <w:right w:val="nil"/>
            </w:tcBorders>
            <w:shd w:val="clear" w:color="auto" w:fill="auto"/>
            <w:noWrap/>
            <w:vAlign w:val="center"/>
          </w:tcPr>
          <w:p w14:paraId="1A92BEB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5.55</w:t>
            </w:r>
          </w:p>
        </w:tc>
        <w:tc>
          <w:tcPr>
            <w:tcW w:w="607" w:type="dxa"/>
            <w:tcBorders>
              <w:top w:val="nil"/>
              <w:left w:val="nil"/>
              <w:bottom w:val="nil"/>
              <w:right w:val="nil"/>
            </w:tcBorders>
            <w:shd w:val="clear" w:color="auto" w:fill="D9D9D9"/>
            <w:vAlign w:val="center"/>
          </w:tcPr>
          <w:p w14:paraId="0AAC215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5.81</w:t>
            </w:r>
          </w:p>
        </w:tc>
        <w:tc>
          <w:tcPr>
            <w:tcW w:w="707" w:type="dxa"/>
            <w:tcBorders>
              <w:top w:val="nil"/>
              <w:left w:val="nil"/>
              <w:bottom w:val="nil"/>
              <w:right w:val="nil"/>
            </w:tcBorders>
            <w:shd w:val="clear" w:color="auto" w:fill="auto"/>
            <w:noWrap/>
            <w:vAlign w:val="center"/>
          </w:tcPr>
          <w:p w14:paraId="0887E7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.85</w:t>
            </w:r>
          </w:p>
        </w:tc>
        <w:tc>
          <w:tcPr>
            <w:tcW w:w="607" w:type="dxa"/>
            <w:tcBorders>
              <w:top w:val="nil"/>
              <w:left w:val="nil"/>
              <w:bottom w:val="nil"/>
              <w:right w:val="nil"/>
            </w:tcBorders>
            <w:shd w:val="clear" w:color="auto" w:fill="D9D9D9"/>
            <w:vAlign w:val="center"/>
          </w:tcPr>
          <w:p w14:paraId="60D3FA6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.74</w:t>
            </w:r>
          </w:p>
        </w:tc>
        <w:tc>
          <w:tcPr>
            <w:tcW w:w="733" w:type="dxa"/>
            <w:tcBorders>
              <w:top w:val="nil"/>
              <w:left w:val="nil"/>
              <w:bottom w:val="nil"/>
              <w:right w:val="nil"/>
            </w:tcBorders>
            <w:shd w:val="clear" w:color="auto" w:fill="auto"/>
            <w:noWrap/>
            <w:vAlign w:val="center"/>
          </w:tcPr>
          <w:p w14:paraId="3F3A79A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607" w:type="dxa"/>
            <w:tcBorders>
              <w:top w:val="nil"/>
              <w:left w:val="nil"/>
              <w:bottom w:val="nil"/>
              <w:right w:val="nil"/>
            </w:tcBorders>
            <w:shd w:val="clear" w:color="auto" w:fill="D9D9D9"/>
            <w:vAlign w:val="center"/>
          </w:tcPr>
          <w:p w14:paraId="415A61B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w:t>
            </w:r>
          </w:p>
        </w:tc>
        <w:tc>
          <w:tcPr>
            <w:tcW w:w="867" w:type="dxa"/>
            <w:tcBorders>
              <w:top w:val="nil"/>
              <w:left w:val="nil"/>
              <w:bottom w:val="nil"/>
              <w:right w:val="nil"/>
            </w:tcBorders>
            <w:shd w:val="clear" w:color="auto" w:fill="auto"/>
            <w:noWrap/>
            <w:vAlign w:val="center"/>
          </w:tcPr>
          <w:p w14:paraId="4362DBE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3.50</w:t>
            </w:r>
          </w:p>
        </w:tc>
        <w:tc>
          <w:tcPr>
            <w:tcW w:w="607" w:type="dxa"/>
            <w:tcBorders>
              <w:top w:val="nil"/>
              <w:left w:val="nil"/>
              <w:bottom w:val="nil"/>
              <w:right w:val="nil"/>
            </w:tcBorders>
            <w:shd w:val="clear" w:color="auto" w:fill="D9D9D9"/>
            <w:vAlign w:val="center"/>
          </w:tcPr>
          <w:p w14:paraId="429C136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4.25</w:t>
            </w:r>
          </w:p>
        </w:tc>
        <w:tc>
          <w:tcPr>
            <w:tcW w:w="867" w:type="dxa"/>
            <w:tcBorders>
              <w:top w:val="nil"/>
              <w:left w:val="nil"/>
              <w:bottom w:val="nil"/>
              <w:right w:val="nil"/>
            </w:tcBorders>
            <w:shd w:val="clear" w:color="auto" w:fill="auto"/>
            <w:noWrap/>
            <w:vAlign w:val="center"/>
          </w:tcPr>
          <w:p w14:paraId="78A0228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39" w:type="dxa"/>
            <w:tcBorders>
              <w:top w:val="nil"/>
              <w:left w:val="nil"/>
              <w:bottom w:val="nil"/>
              <w:right w:val="nil"/>
            </w:tcBorders>
            <w:shd w:val="clear" w:color="auto" w:fill="D9D9D9"/>
            <w:vAlign w:val="center"/>
          </w:tcPr>
          <w:p w14:paraId="3258F73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51" w:type="dxa"/>
            <w:tcBorders>
              <w:top w:val="nil"/>
              <w:left w:val="nil"/>
              <w:bottom w:val="nil"/>
              <w:right w:val="nil"/>
            </w:tcBorders>
            <w:shd w:val="clear" w:color="auto" w:fill="auto"/>
            <w:noWrap/>
            <w:vAlign w:val="center"/>
          </w:tcPr>
          <w:p w14:paraId="1A11147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712" w:type="dxa"/>
            <w:tcBorders>
              <w:top w:val="nil"/>
              <w:left w:val="nil"/>
              <w:bottom w:val="nil"/>
              <w:right w:val="nil"/>
            </w:tcBorders>
            <w:shd w:val="clear" w:color="auto" w:fill="D9D9D9"/>
            <w:vAlign w:val="center"/>
          </w:tcPr>
          <w:p w14:paraId="1C4AA2A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-.23</w:t>
            </w:r>
          </w:p>
        </w:tc>
        <w:tc>
          <w:tcPr>
            <w:tcW w:w="692" w:type="dxa"/>
            <w:tcBorders>
              <w:top w:val="nil"/>
              <w:left w:val="nil"/>
              <w:bottom w:val="nil"/>
              <w:right w:val="nil"/>
            </w:tcBorders>
            <w:shd w:val="clear" w:color="auto" w:fill="auto"/>
            <w:noWrap/>
            <w:vAlign w:val="center"/>
          </w:tcPr>
          <w:p w14:paraId="764F75F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w:t>
            </w:r>
          </w:p>
        </w:tc>
        <w:tc>
          <w:tcPr>
            <w:tcW w:w="830" w:type="dxa"/>
            <w:tcBorders>
              <w:top w:val="nil"/>
              <w:left w:val="nil"/>
              <w:bottom w:val="nil"/>
              <w:right w:val="nil"/>
            </w:tcBorders>
            <w:shd w:val="clear" w:color="auto" w:fill="D9D9D9"/>
            <w:vAlign w:val="center"/>
          </w:tcPr>
          <w:p w14:paraId="616DDB5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w:t>
            </w:r>
          </w:p>
        </w:tc>
      </w:tr>
      <w:tr w:rsidR="00E6060C" w:rsidRPr="00E6060C" w14:paraId="17AB6730" w14:textId="77777777" w:rsidTr="005852AD">
        <w:trPr>
          <w:trHeight w:val="482"/>
        </w:trPr>
        <w:tc>
          <w:tcPr>
            <w:tcW w:w="2122" w:type="dxa"/>
            <w:shd w:val="clear" w:color="auto" w:fill="auto"/>
            <w:vAlign w:val="center"/>
          </w:tcPr>
          <w:p w14:paraId="346A4B7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531" w:type="dxa"/>
            <w:tcBorders>
              <w:top w:val="nil"/>
              <w:left w:val="nil"/>
              <w:bottom w:val="nil"/>
              <w:right w:val="nil"/>
            </w:tcBorders>
            <w:shd w:val="clear" w:color="auto" w:fill="auto"/>
            <w:noWrap/>
            <w:vAlign w:val="center"/>
          </w:tcPr>
          <w:p w14:paraId="6CDDC60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536" w:type="dxa"/>
            <w:tcBorders>
              <w:top w:val="nil"/>
              <w:left w:val="nil"/>
              <w:bottom w:val="nil"/>
              <w:right w:val="nil"/>
            </w:tcBorders>
            <w:shd w:val="clear" w:color="auto" w:fill="D9D9D9"/>
            <w:vAlign w:val="center"/>
          </w:tcPr>
          <w:p w14:paraId="1303FF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44</w:t>
            </w:r>
          </w:p>
        </w:tc>
        <w:tc>
          <w:tcPr>
            <w:tcW w:w="901" w:type="dxa"/>
            <w:tcBorders>
              <w:top w:val="nil"/>
              <w:left w:val="nil"/>
              <w:bottom w:val="nil"/>
              <w:right w:val="nil"/>
            </w:tcBorders>
            <w:shd w:val="clear" w:color="auto" w:fill="auto"/>
            <w:noWrap/>
            <w:vAlign w:val="center"/>
          </w:tcPr>
          <w:p w14:paraId="1B64E16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4.12</w:t>
            </w:r>
          </w:p>
        </w:tc>
        <w:tc>
          <w:tcPr>
            <w:tcW w:w="607" w:type="dxa"/>
            <w:tcBorders>
              <w:top w:val="nil"/>
              <w:left w:val="nil"/>
              <w:bottom w:val="nil"/>
              <w:right w:val="nil"/>
            </w:tcBorders>
            <w:shd w:val="clear" w:color="auto" w:fill="D9D9D9"/>
            <w:vAlign w:val="center"/>
          </w:tcPr>
          <w:p w14:paraId="0827A5A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4.06</w:t>
            </w:r>
          </w:p>
        </w:tc>
        <w:tc>
          <w:tcPr>
            <w:tcW w:w="707" w:type="dxa"/>
            <w:tcBorders>
              <w:top w:val="nil"/>
              <w:left w:val="nil"/>
              <w:bottom w:val="nil"/>
              <w:right w:val="nil"/>
            </w:tcBorders>
            <w:shd w:val="clear" w:color="auto" w:fill="auto"/>
            <w:noWrap/>
            <w:vAlign w:val="center"/>
          </w:tcPr>
          <w:p w14:paraId="740BAA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1.51</w:t>
            </w:r>
          </w:p>
        </w:tc>
        <w:tc>
          <w:tcPr>
            <w:tcW w:w="607" w:type="dxa"/>
            <w:tcBorders>
              <w:top w:val="nil"/>
              <w:left w:val="nil"/>
              <w:bottom w:val="nil"/>
              <w:right w:val="nil"/>
            </w:tcBorders>
            <w:shd w:val="clear" w:color="auto" w:fill="D9D9D9"/>
            <w:vAlign w:val="center"/>
          </w:tcPr>
          <w:p w14:paraId="7E9303A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1.45</w:t>
            </w:r>
          </w:p>
        </w:tc>
        <w:tc>
          <w:tcPr>
            <w:tcW w:w="733" w:type="dxa"/>
            <w:tcBorders>
              <w:top w:val="nil"/>
              <w:left w:val="nil"/>
              <w:bottom w:val="nil"/>
              <w:right w:val="nil"/>
            </w:tcBorders>
            <w:shd w:val="clear" w:color="auto" w:fill="auto"/>
            <w:noWrap/>
            <w:vAlign w:val="center"/>
          </w:tcPr>
          <w:p w14:paraId="68FF158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607" w:type="dxa"/>
            <w:tcBorders>
              <w:top w:val="nil"/>
              <w:left w:val="nil"/>
              <w:bottom w:val="nil"/>
              <w:right w:val="nil"/>
            </w:tcBorders>
            <w:shd w:val="clear" w:color="auto" w:fill="D9D9D9"/>
            <w:vAlign w:val="center"/>
          </w:tcPr>
          <w:p w14:paraId="1CE98E0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.22</w:t>
            </w:r>
          </w:p>
        </w:tc>
        <w:tc>
          <w:tcPr>
            <w:tcW w:w="867" w:type="dxa"/>
            <w:tcBorders>
              <w:top w:val="nil"/>
              <w:left w:val="nil"/>
              <w:bottom w:val="nil"/>
              <w:right w:val="nil"/>
            </w:tcBorders>
            <w:shd w:val="clear" w:color="auto" w:fill="auto"/>
            <w:noWrap/>
            <w:vAlign w:val="center"/>
          </w:tcPr>
          <w:p w14:paraId="46FA359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1.25</w:t>
            </w:r>
          </w:p>
        </w:tc>
        <w:tc>
          <w:tcPr>
            <w:tcW w:w="607" w:type="dxa"/>
            <w:tcBorders>
              <w:top w:val="nil"/>
              <w:left w:val="nil"/>
              <w:bottom w:val="nil"/>
              <w:right w:val="nil"/>
            </w:tcBorders>
            <w:shd w:val="clear" w:color="auto" w:fill="D9D9D9"/>
            <w:vAlign w:val="center"/>
          </w:tcPr>
          <w:p w14:paraId="07E6277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1.75</w:t>
            </w:r>
          </w:p>
        </w:tc>
        <w:tc>
          <w:tcPr>
            <w:tcW w:w="867" w:type="dxa"/>
            <w:tcBorders>
              <w:top w:val="nil"/>
              <w:left w:val="nil"/>
              <w:bottom w:val="nil"/>
              <w:right w:val="nil"/>
            </w:tcBorders>
            <w:shd w:val="clear" w:color="auto" w:fill="auto"/>
            <w:noWrap/>
            <w:vAlign w:val="center"/>
          </w:tcPr>
          <w:p w14:paraId="2385AD2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39" w:type="dxa"/>
            <w:tcBorders>
              <w:top w:val="nil"/>
              <w:left w:val="nil"/>
              <w:bottom w:val="nil"/>
              <w:right w:val="nil"/>
            </w:tcBorders>
            <w:shd w:val="clear" w:color="auto" w:fill="D9D9D9"/>
            <w:vAlign w:val="center"/>
          </w:tcPr>
          <w:p w14:paraId="5A5029E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6.75</w:t>
            </w:r>
          </w:p>
        </w:tc>
        <w:tc>
          <w:tcPr>
            <w:tcW w:w="751" w:type="dxa"/>
            <w:tcBorders>
              <w:top w:val="nil"/>
              <w:left w:val="nil"/>
              <w:bottom w:val="nil"/>
              <w:right w:val="nil"/>
            </w:tcBorders>
            <w:shd w:val="clear" w:color="auto" w:fill="auto"/>
            <w:noWrap/>
            <w:vAlign w:val="center"/>
          </w:tcPr>
          <w:p w14:paraId="5064450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712" w:type="dxa"/>
            <w:tcBorders>
              <w:top w:val="nil"/>
              <w:left w:val="nil"/>
              <w:bottom w:val="nil"/>
              <w:right w:val="nil"/>
            </w:tcBorders>
            <w:shd w:val="clear" w:color="auto" w:fill="D9D9D9"/>
            <w:vAlign w:val="center"/>
          </w:tcPr>
          <w:p w14:paraId="31B8192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.49</w:t>
            </w:r>
          </w:p>
        </w:tc>
        <w:tc>
          <w:tcPr>
            <w:tcW w:w="692" w:type="dxa"/>
            <w:tcBorders>
              <w:top w:val="nil"/>
              <w:left w:val="nil"/>
              <w:bottom w:val="nil"/>
              <w:right w:val="nil"/>
            </w:tcBorders>
            <w:shd w:val="clear" w:color="auto" w:fill="auto"/>
            <w:noWrap/>
            <w:vAlign w:val="center"/>
          </w:tcPr>
          <w:p w14:paraId="7EA97BD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-.78</w:t>
            </w:r>
          </w:p>
        </w:tc>
        <w:tc>
          <w:tcPr>
            <w:tcW w:w="830" w:type="dxa"/>
            <w:tcBorders>
              <w:top w:val="nil"/>
              <w:left w:val="nil"/>
              <w:bottom w:val="nil"/>
              <w:right w:val="nil"/>
            </w:tcBorders>
            <w:shd w:val="clear" w:color="auto" w:fill="D9D9D9"/>
            <w:vAlign w:val="center"/>
          </w:tcPr>
          <w:p w14:paraId="47014B1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-.90</w:t>
            </w:r>
          </w:p>
        </w:tc>
      </w:tr>
      <w:tr w:rsidR="00E6060C" w:rsidRPr="00E6060C" w14:paraId="4B504F1E" w14:textId="77777777" w:rsidTr="005852AD">
        <w:trPr>
          <w:trHeight w:val="482"/>
        </w:trPr>
        <w:tc>
          <w:tcPr>
            <w:tcW w:w="2122" w:type="dxa"/>
            <w:shd w:val="clear" w:color="auto" w:fill="auto"/>
            <w:vAlign w:val="center"/>
          </w:tcPr>
          <w:p w14:paraId="25A2532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531" w:type="dxa"/>
            <w:tcBorders>
              <w:top w:val="nil"/>
              <w:left w:val="nil"/>
              <w:right w:val="nil"/>
            </w:tcBorders>
            <w:shd w:val="clear" w:color="auto" w:fill="auto"/>
            <w:noWrap/>
            <w:vAlign w:val="center"/>
          </w:tcPr>
          <w:p w14:paraId="5F5C301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w:t>
            </w:r>
          </w:p>
        </w:tc>
        <w:tc>
          <w:tcPr>
            <w:tcW w:w="536" w:type="dxa"/>
            <w:tcBorders>
              <w:top w:val="nil"/>
              <w:left w:val="nil"/>
              <w:right w:val="nil"/>
            </w:tcBorders>
            <w:shd w:val="clear" w:color="auto" w:fill="D9D9D9"/>
            <w:vAlign w:val="center"/>
          </w:tcPr>
          <w:p w14:paraId="6EAED6E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w:t>
            </w:r>
          </w:p>
        </w:tc>
        <w:tc>
          <w:tcPr>
            <w:tcW w:w="901" w:type="dxa"/>
            <w:tcBorders>
              <w:top w:val="nil"/>
              <w:left w:val="nil"/>
              <w:right w:val="nil"/>
            </w:tcBorders>
            <w:shd w:val="clear" w:color="auto" w:fill="auto"/>
            <w:noWrap/>
            <w:vAlign w:val="center"/>
          </w:tcPr>
          <w:p w14:paraId="447713E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6.00</w:t>
            </w:r>
          </w:p>
        </w:tc>
        <w:tc>
          <w:tcPr>
            <w:tcW w:w="607" w:type="dxa"/>
            <w:tcBorders>
              <w:top w:val="nil"/>
              <w:left w:val="nil"/>
              <w:right w:val="nil"/>
            </w:tcBorders>
            <w:shd w:val="clear" w:color="auto" w:fill="D9D9D9"/>
            <w:vAlign w:val="center"/>
          </w:tcPr>
          <w:p w14:paraId="2742DFA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6.23</w:t>
            </w:r>
          </w:p>
        </w:tc>
        <w:tc>
          <w:tcPr>
            <w:tcW w:w="707" w:type="dxa"/>
            <w:tcBorders>
              <w:top w:val="nil"/>
              <w:left w:val="nil"/>
              <w:right w:val="nil"/>
            </w:tcBorders>
            <w:shd w:val="clear" w:color="auto" w:fill="auto"/>
            <w:noWrap/>
            <w:vAlign w:val="center"/>
          </w:tcPr>
          <w:p w14:paraId="4B8BE57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.87</w:t>
            </w:r>
          </w:p>
        </w:tc>
        <w:tc>
          <w:tcPr>
            <w:tcW w:w="607" w:type="dxa"/>
            <w:tcBorders>
              <w:top w:val="nil"/>
              <w:left w:val="nil"/>
              <w:right w:val="nil"/>
            </w:tcBorders>
            <w:shd w:val="clear" w:color="auto" w:fill="D9D9D9"/>
            <w:vAlign w:val="center"/>
          </w:tcPr>
          <w:p w14:paraId="50EFA6A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.72</w:t>
            </w:r>
          </w:p>
        </w:tc>
        <w:tc>
          <w:tcPr>
            <w:tcW w:w="733" w:type="dxa"/>
            <w:tcBorders>
              <w:top w:val="nil"/>
              <w:left w:val="nil"/>
              <w:right w:val="nil"/>
            </w:tcBorders>
            <w:shd w:val="clear" w:color="auto" w:fill="auto"/>
            <w:noWrap/>
            <w:vAlign w:val="center"/>
          </w:tcPr>
          <w:p w14:paraId="14D84D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w:t>
            </w:r>
          </w:p>
        </w:tc>
        <w:tc>
          <w:tcPr>
            <w:tcW w:w="607" w:type="dxa"/>
            <w:tcBorders>
              <w:top w:val="nil"/>
              <w:left w:val="nil"/>
              <w:right w:val="nil"/>
            </w:tcBorders>
            <w:shd w:val="clear" w:color="auto" w:fill="D9D9D9"/>
            <w:vAlign w:val="center"/>
          </w:tcPr>
          <w:p w14:paraId="4921E74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w:t>
            </w:r>
          </w:p>
        </w:tc>
        <w:tc>
          <w:tcPr>
            <w:tcW w:w="867" w:type="dxa"/>
            <w:tcBorders>
              <w:top w:val="nil"/>
              <w:left w:val="nil"/>
              <w:right w:val="nil"/>
            </w:tcBorders>
            <w:shd w:val="clear" w:color="auto" w:fill="auto"/>
            <w:noWrap/>
            <w:vAlign w:val="center"/>
          </w:tcPr>
          <w:p w14:paraId="34B1E54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3.25</w:t>
            </w:r>
          </w:p>
        </w:tc>
        <w:tc>
          <w:tcPr>
            <w:tcW w:w="607" w:type="dxa"/>
            <w:tcBorders>
              <w:top w:val="nil"/>
              <w:left w:val="nil"/>
              <w:right w:val="nil"/>
            </w:tcBorders>
            <w:shd w:val="clear" w:color="auto" w:fill="D9D9D9"/>
            <w:vAlign w:val="center"/>
          </w:tcPr>
          <w:p w14:paraId="27B5E33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4.50</w:t>
            </w:r>
          </w:p>
        </w:tc>
        <w:tc>
          <w:tcPr>
            <w:tcW w:w="867" w:type="dxa"/>
            <w:tcBorders>
              <w:top w:val="nil"/>
              <w:left w:val="nil"/>
              <w:right w:val="nil"/>
            </w:tcBorders>
            <w:shd w:val="clear" w:color="auto" w:fill="auto"/>
            <w:noWrap/>
            <w:vAlign w:val="center"/>
          </w:tcPr>
          <w:p w14:paraId="07DB33B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39" w:type="dxa"/>
            <w:tcBorders>
              <w:top w:val="nil"/>
              <w:left w:val="nil"/>
              <w:right w:val="nil"/>
            </w:tcBorders>
            <w:shd w:val="clear" w:color="auto" w:fill="D9D9D9"/>
            <w:vAlign w:val="center"/>
          </w:tcPr>
          <w:p w14:paraId="7F5CA35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51" w:type="dxa"/>
            <w:tcBorders>
              <w:top w:val="nil"/>
              <w:left w:val="nil"/>
              <w:right w:val="nil"/>
            </w:tcBorders>
            <w:shd w:val="clear" w:color="auto" w:fill="auto"/>
            <w:noWrap/>
            <w:vAlign w:val="center"/>
          </w:tcPr>
          <w:p w14:paraId="1FF2231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-.99</w:t>
            </w:r>
          </w:p>
        </w:tc>
        <w:tc>
          <w:tcPr>
            <w:tcW w:w="712" w:type="dxa"/>
            <w:tcBorders>
              <w:top w:val="nil"/>
              <w:left w:val="nil"/>
              <w:right w:val="nil"/>
            </w:tcBorders>
            <w:shd w:val="clear" w:color="auto" w:fill="D9D9D9"/>
            <w:vAlign w:val="center"/>
          </w:tcPr>
          <w:p w14:paraId="2739A42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-.61</w:t>
            </w:r>
          </w:p>
        </w:tc>
        <w:tc>
          <w:tcPr>
            <w:tcW w:w="692" w:type="dxa"/>
            <w:tcBorders>
              <w:top w:val="nil"/>
              <w:left w:val="nil"/>
              <w:right w:val="nil"/>
            </w:tcBorders>
            <w:shd w:val="clear" w:color="auto" w:fill="auto"/>
            <w:noWrap/>
            <w:vAlign w:val="center"/>
          </w:tcPr>
          <w:p w14:paraId="695AD10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1.06</w:t>
            </w:r>
          </w:p>
        </w:tc>
        <w:tc>
          <w:tcPr>
            <w:tcW w:w="830" w:type="dxa"/>
            <w:tcBorders>
              <w:top w:val="nil"/>
              <w:left w:val="nil"/>
              <w:right w:val="nil"/>
            </w:tcBorders>
            <w:shd w:val="clear" w:color="auto" w:fill="D9D9D9"/>
            <w:vAlign w:val="center"/>
          </w:tcPr>
          <w:p w14:paraId="5C1276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-.63</w:t>
            </w:r>
          </w:p>
        </w:tc>
      </w:tr>
      <w:tr w:rsidR="00E6060C" w:rsidRPr="00E6060C" w14:paraId="0B1A8E1B" w14:textId="77777777" w:rsidTr="005852AD">
        <w:trPr>
          <w:trHeight w:val="482"/>
        </w:trPr>
        <w:tc>
          <w:tcPr>
            <w:tcW w:w="2122" w:type="dxa"/>
            <w:tcBorders>
              <w:bottom w:val="single" w:sz="4" w:space="0" w:color="auto"/>
            </w:tcBorders>
            <w:shd w:val="clear" w:color="auto" w:fill="auto"/>
            <w:vAlign w:val="center"/>
          </w:tcPr>
          <w:p w14:paraId="62F81D1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531" w:type="dxa"/>
            <w:tcBorders>
              <w:top w:val="nil"/>
              <w:left w:val="nil"/>
              <w:bottom w:val="single" w:sz="4" w:space="0" w:color="auto"/>
              <w:right w:val="nil"/>
            </w:tcBorders>
            <w:shd w:val="clear" w:color="auto" w:fill="auto"/>
            <w:noWrap/>
            <w:vAlign w:val="center"/>
          </w:tcPr>
          <w:p w14:paraId="6382055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w:t>
            </w:r>
          </w:p>
        </w:tc>
        <w:tc>
          <w:tcPr>
            <w:tcW w:w="536" w:type="dxa"/>
            <w:tcBorders>
              <w:top w:val="nil"/>
              <w:left w:val="nil"/>
              <w:bottom w:val="single" w:sz="4" w:space="0" w:color="auto"/>
              <w:right w:val="nil"/>
            </w:tcBorders>
            <w:shd w:val="clear" w:color="auto" w:fill="D9D9D9"/>
            <w:vAlign w:val="center"/>
          </w:tcPr>
          <w:p w14:paraId="0E1343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44</w:t>
            </w:r>
          </w:p>
        </w:tc>
        <w:tc>
          <w:tcPr>
            <w:tcW w:w="901" w:type="dxa"/>
            <w:tcBorders>
              <w:top w:val="nil"/>
              <w:left w:val="nil"/>
              <w:bottom w:val="single" w:sz="4" w:space="0" w:color="auto"/>
              <w:right w:val="nil"/>
            </w:tcBorders>
            <w:shd w:val="clear" w:color="auto" w:fill="auto"/>
            <w:noWrap/>
            <w:vAlign w:val="center"/>
          </w:tcPr>
          <w:p w14:paraId="1420CD5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3.98</w:t>
            </w:r>
          </w:p>
        </w:tc>
        <w:tc>
          <w:tcPr>
            <w:tcW w:w="607" w:type="dxa"/>
            <w:tcBorders>
              <w:top w:val="nil"/>
              <w:left w:val="nil"/>
              <w:bottom w:val="single" w:sz="4" w:space="0" w:color="auto"/>
              <w:right w:val="nil"/>
            </w:tcBorders>
            <w:shd w:val="clear" w:color="auto" w:fill="D9D9D9"/>
            <w:vAlign w:val="center"/>
          </w:tcPr>
          <w:p w14:paraId="49721C9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4.13</w:t>
            </w:r>
          </w:p>
        </w:tc>
        <w:tc>
          <w:tcPr>
            <w:tcW w:w="707" w:type="dxa"/>
            <w:tcBorders>
              <w:top w:val="nil"/>
              <w:left w:val="nil"/>
              <w:bottom w:val="single" w:sz="4" w:space="0" w:color="auto"/>
              <w:right w:val="nil"/>
            </w:tcBorders>
            <w:shd w:val="clear" w:color="auto" w:fill="auto"/>
            <w:noWrap/>
            <w:vAlign w:val="center"/>
          </w:tcPr>
          <w:p w14:paraId="39C0414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1.26</w:t>
            </w:r>
          </w:p>
        </w:tc>
        <w:tc>
          <w:tcPr>
            <w:tcW w:w="607" w:type="dxa"/>
            <w:tcBorders>
              <w:top w:val="nil"/>
              <w:left w:val="nil"/>
              <w:bottom w:val="single" w:sz="4" w:space="0" w:color="auto"/>
              <w:right w:val="nil"/>
            </w:tcBorders>
            <w:shd w:val="clear" w:color="auto" w:fill="D9D9D9"/>
            <w:vAlign w:val="center"/>
          </w:tcPr>
          <w:p w14:paraId="1F94E18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1.20</w:t>
            </w:r>
          </w:p>
        </w:tc>
        <w:tc>
          <w:tcPr>
            <w:tcW w:w="733" w:type="dxa"/>
            <w:tcBorders>
              <w:top w:val="nil"/>
              <w:left w:val="nil"/>
              <w:bottom w:val="single" w:sz="4" w:space="0" w:color="auto"/>
              <w:right w:val="nil"/>
            </w:tcBorders>
            <w:shd w:val="clear" w:color="auto" w:fill="auto"/>
            <w:noWrap/>
            <w:vAlign w:val="center"/>
          </w:tcPr>
          <w:p w14:paraId="2D9D2D1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w:t>
            </w:r>
          </w:p>
        </w:tc>
        <w:tc>
          <w:tcPr>
            <w:tcW w:w="607" w:type="dxa"/>
            <w:tcBorders>
              <w:top w:val="nil"/>
              <w:left w:val="nil"/>
              <w:bottom w:val="single" w:sz="4" w:space="0" w:color="auto"/>
              <w:right w:val="nil"/>
            </w:tcBorders>
            <w:shd w:val="clear" w:color="auto" w:fill="D9D9D9"/>
            <w:vAlign w:val="center"/>
          </w:tcPr>
          <w:p w14:paraId="01D6DF6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.18</w:t>
            </w:r>
          </w:p>
        </w:tc>
        <w:tc>
          <w:tcPr>
            <w:tcW w:w="867" w:type="dxa"/>
            <w:tcBorders>
              <w:top w:val="nil"/>
              <w:left w:val="nil"/>
              <w:bottom w:val="single" w:sz="4" w:space="0" w:color="auto"/>
              <w:right w:val="nil"/>
            </w:tcBorders>
            <w:shd w:val="clear" w:color="auto" w:fill="auto"/>
            <w:noWrap/>
            <w:vAlign w:val="center"/>
          </w:tcPr>
          <w:p w14:paraId="2B44964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1.75</w:t>
            </w:r>
          </w:p>
        </w:tc>
        <w:tc>
          <w:tcPr>
            <w:tcW w:w="607" w:type="dxa"/>
            <w:tcBorders>
              <w:top w:val="nil"/>
              <w:left w:val="nil"/>
              <w:bottom w:val="single" w:sz="4" w:space="0" w:color="auto"/>
              <w:right w:val="nil"/>
            </w:tcBorders>
            <w:shd w:val="clear" w:color="auto" w:fill="D9D9D9"/>
            <w:vAlign w:val="center"/>
          </w:tcPr>
          <w:p w14:paraId="01452BC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1.50</w:t>
            </w:r>
          </w:p>
        </w:tc>
        <w:tc>
          <w:tcPr>
            <w:tcW w:w="867" w:type="dxa"/>
            <w:tcBorders>
              <w:top w:val="nil"/>
              <w:left w:val="nil"/>
              <w:bottom w:val="single" w:sz="4" w:space="0" w:color="auto"/>
              <w:right w:val="nil"/>
            </w:tcBorders>
            <w:shd w:val="clear" w:color="auto" w:fill="auto"/>
            <w:noWrap/>
            <w:vAlign w:val="center"/>
          </w:tcPr>
          <w:p w14:paraId="55AD854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739" w:type="dxa"/>
            <w:tcBorders>
              <w:top w:val="nil"/>
              <w:left w:val="nil"/>
              <w:bottom w:val="single" w:sz="4" w:space="0" w:color="auto"/>
              <w:right w:val="nil"/>
            </w:tcBorders>
            <w:shd w:val="clear" w:color="auto" w:fill="D9D9D9"/>
            <w:vAlign w:val="center"/>
          </w:tcPr>
          <w:p w14:paraId="7CDEC4A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6.75</w:t>
            </w:r>
          </w:p>
        </w:tc>
        <w:tc>
          <w:tcPr>
            <w:tcW w:w="751" w:type="dxa"/>
            <w:tcBorders>
              <w:top w:val="nil"/>
              <w:left w:val="nil"/>
              <w:bottom w:val="single" w:sz="4" w:space="0" w:color="auto"/>
              <w:right w:val="nil"/>
            </w:tcBorders>
            <w:shd w:val="clear" w:color="auto" w:fill="auto"/>
            <w:noWrap/>
            <w:vAlign w:val="center"/>
          </w:tcPr>
          <w:p w14:paraId="092BAB3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.55</w:t>
            </w:r>
          </w:p>
        </w:tc>
        <w:tc>
          <w:tcPr>
            <w:tcW w:w="712" w:type="dxa"/>
            <w:tcBorders>
              <w:top w:val="nil"/>
              <w:left w:val="nil"/>
              <w:bottom w:val="single" w:sz="4" w:space="0" w:color="auto"/>
              <w:right w:val="nil"/>
            </w:tcBorders>
            <w:shd w:val="clear" w:color="auto" w:fill="D9D9D9"/>
            <w:vAlign w:val="center"/>
          </w:tcPr>
          <w:p w14:paraId="6B532CF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-.18</w:t>
            </w:r>
          </w:p>
        </w:tc>
        <w:tc>
          <w:tcPr>
            <w:tcW w:w="692" w:type="dxa"/>
            <w:tcBorders>
              <w:top w:val="nil"/>
              <w:left w:val="nil"/>
              <w:bottom w:val="single" w:sz="4" w:space="0" w:color="auto"/>
              <w:right w:val="nil"/>
            </w:tcBorders>
            <w:shd w:val="clear" w:color="auto" w:fill="auto"/>
            <w:noWrap/>
            <w:vAlign w:val="center"/>
          </w:tcPr>
          <w:p w14:paraId="70F132C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w:t>
            </w:r>
          </w:p>
        </w:tc>
        <w:tc>
          <w:tcPr>
            <w:tcW w:w="830" w:type="dxa"/>
            <w:tcBorders>
              <w:top w:val="nil"/>
              <w:left w:val="nil"/>
              <w:bottom w:val="single" w:sz="4" w:space="0" w:color="auto"/>
              <w:right w:val="nil"/>
            </w:tcBorders>
            <w:shd w:val="clear" w:color="auto" w:fill="D9D9D9"/>
            <w:vAlign w:val="center"/>
          </w:tcPr>
          <w:p w14:paraId="70370DD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-.24</w:t>
            </w:r>
          </w:p>
        </w:tc>
      </w:tr>
    </w:tbl>
    <w:p w14:paraId="14CA60AD"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resources, and demands, were scored on a scale of 1 to 5. All other variables were scored on a scale of 1 to 7. For all scales, higher scores indicate better results.</w:t>
      </w:r>
    </w:p>
    <w:p w14:paraId="32EB8F89"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M=mean; SD</w:t>
      </w:r>
      <w:r w:rsidRPr="00E6060C">
        <w:rPr>
          <w:rFonts w:ascii="Calibri" w:eastAsia="Calibri" w:hAnsi="Calibri" w:cs="Times New Roman"/>
        </w:rPr>
        <w:t xml:space="preserve">=standard deviation; </w:t>
      </w:r>
      <w:r w:rsidRPr="00E6060C">
        <w:rPr>
          <w:rFonts w:ascii="Calibri" w:eastAsia="Calibri" w:hAnsi="Calibri" w:cs="Times New Roman"/>
          <w:i/>
        </w:rPr>
        <w:t>SE</w:t>
      </w:r>
      <w:r w:rsidRPr="00E6060C">
        <w:rPr>
          <w:rFonts w:ascii="Calibri" w:eastAsia="Calibri" w:hAnsi="Calibri" w:cs="Times New Roman"/>
        </w:rPr>
        <w:t>=standard error; Min=Minimum value; Max=Maximum value</w:t>
      </w:r>
    </w:p>
    <w:p w14:paraId="11EE4793" w14:textId="77777777" w:rsidR="00E6060C" w:rsidRPr="00E6060C" w:rsidRDefault="00E6060C" w:rsidP="00E6060C">
      <w:pPr>
        <w:spacing w:after="200" w:line="276" w:lineRule="auto"/>
        <w:rPr>
          <w:rFonts w:ascii="Calibri" w:eastAsia="Calibri" w:hAnsi="Calibri" w:cs="Times New Roman"/>
          <w:highlight w:val="yellow"/>
        </w:rPr>
      </w:pPr>
      <w:r w:rsidRPr="00E6060C">
        <w:rPr>
          <w:rFonts w:ascii="Calibri" w:eastAsia="Calibri" w:hAnsi="Calibri" w:cs="Times New Roman"/>
          <w:highlight w:val="yellow"/>
        </w:rPr>
        <w:br w:type="page"/>
      </w:r>
    </w:p>
    <w:p w14:paraId="2045239C" w14:textId="3D7C9193" w:rsidR="00842587" w:rsidRDefault="00842587" w:rsidP="005852AD">
      <w:pPr>
        <w:pStyle w:val="Figurestyle"/>
      </w:pPr>
      <w:bookmarkStart w:id="430" w:name="_Ref453590545"/>
      <w:bookmarkStart w:id="431" w:name="_Toc468286087"/>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13</w:t>
      </w:r>
      <w:r w:rsidR="00245D68">
        <w:rPr>
          <w:noProof/>
        </w:rPr>
        <w:fldChar w:fldCharType="end"/>
      </w:r>
      <w:bookmarkEnd w:id="430"/>
      <w:r>
        <w:t xml:space="preserve"> </w:t>
      </w:r>
      <w:r w:rsidRPr="00F93BB0">
        <w:t xml:space="preserve">Descriptive statistics for those in the control group at Time 1 and </w:t>
      </w:r>
      <w:r w:rsidR="001B5BAE">
        <w:t xml:space="preserve">Time </w:t>
      </w:r>
      <w:r w:rsidRPr="00F93BB0">
        <w:t>2 (N=14)</w:t>
      </w:r>
      <w:bookmarkEnd w:id="431"/>
    </w:p>
    <w:p w14:paraId="4AD811FD" w14:textId="77777777" w:rsidR="00842587" w:rsidRDefault="00842587" w:rsidP="005852AD">
      <w:pPr>
        <w:pStyle w:val="Figurestyle"/>
      </w:pPr>
    </w:p>
    <w:tbl>
      <w:tblPr>
        <w:tblW w:w="13416" w:type="dxa"/>
        <w:tblLook w:val="04A0" w:firstRow="1" w:lastRow="0" w:firstColumn="1" w:lastColumn="0" w:noHBand="0" w:noVBand="1"/>
      </w:tblPr>
      <w:tblGrid>
        <w:gridCol w:w="2122"/>
        <w:gridCol w:w="531"/>
        <w:gridCol w:w="536"/>
        <w:gridCol w:w="901"/>
        <w:gridCol w:w="607"/>
        <w:gridCol w:w="707"/>
        <w:gridCol w:w="607"/>
        <w:gridCol w:w="733"/>
        <w:gridCol w:w="607"/>
        <w:gridCol w:w="867"/>
        <w:gridCol w:w="607"/>
        <w:gridCol w:w="867"/>
        <w:gridCol w:w="739"/>
        <w:gridCol w:w="751"/>
        <w:gridCol w:w="712"/>
        <w:gridCol w:w="692"/>
        <w:gridCol w:w="830"/>
      </w:tblGrid>
      <w:tr w:rsidR="00E6060C" w:rsidRPr="00E6060C" w14:paraId="6B9766D9" w14:textId="77777777" w:rsidTr="005852AD">
        <w:trPr>
          <w:trHeight w:val="286"/>
        </w:trPr>
        <w:tc>
          <w:tcPr>
            <w:tcW w:w="2122" w:type="dxa"/>
            <w:vMerge w:val="restart"/>
            <w:tcBorders>
              <w:top w:val="single" w:sz="4" w:space="0" w:color="auto"/>
            </w:tcBorders>
            <w:shd w:val="clear" w:color="auto" w:fill="auto"/>
            <w:hideMark/>
          </w:tcPr>
          <w:p w14:paraId="30A43F7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Variables</w:t>
            </w:r>
            <w:r w:rsidRPr="00E6060C">
              <w:rPr>
                <w:rFonts w:ascii="Calibri" w:eastAsia="Times New Roman" w:hAnsi="Calibri" w:cs="Times New Roman"/>
                <w:b/>
                <w:bCs/>
                <w:color w:val="000000"/>
                <w:vertAlign w:val="superscript"/>
                <w:lang w:eastAsia="en-GB"/>
              </w:rPr>
              <w:t>1</w:t>
            </w:r>
          </w:p>
        </w:tc>
        <w:tc>
          <w:tcPr>
            <w:tcW w:w="1067" w:type="dxa"/>
            <w:gridSpan w:val="2"/>
            <w:tcBorders>
              <w:top w:val="single" w:sz="4" w:space="0" w:color="auto"/>
              <w:bottom w:val="single" w:sz="4" w:space="0" w:color="auto"/>
            </w:tcBorders>
            <w:shd w:val="clear" w:color="auto" w:fill="auto"/>
            <w:vAlign w:val="center"/>
            <w:hideMark/>
          </w:tcPr>
          <w:p w14:paraId="2822A3B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508" w:type="dxa"/>
            <w:gridSpan w:val="2"/>
            <w:tcBorders>
              <w:top w:val="single" w:sz="4" w:space="0" w:color="auto"/>
              <w:bottom w:val="single" w:sz="4" w:space="0" w:color="auto"/>
            </w:tcBorders>
            <w:shd w:val="clear" w:color="auto" w:fill="auto"/>
            <w:vAlign w:val="center"/>
            <w:hideMark/>
          </w:tcPr>
          <w:p w14:paraId="53EFC998" w14:textId="77777777" w:rsidR="00E6060C" w:rsidRPr="00E6060C" w:rsidRDefault="00E6060C" w:rsidP="00E6060C">
            <w:pPr>
              <w:spacing w:line="240" w:lineRule="auto"/>
              <w:ind w:left="720"/>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M</w:t>
            </w:r>
          </w:p>
        </w:tc>
        <w:tc>
          <w:tcPr>
            <w:tcW w:w="1314" w:type="dxa"/>
            <w:gridSpan w:val="2"/>
            <w:tcBorders>
              <w:top w:val="single" w:sz="4" w:space="0" w:color="auto"/>
              <w:bottom w:val="single" w:sz="4" w:space="0" w:color="auto"/>
            </w:tcBorders>
            <w:shd w:val="clear" w:color="auto" w:fill="auto"/>
            <w:vAlign w:val="center"/>
            <w:hideMark/>
          </w:tcPr>
          <w:p w14:paraId="3115C0CF"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40" w:type="dxa"/>
            <w:gridSpan w:val="2"/>
            <w:tcBorders>
              <w:top w:val="single" w:sz="4" w:space="0" w:color="auto"/>
              <w:bottom w:val="single" w:sz="4" w:space="0" w:color="auto"/>
            </w:tcBorders>
            <w:shd w:val="clear" w:color="auto" w:fill="auto"/>
            <w:vAlign w:val="center"/>
            <w:hideMark/>
          </w:tcPr>
          <w:p w14:paraId="2A9290F4"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474" w:type="dxa"/>
            <w:gridSpan w:val="2"/>
            <w:tcBorders>
              <w:top w:val="single" w:sz="4" w:space="0" w:color="auto"/>
              <w:bottom w:val="single" w:sz="4" w:space="0" w:color="auto"/>
            </w:tcBorders>
            <w:shd w:val="clear" w:color="auto" w:fill="auto"/>
            <w:vAlign w:val="center"/>
            <w:hideMark/>
          </w:tcPr>
          <w:p w14:paraId="53CFAC9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606" w:type="dxa"/>
            <w:gridSpan w:val="2"/>
            <w:tcBorders>
              <w:top w:val="single" w:sz="4" w:space="0" w:color="auto"/>
              <w:bottom w:val="single" w:sz="4" w:space="0" w:color="auto"/>
            </w:tcBorders>
            <w:shd w:val="clear" w:color="auto" w:fill="auto"/>
            <w:vAlign w:val="center"/>
            <w:hideMark/>
          </w:tcPr>
          <w:p w14:paraId="611E0A4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463" w:type="dxa"/>
            <w:gridSpan w:val="2"/>
            <w:tcBorders>
              <w:top w:val="single" w:sz="4" w:space="0" w:color="auto"/>
              <w:bottom w:val="single" w:sz="4" w:space="0" w:color="auto"/>
            </w:tcBorders>
            <w:shd w:val="clear" w:color="auto" w:fill="auto"/>
            <w:vAlign w:val="center"/>
            <w:hideMark/>
          </w:tcPr>
          <w:p w14:paraId="587D40A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522" w:type="dxa"/>
            <w:gridSpan w:val="2"/>
            <w:tcBorders>
              <w:top w:val="single" w:sz="4" w:space="0" w:color="auto"/>
              <w:bottom w:val="single" w:sz="4" w:space="0" w:color="auto"/>
            </w:tcBorders>
            <w:shd w:val="clear" w:color="auto" w:fill="auto"/>
            <w:vAlign w:val="center"/>
            <w:hideMark/>
          </w:tcPr>
          <w:p w14:paraId="5827027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54D54B5B" w14:textId="77777777" w:rsidTr="005852AD">
        <w:trPr>
          <w:trHeight w:val="286"/>
        </w:trPr>
        <w:tc>
          <w:tcPr>
            <w:tcW w:w="2122" w:type="dxa"/>
            <w:vMerge/>
            <w:tcBorders>
              <w:bottom w:val="single" w:sz="4" w:space="0" w:color="auto"/>
            </w:tcBorders>
            <w:shd w:val="clear" w:color="auto" w:fill="auto"/>
            <w:vAlign w:val="center"/>
            <w:hideMark/>
          </w:tcPr>
          <w:p w14:paraId="2A51933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531" w:type="dxa"/>
            <w:tcBorders>
              <w:top w:val="single" w:sz="4" w:space="0" w:color="auto"/>
              <w:bottom w:val="single" w:sz="4" w:space="0" w:color="auto"/>
            </w:tcBorders>
            <w:shd w:val="clear" w:color="auto" w:fill="auto"/>
            <w:vAlign w:val="center"/>
            <w:hideMark/>
          </w:tcPr>
          <w:p w14:paraId="168851C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536" w:type="dxa"/>
            <w:tcBorders>
              <w:top w:val="single" w:sz="4" w:space="0" w:color="auto"/>
              <w:bottom w:val="single" w:sz="4" w:space="0" w:color="auto"/>
            </w:tcBorders>
            <w:shd w:val="clear" w:color="auto" w:fill="D9D9D9"/>
            <w:vAlign w:val="center"/>
          </w:tcPr>
          <w:p w14:paraId="06B5579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901" w:type="dxa"/>
            <w:tcBorders>
              <w:top w:val="single" w:sz="4" w:space="0" w:color="auto"/>
              <w:bottom w:val="single" w:sz="4" w:space="0" w:color="auto"/>
            </w:tcBorders>
            <w:shd w:val="clear" w:color="auto" w:fill="auto"/>
            <w:vAlign w:val="center"/>
            <w:hideMark/>
          </w:tcPr>
          <w:p w14:paraId="75EE2D1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4D43F6F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07" w:type="dxa"/>
            <w:tcBorders>
              <w:top w:val="single" w:sz="4" w:space="0" w:color="auto"/>
              <w:bottom w:val="single" w:sz="4" w:space="0" w:color="auto"/>
            </w:tcBorders>
            <w:shd w:val="clear" w:color="auto" w:fill="auto"/>
            <w:vAlign w:val="center"/>
            <w:hideMark/>
          </w:tcPr>
          <w:p w14:paraId="43670DA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6384371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33" w:type="dxa"/>
            <w:tcBorders>
              <w:top w:val="single" w:sz="4" w:space="0" w:color="auto"/>
              <w:bottom w:val="single" w:sz="4" w:space="0" w:color="auto"/>
            </w:tcBorders>
            <w:shd w:val="clear" w:color="auto" w:fill="auto"/>
            <w:vAlign w:val="center"/>
            <w:hideMark/>
          </w:tcPr>
          <w:p w14:paraId="6241F1E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16EAEE0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67" w:type="dxa"/>
            <w:tcBorders>
              <w:top w:val="single" w:sz="4" w:space="0" w:color="auto"/>
              <w:bottom w:val="single" w:sz="4" w:space="0" w:color="auto"/>
            </w:tcBorders>
            <w:shd w:val="clear" w:color="auto" w:fill="auto"/>
            <w:vAlign w:val="center"/>
            <w:hideMark/>
          </w:tcPr>
          <w:p w14:paraId="4DB9A58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661128D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67" w:type="dxa"/>
            <w:tcBorders>
              <w:top w:val="single" w:sz="4" w:space="0" w:color="auto"/>
              <w:bottom w:val="single" w:sz="4" w:space="0" w:color="auto"/>
            </w:tcBorders>
            <w:shd w:val="clear" w:color="auto" w:fill="auto"/>
            <w:vAlign w:val="center"/>
            <w:hideMark/>
          </w:tcPr>
          <w:p w14:paraId="3B582A9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39" w:type="dxa"/>
            <w:tcBorders>
              <w:top w:val="single" w:sz="4" w:space="0" w:color="auto"/>
              <w:bottom w:val="single" w:sz="4" w:space="0" w:color="auto"/>
            </w:tcBorders>
            <w:shd w:val="clear" w:color="auto" w:fill="D9D9D9"/>
            <w:vAlign w:val="center"/>
          </w:tcPr>
          <w:p w14:paraId="40672AC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51" w:type="dxa"/>
            <w:tcBorders>
              <w:top w:val="single" w:sz="4" w:space="0" w:color="auto"/>
              <w:bottom w:val="single" w:sz="4" w:space="0" w:color="auto"/>
            </w:tcBorders>
            <w:shd w:val="clear" w:color="auto" w:fill="auto"/>
            <w:vAlign w:val="center"/>
            <w:hideMark/>
          </w:tcPr>
          <w:p w14:paraId="50E06C5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12" w:type="dxa"/>
            <w:tcBorders>
              <w:top w:val="single" w:sz="4" w:space="0" w:color="auto"/>
              <w:bottom w:val="single" w:sz="4" w:space="0" w:color="auto"/>
            </w:tcBorders>
            <w:shd w:val="clear" w:color="auto" w:fill="D9D9D9"/>
            <w:vAlign w:val="center"/>
          </w:tcPr>
          <w:p w14:paraId="4CA9C004"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692" w:type="dxa"/>
            <w:tcBorders>
              <w:top w:val="single" w:sz="4" w:space="0" w:color="auto"/>
              <w:bottom w:val="single" w:sz="4" w:space="0" w:color="auto"/>
            </w:tcBorders>
            <w:shd w:val="clear" w:color="auto" w:fill="auto"/>
            <w:vAlign w:val="center"/>
            <w:hideMark/>
          </w:tcPr>
          <w:p w14:paraId="273834F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830" w:type="dxa"/>
            <w:tcBorders>
              <w:top w:val="single" w:sz="4" w:space="0" w:color="auto"/>
              <w:bottom w:val="single" w:sz="4" w:space="0" w:color="auto"/>
            </w:tcBorders>
            <w:shd w:val="clear" w:color="auto" w:fill="D9D9D9"/>
            <w:vAlign w:val="center"/>
          </w:tcPr>
          <w:p w14:paraId="3253D31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r>
      <w:tr w:rsidR="00E6060C" w:rsidRPr="00E6060C" w14:paraId="217254A1" w14:textId="77777777" w:rsidTr="005852AD">
        <w:trPr>
          <w:trHeight w:val="482"/>
        </w:trPr>
        <w:tc>
          <w:tcPr>
            <w:tcW w:w="2122" w:type="dxa"/>
            <w:tcBorders>
              <w:top w:val="single" w:sz="4" w:space="0" w:color="auto"/>
            </w:tcBorders>
            <w:shd w:val="clear" w:color="auto" w:fill="auto"/>
            <w:vAlign w:val="center"/>
          </w:tcPr>
          <w:p w14:paraId="15B8B88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Colleague support</w:t>
            </w:r>
          </w:p>
        </w:tc>
        <w:tc>
          <w:tcPr>
            <w:tcW w:w="531" w:type="dxa"/>
            <w:tcBorders>
              <w:top w:val="single" w:sz="4" w:space="0" w:color="auto"/>
            </w:tcBorders>
            <w:shd w:val="clear" w:color="auto" w:fill="auto"/>
            <w:noWrap/>
            <w:vAlign w:val="center"/>
          </w:tcPr>
          <w:p w14:paraId="6A8BDE0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14</w:t>
            </w:r>
          </w:p>
        </w:tc>
        <w:tc>
          <w:tcPr>
            <w:tcW w:w="536" w:type="dxa"/>
            <w:tcBorders>
              <w:top w:val="single" w:sz="4" w:space="0" w:color="auto"/>
            </w:tcBorders>
            <w:shd w:val="clear" w:color="auto" w:fill="D9D9D9"/>
            <w:vAlign w:val="center"/>
          </w:tcPr>
          <w:p w14:paraId="12D2456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tcBorders>
              <w:top w:val="single" w:sz="4" w:space="0" w:color="auto"/>
            </w:tcBorders>
            <w:shd w:val="clear" w:color="auto" w:fill="auto"/>
            <w:noWrap/>
            <w:vAlign w:val="center"/>
          </w:tcPr>
          <w:p w14:paraId="27BC7DF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3.48</w:t>
            </w:r>
          </w:p>
        </w:tc>
        <w:tc>
          <w:tcPr>
            <w:tcW w:w="607" w:type="dxa"/>
            <w:tcBorders>
              <w:top w:val="single" w:sz="4" w:space="0" w:color="auto"/>
            </w:tcBorders>
            <w:shd w:val="clear" w:color="auto" w:fill="D9D9D9"/>
            <w:vAlign w:val="center"/>
          </w:tcPr>
          <w:p w14:paraId="053963D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3.76</w:t>
            </w:r>
          </w:p>
        </w:tc>
        <w:tc>
          <w:tcPr>
            <w:tcW w:w="707" w:type="dxa"/>
            <w:tcBorders>
              <w:top w:val="single" w:sz="4" w:space="0" w:color="auto"/>
            </w:tcBorders>
            <w:shd w:val="clear" w:color="auto" w:fill="auto"/>
            <w:noWrap/>
            <w:vAlign w:val="center"/>
          </w:tcPr>
          <w:p w14:paraId="05B90E2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1.08</w:t>
            </w:r>
          </w:p>
        </w:tc>
        <w:tc>
          <w:tcPr>
            <w:tcW w:w="607" w:type="dxa"/>
            <w:tcBorders>
              <w:top w:val="single" w:sz="4" w:space="0" w:color="auto"/>
            </w:tcBorders>
            <w:shd w:val="clear" w:color="auto" w:fill="D9D9D9"/>
            <w:vAlign w:val="center"/>
          </w:tcPr>
          <w:p w14:paraId="27607AC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33" w:type="dxa"/>
            <w:tcBorders>
              <w:top w:val="single" w:sz="4" w:space="0" w:color="auto"/>
            </w:tcBorders>
            <w:shd w:val="clear" w:color="auto" w:fill="auto"/>
            <w:noWrap/>
            <w:vAlign w:val="center"/>
          </w:tcPr>
          <w:p w14:paraId="3B522BB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.29</w:t>
            </w:r>
          </w:p>
        </w:tc>
        <w:tc>
          <w:tcPr>
            <w:tcW w:w="607" w:type="dxa"/>
            <w:tcBorders>
              <w:top w:val="single" w:sz="4" w:space="0" w:color="auto"/>
            </w:tcBorders>
            <w:shd w:val="clear" w:color="auto" w:fill="D9D9D9"/>
            <w:vAlign w:val="center"/>
          </w:tcPr>
          <w:p w14:paraId="5A649B2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.21</w:t>
            </w:r>
          </w:p>
        </w:tc>
        <w:tc>
          <w:tcPr>
            <w:tcW w:w="867" w:type="dxa"/>
            <w:tcBorders>
              <w:top w:val="single" w:sz="4" w:space="0" w:color="auto"/>
            </w:tcBorders>
            <w:shd w:val="clear" w:color="auto" w:fill="auto"/>
            <w:noWrap/>
            <w:vAlign w:val="center"/>
          </w:tcPr>
          <w:p w14:paraId="60A1B29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2.00</w:t>
            </w:r>
          </w:p>
        </w:tc>
        <w:tc>
          <w:tcPr>
            <w:tcW w:w="607" w:type="dxa"/>
            <w:tcBorders>
              <w:top w:val="single" w:sz="4" w:space="0" w:color="auto"/>
            </w:tcBorders>
            <w:shd w:val="clear" w:color="auto" w:fill="D9D9D9"/>
            <w:vAlign w:val="center"/>
          </w:tcPr>
          <w:p w14:paraId="364D08E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2.00</w:t>
            </w:r>
          </w:p>
        </w:tc>
        <w:tc>
          <w:tcPr>
            <w:tcW w:w="867" w:type="dxa"/>
            <w:tcBorders>
              <w:top w:val="single" w:sz="4" w:space="0" w:color="auto"/>
            </w:tcBorders>
            <w:shd w:val="clear" w:color="auto" w:fill="auto"/>
            <w:noWrap/>
            <w:vAlign w:val="center"/>
          </w:tcPr>
          <w:p w14:paraId="445B225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5.00</w:t>
            </w:r>
          </w:p>
        </w:tc>
        <w:tc>
          <w:tcPr>
            <w:tcW w:w="739" w:type="dxa"/>
            <w:tcBorders>
              <w:top w:val="single" w:sz="4" w:space="0" w:color="auto"/>
            </w:tcBorders>
            <w:shd w:val="clear" w:color="auto" w:fill="D9D9D9"/>
            <w:vAlign w:val="center"/>
          </w:tcPr>
          <w:p w14:paraId="7740513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tcBorders>
              <w:top w:val="single" w:sz="4" w:space="0" w:color="auto"/>
            </w:tcBorders>
            <w:shd w:val="clear" w:color="auto" w:fill="auto"/>
            <w:vAlign w:val="center"/>
          </w:tcPr>
          <w:p w14:paraId="7977C7D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-.35</w:t>
            </w:r>
          </w:p>
        </w:tc>
        <w:tc>
          <w:tcPr>
            <w:tcW w:w="712" w:type="dxa"/>
            <w:tcBorders>
              <w:top w:val="single" w:sz="4" w:space="0" w:color="auto"/>
            </w:tcBorders>
            <w:shd w:val="clear" w:color="auto" w:fill="D9D9D9"/>
            <w:vAlign w:val="center"/>
          </w:tcPr>
          <w:p w14:paraId="033AC43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-1.56</w:t>
            </w:r>
          </w:p>
        </w:tc>
        <w:tc>
          <w:tcPr>
            <w:tcW w:w="692" w:type="dxa"/>
            <w:tcBorders>
              <w:top w:val="single" w:sz="4" w:space="0" w:color="auto"/>
            </w:tcBorders>
            <w:shd w:val="clear" w:color="auto" w:fill="auto"/>
            <w:vAlign w:val="center"/>
          </w:tcPr>
          <w:p w14:paraId="00858F74" w14:textId="77777777" w:rsidR="00E6060C" w:rsidRPr="00E6060C" w:rsidRDefault="00E6060C" w:rsidP="00E6060C">
            <w:pPr>
              <w:spacing w:line="240" w:lineRule="auto"/>
              <w:jc w:val="center"/>
              <w:rPr>
                <w:rFonts w:ascii="Times New Roman" w:eastAsia="Times New Roman" w:hAnsi="Times New Roman" w:cs="Times New Roman"/>
                <w:sz w:val="20"/>
                <w:szCs w:val="20"/>
                <w:lang w:eastAsia="en-GB"/>
              </w:rPr>
            </w:pPr>
            <w:r w:rsidRPr="00E6060C">
              <w:rPr>
                <w:rFonts w:ascii="Arial" w:eastAsia="Calibri" w:hAnsi="Arial" w:cs="Arial"/>
                <w:color w:val="000000"/>
                <w:sz w:val="18"/>
                <w:szCs w:val="18"/>
              </w:rPr>
              <w:t>-1.15</w:t>
            </w:r>
          </w:p>
        </w:tc>
        <w:tc>
          <w:tcPr>
            <w:tcW w:w="830" w:type="dxa"/>
            <w:tcBorders>
              <w:top w:val="single" w:sz="4" w:space="0" w:color="auto"/>
            </w:tcBorders>
            <w:shd w:val="clear" w:color="auto" w:fill="D9D9D9"/>
            <w:vAlign w:val="center"/>
          </w:tcPr>
          <w:p w14:paraId="1EDD0E1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2.63</w:t>
            </w:r>
          </w:p>
        </w:tc>
      </w:tr>
      <w:tr w:rsidR="00E6060C" w:rsidRPr="00E6060C" w14:paraId="5E608C0D" w14:textId="77777777" w:rsidTr="005852AD">
        <w:trPr>
          <w:trHeight w:val="482"/>
        </w:trPr>
        <w:tc>
          <w:tcPr>
            <w:tcW w:w="2122" w:type="dxa"/>
            <w:shd w:val="clear" w:color="auto" w:fill="auto"/>
            <w:vAlign w:val="center"/>
          </w:tcPr>
          <w:p w14:paraId="3A2567B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Influence in decision-making</w:t>
            </w:r>
          </w:p>
        </w:tc>
        <w:tc>
          <w:tcPr>
            <w:tcW w:w="531" w:type="dxa"/>
            <w:shd w:val="clear" w:color="auto" w:fill="auto"/>
            <w:noWrap/>
            <w:vAlign w:val="center"/>
          </w:tcPr>
          <w:p w14:paraId="4809852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14</w:t>
            </w:r>
          </w:p>
        </w:tc>
        <w:tc>
          <w:tcPr>
            <w:tcW w:w="536" w:type="dxa"/>
            <w:shd w:val="clear" w:color="auto" w:fill="D9D9D9"/>
            <w:vAlign w:val="center"/>
          </w:tcPr>
          <w:p w14:paraId="30470AD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shd w:val="clear" w:color="auto" w:fill="auto"/>
            <w:noWrap/>
            <w:vAlign w:val="center"/>
          </w:tcPr>
          <w:p w14:paraId="30774E0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2.79</w:t>
            </w:r>
          </w:p>
        </w:tc>
        <w:tc>
          <w:tcPr>
            <w:tcW w:w="607" w:type="dxa"/>
            <w:shd w:val="clear" w:color="auto" w:fill="D9D9D9"/>
            <w:vAlign w:val="center"/>
          </w:tcPr>
          <w:p w14:paraId="6BF9CC7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3.17</w:t>
            </w:r>
          </w:p>
        </w:tc>
        <w:tc>
          <w:tcPr>
            <w:tcW w:w="707" w:type="dxa"/>
            <w:shd w:val="clear" w:color="auto" w:fill="auto"/>
            <w:noWrap/>
            <w:vAlign w:val="center"/>
          </w:tcPr>
          <w:p w14:paraId="6925F49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.77</w:t>
            </w:r>
          </w:p>
        </w:tc>
        <w:tc>
          <w:tcPr>
            <w:tcW w:w="607" w:type="dxa"/>
            <w:shd w:val="clear" w:color="auto" w:fill="D9D9D9"/>
            <w:vAlign w:val="center"/>
          </w:tcPr>
          <w:p w14:paraId="7024BBA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.52</w:t>
            </w:r>
          </w:p>
        </w:tc>
        <w:tc>
          <w:tcPr>
            <w:tcW w:w="733" w:type="dxa"/>
            <w:shd w:val="clear" w:color="auto" w:fill="auto"/>
            <w:noWrap/>
            <w:vAlign w:val="center"/>
          </w:tcPr>
          <w:p w14:paraId="4C3F4F4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.21</w:t>
            </w:r>
          </w:p>
        </w:tc>
        <w:tc>
          <w:tcPr>
            <w:tcW w:w="607" w:type="dxa"/>
            <w:shd w:val="clear" w:color="auto" w:fill="D9D9D9"/>
            <w:vAlign w:val="center"/>
          </w:tcPr>
          <w:p w14:paraId="33D23D2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867" w:type="dxa"/>
            <w:shd w:val="clear" w:color="auto" w:fill="auto"/>
            <w:noWrap/>
            <w:vAlign w:val="center"/>
          </w:tcPr>
          <w:p w14:paraId="2381B90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1.00</w:t>
            </w:r>
          </w:p>
        </w:tc>
        <w:tc>
          <w:tcPr>
            <w:tcW w:w="607" w:type="dxa"/>
            <w:shd w:val="clear" w:color="auto" w:fill="D9D9D9"/>
            <w:vAlign w:val="center"/>
          </w:tcPr>
          <w:p w14:paraId="42A3CE3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2.33</w:t>
            </w:r>
          </w:p>
        </w:tc>
        <w:tc>
          <w:tcPr>
            <w:tcW w:w="867" w:type="dxa"/>
            <w:shd w:val="clear" w:color="auto" w:fill="auto"/>
            <w:noWrap/>
            <w:vAlign w:val="center"/>
          </w:tcPr>
          <w:p w14:paraId="212A957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3.67</w:t>
            </w:r>
          </w:p>
        </w:tc>
        <w:tc>
          <w:tcPr>
            <w:tcW w:w="739" w:type="dxa"/>
            <w:shd w:val="clear" w:color="auto" w:fill="D9D9D9"/>
            <w:vAlign w:val="center"/>
          </w:tcPr>
          <w:p w14:paraId="79B55B6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751" w:type="dxa"/>
            <w:shd w:val="clear" w:color="auto" w:fill="auto"/>
            <w:noWrap/>
            <w:vAlign w:val="center"/>
          </w:tcPr>
          <w:p w14:paraId="3D81A3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-.95</w:t>
            </w:r>
          </w:p>
        </w:tc>
        <w:tc>
          <w:tcPr>
            <w:tcW w:w="712" w:type="dxa"/>
            <w:shd w:val="clear" w:color="auto" w:fill="D9D9D9"/>
            <w:vAlign w:val="center"/>
          </w:tcPr>
          <w:p w14:paraId="317091C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.00</w:t>
            </w:r>
          </w:p>
        </w:tc>
        <w:tc>
          <w:tcPr>
            <w:tcW w:w="692" w:type="dxa"/>
            <w:shd w:val="clear" w:color="auto" w:fill="auto"/>
            <w:noWrap/>
            <w:vAlign w:val="center"/>
          </w:tcPr>
          <w:p w14:paraId="4695D4D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.97</w:t>
            </w:r>
          </w:p>
        </w:tc>
        <w:tc>
          <w:tcPr>
            <w:tcW w:w="830" w:type="dxa"/>
            <w:shd w:val="clear" w:color="auto" w:fill="D9D9D9"/>
            <w:vAlign w:val="center"/>
          </w:tcPr>
          <w:p w14:paraId="7D13098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-1.36</w:t>
            </w:r>
          </w:p>
        </w:tc>
      </w:tr>
      <w:tr w:rsidR="00E6060C" w:rsidRPr="00E6060C" w14:paraId="6091182F" w14:textId="77777777" w:rsidTr="005852AD">
        <w:trPr>
          <w:trHeight w:val="482"/>
        </w:trPr>
        <w:tc>
          <w:tcPr>
            <w:tcW w:w="2122" w:type="dxa"/>
            <w:shd w:val="clear" w:color="auto" w:fill="auto"/>
            <w:vAlign w:val="center"/>
          </w:tcPr>
          <w:p w14:paraId="38E9C808"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Resources and demands</w:t>
            </w:r>
          </w:p>
        </w:tc>
        <w:tc>
          <w:tcPr>
            <w:tcW w:w="531" w:type="dxa"/>
            <w:shd w:val="clear" w:color="auto" w:fill="auto"/>
            <w:noWrap/>
            <w:vAlign w:val="center"/>
          </w:tcPr>
          <w:p w14:paraId="7BABB7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w:t>
            </w:r>
          </w:p>
        </w:tc>
        <w:tc>
          <w:tcPr>
            <w:tcW w:w="536" w:type="dxa"/>
            <w:shd w:val="clear" w:color="auto" w:fill="D9D9D9"/>
            <w:vAlign w:val="center"/>
          </w:tcPr>
          <w:p w14:paraId="05B1F00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14</w:t>
            </w:r>
          </w:p>
        </w:tc>
        <w:tc>
          <w:tcPr>
            <w:tcW w:w="901" w:type="dxa"/>
            <w:shd w:val="clear" w:color="auto" w:fill="auto"/>
            <w:noWrap/>
            <w:vAlign w:val="center"/>
          </w:tcPr>
          <w:p w14:paraId="16519BA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2.80</w:t>
            </w:r>
          </w:p>
        </w:tc>
        <w:tc>
          <w:tcPr>
            <w:tcW w:w="607" w:type="dxa"/>
            <w:shd w:val="clear" w:color="auto" w:fill="D9D9D9"/>
            <w:vAlign w:val="center"/>
          </w:tcPr>
          <w:p w14:paraId="53CD131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3.03</w:t>
            </w:r>
          </w:p>
        </w:tc>
        <w:tc>
          <w:tcPr>
            <w:tcW w:w="707" w:type="dxa"/>
            <w:shd w:val="clear" w:color="auto" w:fill="auto"/>
            <w:noWrap/>
            <w:vAlign w:val="center"/>
          </w:tcPr>
          <w:p w14:paraId="7D62F0E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.45</w:t>
            </w:r>
          </w:p>
        </w:tc>
        <w:tc>
          <w:tcPr>
            <w:tcW w:w="607" w:type="dxa"/>
            <w:shd w:val="clear" w:color="auto" w:fill="D9D9D9"/>
            <w:vAlign w:val="center"/>
          </w:tcPr>
          <w:p w14:paraId="57C10F6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.45</w:t>
            </w:r>
          </w:p>
        </w:tc>
        <w:tc>
          <w:tcPr>
            <w:tcW w:w="733" w:type="dxa"/>
            <w:shd w:val="clear" w:color="auto" w:fill="auto"/>
            <w:noWrap/>
            <w:vAlign w:val="center"/>
          </w:tcPr>
          <w:p w14:paraId="2477FC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w:t>
            </w:r>
          </w:p>
        </w:tc>
        <w:tc>
          <w:tcPr>
            <w:tcW w:w="607" w:type="dxa"/>
            <w:shd w:val="clear" w:color="auto" w:fill="D9D9D9"/>
            <w:vAlign w:val="center"/>
          </w:tcPr>
          <w:p w14:paraId="2A1C4CB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.12</w:t>
            </w:r>
          </w:p>
        </w:tc>
        <w:tc>
          <w:tcPr>
            <w:tcW w:w="867" w:type="dxa"/>
            <w:shd w:val="clear" w:color="auto" w:fill="auto"/>
            <w:noWrap/>
            <w:vAlign w:val="center"/>
          </w:tcPr>
          <w:p w14:paraId="1AB82E9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2.00</w:t>
            </w:r>
          </w:p>
        </w:tc>
        <w:tc>
          <w:tcPr>
            <w:tcW w:w="607" w:type="dxa"/>
            <w:shd w:val="clear" w:color="auto" w:fill="D9D9D9"/>
            <w:vAlign w:val="center"/>
          </w:tcPr>
          <w:p w14:paraId="26E071C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2.14</w:t>
            </w:r>
          </w:p>
        </w:tc>
        <w:tc>
          <w:tcPr>
            <w:tcW w:w="867" w:type="dxa"/>
            <w:shd w:val="clear" w:color="auto" w:fill="auto"/>
            <w:noWrap/>
            <w:vAlign w:val="center"/>
          </w:tcPr>
          <w:p w14:paraId="0B7ADDF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3.50</w:t>
            </w:r>
          </w:p>
        </w:tc>
        <w:tc>
          <w:tcPr>
            <w:tcW w:w="739" w:type="dxa"/>
            <w:shd w:val="clear" w:color="auto" w:fill="D9D9D9"/>
            <w:vAlign w:val="center"/>
          </w:tcPr>
          <w:p w14:paraId="03A1A59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3.71</w:t>
            </w:r>
          </w:p>
        </w:tc>
        <w:tc>
          <w:tcPr>
            <w:tcW w:w="751" w:type="dxa"/>
            <w:shd w:val="clear" w:color="auto" w:fill="auto"/>
            <w:noWrap/>
            <w:vAlign w:val="center"/>
          </w:tcPr>
          <w:p w14:paraId="6B5B7F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-.29</w:t>
            </w:r>
          </w:p>
        </w:tc>
        <w:tc>
          <w:tcPr>
            <w:tcW w:w="712" w:type="dxa"/>
            <w:shd w:val="clear" w:color="auto" w:fill="D9D9D9"/>
            <w:vAlign w:val="center"/>
          </w:tcPr>
          <w:p w14:paraId="302EC1A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.60</w:t>
            </w:r>
          </w:p>
        </w:tc>
        <w:tc>
          <w:tcPr>
            <w:tcW w:w="692" w:type="dxa"/>
            <w:shd w:val="clear" w:color="auto" w:fill="auto"/>
            <w:noWrap/>
            <w:vAlign w:val="center"/>
          </w:tcPr>
          <w:p w14:paraId="0CC8DF7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-.64</w:t>
            </w:r>
          </w:p>
        </w:tc>
        <w:tc>
          <w:tcPr>
            <w:tcW w:w="830" w:type="dxa"/>
            <w:shd w:val="clear" w:color="auto" w:fill="D9D9D9"/>
            <w:vAlign w:val="center"/>
          </w:tcPr>
          <w:p w14:paraId="1132AFD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Arial" w:eastAsia="Calibri" w:hAnsi="Arial" w:cs="Arial"/>
                <w:color w:val="000000"/>
                <w:sz w:val="18"/>
                <w:szCs w:val="18"/>
              </w:rPr>
              <w:t>-.59</w:t>
            </w:r>
          </w:p>
        </w:tc>
      </w:tr>
      <w:tr w:rsidR="00E6060C" w:rsidRPr="00E6060C" w14:paraId="106243A8" w14:textId="77777777" w:rsidTr="005852AD">
        <w:trPr>
          <w:trHeight w:val="482"/>
        </w:trPr>
        <w:tc>
          <w:tcPr>
            <w:tcW w:w="2122" w:type="dxa"/>
            <w:shd w:val="clear" w:color="auto" w:fill="auto"/>
            <w:vAlign w:val="center"/>
          </w:tcPr>
          <w:p w14:paraId="3959A2A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Autonomy</w:t>
            </w:r>
          </w:p>
        </w:tc>
        <w:tc>
          <w:tcPr>
            <w:tcW w:w="531" w:type="dxa"/>
            <w:shd w:val="clear" w:color="auto" w:fill="auto"/>
            <w:noWrap/>
            <w:vAlign w:val="center"/>
          </w:tcPr>
          <w:p w14:paraId="3EC2E4B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14</w:t>
            </w:r>
          </w:p>
        </w:tc>
        <w:tc>
          <w:tcPr>
            <w:tcW w:w="536" w:type="dxa"/>
            <w:shd w:val="clear" w:color="auto" w:fill="D9D9D9"/>
            <w:vAlign w:val="center"/>
          </w:tcPr>
          <w:p w14:paraId="55CD5C2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shd w:val="clear" w:color="auto" w:fill="auto"/>
            <w:noWrap/>
            <w:vAlign w:val="center"/>
          </w:tcPr>
          <w:p w14:paraId="42563B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3.62</w:t>
            </w:r>
          </w:p>
        </w:tc>
        <w:tc>
          <w:tcPr>
            <w:tcW w:w="607" w:type="dxa"/>
            <w:shd w:val="clear" w:color="auto" w:fill="D9D9D9"/>
            <w:vAlign w:val="center"/>
          </w:tcPr>
          <w:p w14:paraId="0140572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4.02</w:t>
            </w:r>
          </w:p>
        </w:tc>
        <w:tc>
          <w:tcPr>
            <w:tcW w:w="707" w:type="dxa"/>
            <w:shd w:val="clear" w:color="auto" w:fill="auto"/>
            <w:noWrap/>
            <w:vAlign w:val="center"/>
          </w:tcPr>
          <w:p w14:paraId="1C5C317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1.03</w:t>
            </w:r>
          </w:p>
        </w:tc>
        <w:tc>
          <w:tcPr>
            <w:tcW w:w="607" w:type="dxa"/>
            <w:shd w:val="clear" w:color="auto" w:fill="D9D9D9"/>
            <w:vAlign w:val="center"/>
          </w:tcPr>
          <w:p w14:paraId="17E146F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.48</w:t>
            </w:r>
          </w:p>
        </w:tc>
        <w:tc>
          <w:tcPr>
            <w:tcW w:w="733" w:type="dxa"/>
            <w:shd w:val="clear" w:color="auto" w:fill="auto"/>
            <w:noWrap/>
            <w:vAlign w:val="center"/>
          </w:tcPr>
          <w:p w14:paraId="386D51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.27</w:t>
            </w:r>
          </w:p>
        </w:tc>
        <w:tc>
          <w:tcPr>
            <w:tcW w:w="607" w:type="dxa"/>
            <w:shd w:val="clear" w:color="auto" w:fill="D9D9D9"/>
            <w:vAlign w:val="center"/>
          </w:tcPr>
          <w:p w14:paraId="54D03E2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w:t>
            </w:r>
          </w:p>
        </w:tc>
        <w:tc>
          <w:tcPr>
            <w:tcW w:w="867" w:type="dxa"/>
            <w:shd w:val="clear" w:color="auto" w:fill="auto"/>
            <w:noWrap/>
            <w:vAlign w:val="center"/>
          </w:tcPr>
          <w:p w14:paraId="53EDE1B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1.00</w:t>
            </w:r>
          </w:p>
        </w:tc>
        <w:tc>
          <w:tcPr>
            <w:tcW w:w="607" w:type="dxa"/>
            <w:shd w:val="clear" w:color="auto" w:fill="D9D9D9"/>
            <w:vAlign w:val="center"/>
          </w:tcPr>
          <w:p w14:paraId="67F9317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3.00</w:t>
            </w:r>
          </w:p>
        </w:tc>
        <w:tc>
          <w:tcPr>
            <w:tcW w:w="867" w:type="dxa"/>
            <w:shd w:val="clear" w:color="auto" w:fill="auto"/>
            <w:noWrap/>
            <w:vAlign w:val="center"/>
          </w:tcPr>
          <w:p w14:paraId="5DEBE2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5.00</w:t>
            </w:r>
          </w:p>
        </w:tc>
        <w:tc>
          <w:tcPr>
            <w:tcW w:w="739" w:type="dxa"/>
            <w:shd w:val="clear" w:color="auto" w:fill="D9D9D9"/>
            <w:vAlign w:val="center"/>
          </w:tcPr>
          <w:p w14:paraId="3D687EE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shd w:val="clear" w:color="auto" w:fill="auto"/>
            <w:noWrap/>
            <w:vAlign w:val="center"/>
          </w:tcPr>
          <w:p w14:paraId="6CD9591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-1.18</w:t>
            </w:r>
          </w:p>
        </w:tc>
        <w:tc>
          <w:tcPr>
            <w:tcW w:w="712" w:type="dxa"/>
            <w:shd w:val="clear" w:color="auto" w:fill="D9D9D9"/>
            <w:vAlign w:val="center"/>
          </w:tcPr>
          <w:p w14:paraId="693C3DF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w:t>
            </w:r>
          </w:p>
        </w:tc>
        <w:tc>
          <w:tcPr>
            <w:tcW w:w="692" w:type="dxa"/>
            <w:shd w:val="clear" w:color="auto" w:fill="auto"/>
            <w:noWrap/>
            <w:vAlign w:val="center"/>
          </w:tcPr>
          <w:p w14:paraId="47213E5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2.44</w:t>
            </w:r>
          </w:p>
        </w:tc>
        <w:tc>
          <w:tcPr>
            <w:tcW w:w="830" w:type="dxa"/>
            <w:shd w:val="clear" w:color="auto" w:fill="D9D9D9"/>
            <w:vAlign w:val="center"/>
          </w:tcPr>
          <w:p w14:paraId="61623A4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w:t>
            </w:r>
          </w:p>
        </w:tc>
      </w:tr>
      <w:tr w:rsidR="00E6060C" w:rsidRPr="00E6060C" w14:paraId="1DB52164" w14:textId="77777777" w:rsidTr="005852AD">
        <w:trPr>
          <w:trHeight w:val="482"/>
        </w:trPr>
        <w:tc>
          <w:tcPr>
            <w:tcW w:w="2122" w:type="dxa"/>
            <w:shd w:val="clear" w:color="auto" w:fill="auto"/>
            <w:vAlign w:val="center"/>
          </w:tcPr>
          <w:p w14:paraId="24CA4EA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Competence</w:t>
            </w:r>
          </w:p>
        </w:tc>
        <w:tc>
          <w:tcPr>
            <w:tcW w:w="531" w:type="dxa"/>
            <w:shd w:val="clear" w:color="auto" w:fill="auto"/>
            <w:noWrap/>
            <w:vAlign w:val="center"/>
          </w:tcPr>
          <w:p w14:paraId="00387FF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14</w:t>
            </w:r>
          </w:p>
        </w:tc>
        <w:tc>
          <w:tcPr>
            <w:tcW w:w="536" w:type="dxa"/>
            <w:shd w:val="clear" w:color="auto" w:fill="D9D9D9"/>
            <w:vAlign w:val="center"/>
          </w:tcPr>
          <w:p w14:paraId="1290EC2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shd w:val="clear" w:color="auto" w:fill="auto"/>
            <w:noWrap/>
            <w:vAlign w:val="center"/>
          </w:tcPr>
          <w:p w14:paraId="5CC0AF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3.90</w:t>
            </w:r>
          </w:p>
        </w:tc>
        <w:tc>
          <w:tcPr>
            <w:tcW w:w="607" w:type="dxa"/>
            <w:shd w:val="clear" w:color="auto" w:fill="D9D9D9"/>
            <w:vAlign w:val="center"/>
          </w:tcPr>
          <w:p w14:paraId="6724F13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4.24</w:t>
            </w:r>
          </w:p>
        </w:tc>
        <w:tc>
          <w:tcPr>
            <w:tcW w:w="707" w:type="dxa"/>
            <w:shd w:val="clear" w:color="auto" w:fill="auto"/>
            <w:noWrap/>
            <w:vAlign w:val="center"/>
          </w:tcPr>
          <w:p w14:paraId="0F46C1A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.95</w:t>
            </w:r>
          </w:p>
        </w:tc>
        <w:tc>
          <w:tcPr>
            <w:tcW w:w="607" w:type="dxa"/>
            <w:shd w:val="clear" w:color="auto" w:fill="D9D9D9"/>
            <w:vAlign w:val="center"/>
          </w:tcPr>
          <w:p w14:paraId="28808C2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.48</w:t>
            </w:r>
          </w:p>
        </w:tc>
        <w:tc>
          <w:tcPr>
            <w:tcW w:w="733" w:type="dxa"/>
            <w:shd w:val="clear" w:color="auto" w:fill="auto"/>
            <w:noWrap/>
            <w:vAlign w:val="center"/>
          </w:tcPr>
          <w:p w14:paraId="668E3FA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.25</w:t>
            </w:r>
          </w:p>
        </w:tc>
        <w:tc>
          <w:tcPr>
            <w:tcW w:w="607" w:type="dxa"/>
            <w:shd w:val="clear" w:color="auto" w:fill="D9D9D9"/>
            <w:vAlign w:val="center"/>
          </w:tcPr>
          <w:p w14:paraId="7A2D21C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w:t>
            </w:r>
          </w:p>
        </w:tc>
        <w:tc>
          <w:tcPr>
            <w:tcW w:w="867" w:type="dxa"/>
            <w:shd w:val="clear" w:color="auto" w:fill="auto"/>
            <w:noWrap/>
            <w:vAlign w:val="center"/>
          </w:tcPr>
          <w:p w14:paraId="3075413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1.00</w:t>
            </w:r>
          </w:p>
        </w:tc>
        <w:tc>
          <w:tcPr>
            <w:tcW w:w="607" w:type="dxa"/>
            <w:shd w:val="clear" w:color="auto" w:fill="D9D9D9"/>
            <w:vAlign w:val="center"/>
          </w:tcPr>
          <w:p w14:paraId="1D53626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867" w:type="dxa"/>
            <w:shd w:val="clear" w:color="auto" w:fill="auto"/>
            <w:noWrap/>
            <w:vAlign w:val="center"/>
          </w:tcPr>
          <w:p w14:paraId="22F2BC3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5.00</w:t>
            </w:r>
          </w:p>
        </w:tc>
        <w:tc>
          <w:tcPr>
            <w:tcW w:w="739" w:type="dxa"/>
            <w:shd w:val="clear" w:color="auto" w:fill="D9D9D9"/>
            <w:vAlign w:val="center"/>
          </w:tcPr>
          <w:p w14:paraId="552B900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shd w:val="clear" w:color="auto" w:fill="auto"/>
            <w:noWrap/>
            <w:vAlign w:val="center"/>
          </w:tcPr>
          <w:p w14:paraId="034134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-2.27</w:t>
            </w:r>
          </w:p>
        </w:tc>
        <w:tc>
          <w:tcPr>
            <w:tcW w:w="712" w:type="dxa"/>
            <w:shd w:val="clear" w:color="auto" w:fill="D9D9D9"/>
            <w:vAlign w:val="center"/>
          </w:tcPr>
          <w:p w14:paraId="778E023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.77</w:t>
            </w:r>
          </w:p>
        </w:tc>
        <w:tc>
          <w:tcPr>
            <w:tcW w:w="692" w:type="dxa"/>
            <w:shd w:val="clear" w:color="auto" w:fill="auto"/>
            <w:noWrap/>
            <w:vAlign w:val="center"/>
          </w:tcPr>
          <w:p w14:paraId="1DF9165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7.50</w:t>
            </w:r>
          </w:p>
        </w:tc>
        <w:tc>
          <w:tcPr>
            <w:tcW w:w="830" w:type="dxa"/>
            <w:shd w:val="clear" w:color="auto" w:fill="D9D9D9"/>
            <w:vAlign w:val="center"/>
          </w:tcPr>
          <w:p w14:paraId="77DABDE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-.87</w:t>
            </w:r>
          </w:p>
        </w:tc>
      </w:tr>
      <w:tr w:rsidR="00E6060C" w:rsidRPr="00E6060C" w14:paraId="6D55269B" w14:textId="77777777" w:rsidTr="005852AD">
        <w:trPr>
          <w:trHeight w:val="482"/>
        </w:trPr>
        <w:tc>
          <w:tcPr>
            <w:tcW w:w="2122" w:type="dxa"/>
            <w:shd w:val="clear" w:color="auto" w:fill="auto"/>
            <w:vAlign w:val="center"/>
          </w:tcPr>
          <w:p w14:paraId="48CEA93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531" w:type="dxa"/>
            <w:shd w:val="clear" w:color="auto" w:fill="auto"/>
            <w:noWrap/>
            <w:vAlign w:val="center"/>
          </w:tcPr>
          <w:p w14:paraId="3B3E32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14</w:t>
            </w:r>
          </w:p>
        </w:tc>
        <w:tc>
          <w:tcPr>
            <w:tcW w:w="536" w:type="dxa"/>
            <w:shd w:val="clear" w:color="auto" w:fill="D9D9D9"/>
            <w:vAlign w:val="center"/>
          </w:tcPr>
          <w:p w14:paraId="5C2C75D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shd w:val="clear" w:color="auto" w:fill="auto"/>
            <w:noWrap/>
            <w:vAlign w:val="center"/>
          </w:tcPr>
          <w:p w14:paraId="30B281E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3.43</w:t>
            </w:r>
          </w:p>
        </w:tc>
        <w:tc>
          <w:tcPr>
            <w:tcW w:w="607" w:type="dxa"/>
            <w:shd w:val="clear" w:color="auto" w:fill="D9D9D9"/>
            <w:vAlign w:val="center"/>
          </w:tcPr>
          <w:p w14:paraId="4B2DE32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4.04</w:t>
            </w:r>
          </w:p>
        </w:tc>
        <w:tc>
          <w:tcPr>
            <w:tcW w:w="707" w:type="dxa"/>
            <w:shd w:val="clear" w:color="auto" w:fill="auto"/>
            <w:noWrap/>
            <w:vAlign w:val="center"/>
          </w:tcPr>
          <w:p w14:paraId="3A70AC3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1.00</w:t>
            </w:r>
          </w:p>
        </w:tc>
        <w:tc>
          <w:tcPr>
            <w:tcW w:w="607" w:type="dxa"/>
            <w:shd w:val="clear" w:color="auto" w:fill="D9D9D9"/>
            <w:vAlign w:val="center"/>
          </w:tcPr>
          <w:p w14:paraId="0F8B40F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.29</w:t>
            </w:r>
          </w:p>
        </w:tc>
        <w:tc>
          <w:tcPr>
            <w:tcW w:w="733" w:type="dxa"/>
            <w:shd w:val="clear" w:color="auto" w:fill="auto"/>
            <w:noWrap/>
            <w:vAlign w:val="center"/>
          </w:tcPr>
          <w:p w14:paraId="6C477F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.27</w:t>
            </w:r>
          </w:p>
        </w:tc>
        <w:tc>
          <w:tcPr>
            <w:tcW w:w="607" w:type="dxa"/>
            <w:shd w:val="clear" w:color="auto" w:fill="D9D9D9"/>
            <w:vAlign w:val="center"/>
          </w:tcPr>
          <w:p w14:paraId="0E062BB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.08</w:t>
            </w:r>
          </w:p>
        </w:tc>
        <w:tc>
          <w:tcPr>
            <w:tcW w:w="867" w:type="dxa"/>
            <w:shd w:val="clear" w:color="auto" w:fill="auto"/>
            <w:noWrap/>
            <w:vAlign w:val="center"/>
          </w:tcPr>
          <w:p w14:paraId="1DC6AE8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1.00</w:t>
            </w:r>
          </w:p>
        </w:tc>
        <w:tc>
          <w:tcPr>
            <w:tcW w:w="607" w:type="dxa"/>
            <w:shd w:val="clear" w:color="auto" w:fill="D9D9D9"/>
            <w:vAlign w:val="center"/>
          </w:tcPr>
          <w:p w14:paraId="6A21E4E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867" w:type="dxa"/>
            <w:shd w:val="clear" w:color="auto" w:fill="auto"/>
            <w:noWrap/>
            <w:vAlign w:val="center"/>
          </w:tcPr>
          <w:p w14:paraId="315761C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4.33</w:t>
            </w:r>
          </w:p>
        </w:tc>
        <w:tc>
          <w:tcPr>
            <w:tcW w:w="739" w:type="dxa"/>
            <w:shd w:val="clear" w:color="auto" w:fill="D9D9D9"/>
            <w:vAlign w:val="center"/>
          </w:tcPr>
          <w:p w14:paraId="004F3D2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5.00</w:t>
            </w:r>
          </w:p>
        </w:tc>
        <w:tc>
          <w:tcPr>
            <w:tcW w:w="751" w:type="dxa"/>
            <w:shd w:val="clear" w:color="auto" w:fill="auto"/>
            <w:noWrap/>
            <w:vAlign w:val="center"/>
          </w:tcPr>
          <w:p w14:paraId="7AE8DE0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-1.64</w:t>
            </w:r>
          </w:p>
        </w:tc>
        <w:tc>
          <w:tcPr>
            <w:tcW w:w="712" w:type="dxa"/>
            <w:shd w:val="clear" w:color="auto" w:fill="D9D9D9"/>
            <w:vAlign w:val="center"/>
          </w:tcPr>
          <w:p w14:paraId="529B620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692" w:type="dxa"/>
            <w:shd w:val="clear" w:color="auto" w:fill="auto"/>
            <w:noWrap/>
            <w:vAlign w:val="center"/>
          </w:tcPr>
          <w:p w14:paraId="2E0B9AF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1.83</w:t>
            </w:r>
          </w:p>
        </w:tc>
        <w:tc>
          <w:tcPr>
            <w:tcW w:w="830" w:type="dxa"/>
            <w:shd w:val="clear" w:color="auto" w:fill="D9D9D9"/>
            <w:vAlign w:val="center"/>
          </w:tcPr>
          <w:p w14:paraId="0E444D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.58</w:t>
            </w:r>
          </w:p>
        </w:tc>
      </w:tr>
      <w:tr w:rsidR="00E6060C" w:rsidRPr="00E6060C" w14:paraId="18E1BFF5" w14:textId="77777777" w:rsidTr="005852AD">
        <w:trPr>
          <w:trHeight w:val="482"/>
        </w:trPr>
        <w:tc>
          <w:tcPr>
            <w:tcW w:w="2122" w:type="dxa"/>
            <w:shd w:val="clear" w:color="auto" w:fill="auto"/>
            <w:vAlign w:val="center"/>
          </w:tcPr>
          <w:p w14:paraId="76B700A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531" w:type="dxa"/>
            <w:shd w:val="clear" w:color="auto" w:fill="auto"/>
            <w:noWrap/>
            <w:vAlign w:val="center"/>
          </w:tcPr>
          <w:p w14:paraId="65A088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14</w:t>
            </w:r>
          </w:p>
        </w:tc>
        <w:tc>
          <w:tcPr>
            <w:tcW w:w="536" w:type="dxa"/>
            <w:shd w:val="clear" w:color="auto" w:fill="D9D9D9"/>
            <w:vAlign w:val="center"/>
          </w:tcPr>
          <w:p w14:paraId="5AB4440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w:t>
            </w:r>
          </w:p>
        </w:tc>
        <w:tc>
          <w:tcPr>
            <w:tcW w:w="901" w:type="dxa"/>
            <w:shd w:val="clear" w:color="auto" w:fill="auto"/>
            <w:noWrap/>
            <w:vAlign w:val="center"/>
          </w:tcPr>
          <w:p w14:paraId="50A28C8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5.02</w:t>
            </w:r>
          </w:p>
        </w:tc>
        <w:tc>
          <w:tcPr>
            <w:tcW w:w="607" w:type="dxa"/>
            <w:shd w:val="clear" w:color="auto" w:fill="D9D9D9"/>
            <w:vAlign w:val="center"/>
          </w:tcPr>
          <w:p w14:paraId="06F5AB3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5.08</w:t>
            </w:r>
          </w:p>
        </w:tc>
        <w:tc>
          <w:tcPr>
            <w:tcW w:w="707" w:type="dxa"/>
            <w:shd w:val="clear" w:color="auto" w:fill="auto"/>
            <w:noWrap/>
            <w:vAlign w:val="center"/>
          </w:tcPr>
          <w:p w14:paraId="19B5980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1.61</w:t>
            </w:r>
          </w:p>
        </w:tc>
        <w:tc>
          <w:tcPr>
            <w:tcW w:w="607" w:type="dxa"/>
            <w:shd w:val="clear" w:color="auto" w:fill="D9D9D9"/>
            <w:vAlign w:val="center"/>
          </w:tcPr>
          <w:p w14:paraId="6696DA00"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1.40</w:t>
            </w:r>
          </w:p>
        </w:tc>
        <w:tc>
          <w:tcPr>
            <w:tcW w:w="733" w:type="dxa"/>
            <w:shd w:val="clear" w:color="auto" w:fill="auto"/>
            <w:noWrap/>
            <w:vAlign w:val="center"/>
          </w:tcPr>
          <w:p w14:paraId="443623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.43</w:t>
            </w:r>
          </w:p>
        </w:tc>
        <w:tc>
          <w:tcPr>
            <w:tcW w:w="607" w:type="dxa"/>
            <w:shd w:val="clear" w:color="auto" w:fill="D9D9D9"/>
            <w:vAlign w:val="center"/>
          </w:tcPr>
          <w:p w14:paraId="6BFA800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.39</w:t>
            </w:r>
          </w:p>
        </w:tc>
        <w:tc>
          <w:tcPr>
            <w:tcW w:w="867" w:type="dxa"/>
            <w:shd w:val="clear" w:color="auto" w:fill="auto"/>
            <w:noWrap/>
            <w:vAlign w:val="center"/>
          </w:tcPr>
          <w:p w14:paraId="040EDF3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1.00</w:t>
            </w:r>
          </w:p>
        </w:tc>
        <w:tc>
          <w:tcPr>
            <w:tcW w:w="607" w:type="dxa"/>
            <w:shd w:val="clear" w:color="auto" w:fill="D9D9D9"/>
            <w:vAlign w:val="center"/>
          </w:tcPr>
          <w:p w14:paraId="49971EA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2.44</w:t>
            </w:r>
          </w:p>
        </w:tc>
        <w:tc>
          <w:tcPr>
            <w:tcW w:w="867" w:type="dxa"/>
            <w:shd w:val="clear" w:color="auto" w:fill="auto"/>
            <w:noWrap/>
            <w:vAlign w:val="center"/>
          </w:tcPr>
          <w:p w14:paraId="45807B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7.00</w:t>
            </w:r>
          </w:p>
        </w:tc>
        <w:tc>
          <w:tcPr>
            <w:tcW w:w="739" w:type="dxa"/>
            <w:shd w:val="clear" w:color="auto" w:fill="D9D9D9"/>
            <w:vAlign w:val="center"/>
          </w:tcPr>
          <w:p w14:paraId="6D0D2293"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6.78</w:t>
            </w:r>
          </w:p>
        </w:tc>
        <w:tc>
          <w:tcPr>
            <w:tcW w:w="751" w:type="dxa"/>
            <w:shd w:val="clear" w:color="auto" w:fill="auto"/>
            <w:noWrap/>
            <w:vAlign w:val="center"/>
          </w:tcPr>
          <w:p w14:paraId="2BF450E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-1.16</w:t>
            </w:r>
          </w:p>
        </w:tc>
        <w:tc>
          <w:tcPr>
            <w:tcW w:w="712" w:type="dxa"/>
            <w:shd w:val="clear" w:color="auto" w:fill="D9D9D9"/>
            <w:vAlign w:val="center"/>
          </w:tcPr>
          <w:p w14:paraId="56D045D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w:t>
            </w:r>
          </w:p>
        </w:tc>
        <w:tc>
          <w:tcPr>
            <w:tcW w:w="692" w:type="dxa"/>
            <w:shd w:val="clear" w:color="auto" w:fill="auto"/>
            <w:noWrap/>
            <w:vAlign w:val="center"/>
          </w:tcPr>
          <w:p w14:paraId="0F1360F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1.68</w:t>
            </w:r>
          </w:p>
        </w:tc>
        <w:tc>
          <w:tcPr>
            <w:tcW w:w="830" w:type="dxa"/>
            <w:shd w:val="clear" w:color="auto" w:fill="D9D9D9"/>
            <w:vAlign w:val="center"/>
          </w:tcPr>
          <w:p w14:paraId="757B5E6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-.62</w:t>
            </w:r>
          </w:p>
        </w:tc>
      </w:tr>
      <w:tr w:rsidR="00E6060C" w:rsidRPr="00E6060C" w14:paraId="377B0FAF" w14:textId="77777777" w:rsidTr="005852AD">
        <w:trPr>
          <w:trHeight w:val="482"/>
        </w:trPr>
        <w:tc>
          <w:tcPr>
            <w:tcW w:w="2122" w:type="dxa"/>
            <w:shd w:val="clear" w:color="auto" w:fill="auto"/>
            <w:vAlign w:val="center"/>
          </w:tcPr>
          <w:p w14:paraId="278DDD5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531" w:type="dxa"/>
            <w:shd w:val="clear" w:color="auto" w:fill="auto"/>
            <w:noWrap/>
            <w:vAlign w:val="center"/>
          </w:tcPr>
          <w:p w14:paraId="08721DF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12</w:t>
            </w:r>
          </w:p>
        </w:tc>
        <w:tc>
          <w:tcPr>
            <w:tcW w:w="536" w:type="dxa"/>
            <w:shd w:val="clear" w:color="auto" w:fill="D9D9D9"/>
            <w:vAlign w:val="center"/>
          </w:tcPr>
          <w:p w14:paraId="1CF3624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shd w:val="clear" w:color="auto" w:fill="auto"/>
            <w:noWrap/>
            <w:vAlign w:val="center"/>
          </w:tcPr>
          <w:p w14:paraId="400DC1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5.44</w:t>
            </w:r>
          </w:p>
        </w:tc>
        <w:tc>
          <w:tcPr>
            <w:tcW w:w="607" w:type="dxa"/>
            <w:shd w:val="clear" w:color="auto" w:fill="D9D9D9"/>
            <w:vAlign w:val="center"/>
          </w:tcPr>
          <w:p w14:paraId="6AD7E75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5.63</w:t>
            </w:r>
          </w:p>
        </w:tc>
        <w:tc>
          <w:tcPr>
            <w:tcW w:w="707" w:type="dxa"/>
            <w:shd w:val="clear" w:color="auto" w:fill="auto"/>
            <w:noWrap/>
            <w:vAlign w:val="center"/>
          </w:tcPr>
          <w:p w14:paraId="77D2EC0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.97</w:t>
            </w:r>
          </w:p>
        </w:tc>
        <w:tc>
          <w:tcPr>
            <w:tcW w:w="607" w:type="dxa"/>
            <w:shd w:val="clear" w:color="auto" w:fill="D9D9D9"/>
            <w:vAlign w:val="center"/>
          </w:tcPr>
          <w:p w14:paraId="71B62A2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.95</w:t>
            </w:r>
          </w:p>
        </w:tc>
        <w:tc>
          <w:tcPr>
            <w:tcW w:w="733" w:type="dxa"/>
            <w:shd w:val="clear" w:color="auto" w:fill="auto"/>
            <w:noWrap/>
            <w:vAlign w:val="center"/>
          </w:tcPr>
          <w:p w14:paraId="747BF1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.28</w:t>
            </w:r>
          </w:p>
        </w:tc>
        <w:tc>
          <w:tcPr>
            <w:tcW w:w="607" w:type="dxa"/>
            <w:shd w:val="clear" w:color="auto" w:fill="D9D9D9"/>
            <w:vAlign w:val="center"/>
          </w:tcPr>
          <w:p w14:paraId="51D9C7A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.25</w:t>
            </w:r>
          </w:p>
        </w:tc>
        <w:tc>
          <w:tcPr>
            <w:tcW w:w="867" w:type="dxa"/>
            <w:shd w:val="clear" w:color="auto" w:fill="auto"/>
            <w:noWrap/>
            <w:vAlign w:val="center"/>
          </w:tcPr>
          <w:p w14:paraId="2ACCF0C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4.25</w:t>
            </w:r>
          </w:p>
        </w:tc>
        <w:tc>
          <w:tcPr>
            <w:tcW w:w="607" w:type="dxa"/>
            <w:shd w:val="clear" w:color="auto" w:fill="D9D9D9"/>
            <w:vAlign w:val="center"/>
          </w:tcPr>
          <w:p w14:paraId="133D514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4.25</w:t>
            </w:r>
          </w:p>
        </w:tc>
        <w:tc>
          <w:tcPr>
            <w:tcW w:w="867" w:type="dxa"/>
            <w:shd w:val="clear" w:color="auto" w:fill="auto"/>
            <w:noWrap/>
            <w:vAlign w:val="center"/>
          </w:tcPr>
          <w:p w14:paraId="326465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7.00</w:t>
            </w:r>
          </w:p>
        </w:tc>
        <w:tc>
          <w:tcPr>
            <w:tcW w:w="739" w:type="dxa"/>
            <w:shd w:val="clear" w:color="auto" w:fill="D9D9D9"/>
            <w:vAlign w:val="center"/>
          </w:tcPr>
          <w:p w14:paraId="509D062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51" w:type="dxa"/>
            <w:shd w:val="clear" w:color="auto" w:fill="auto"/>
            <w:noWrap/>
            <w:vAlign w:val="center"/>
          </w:tcPr>
          <w:p w14:paraId="3302908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.38</w:t>
            </w:r>
          </w:p>
        </w:tc>
        <w:tc>
          <w:tcPr>
            <w:tcW w:w="712" w:type="dxa"/>
            <w:shd w:val="clear" w:color="auto" w:fill="D9D9D9"/>
            <w:vAlign w:val="center"/>
          </w:tcPr>
          <w:p w14:paraId="046FCDB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.11</w:t>
            </w:r>
          </w:p>
        </w:tc>
        <w:tc>
          <w:tcPr>
            <w:tcW w:w="692" w:type="dxa"/>
            <w:shd w:val="clear" w:color="auto" w:fill="auto"/>
            <w:noWrap/>
            <w:vAlign w:val="center"/>
          </w:tcPr>
          <w:p w14:paraId="50336ED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-.71</w:t>
            </w:r>
          </w:p>
        </w:tc>
        <w:tc>
          <w:tcPr>
            <w:tcW w:w="830" w:type="dxa"/>
            <w:shd w:val="clear" w:color="auto" w:fill="D9D9D9"/>
            <w:vAlign w:val="center"/>
          </w:tcPr>
          <w:p w14:paraId="6030495B"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-1.33</w:t>
            </w:r>
          </w:p>
        </w:tc>
      </w:tr>
      <w:tr w:rsidR="00E6060C" w:rsidRPr="00E6060C" w14:paraId="4C716BA5" w14:textId="77777777" w:rsidTr="005852AD">
        <w:trPr>
          <w:trHeight w:val="482"/>
        </w:trPr>
        <w:tc>
          <w:tcPr>
            <w:tcW w:w="2122" w:type="dxa"/>
            <w:shd w:val="clear" w:color="auto" w:fill="auto"/>
            <w:vAlign w:val="center"/>
          </w:tcPr>
          <w:p w14:paraId="07158E6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531" w:type="dxa"/>
            <w:shd w:val="clear" w:color="auto" w:fill="auto"/>
            <w:noWrap/>
            <w:vAlign w:val="center"/>
          </w:tcPr>
          <w:p w14:paraId="6105F45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12</w:t>
            </w:r>
          </w:p>
        </w:tc>
        <w:tc>
          <w:tcPr>
            <w:tcW w:w="536" w:type="dxa"/>
            <w:shd w:val="clear" w:color="auto" w:fill="D9D9D9"/>
            <w:vAlign w:val="center"/>
          </w:tcPr>
          <w:p w14:paraId="3C7B9A6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shd w:val="clear" w:color="auto" w:fill="auto"/>
            <w:noWrap/>
            <w:vAlign w:val="center"/>
          </w:tcPr>
          <w:p w14:paraId="6CDF315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3.77</w:t>
            </w:r>
          </w:p>
        </w:tc>
        <w:tc>
          <w:tcPr>
            <w:tcW w:w="607" w:type="dxa"/>
            <w:shd w:val="clear" w:color="auto" w:fill="D9D9D9"/>
            <w:vAlign w:val="center"/>
          </w:tcPr>
          <w:p w14:paraId="4975B5B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3.54</w:t>
            </w:r>
          </w:p>
        </w:tc>
        <w:tc>
          <w:tcPr>
            <w:tcW w:w="707" w:type="dxa"/>
            <w:shd w:val="clear" w:color="auto" w:fill="auto"/>
            <w:noWrap/>
            <w:vAlign w:val="center"/>
          </w:tcPr>
          <w:p w14:paraId="43C934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1.81</w:t>
            </w:r>
          </w:p>
        </w:tc>
        <w:tc>
          <w:tcPr>
            <w:tcW w:w="607" w:type="dxa"/>
            <w:shd w:val="clear" w:color="auto" w:fill="D9D9D9"/>
            <w:vAlign w:val="center"/>
          </w:tcPr>
          <w:p w14:paraId="18E758D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1.37</w:t>
            </w:r>
          </w:p>
        </w:tc>
        <w:tc>
          <w:tcPr>
            <w:tcW w:w="733" w:type="dxa"/>
            <w:shd w:val="clear" w:color="auto" w:fill="auto"/>
            <w:noWrap/>
            <w:vAlign w:val="center"/>
          </w:tcPr>
          <w:p w14:paraId="7E4904A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.52</w:t>
            </w:r>
          </w:p>
        </w:tc>
        <w:tc>
          <w:tcPr>
            <w:tcW w:w="607" w:type="dxa"/>
            <w:shd w:val="clear" w:color="auto" w:fill="D9D9D9"/>
            <w:vAlign w:val="center"/>
          </w:tcPr>
          <w:p w14:paraId="524469D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.37</w:t>
            </w:r>
          </w:p>
        </w:tc>
        <w:tc>
          <w:tcPr>
            <w:tcW w:w="867" w:type="dxa"/>
            <w:shd w:val="clear" w:color="auto" w:fill="auto"/>
            <w:noWrap/>
            <w:vAlign w:val="center"/>
          </w:tcPr>
          <w:p w14:paraId="259E0C0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1.25</w:t>
            </w:r>
          </w:p>
        </w:tc>
        <w:tc>
          <w:tcPr>
            <w:tcW w:w="607" w:type="dxa"/>
            <w:shd w:val="clear" w:color="auto" w:fill="D9D9D9"/>
            <w:vAlign w:val="center"/>
          </w:tcPr>
          <w:p w14:paraId="3B40C3C9"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1.75</w:t>
            </w:r>
          </w:p>
        </w:tc>
        <w:tc>
          <w:tcPr>
            <w:tcW w:w="867" w:type="dxa"/>
            <w:shd w:val="clear" w:color="auto" w:fill="auto"/>
            <w:noWrap/>
            <w:vAlign w:val="center"/>
          </w:tcPr>
          <w:p w14:paraId="3EA3BBE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7.00</w:t>
            </w:r>
          </w:p>
        </w:tc>
        <w:tc>
          <w:tcPr>
            <w:tcW w:w="739" w:type="dxa"/>
            <w:shd w:val="clear" w:color="auto" w:fill="D9D9D9"/>
            <w:vAlign w:val="center"/>
          </w:tcPr>
          <w:p w14:paraId="2A6D5EF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6.50</w:t>
            </w:r>
          </w:p>
        </w:tc>
        <w:tc>
          <w:tcPr>
            <w:tcW w:w="751" w:type="dxa"/>
            <w:shd w:val="clear" w:color="auto" w:fill="auto"/>
            <w:noWrap/>
            <w:vAlign w:val="center"/>
          </w:tcPr>
          <w:p w14:paraId="40E225B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.32</w:t>
            </w:r>
          </w:p>
        </w:tc>
        <w:tc>
          <w:tcPr>
            <w:tcW w:w="712" w:type="dxa"/>
            <w:shd w:val="clear" w:color="auto" w:fill="D9D9D9"/>
            <w:vAlign w:val="center"/>
          </w:tcPr>
          <w:p w14:paraId="3ECCD4F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.77</w:t>
            </w:r>
          </w:p>
        </w:tc>
        <w:tc>
          <w:tcPr>
            <w:tcW w:w="692" w:type="dxa"/>
            <w:shd w:val="clear" w:color="auto" w:fill="auto"/>
            <w:noWrap/>
            <w:vAlign w:val="center"/>
          </w:tcPr>
          <w:p w14:paraId="5312BD2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-1.05</w:t>
            </w:r>
          </w:p>
        </w:tc>
        <w:tc>
          <w:tcPr>
            <w:tcW w:w="830" w:type="dxa"/>
            <w:shd w:val="clear" w:color="auto" w:fill="D9D9D9"/>
            <w:vAlign w:val="center"/>
          </w:tcPr>
          <w:p w14:paraId="10EF6E9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.12</w:t>
            </w:r>
          </w:p>
        </w:tc>
      </w:tr>
      <w:tr w:rsidR="00E6060C" w:rsidRPr="00E6060C" w14:paraId="7EEF9E3F" w14:textId="77777777" w:rsidTr="005852AD">
        <w:trPr>
          <w:trHeight w:val="482"/>
        </w:trPr>
        <w:tc>
          <w:tcPr>
            <w:tcW w:w="2122" w:type="dxa"/>
            <w:shd w:val="clear" w:color="auto" w:fill="auto"/>
            <w:vAlign w:val="center"/>
          </w:tcPr>
          <w:p w14:paraId="363B70E8"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531" w:type="dxa"/>
            <w:shd w:val="clear" w:color="auto" w:fill="auto"/>
            <w:noWrap/>
            <w:vAlign w:val="center"/>
          </w:tcPr>
          <w:p w14:paraId="2167579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12</w:t>
            </w:r>
          </w:p>
        </w:tc>
        <w:tc>
          <w:tcPr>
            <w:tcW w:w="536" w:type="dxa"/>
            <w:shd w:val="clear" w:color="auto" w:fill="D9D9D9"/>
            <w:vAlign w:val="center"/>
          </w:tcPr>
          <w:p w14:paraId="1496FCA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w:t>
            </w:r>
          </w:p>
        </w:tc>
        <w:tc>
          <w:tcPr>
            <w:tcW w:w="901" w:type="dxa"/>
            <w:shd w:val="clear" w:color="auto" w:fill="auto"/>
            <w:noWrap/>
            <w:vAlign w:val="center"/>
          </w:tcPr>
          <w:p w14:paraId="7F66E46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5.71</w:t>
            </w:r>
          </w:p>
        </w:tc>
        <w:tc>
          <w:tcPr>
            <w:tcW w:w="607" w:type="dxa"/>
            <w:shd w:val="clear" w:color="auto" w:fill="D9D9D9"/>
            <w:vAlign w:val="center"/>
          </w:tcPr>
          <w:p w14:paraId="295673C2"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6.25</w:t>
            </w:r>
          </w:p>
        </w:tc>
        <w:tc>
          <w:tcPr>
            <w:tcW w:w="707" w:type="dxa"/>
            <w:shd w:val="clear" w:color="auto" w:fill="auto"/>
            <w:noWrap/>
            <w:vAlign w:val="center"/>
          </w:tcPr>
          <w:p w14:paraId="74A38FA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.80</w:t>
            </w:r>
          </w:p>
        </w:tc>
        <w:tc>
          <w:tcPr>
            <w:tcW w:w="607" w:type="dxa"/>
            <w:shd w:val="clear" w:color="auto" w:fill="D9D9D9"/>
            <w:vAlign w:val="center"/>
          </w:tcPr>
          <w:p w14:paraId="41CAB9A8"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.80</w:t>
            </w:r>
          </w:p>
        </w:tc>
        <w:tc>
          <w:tcPr>
            <w:tcW w:w="733" w:type="dxa"/>
            <w:shd w:val="clear" w:color="auto" w:fill="auto"/>
            <w:noWrap/>
            <w:vAlign w:val="center"/>
          </w:tcPr>
          <w:p w14:paraId="194140A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.23</w:t>
            </w:r>
          </w:p>
        </w:tc>
        <w:tc>
          <w:tcPr>
            <w:tcW w:w="607" w:type="dxa"/>
            <w:shd w:val="clear" w:color="auto" w:fill="D9D9D9"/>
            <w:vAlign w:val="center"/>
          </w:tcPr>
          <w:p w14:paraId="775AA36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.22</w:t>
            </w:r>
          </w:p>
        </w:tc>
        <w:tc>
          <w:tcPr>
            <w:tcW w:w="867" w:type="dxa"/>
            <w:shd w:val="clear" w:color="auto" w:fill="auto"/>
            <w:noWrap/>
            <w:vAlign w:val="center"/>
          </w:tcPr>
          <w:p w14:paraId="6B3BAAF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4.25</w:t>
            </w:r>
          </w:p>
        </w:tc>
        <w:tc>
          <w:tcPr>
            <w:tcW w:w="607" w:type="dxa"/>
            <w:shd w:val="clear" w:color="auto" w:fill="D9D9D9"/>
            <w:vAlign w:val="center"/>
          </w:tcPr>
          <w:p w14:paraId="6B1AAC01"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4.50</w:t>
            </w:r>
          </w:p>
        </w:tc>
        <w:tc>
          <w:tcPr>
            <w:tcW w:w="867" w:type="dxa"/>
            <w:shd w:val="clear" w:color="auto" w:fill="auto"/>
            <w:noWrap/>
            <w:vAlign w:val="center"/>
          </w:tcPr>
          <w:p w14:paraId="7945A05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7.00</w:t>
            </w:r>
          </w:p>
        </w:tc>
        <w:tc>
          <w:tcPr>
            <w:tcW w:w="739" w:type="dxa"/>
            <w:shd w:val="clear" w:color="auto" w:fill="D9D9D9"/>
            <w:vAlign w:val="center"/>
          </w:tcPr>
          <w:p w14:paraId="7F242A4C"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7.00</w:t>
            </w:r>
          </w:p>
        </w:tc>
        <w:tc>
          <w:tcPr>
            <w:tcW w:w="751" w:type="dxa"/>
            <w:shd w:val="clear" w:color="auto" w:fill="auto"/>
            <w:noWrap/>
            <w:vAlign w:val="center"/>
          </w:tcPr>
          <w:p w14:paraId="2977B4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-.02</w:t>
            </w:r>
          </w:p>
        </w:tc>
        <w:tc>
          <w:tcPr>
            <w:tcW w:w="712" w:type="dxa"/>
            <w:shd w:val="clear" w:color="auto" w:fill="D9D9D9"/>
            <w:vAlign w:val="center"/>
          </w:tcPr>
          <w:p w14:paraId="7065942F"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-.84</w:t>
            </w:r>
          </w:p>
        </w:tc>
        <w:tc>
          <w:tcPr>
            <w:tcW w:w="692" w:type="dxa"/>
            <w:shd w:val="clear" w:color="auto" w:fill="auto"/>
            <w:noWrap/>
            <w:vAlign w:val="center"/>
          </w:tcPr>
          <w:p w14:paraId="03F2BAF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-.34</w:t>
            </w:r>
          </w:p>
        </w:tc>
        <w:tc>
          <w:tcPr>
            <w:tcW w:w="830" w:type="dxa"/>
            <w:shd w:val="clear" w:color="auto" w:fill="D9D9D9"/>
            <w:vAlign w:val="center"/>
          </w:tcPr>
          <w:p w14:paraId="11FBAB84"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.21</w:t>
            </w:r>
          </w:p>
        </w:tc>
      </w:tr>
      <w:tr w:rsidR="00E6060C" w:rsidRPr="00E6060C" w14:paraId="0E169D2D" w14:textId="77777777" w:rsidTr="005852AD">
        <w:trPr>
          <w:trHeight w:val="482"/>
        </w:trPr>
        <w:tc>
          <w:tcPr>
            <w:tcW w:w="2122" w:type="dxa"/>
            <w:tcBorders>
              <w:bottom w:val="single" w:sz="4" w:space="0" w:color="auto"/>
            </w:tcBorders>
            <w:shd w:val="clear" w:color="auto" w:fill="auto"/>
            <w:vAlign w:val="center"/>
          </w:tcPr>
          <w:p w14:paraId="4996D909"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531" w:type="dxa"/>
            <w:tcBorders>
              <w:bottom w:val="single" w:sz="4" w:space="0" w:color="auto"/>
            </w:tcBorders>
            <w:shd w:val="clear" w:color="auto" w:fill="auto"/>
            <w:noWrap/>
            <w:vAlign w:val="center"/>
          </w:tcPr>
          <w:p w14:paraId="3B111BB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12</w:t>
            </w:r>
          </w:p>
        </w:tc>
        <w:tc>
          <w:tcPr>
            <w:tcW w:w="536" w:type="dxa"/>
            <w:tcBorders>
              <w:bottom w:val="single" w:sz="4" w:space="0" w:color="auto"/>
            </w:tcBorders>
            <w:shd w:val="clear" w:color="auto" w:fill="D9D9D9"/>
            <w:vAlign w:val="center"/>
          </w:tcPr>
          <w:p w14:paraId="1A6209F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14</w:t>
            </w:r>
          </w:p>
        </w:tc>
        <w:tc>
          <w:tcPr>
            <w:tcW w:w="901" w:type="dxa"/>
            <w:tcBorders>
              <w:bottom w:val="single" w:sz="4" w:space="0" w:color="auto"/>
            </w:tcBorders>
            <w:shd w:val="clear" w:color="auto" w:fill="auto"/>
            <w:noWrap/>
            <w:vAlign w:val="center"/>
          </w:tcPr>
          <w:p w14:paraId="3E24F63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3.75</w:t>
            </w:r>
          </w:p>
        </w:tc>
        <w:tc>
          <w:tcPr>
            <w:tcW w:w="607" w:type="dxa"/>
            <w:tcBorders>
              <w:bottom w:val="single" w:sz="4" w:space="0" w:color="auto"/>
            </w:tcBorders>
            <w:shd w:val="clear" w:color="auto" w:fill="D9D9D9"/>
            <w:vAlign w:val="center"/>
          </w:tcPr>
          <w:p w14:paraId="2B065946"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4.00</w:t>
            </w:r>
          </w:p>
        </w:tc>
        <w:tc>
          <w:tcPr>
            <w:tcW w:w="707" w:type="dxa"/>
            <w:tcBorders>
              <w:bottom w:val="single" w:sz="4" w:space="0" w:color="auto"/>
            </w:tcBorders>
            <w:shd w:val="clear" w:color="auto" w:fill="auto"/>
            <w:noWrap/>
            <w:vAlign w:val="center"/>
          </w:tcPr>
          <w:p w14:paraId="2D9B9C3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1.22</w:t>
            </w:r>
          </w:p>
        </w:tc>
        <w:tc>
          <w:tcPr>
            <w:tcW w:w="607" w:type="dxa"/>
            <w:tcBorders>
              <w:bottom w:val="single" w:sz="4" w:space="0" w:color="auto"/>
            </w:tcBorders>
            <w:shd w:val="clear" w:color="auto" w:fill="D9D9D9"/>
            <w:vAlign w:val="center"/>
          </w:tcPr>
          <w:p w14:paraId="45C5806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1.30</w:t>
            </w:r>
          </w:p>
        </w:tc>
        <w:tc>
          <w:tcPr>
            <w:tcW w:w="733" w:type="dxa"/>
            <w:tcBorders>
              <w:bottom w:val="single" w:sz="4" w:space="0" w:color="auto"/>
            </w:tcBorders>
            <w:shd w:val="clear" w:color="auto" w:fill="auto"/>
            <w:noWrap/>
            <w:vAlign w:val="center"/>
          </w:tcPr>
          <w:p w14:paraId="44DC3B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.35</w:t>
            </w:r>
          </w:p>
        </w:tc>
        <w:tc>
          <w:tcPr>
            <w:tcW w:w="607" w:type="dxa"/>
            <w:tcBorders>
              <w:bottom w:val="single" w:sz="4" w:space="0" w:color="auto"/>
            </w:tcBorders>
            <w:shd w:val="clear" w:color="auto" w:fill="D9D9D9"/>
            <w:vAlign w:val="center"/>
          </w:tcPr>
          <w:p w14:paraId="4FE1758E"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.35</w:t>
            </w:r>
          </w:p>
        </w:tc>
        <w:tc>
          <w:tcPr>
            <w:tcW w:w="867" w:type="dxa"/>
            <w:tcBorders>
              <w:bottom w:val="single" w:sz="4" w:space="0" w:color="auto"/>
            </w:tcBorders>
            <w:shd w:val="clear" w:color="auto" w:fill="auto"/>
            <w:noWrap/>
            <w:vAlign w:val="center"/>
          </w:tcPr>
          <w:p w14:paraId="1767AD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2.25</w:t>
            </w:r>
          </w:p>
        </w:tc>
        <w:tc>
          <w:tcPr>
            <w:tcW w:w="607" w:type="dxa"/>
            <w:tcBorders>
              <w:bottom w:val="single" w:sz="4" w:space="0" w:color="auto"/>
            </w:tcBorders>
            <w:shd w:val="clear" w:color="auto" w:fill="D9D9D9"/>
            <w:vAlign w:val="center"/>
          </w:tcPr>
          <w:p w14:paraId="7F672EE7"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1.75</w:t>
            </w:r>
          </w:p>
        </w:tc>
        <w:tc>
          <w:tcPr>
            <w:tcW w:w="867" w:type="dxa"/>
            <w:tcBorders>
              <w:bottom w:val="single" w:sz="4" w:space="0" w:color="auto"/>
            </w:tcBorders>
            <w:shd w:val="clear" w:color="auto" w:fill="auto"/>
            <w:noWrap/>
            <w:vAlign w:val="center"/>
          </w:tcPr>
          <w:p w14:paraId="347F49E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5.75</w:t>
            </w:r>
          </w:p>
        </w:tc>
        <w:tc>
          <w:tcPr>
            <w:tcW w:w="739" w:type="dxa"/>
            <w:tcBorders>
              <w:bottom w:val="single" w:sz="4" w:space="0" w:color="auto"/>
            </w:tcBorders>
            <w:shd w:val="clear" w:color="auto" w:fill="D9D9D9"/>
            <w:vAlign w:val="center"/>
          </w:tcPr>
          <w:p w14:paraId="12440C9A"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6.25</w:t>
            </w:r>
          </w:p>
        </w:tc>
        <w:tc>
          <w:tcPr>
            <w:tcW w:w="751" w:type="dxa"/>
            <w:tcBorders>
              <w:bottom w:val="single" w:sz="4" w:space="0" w:color="auto"/>
            </w:tcBorders>
            <w:shd w:val="clear" w:color="auto" w:fill="auto"/>
            <w:noWrap/>
            <w:vAlign w:val="center"/>
          </w:tcPr>
          <w:p w14:paraId="57A41AF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.55</w:t>
            </w:r>
          </w:p>
        </w:tc>
        <w:tc>
          <w:tcPr>
            <w:tcW w:w="712" w:type="dxa"/>
            <w:tcBorders>
              <w:bottom w:val="single" w:sz="4" w:space="0" w:color="auto"/>
            </w:tcBorders>
            <w:shd w:val="clear" w:color="auto" w:fill="D9D9D9"/>
            <w:vAlign w:val="center"/>
          </w:tcPr>
          <w:p w14:paraId="4DAAE685"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.07</w:t>
            </w:r>
          </w:p>
        </w:tc>
        <w:tc>
          <w:tcPr>
            <w:tcW w:w="692" w:type="dxa"/>
            <w:tcBorders>
              <w:bottom w:val="single" w:sz="4" w:space="0" w:color="auto"/>
            </w:tcBorders>
            <w:shd w:val="clear" w:color="auto" w:fill="auto"/>
            <w:noWrap/>
            <w:vAlign w:val="center"/>
          </w:tcPr>
          <w:p w14:paraId="305A5B0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Arial" w:eastAsia="Calibri" w:hAnsi="Arial" w:cs="Arial"/>
                <w:color w:val="000000"/>
                <w:sz w:val="18"/>
                <w:szCs w:val="18"/>
              </w:rPr>
              <w:t>-1.19</w:t>
            </w:r>
          </w:p>
        </w:tc>
        <w:tc>
          <w:tcPr>
            <w:tcW w:w="830" w:type="dxa"/>
            <w:tcBorders>
              <w:bottom w:val="single" w:sz="4" w:space="0" w:color="auto"/>
            </w:tcBorders>
            <w:shd w:val="clear" w:color="auto" w:fill="D9D9D9"/>
            <w:vAlign w:val="center"/>
          </w:tcPr>
          <w:p w14:paraId="1562E5CD" w14:textId="77777777" w:rsidR="00E6060C" w:rsidRPr="00E6060C" w:rsidRDefault="00E6060C" w:rsidP="00E6060C">
            <w:pPr>
              <w:spacing w:line="240" w:lineRule="auto"/>
              <w:jc w:val="center"/>
              <w:rPr>
                <w:rFonts w:ascii="Arial" w:eastAsia="Calibri" w:hAnsi="Arial" w:cs="Arial"/>
                <w:color w:val="000000"/>
                <w:sz w:val="18"/>
                <w:szCs w:val="18"/>
              </w:rPr>
            </w:pPr>
            <w:r w:rsidRPr="00E6060C">
              <w:rPr>
                <w:rFonts w:ascii="Calibri" w:eastAsia="Calibri" w:hAnsi="Calibri" w:cs="Times New Roman"/>
                <w:color w:val="000000"/>
              </w:rPr>
              <w:t>-.78</w:t>
            </w:r>
          </w:p>
        </w:tc>
      </w:tr>
    </w:tbl>
    <w:p w14:paraId="14988790"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resources, and demands, were scored on a scale of 1 to 5. All other variables were scored on a scale of 1 to 7. For all scales, higher scores indicate better results.</w:t>
      </w:r>
    </w:p>
    <w:p w14:paraId="3A956C57" w14:textId="127766E5" w:rsidR="00E6060C" w:rsidRPr="00E6060C" w:rsidRDefault="00E6060C" w:rsidP="005852AD">
      <w:pPr>
        <w:spacing w:after="200" w:line="240" w:lineRule="auto"/>
        <w:contextualSpacing/>
        <w:rPr>
          <w:rFonts w:ascii="Calibri" w:eastAsia="Calibri" w:hAnsi="Calibri" w:cs="Times New Roman"/>
        </w:rPr>
        <w:sectPr w:rsidR="00E6060C" w:rsidRPr="00E6060C"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M=mean; SD</w:t>
      </w:r>
      <w:r w:rsidRPr="00E6060C">
        <w:rPr>
          <w:rFonts w:ascii="Calibri" w:eastAsia="Calibri" w:hAnsi="Calibri" w:cs="Times New Roman"/>
        </w:rPr>
        <w:t xml:space="preserve">=standard deviation; </w:t>
      </w:r>
      <w:r w:rsidRPr="00E6060C">
        <w:rPr>
          <w:rFonts w:ascii="Calibri" w:eastAsia="Calibri" w:hAnsi="Calibri" w:cs="Times New Roman"/>
          <w:i/>
        </w:rPr>
        <w:t>SE</w:t>
      </w:r>
      <w:r w:rsidRPr="00E6060C">
        <w:rPr>
          <w:rFonts w:ascii="Calibri" w:eastAsia="Calibri" w:hAnsi="Calibri" w:cs="Times New Roman"/>
        </w:rPr>
        <w:t>=standard error; Min=Minimum value; Max=Maximum value</w:t>
      </w:r>
    </w:p>
    <w:p w14:paraId="05701353" w14:textId="760B1613" w:rsidR="00842587" w:rsidRDefault="00842587" w:rsidP="005852AD">
      <w:pPr>
        <w:pStyle w:val="Figurestyle"/>
      </w:pPr>
      <w:bookmarkStart w:id="432" w:name="_Ref453590570"/>
      <w:bookmarkStart w:id="433" w:name="_Toc468286088"/>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14</w:t>
      </w:r>
      <w:r w:rsidR="00245D68">
        <w:rPr>
          <w:noProof/>
        </w:rPr>
        <w:fldChar w:fldCharType="end"/>
      </w:r>
      <w:bookmarkEnd w:id="432"/>
      <w:r>
        <w:t xml:space="preserve"> </w:t>
      </w:r>
      <w:r w:rsidRPr="00F64E78">
        <w:t xml:space="preserve">Descriptive statistics for the </w:t>
      </w:r>
      <w:r w:rsidR="006513C5">
        <w:t xml:space="preserve">scale </w:t>
      </w:r>
      <w:r w:rsidRPr="00F64E78">
        <w:t>variables for those in the intervention group at Time 1 and</w:t>
      </w:r>
      <w:r w:rsidR="001B5BAE">
        <w:t xml:space="preserve"> Time</w:t>
      </w:r>
      <w:r w:rsidRPr="00F64E78">
        <w:t xml:space="preserve"> 2 (N=31)</w:t>
      </w:r>
      <w:bookmarkEnd w:id="433"/>
    </w:p>
    <w:p w14:paraId="337AB911" w14:textId="77777777" w:rsidR="00842587" w:rsidRDefault="00842587" w:rsidP="005852AD">
      <w:pPr>
        <w:pStyle w:val="Figurestyle"/>
      </w:pPr>
    </w:p>
    <w:tbl>
      <w:tblPr>
        <w:tblW w:w="13709" w:type="dxa"/>
        <w:tblLayout w:type="fixed"/>
        <w:tblLook w:val="04A0" w:firstRow="1" w:lastRow="0" w:firstColumn="1" w:lastColumn="0" w:noHBand="0" w:noVBand="1"/>
      </w:tblPr>
      <w:tblGrid>
        <w:gridCol w:w="1985"/>
        <w:gridCol w:w="539"/>
        <w:gridCol w:w="502"/>
        <w:gridCol w:w="914"/>
        <w:gridCol w:w="607"/>
        <w:gridCol w:w="880"/>
        <w:gridCol w:w="607"/>
        <w:gridCol w:w="744"/>
        <w:gridCol w:w="607"/>
        <w:gridCol w:w="880"/>
        <w:gridCol w:w="607"/>
        <w:gridCol w:w="880"/>
        <w:gridCol w:w="687"/>
        <w:gridCol w:w="860"/>
        <w:gridCol w:w="709"/>
        <w:gridCol w:w="850"/>
        <w:gridCol w:w="851"/>
      </w:tblGrid>
      <w:tr w:rsidR="00E6060C" w:rsidRPr="00E6060C" w14:paraId="6B8EAD77" w14:textId="77777777" w:rsidTr="005852AD">
        <w:trPr>
          <w:trHeight w:val="290"/>
        </w:trPr>
        <w:tc>
          <w:tcPr>
            <w:tcW w:w="1985" w:type="dxa"/>
            <w:vMerge w:val="restart"/>
            <w:tcBorders>
              <w:top w:val="single" w:sz="4" w:space="0" w:color="auto"/>
            </w:tcBorders>
            <w:shd w:val="clear" w:color="auto" w:fill="auto"/>
            <w:noWrap/>
            <w:vAlign w:val="center"/>
            <w:hideMark/>
          </w:tcPr>
          <w:p w14:paraId="3CEA7EB0" w14:textId="77777777" w:rsidR="00E6060C" w:rsidRPr="00E6060C" w:rsidRDefault="00E6060C" w:rsidP="00E6060C">
            <w:pPr>
              <w:spacing w:line="240" w:lineRule="auto"/>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 Variables</w:t>
            </w:r>
            <w:r w:rsidRPr="00E6060C">
              <w:rPr>
                <w:rFonts w:ascii="Calibri" w:eastAsia="Times New Roman" w:hAnsi="Calibri" w:cs="Times New Roman"/>
                <w:b/>
                <w:color w:val="000000"/>
                <w:vertAlign w:val="superscript"/>
                <w:lang w:eastAsia="en-GB"/>
              </w:rPr>
              <w:t>1</w:t>
            </w:r>
          </w:p>
          <w:p w14:paraId="0B0B0C71"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1041" w:type="dxa"/>
            <w:gridSpan w:val="2"/>
            <w:tcBorders>
              <w:top w:val="single" w:sz="4" w:space="0" w:color="auto"/>
              <w:bottom w:val="single" w:sz="4" w:space="0" w:color="auto"/>
            </w:tcBorders>
            <w:shd w:val="clear" w:color="auto" w:fill="auto"/>
            <w:vAlign w:val="center"/>
            <w:hideMark/>
          </w:tcPr>
          <w:p w14:paraId="41E9111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N</w:t>
            </w:r>
          </w:p>
        </w:tc>
        <w:tc>
          <w:tcPr>
            <w:tcW w:w="1521" w:type="dxa"/>
            <w:gridSpan w:val="2"/>
            <w:tcBorders>
              <w:top w:val="single" w:sz="4" w:space="0" w:color="auto"/>
              <w:bottom w:val="single" w:sz="4" w:space="0" w:color="auto"/>
            </w:tcBorders>
            <w:shd w:val="clear" w:color="auto" w:fill="auto"/>
            <w:vAlign w:val="center"/>
            <w:hideMark/>
          </w:tcPr>
          <w:p w14:paraId="254232A5" w14:textId="77777777" w:rsidR="00E6060C" w:rsidRPr="00E6060C" w:rsidRDefault="00E6060C" w:rsidP="00E6060C">
            <w:pPr>
              <w:spacing w:line="240" w:lineRule="auto"/>
              <w:jc w:val="center"/>
              <w:rPr>
                <w:rFonts w:ascii="Calibri" w:eastAsia="Times New Roman" w:hAnsi="Calibri" w:cs="Times New Roman"/>
                <w:b/>
                <w:bCs/>
                <w:i/>
                <w:color w:val="000000"/>
                <w:vertAlign w:val="superscript"/>
                <w:lang w:eastAsia="en-GB"/>
              </w:rPr>
            </w:pPr>
            <w:r w:rsidRPr="00E6060C">
              <w:rPr>
                <w:rFonts w:ascii="Calibri" w:eastAsia="Times New Roman" w:hAnsi="Calibri" w:cs="Times New Roman"/>
                <w:b/>
                <w:bCs/>
                <w:i/>
                <w:color w:val="000000"/>
                <w:lang w:eastAsia="en-GB"/>
              </w:rPr>
              <w:t>M</w:t>
            </w:r>
          </w:p>
        </w:tc>
        <w:tc>
          <w:tcPr>
            <w:tcW w:w="1487" w:type="dxa"/>
            <w:gridSpan w:val="2"/>
            <w:tcBorders>
              <w:top w:val="single" w:sz="4" w:space="0" w:color="auto"/>
              <w:bottom w:val="single" w:sz="4" w:space="0" w:color="auto"/>
            </w:tcBorders>
            <w:shd w:val="clear" w:color="auto" w:fill="auto"/>
            <w:vAlign w:val="center"/>
            <w:hideMark/>
          </w:tcPr>
          <w:p w14:paraId="779DA4C0"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SD</w:t>
            </w:r>
          </w:p>
        </w:tc>
        <w:tc>
          <w:tcPr>
            <w:tcW w:w="1351" w:type="dxa"/>
            <w:gridSpan w:val="2"/>
            <w:tcBorders>
              <w:top w:val="single" w:sz="4" w:space="0" w:color="auto"/>
              <w:bottom w:val="single" w:sz="4" w:space="0" w:color="auto"/>
            </w:tcBorders>
            <w:shd w:val="clear" w:color="auto" w:fill="auto"/>
            <w:vAlign w:val="center"/>
            <w:hideMark/>
          </w:tcPr>
          <w:p w14:paraId="75C65E85" w14:textId="77777777" w:rsidR="00E6060C" w:rsidRPr="00E6060C" w:rsidRDefault="00E6060C" w:rsidP="00E6060C">
            <w:pPr>
              <w:spacing w:line="240" w:lineRule="auto"/>
              <w:jc w:val="center"/>
              <w:rPr>
                <w:rFonts w:ascii="Calibri" w:eastAsia="Times New Roman" w:hAnsi="Calibri" w:cs="Times New Roman"/>
                <w:b/>
                <w:bCs/>
                <w:i/>
                <w:color w:val="000000"/>
                <w:lang w:eastAsia="en-GB"/>
              </w:rPr>
            </w:pPr>
            <w:r w:rsidRPr="00E6060C">
              <w:rPr>
                <w:rFonts w:ascii="Calibri" w:eastAsia="Times New Roman" w:hAnsi="Calibri" w:cs="Times New Roman"/>
                <w:b/>
                <w:bCs/>
                <w:i/>
                <w:color w:val="000000"/>
                <w:lang w:eastAsia="en-GB"/>
              </w:rPr>
              <w:t>SE</w:t>
            </w:r>
          </w:p>
        </w:tc>
        <w:tc>
          <w:tcPr>
            <w:tcW w:w="1487" w:type="dxa"/>
            <w:gridSpan w:val="2"/>
            <w:tcBorders>
              <w:top w:val="single" w:sz="4" w:space="0" w:color="auto"/>
              <w:bottom w:val="single" w:sz="4" w:space="0" w:color="auto"/>
            </w:tcBorders>
            <w:shd w:val="clear" w:color="auto" w:fill="auto"/>
            <w:vAlign w:val="center"/>
            <w:hideMark/>
          </w:tcPr>
          <w:p w14:paraId="56250F6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Min</w:t>
            </w:r>
          </w:p>
        </w:tc>
        <w:tc>
          <w:tcPr>
            <w:tcW w:w="1567" w:type="dxa"/>
            <w:gridSpan w:val="2"/>
            <w:tcBorders>
              <w:top w:val="single" w:sz="4" w:space="0" w:color="auto"/>
              <w:bottom w:val="single" w:sz="4" w:space="0" w:color="auto"/>
            </w:tcBorders>
            <w:shd w:val="clear" w:color="auto" w:fill="auto"/>
            <w:vAlign w:val="center"/>
            <w:hideMark/>
          </w:tcPr>
          <w:p w14:paraId="66CD8CD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Max</w:t>
            </w:r>
          </w:p>
        </w:tc>
        <w:tc>
          <w:tcPr>
            <w:tcW w:w="1569" w:type="dxa"/>
            <w:gridSpan w:val="2"/>
            <w:tcBorders>
              <w:top w:val="single" w:sz="4" w:space="0" w:color="auto"/>
              <w:bottom w:val="single" w:sz="4" w:space="0" w:color="auto"/>
            </w:tcBorders>
            <w:shd w:val="clear" w:color="auto" w:fill="auto"/>
            <w:vAlign w:val="center"/>
            <w:hideMark/>
          </w:tcPr>
          <w:p w14:paraId="76A1999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Skewness</w:t>
            </w:r>
          </w:p>
        </w:tc>
        <w:tc>
          <w:tcPr>
            <w:tcW w:w="1701" w:type="dxa"/>
            <w:gridSpan w:val="2"/>
            <w:tcBorders>
              <w:top w:val="single" w:sz="4" w:space="0" w:color="auto"/>
              <w:bottom w:val="single" w:sz="4" w:space="0" w:color="auto"/>
            </w:tcBorders>
            <w:shd w:val="clear" w:color="auto" w:fill="auto"/>
            <w:vAlign w:val="center"/>
            <w:hideMark/>
          </w:tcPr>
          <w:p w14:paraId="308EA64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Kurtosis</w:t>
            </w:r>
          </w:p>
        </w:tc>
      </w:tr>
      <w:tr w:rsidR="00E6060C" w:rsidRPr="00E6060C" w14:paraId="5DFD5C98" w14:textId="77777777" w:rsidTr="005852AD">
        <w:trPr>
          <w:trHeight w:val="290"/>
        </w:trPr>
        <w:tc>
          <w:tcPr>
            <w:tcW w:w="1985" w:type="dxa"/>
            <w:vMerge/>
            <w:tcBorders>
              <w:bottom w:val="single" w:sz="4" w:space="0" w:color="auto"/>
            </w:tcBorders>
            <w:shd w:val="clear" w:color="auto" w:fill="auto"/>
            <w:noWrap/>
            <w:vAlign w:val="bottom"/>
            <w:hideMark/>
          </w:tcPr>
          <w:p w14:paraId="5BA191BC" w14:textId="77777777" w:rsidR="00E6060C" w:rsidRPr="00E6060C" w:rsidRDefault="00E6060C" w:rsidP="00E6060C">
            <w:pPr>
              <w:spacing w:line="240" w:lineRule="auto"/>
              <w:rPr>
                <w:rFonts w:ascii="Calibri" w:eastAsia="Times New Roman" w:hAnsi="Calibri" w:cs="Times New Roman"/>
                <w:color w:val="000000"/>
                <w:lang w:eastAsia="en-GB"/>
              </w:rPr>
            </w:pPr>
          </w:p>
        </w:tc>
        <w:tc>
          <w:tcPr>
            <w:tcW w:w="539" w:type="dxa"/>
            <w:tcBorders>
              <w:top w:val="single" w:sz="4" w:space="0" w:color="auto"/>
              <w:bottom w:val="single" w:sz="4" w:space="0" w:color="auto"/>
            </w:tcBorders>
            <w:shd w:val="clear" w:color="auto" w:fill="auto"/>
            <w:vAlign w:val="center"/>
            <w:hideMark/>
          </w:tcPr>
          <w:p w14:paraId="6060BB87"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502" w:type="dxa"/>
            <w:tcBorders>
              <w:top w:val="single" w:sz="4" w:space="0" w:color="auto"/>
              <w:bottom w:val="single" w:sz="4" w:space="0" w:color="auto"/>
            </w:tcBorders>
            <w:shd w:val="clear" w:color="auto" w:fill="D9D9D9"/>
            <w:vAlign w:val="center"/>
          </w:tcPr>
          <w:p w14:paraId="7A0708E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914" w:type="dxa"/>
            <w:tcBorders>
              <w:top w:val="single" w:sz="4" w:space="0" w:color="auto"/>
              <w:bottom w:val="single" w:sz="4" w:space="0" w:color="auto"/>
            </w:tcBorders>
            <w:shd w:val="clear" w:color="auto" w:fill="auto"/>
            <w:vAlign w:val="center"/>
            <w:hideMark/>
          </w:tcPr>
          <w:p w14:paraId="7AED5E1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7F402A1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80" w:type="dxa"/>
            <w:tcBorders>
              <w:top w:val="single" w:sz="4" w:space="0" w:color="auto"/>
              <w:bottom w:val="single" w:sz="4" w:space="0" w:color="auto"/>
            </w:tcBorders>
            <w:shd w:val="clear" w:color="auto" w:fill="auto"/>
            <w:vAlign w:val="center"/>
            <w:hideMark/>
          </w:tcPr>
          <w:p w14:paraId="5B9ABC8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5A400FC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744" w:type="dxa"/>
            <w:tcBorders>
              <w:top w:val="single" w:sz="4" w:space="0" w:color="auto"/>
              <w:bottom w:val="single" w:sz="4" w:space="0" w:color="auto"/>
            </w:tcBorders>
            <w:shd w:val="clear" w:color="auto" w:fill="auto"/>
            <w:vAlign w:val="center"/>
            <w:hideMark/>
          </w:tcPr>
          <w:p w14:paraId="66A9A1E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14B5E521"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80" w:type="dxa"/>
            <w:tcBorders>
              <w:top w:val="single" w:sz="4" w:space="0" w:color="auto"/>
              <w:bottom w:val="single" w:sz="4" w:space="0" w:color="auto"/>
            </w:tcBorders>
            <w:shd w:val="clear" w:color="auto" w:fill="auto"/>
            <w:vAlign w:val="center"/>
            <w:hideMark/>
          </w:tcPr>
          <w:p w14:paraId="2123E94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07" w:type="dxa"/>
            <w:tcBorders>
              <w:top w:val="single" w:sz="4" w:space="0" w:color="auto"/>
              <w:bottom w:val="single" w:sz="4" w:space="0" w:color="auto"/>
            </w:tcBorders>
            <w:shd w:val="clear" w:color="auto" w:fill="D9D9D9"/>
            <w:vAlign w:val="center"/>
          </w:tcPr>
          <w:p w14:paraId="79B8E47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80" w:type="dxa"/>
            <w:tcBorders>
              <w:top w:val="single" w:sz="4" w:space="0" w:color="auto"/>
              <w:bottom w:val="single" w:sz="4" w:space="0" w:color="auto"/>
            </w:tcBorders>
            <w:shd w:val="clear" w:color="auto" w:fill="auto"/>
            <w:vAlign w:val="center"/>
            <w:hideMark/>
          </w:tcPr>
          <w:p w14:paraId="45209DDD"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687" w:type="dxa"/>
            <w:tcBorders>
              <w:top w:val="single" w:sz="4" w:space="0" w:color="auto"/>
              <w:bottom w:val="single" w:sz="4" w:space="0" w:color="auto"/>
            </w:tcBorders>
            <w:shd w:val="clear" w:color="auto" w:fill="D9D9D9"/>
            <w:vAlign w:val="center"/>
          </w:tcPr>
          <w:p w14:paraId="0F5506D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60" w:type="dxa"/>
            <w:tcBorders>
              <w:top w:val="single" w:sz="4" w:space="0" w:color="auto"/>
              <w:bottom w:val="single" w:sz="4" w:space="0" w:color="auto"/>
            </w:tcBorders>
            <w:shd w:val="clear" w:color="auto" w:fill="auto"/>
            <w:vAlign w:val="center"/>
            <w:hideMark/>
          </w:tcPr>
          <w:p w14:paraId="4BF3707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709" w:type="dxa"/>
            <w:tcBorders>
              <w:top w:val="single" w:sz="4" w:space="0" w:color="auto"/>
              <w:bottom w:val="single" w:sz="4" w:space="0" w:color="auto"/>
            </w:tcBorders>
            <w:shd w:val="clear" w:color="auto" w:fill="D9D9D9"/>
            <w:vAlign w:val="center"/>
          </w:tcPr>
          <w:p w14:paraId="552E7EB0"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c>
          <w:tcPr>
            <w:tcW w:w="850" w:type="dxa"/>
            <w:tcBorders>
              <w:top w:val="single" w:sz="4" w:space="0" w:color="auto"/>
              <w:bottom w:val="single" w:sz="4" w:space="0" w:color="auto"/>
            </w:tcBorders>
            <w:shd w:val="clear" w:color="auto" w:fill="auto"/>
            <w:vAlign w:val="center"/>
            <w:hideMark/>
          </w:tcPr>
          <w:p w14:paraId="73BF10A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T1</w:t>
            </w:r>
          </w:p>
        </w:tc>
        <w:tc>
          <w:tcPr>
            <w:tcW w:w="851" w:type="dxa"/>
            <w:tcBorders>
              <w:top w:val="single" w:sz="4" w:space="0" w:color="auto"/>
              <w:bottom w:val="single" w:sz="4" w:space="0" w:color="auto"/>
            </w:tcBorders>
            <w:shd w:val="clear" w:color="auto" w:fill="D9D9D9"/>
            <w:vAlign w:val="center"/>
          </w:tcPr>
          <w:p w14:paraId="03EE09D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T2</w:t>
            </w:r>
          </w:p>
        </w:tc>
      </w:tr>
      <w:tr w:rsidR="00E6060C" w:rsidRPr="00E6060C" w14:paraId="626B16CE" w14:textId="77777777" w:rsidTr="005852AD">
        <w:trPr>
          <w:trHeight w:val="482"/>
        </w:trPr>
        <w:tc>
          <w:tcPr>
            <w:tcW w:w="1985" w:type="dxa"/>
            <w:tcBorders>
              <w:top w:val="single" w:sz="4" w:space="0" w:color="auto"/>
            </w:tcBorders>
            <w:shd w:val="clear" w:color="auto" w:fill="auto"/>
            <w:vAlign w:val="center"/>
          </w:tcPr>
          <w:p w14:paraId="5BD60FF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Colleague support</w:t>
            </w:r>
          </w:p>
        </w:tc>
        <w:tc>
          <w:tcPr>
            <w:tcW w:w="539" w:type="dxa"/>
            <w:tcBorders>
              <w:top w:val="single" w:sz="4" w:space="0" w:color="auto"/>
            </w:tcBorders>
            <w:shd w:val="clear" w:color="auto" w:fill="auto"/>
            <w:noWrap/>
            <w:vAlign w:val="center"/>
          </w:tcPr>
          <w:p w14:paraId="3E2FE51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502" w:type="dxa"/>
            <w:tcBorders>
              <w:top w:val="single" w:sz="4" w:space="0" w:color="auto"/>
            </w:tcBorders>
            <w:shd w:val="clear" w:color="auto" w:fill="D9D9D9"/>
            <w:vAlign w:val="center"/>
          </w:tcPr>
          <w:p w14:paraId="4E74026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c>
          <w:tcPr>
            <w:tcW w:w="914" w:type="dxa"/>
            <w:tcBorders>
              <w:top w:val="single" w:sz="4" w:space="0" w:color="auto"/>
            </w:tcBorders>
            <w:shd w:val="clear" w:color="auto" w:fill="auto"/>
            <w:noWrap/>
            <w:vAlign w:val="center"/>
          </w:tcPr>
          <w:p w14:paraId="538C6CC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4.02</w:t>
            </w:r>
          </w:p>
        </w:tc>
        <w:tc>
          <w:tcPr>
            <w:tcW w:w="607" w:type="dxa"/>
            <w:tcBorders>
              <w:top w:val="single" w:sz="4" w:space="0" w:color="auto"/>
            </w:tcBorders>
            <w:shd w:val="clear" w:color="auto" w:fill="D9D9D9"/>
            <w:vAlign w:val="center"/>
          </w:tcPr>
          <w:p w14:paraId="4D36D05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4.11</w:t>
            </w:r>
          </w:p>
        </w:tc>
        <w:tc>
          <w:tcPr>
            <w:tcW w:w="880" w:type="dxa"/>
            <w:tcBorders>
              <w:top w:val="single" w:sz="4" w:space="0" w:color="auto"/>
            </w:tcBorders>
            <w:shd w:val="clear" w:color="auto" w:fill="auto"/>
            <w:noWrap/>
            <w:vAlign w:val="center"/>
          </w:tcPr>
          <w:p w14:paraId="4AE3413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.77</w:t>
            </w:r>
          </w:p>
        </w:tc>
        <w:tc>
          <w:tcPr>
            <w:tcW w:w="607" w:type="dxa"/>
            <w:tcBorders>
              <w:top w:val="single" w:sz="4" w:space="0" w:color="auto"/>
            </w:tcBorders>
            <w:shd w:val="clear" w:color="auto" w:fill="D9D9D9"/>
            <w:vAlign w:val="center"/>
          </w:tcPr>
          <w:p w14:paraId="0B4AC4B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.84</w:t>
            </w:r>
          </w:p>
        </w:tc>
        <w:tc>
          <w:tcPr>
            <w:tcW w:w="744" w:type="dxa"/>
            <w:tcBorders>
              <w:top w:val="single" w:sz="4" w:space="0" w:color="auto"/>
            </w:tcBorders>
            <w:shd w:val="clear" w:color="auto" w:fill="auto"/>
            <w:noWrap/>
            <w:vAlign w:val="center"/>
          </w:tcPr>
          <w:p w14:paraId="4E6A38A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w:t>
            </w:r>
          </w:p>
        </w:tc>
        <w:tc>
          <w:tcPr>
            <w:tcW w:w="607" w:type="dxa"/>
            <w:tcBorders>
              <w:top w:val="single" w:sz="4" w:space="0" w:color="auto"/>
            </w:tcBorders>
            <w:shd w:val="clear" w:color="auto" w:fill="D9D9D9"/>
            <w:vAlign w:val="center"/>
          </w:tcPr>
          <w:p w14:paraId="5C0BA4F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.15</w:t>
            </w:r>
          </w:p>
        </w:tc>
        <w:tc>
          <w:tcPr>
            <w:tcW w:w="880" w:type="dxa"/>
            <w:tcBorders>
              <w:top w:val="single" w:sz="4" w:space="0" w:color="auto"/>
            </w:tcBorders>
            <w:shd w:val="clear" w:color="auto" w:fill="auto"/>
            <w:noWrap/>
            <w:vAlign w:val="center"/>
          </w:tcPr>
          <w:p w14:paraId="45C4C38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1.67</w:t>
            </w:r>
          </w:p>
        </w:tc>
        <w:tc>
          <w:tcPr>
            <w:tcW w:w="607" w:type="dxa"/>
            <w:tcBorders>
              <w:top w:val="single" w:sz="4" w:space="0" w:color="auto"/>
            </w:tcBorders>
            <w:shd w:val="clear" w:color="auto" w:fill="D9D9D9"/>
            <w:vAlign w:val="center"/>
          </w:tcPr>
          <w:p w14:paraId="288E723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2.00</w:t>
            </w:r>
          </w:p>
        </w:tc>
        <w:tc>
          <w:tcPr>
            <w:tcW w:w="880" w:type="dxa"/>
            <w:tcBorders>
              <w:top w:val="single" w:sz="4" w:space="0" w:color="auto"/>
            </w:tcBorders>
            <w:shd w:val="clear" w:color="auto" w:fill="auto"/>
            <w:noWrap/>
            <w:vAlign w:val="center"/>
          </w:tcPr>
          <w:p w14:paraId="7BC106E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687" w:type="dxa"/>
            <w:tcBorders>
              <w:top w:val="single" w:sz="4" w:space="0" w:color="auto"/>
            </w:tcBorders>
            <w:shd w:val="clear" w:color="auto" w:fill="D9D9D9"/>
            <w:vAlign w:val="center"/>
          </w:tcPr>
          <w:p w14:paraId="3732414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860" w:type="dxa"/>
            <w:tcBorders>
              <w:top w:val="single" w:sz="4" w:space="0" w:color="auto"/>
            </w:tcBorders>
            <w:shd w:val="clear" w:color="auto" w:fill="auto"/>
            <w:vAlign w:val="center"/>
          </w:tcPr>
          <w:p w14:paraId="1DFF22B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-.89</w:t>
            </w:r>
          </w:p>
        </w:tc>
        <w:tc>
          <w:tcPr>
            <w:tcW w:w="709" w:type="dxa"/>
            <w:tcBorders>
              <w:top w:val="single" w:sz="4" w:space="0" w:color="auto"/>
            </w:tcBorders>
            <w:shd w:val="clear" w:color="auto" w:fill="D9D9D9"/>
            <w:vAlign w:val="center"/>
          </w:tcPr>
          <w:p w14:paraId="5FE3FC8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-.70</w:t>
            </w:r>
          </w:p>
        </w:tc>
        <w:tc>
          <w:tcPr>
            <w:tcW w:w="850" w:type="dxa"/>
            <w:tcBorders>
              <w:top w:val="single" w:sz="4" w:space="0" w:color="auto"/>
            </w:tcBorders>
            <w:shd w:val="clear" w:color="auto" w:fill="auto"/>
            <w:vAlign w:val="center"/>
          </w:tcPr>
          <w:p w14:paraId="485CBC4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1.59</w:t>
            </w:r>
          </w:p>
        </w:tc>
        <w:tc>
          <w:tcPr>
            <w:tcW w:w="851" w:type="dxa"/>
            <w:tcBorders>
              <w:top w:val="single" w:sz="4" w:space="0" w:color="auto"/>
            </w:tcBorders>
            <w:shd w:val="clear" w:color="auto" w:fill="D9D9D9"/>
            <w:vAlign w:val="center"/>
          </w:tcPr>
          <w:p w14:paraId="28AF26A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.00</w:t>
            </w:r>
          </w:p>
        </w:tc>
      </w:tr>
      <w:tr w:rsidR="00E6060C" w:rsidRPr="00E6060C" w14:paraId="54FB303A" w14:textId="77777777" w:rsidTr="005852AD">
        <w:trPr>
          <w:trHeight w:val="482"/>
        </w:trPr>
        <w:tc>
          <w:tcPr>
            <w:tcW w:w="1985" w:type="dxa"/>
            <w:shd w:val="clear" w:color="auto" w:fill="auto"/>
            <w:vAlign w:val="center"/>
          </w:tcPr>
          <w:p w14:paraId="4156CEE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Influence in decision-making</w:t>
            </w:r>
          </w:p>
        </w:tc>
        <w:tc>
          <w:tcPr>
            <w:tcW w:w="539" w:type="dxa"/>
            <w:shd w:val="clear" w:color="auto" w:fill="auto"/>
            <w:noWrap/>
            <w:vAlign w:val="center"/>
          </w:tcPr>
          <w:p w14:paraId="3A4B52B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502" w:type="dxa"/>
            <w:shd w:val="clear" w:color="auto" w:fill="D9D9D9"/>
            <w:vAlign w:val="center"/>
          </w:tcPr>
          <w:p w14:paraId="76B24E6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c>
          <w:tcPr>
            <w:tcW w:w="914" w:type="dxa"/>
            <w:shd w:val="clear" w:color="auto" w:fill="auto"/>
            <w:noWrap/>
            <w:vAlign w:val="center"/>
          </w:tcPr>
          <w:p w14:paraId="3176267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3.09</w:t>
            </w:r>
          </w:p>
        </w:tc>
        <w:tc>
          <w:tcPr>
            <w:tcW w:w="607" w:type="dxa"/>
            <w:shd w:val="clear" w:color="auto" w:fill="D9D9D9"/>
            <w:vAlign w:val="center"/>
          </w:tcPr>
          <w:p w14:paraId="1CAEC93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3.13</w:t>
            </w:r>
          </w:p>
        </w:tc>
        <w:tc>
          <w:tcPr>
            <w:tcW w:w="880" w:type="dxa"/>
            <w:shd w:val="clear" w:color="auto" w:fill="auto"/>
            <w:noWrap/>
            <w:vAlign w:val="center"/>
          </w:tcPr>
          <w:p w14:paraId="786969D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.97</w:t>
            </w:r>
          </w:p>
        </w:tc>
        <w:tc>
          <w:tcPr>
            <w:tcW w:w="607" w:type="dxa"/>
            <w:shd w:val="clear" w:color="auto" w:fill="D9D9D9"/>
            <w:vAlign w:val="center"/>
          </w:tcPr>
          <w:p w14:paraId="7F0D4AE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.89</w:t>
            </w:r>
          </w:p>
        </w:tc>
        <w:tc>
          <w:tcPr>
            <w:tcW w:w="744" w:type="dxa"/>
            <w:shd w:val="clear" w:color="auto" w:fill="auto"/>
            <w:noWrap/>
            <w:vAlign w:val="center"/>
          </w:tcPr>
          <w:p w14:paraId="3C000B0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w:t>
            </w:r>
          </w:p>
        </w:tc>
        <w:tc>
          <w:tcPr>
            <w:tcW w:w="607" w:type="dxa"/>
            <w:shd w:val="clear" w:color="auto" w:fill="D9D9D9"/>
            <w:vAlign w:val="center"/>
          </w:tcPr>
          <w:p w14:paraId="68B4473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.16</w:t>
            </w:r>
          </w:p>
        </w:tc>
        <w:tc>
          <w:tcPr>
            <w:tcW w:w="880" w:type="dxa"/>
            <w:shd w:val="clear" w:color="auto" w:fill="auto"/>
            <w:noWrap/>
            <w:vAlign w:val="center"/>
          </w:tcPr>
          <w:p w14:paraId="671DC95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1.00</w:t>
            </w:r>
          </w:p>
        </w:tc>
        <w:tc>
          <w:tcPr>
            <w:tcW w:w="607" w:type="dxa"/>
            <w:shd w:val="clear" w:color="auto" w:fill="D9D9D9"/>
            <w:vAlign w:val="center"/>
          </w:tcPr>
          <w:p w14:paraId="7CC3360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1.67</w:t>
            </w:r>
          </w:p>
        </w:tc>
        <w:tc>
          <w:tcPr>
            <w:tcW w:w="880" w:type="dxa"/>
            <w:shd w:val="clear" w:color="auto" w:fill="auto"/>
            <w:noWrap/>
            <w:vAlign w:val="center"/>
          </w:tcPr>
          <w:p w14:paraId="67FC6F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687" w:type="dxa"/>
            <w:shd w:val="clear" w:color="auto" w:fill="D9D9D9"/>
            <w:vAlign w:val="center"/>
          </w:tcPr>
          <w:p w14:paraId="5A47B9C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860" w:type="dxa"/>
            <w:shd w:val="clear" w:color="auto" w:fill="auto"/>
            <w:noWrap/>
            <w:vAlign w:val="center"/>
          </w:tcPr>
          <w:p w14:paraId="0CAE5C4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w:t>
            </w:r>
          </w:p>
        </w:tc>
        <w:tc>
          <w:tcPr>
            <w:tcW w:w="709" w:type="dxa"/>
            <w:shd w:val="clear" w:color="auto" w:fill="D9D9D9"/>
            <w:vAlign w:val="center"/>
          </w:tcPr>
          <w:p w14:paraId="18172C5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.58</w:t>
            </w:r>
          </w:p>
        </w:tc>
        <w:tc>
          <w:tcPr>
            <w:tcW w:w="850" w:type="dxa"/>
            <w:shd w:val="clear" w:color="auto" w:fill="auto"/>
            <w:noWrap/>
            <w:vAlign w:val="center"/>
          </w:tcPr>
          <w:p w14:paraId="4C0C0A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851" w:type="dxa"/>
            <w:shd w:val="clear" w:color="auto" w:fill="D9D9D9"/>
            <w:vAlign w:val="center"/>
          </w:tcPr>
          <w:p w14:paraId="04F8B9C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.07</w:t>
            </w:r>
          </w:p>
        </w:tc>
      </w:tr>
      <w:tr w:rsidR="00E6060C" w:rsidRPr="00E6060C" w14:paraId="0741ABFC" w14:textId="77777777" w:rsidTr="005852AD">
        <w:trPr>
          <w:trHeight w:val="482"/>
        </w:trPr>
        <w:tc>
          <w:tcPr>
            <w:tcW w:w="1985" w:type="dxa"/>
            <w:shd w:val="clear" w:color="auto" w:fill="auto"/>
            <w:vAlign w:val="center"/>
          </w:tcPr>
          <w:p w14:paraId="4375F85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Resources and demands</w:t>
            </w:r>
          </w:p>
        </w:tc>
        <w:tc>
          <w:tcPr>
            <w:tcW w:w="539" w:type="dxa"/>
            <w:shd w:val="clear" w:color="auto" w:fill="auto"/>
            <w:noWrap/>
            <w:vAlign w:val="center"/>
          </w:tcPr>
          <w:p w14:paraId="1FC5D2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w:t>
            </w:r>
          </w:p>
        </w:tc>
        <w:tc>
          <w:tcPr>
            <w:tcW w:w="502" w:type="dxa"/>
            <w:shd w:val="clear" w:color="auto" w:fill="D9D9D9"/>
            <w:vAlign w:val="center"/>
          </w:tcPr>
          <w:p w14:paraId="0331828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c>
          <w:tcPr>
            <w:tcW w:w="914" w:type="dxa"/>
            <w:shd w:val="clear" w:color="auto" w:fill="auto"/>
            <w:noWrap/>
            <w:vAlign w:val="center"/>
          </w:tcPr>
          <w:p w14:paraId="1D69834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2.95</w:t>
            </w:r>
          </w:p>
        </w:tc>
        <w:tc>
          <w:tcPr>
            <w:tcW w:w="607" w:type="dxa"/>
            <w:shd w:val="clear" w:color="auto" w:fill="D9D9D9"/>
            <w:vAlign w:val="center"/>
          </w:tcPr>
          <w:p w14:paraId="73DD4B6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3.25</w:t>
            </w:r>
          </w:p>
        </w:tc>
        <w:tc>
          <w:tcPr>
            <w:tcW w:w="880" w:type="dxa"/>
            <w:shd w:val="clear" w:color="auto" w:fill="auto"/>
            <w:noWrap/>
            <w:vAlign w:val="center"/>
          </w:tcPr>
          <w:p w14:paraId="0BA18EE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.88</w:t>
            </w:r>
          </w:p>
        </w:tc>
        <w:tc>
          <w:tcPr>
            <w:tcW w:w="607" w:type="dxa"/>
            <w:shd w:val="clear" w:color="auto" w:fill="D9D9D9"/>
            <w:vAlign w:val="center"/>
          </w:tcPr>
          <w:p w14:paraId="4FF3CC1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.81</w:t>
            </w:r>
          </w:p>
        </w:tc>
        <w:tc>
          <w:tcPr>
            <w:tcW w:w="744" w:type="dxa"/>
            <w:shd w:val="clear" w:color="auto" w:fill="auto"/>
            <w:noWrap/>
            <w:vAlign w:val="center"/>
          </w:tcPr>
          <w:p w14:paraId="56EA8E7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.16</w:t>
            </w:r>
          </w:p>
        </w:tc>
        <w:tc>
          <w:tcPr>
            <w:tcW w:w="607" w:type="dxa"/>
            <w:shd w:val="clear" w:color="auto" w:fill="D9D9D9"/>
            <w:vAlign w:val="center"/>
          </w:tcPr>
          <w:p w14:paraId="7F673BF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.15</w:t>
            </w:r>
          </w:p>
        </w:tc>
        <w:tc>
          <w:tcPr>
            <w:tcW w:w="880" w:type="dxa"/>
            <w:shd w:val="clear" w:color="auto" w:fill="auto"/>
            <w:noWrap/>
            <w:vAlign w:val="center"/>
          </w:tcPr>
          <w:p w14:paraId="36749EC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1.29</w:t>
            </w:r>
          </w:p>
        </w:tc>
        <w:tc>
          <w:tcPr>
            <w:tcW w:w="607" w:type="dxa"/>
            <w:shd w:val="clear" w:color="auto" w:fill="D9D9D9"/>
            <w:vAlign w:val="center"/>
          </w:tcPr>
          <w:p w14:paraId="32FBA0D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1.14</w:t>
            </w:r>
          </w:p>
        </w:tc>
        <w:tc>
          <w:tcPr>
            <w:tcW w:w="880" w:type="dxa"/>
            <w:shd w:val="clear" w:color="auto" w:fill="auto"/>
            <w:noWrap/>
            <w:vAlign w:val="center"/>
          </w:tcPr>
          <w:p w14:paraId="7A56379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687" w:type="dxa"/>
            <w:shd w:val="clear" w:color="auto" w:fill="D9D9D9"/>
            <w:vAlign w:val="center"/>
          </w:tcPr>
          <w:p w14:paraId="589E78E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860" w:type="dxa"/>
            <w:shd w:val="clear" w:color="auto" w:fill="auto"/>
            <w:noWrap/>
            <w:vAlign w:val="center"/>
          </w:tcPr>
          <w:p w14:paraId="529073C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.18</w:t>
            </w:r>
          </w:p>
        </w:tc>
        <w:tc>
          <w:tcPr>
            <w:tcW w:w="709" w:type="dxa"/>
            <w:shd w:val="clear" w:color="auto" w:fill="D9D9D9"/>
            <w:vAlign w:val="center"/>
          </w:tcPr>
          <w:p w14:paraId="0AB5A46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-.18</w:t>
            </w:r>
          </w:p>
        </w:tc>
        <w:tc>
          <w:tcPr>
            <w:tcW w:w="850" w:type="dxa"/>
            <w:shd w:val="clear" w:color="auto" w:fill="auto"/>
            <w:noWrap/>
            <w:vAlign w:val="center"/>
          </w:tcPr>
          <w:p w14:paraId="7570F5D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-.34</w:t>
            </w:r>
          </w:p>
        </w:tc>
        <w:tc>
          <w:tcPr>
            <w:tcW w:w="851" w:type="dxa"/>
            <w:shd w:val="clear" w:color="auto" w:fill="D9D9D9"/>
            <w:vAlign w:val="center"/>
          </w:tcPr>
          <w:p w14:paraId="0993D43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.44</w:t>
            </w:r>
          </w:p>
        </w:tc>
      </w:tr>
      <w:tr w:rsidR="00E6060C" w:rsidRPr="00E6060C" w14:paraId="0D82DB85" w14:textId="77777777" w:rsidTr="005852AD">
        <w:trPr>
          <w:trHeight w:val="482"/>
        </w:trPr>
        <w:tc>
          <w:tcPr>
            <w:tcW w:w="1985" w:type="dxa"/>
            <w:shd w:val="clear" w:color="auto" w:fill="auto"/>
            <w:vAlign w:val="center"/>
          </w:tcPr>
          <w:p w14:paraId="7D6FA022"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Autonomy</w:t>
            </w:r>
          </w:p>
        </w:tc>
        <w:tc>
          <w:tcPr>
            <w:tcW w:w="539" w:type="dxa"/>
            <w:shd w:val="clear" w:color="auto" w:fill="auto"/>
            <w:noWrap/>
            <w:vAlign w:val="center"/>
          </w:tcPr>
          <w:p w14:paraId="3E5F446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502" w:type="dxa"/>
            <w:shd w:val="clear" w:color="auto" w:fill="D9D9D9"/>
            <w:vAlign w:val="center"/>
          </w:tcPr>
          <w:p w14:paraId="67CF9CE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w:t>
            </w:r>
          </w:p>
        </w:tc>
        <w:tc>
          <w:tcPr>
            <w:tcW w:w="914" w:type="dxa"/>
            <w:shd w:val="clear" w:color="auto" w:fill="auto"/>
            <w:noWrap/>
            <w:vAlign w:val="center"/>
          </w:tcPr>
          <w:p w14:paraId="22C304F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4.16</w:t>
            </w:r>
          </w:p>
        </w:tc>
        <w:tc>
          <w:tcPr>
            <w:tcW w:w="607" w:type="dxa"/>
            <w:shd w:val="clear" w:color="auto" w:fill="D9D9D9"/>
            <w:vAlign w:val="center"/>
          </w:tcPr>
          <w:p w14:paraId="2EA2304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4.24</w:t>
            </w:r>
          </w:p>
        </w:tc>
        <w:tc>
          <w:tcPr>
            <w:tcW w:w="880" w:type="dxa"/>
            <w:shd w:val="clear" w:color="auto" w:fill="auto"/>
            <w:noWrap/>
            <w:vAlign w:val="center"/>
          </w:tcPr>
          <w:p w14:paraId="1F23D92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.54</w:t>
            </w:r>
          </w:p>
        </w:tc>
        <w:tc>
          <w:tcPr>
            <w:tcW w:w="607" w:type="dxa"/>
            <w:shd w:val="clear" w:color="auto" w:fill="D9D9D9"/>
            <w:vAlign w:val="center"/>
          </w:tcPr>
          <w:p w14:paraId="3D4DBB0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.51</w:t>
            </w:r>
          </w:p>
        </w:tc>
        <w:tc>
          <w:tcPr>
            <w:tcW w:w="744" w:type="dxa"/>
            <w:shd w:val="clear" w:color="auto" w:fill="auto"/>
            <w:noWrap/>
            <w:vAlign w:val="center"/>
          </w:tcPr>
          <w:p w14:paraId="6A0DC9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w:t>
            </w:r>
          </w:p>
        </w:tc>
        <w:tc>
          <w:tcPr>
            <w:tcW w:w="607" w:type="dxa"/>
            <w:shd w:val="clear" w:color="auto" w:fill="D9D9D9"/>
            <w:vAlign w:val="center"/>
          </w:tcPr>
          <w:p w14:paraId="2DF51D0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.09</w:t>
            </w:r>
          </w:p>
        </w:tc>
        <w:tc>
          <w:tcPr>
            <w:tcW w:w="880" w:type="dxa"/>
            <w:shd w:val="clear" w:color="auto" w:fill="auto"/>
            <w:noWrap/>
            <w:vAlign w:val="center"/>
          </w:tcPr>
          <w:p w14:paraId="2F68A6B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3.00</w:t>
            </w:r>
          </w:p>
        </w:tc>
        <w:tc>
          <w:tcPr>
            <w:tcW w:w="607" w:type="dxa"/>
            <w:shd w:val="clear" w:color="auto" w:fill="D9D9D9"/>
            <w:vAlign w:val="center"/>
          </w:tcPr>
          <w:p w14:paraId="5CD05AE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880" w:type="dxa"/>
            <w:shd w:val="clear" w:color="auto" w:fill="auto"/>
            <w:noWrap/>
            <w:vAlign w:val="center"/>
          </w:tcPr>
          <w:p w14:paraId="403D028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687" w:type="dxa"/>
            <w:shd w:val="clear" w:color="auto" w:fill="D9D9D9"/>
            <w:vAlign w:val="center"/>
          </w:tcPr>
          <w:p w14:paraId="7F96B30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860" w:type="dxa"/>
            <w:shd w:val="clear" w:color="auto" w:fill="auto"/>
            <w:noWrap/>
            <w:vAlign w:val="center"/>
          </w:tcPr>
          <w:p w14:paraId="535E35E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709" w:type="dxa"/>
            <w:shd w:val="clear" w:color="auto" w:fill="D9D9D9"/>
            <w:vAlign w:val="center"/>
          </w:tcPr>
          <w:p w14:paraId="6045F72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.36</w:t>
            </w:r>
          </w:p>
        </w:tc>
        <w:tc>
          <w:tcPr>
            <w:tcW w:w="850" w:type="dxa"/>
            <w:shd w:val="clear" w:color="auto" w:fill="auto"/>
            <w:noWrap/>
            <w:vAlign w:val="center"/>
          </w:tcPr>
          <w:p w14:paraId="77270A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-.93</w:t>
            </w:r>
          </w:p>
        </w:tc>
        <w:tc>
          <w:tcPr>
            <w:tcW w:w="851" w:type="dxa"/>
            <w:shd w:val="clear" w:color="auto" w:fill="D9D9D9"/>
            <w:vAlign w:val="center"/>
          </w:tcPr>
          <w:p w14:paraId="2FC401B9"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-1.06</w:t>
            </w:r>
          </w:p>
        </w:tc>
      </w:tr>
      <w:tr w:rsidR="00E6060C" w:rsidRPr="00E6060C" w14:paraId="65093052" w14:textId="77777777" w:rsidTr="005852AD">
        <w:trPr>
          <w:trHeight w:val="482"/>
        </w:trPr>
        <w:tc>
          <w:tcPr>
            <w:tcW w:w="1985" w:type="dxa"/>
            <w:shd w:val="clear" w:color="auto" w:fill="auto"/>
            <w:vAlign w:val="center"/>
          </w:tcPr>
          <w:p w14:paraId="702C317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Competence</w:t>
            </w:r>
          </w:p>
        </w:tc>
        <w:tc>
          <w:tcPr>
            <w:tcW w:w="539" w:type="dxa"/>
            <w:shd w:val="clear" w:color="auto" w:fill="auto"/>
            <w:noWrap/>
            <w:vAlign w:val="center"/>
          </w:tcPr>
          <w:p w14:paraId="6A728C4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502" w:type="dxa"/>
            <w:shd w:val="clear" w:color="auto" w:fill="D9D9D9"/>
            <w:vAlign w:val="center"/>
          </w:tcPr>
          <w:p w14:paraId="477B745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c>
          <w:tcPr>
            <w:tcW w:w="914" w:type="dxa"/>
            <w:shd w:val="clear" w:color="auto" w:fill="auto"/>
            <w:noWrap/>
            <w:vAlign w:val="center"/>
          </w:tcPr>
          <w:p w14:paraId="662B794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4.36</w:t>
            </w:r>
          </w:p>
        </w:tc>
        <w:tc>
          <w:tcPr>
            <w:tcW w:w="607" w:type="dxa"/>
            <w:shd w:val="clear" w:color="auto" w:fill="D9D9D9"/>
            <w:vAlign w:val="center"/>
          </w:tcPr>
          <w:p w14:paraId="2CD7CDA4"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4.33</w:t>
            </w:r>
          </w:p>
        </w:tc>
        <w:tc>
          <w:tcPr>
            <w:tcW w:w="880" w:type="dxa"/>
            <w:shd w:val="clear" w:color="auto" w:fill="auto"/>
            <w:noWrap/>
            <w:vAlign w:val="center"/>
          </w:tcPr>
          <w:p w14:paraId="6DF8DF4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.56</w:t>
            </w:r>
          </w:p>
        </w:tc>
        <w:tc>
          <w:tcPr>
            <w:tcW w:w="607" w:type="dxa"/>
            <w:shd w:val="clear" w:color="auto" w:fill="D9D9D9"/>
            <w:vAlign w:val="center"/>
          </w:tcPr>
          <w:p w14:paraId="7F9B54D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.49</w:t>
            </w:r>
          </w:p>
        </w:tc>
        <w:tc>
          <w:tcPr>
            <w:tcW w:w="744" w:type="dxa"/>
            <w:shd w:val="clear" w:color="auto" w:fill="auto"/>
            <w:noWrap/>
            <w:vAlign w:val="center"/>
          </w:tcPr>
          <w:p w14:paraId="05122A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w:t>
            </w:r>
          </w:p>
        </w:tc>
        <w:tc>
          <w:tcPr>
            <w:tcW w:w="607" w:type="dxa"/>
            <w:shd w:val="clear" w:color="auto" w:fill="D9D9D9"/>
            <w:vAlign w:val="center"/>
          </w:tcPr>
          <w:p w14:paraId="24EF706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.09</w:t>
            </w:r>
          </w:p>
        </w:tc>
        <w:tc>
          <w:tcPr>
            <w:tcW w:w="880" w:type="dxa"/>
            <w:shd w:val="clear" w:color="auto" w:fill="auto"/>
            <w:noWrap/>
            <w:vAlign w:val="center"/>
          </w:tcPr>
          <w:p w14:paraId="10B6D6C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3.00</w:t>
            </w:r>
          </w:p>
        </w:tc>
        <w:tc>
          <w:tcPr>
            <w:tcW w:w="607" w:type="dxa"/>
            <w:shd w:val="clear" w:color="auto" w:fill="D9D9D9"/>
            <w:vAlign w:val="center"/>
          </w:tcPr>
          <w:p w14:paraId="5159C00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880" w:type="dxa"/>
            <w:shd w:val="clear" w:color="auto" w:fill="auto"/>
            <w:noWrap/>
            <w:vAlign w:val="center"/>
          </w:tcPr>
          <w:p w14:paraId="7B29519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687" w:type="dxa"/>
            <w:shd w:val="clear" w:color="auto" w:fill="D9D9D9"/>
            <w:vAlign w:val="center"/>
          </w:tcPr>
          <w:p w14:paraId="7B2C07C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860" w:type="dxa"/>
            <w:shd w:val="clear" w:color="auto" w:fill="auto"/>
            <w:noWrap/>
            <w:vAlign w:val="center"/>
          </w:tcPr>
          <w:p w14:paraId="6332B20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709" w:type="dxa"/>
            <w:shd w:val="clear" w:color="auto" w:fill="D9D9D9"/>
            <w:vAlign w:val="center"/>
          </w:tcPr>
          <w:p w14:paraId="2AE5CAC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.26</w:t>
            </w:r>
          </w:p>
        </w:tc>
        <w:tc>
          <w:tcPr>
            <w:tcW w:w="850" w:type="dxa"/>
            <w:shd w:val="clear" w:color="auto" w:fill="auto"/>
            <w:noWrap/>
            <w:vAlign w:val="center"/>
          </w:tcPr>
          <w:p w14:paraId="4CA1329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-1.29</w:t>
            </w:r>
          </w:p>
        </w:tc>
        <w:tc>
          <w:tcPr>
            <w:tcW w:w="851" w:type="dxa"/>
            <w:shd w:val="clear" w:color="auto" w:fill="D9D9D9"/>
            <w:vAlign w:val="center"/>
          </w:tcPr>
          <w:p w14:paraId="5F1FE10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-1.15</w:t>
            </w:r>
          </w:p>
        </w:tc>
      </w:tr>
      <w:tr w:rsidR="00E6060C" w:rsidRPr="00E6060C" w14:paraId="75C1D6CD" w14:textId="77777777" w:rsidTr="005852AD">
        <w:trPr>
          <w:trHeight w:val="482"/>
        </w:trPr>
        <w:tc>
          <w:tcPr>
            <w:tcW w:w="1985" w:type="dxa"/>
            <w:shd w:val="clear" w:color="auto" w:fill="auto"/>
            <w:vAlign w:val="center"/>
          </w:tcPr>
          <w:p w14:paraId="2C8FA50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539" w:type="dxa"/>
            <w:shd w:val="clear" w:color="auto" w:fill="auto"/>
            <w:noWrap/>
            <w:vAlign w:val="center"/>
          </w:tcPr>
          <w:p w14:paraId="1DBA3B2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502" w:type="dxa"/>
            <w:shd w:val="clear" w:color="auto" w:fill="D9D9D9"/>
            <w:vAlign w:val="center"/>
          </w:tcPr>
          <w:p w14:paraId="0C7C49E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c>
          <w:tcPr>
            <w:tcW w:w="914" w:type="dxa"/>
            <w:shd w:val="clear" w:color="auto" w:fill="auto"/>
            <w:noWrap/>
            <w:vAlign w:val="center"/>
          </w:tcPr>
          <w:p w14:paraId="172C94C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4.20</w:t>
            </w:r>
          </w:p>
        </w:tc>
        <w:tc>
          <w:tcPr>
            <w:tcW w:w="607" w:type="dxa"/>
            <w:shd w:val="clear" w:color="auto" w:fill="D9D9D9"/>
            <w:vAlign w:val="center"/>
          </w:tcPr>
          <w:p w14:paraId="2454C9C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4.20</w:t>
            </w:r>
          </w:p>
        </w:tc>
        <w:tc>
          <w:tcPr>
            <w:tcW w:w="880" w:type="dxa"/>
            <w:shd w:val="clear" w:color="auto" w:fill="auto"/>
            <w:noWrap/>
            <w:vAlign w:val="center"/>
          </w:tcPr>
          <w:p w14:paraId="63CC7F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.65</w:t>
            </w:r>
          </w:p>
        </w:tc>
        <w:tc>
          <w:tcPr>
            <w:tcW w:w="607" w:type="dxa"/>
            <w:shd w:val="clear" w:color="auto" w:fill="D9D9D9"/>
            <w:vAlign w:val="center"/>
          </w:tcPr>
          <w:p w14:paraId="373E66C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.58</w:t>
            </w:r>
          </w:p>
        </w:tc>
        <w:tc>
          <w:tcPr>
            <w:tcW w:w="744" w:type="dxa"/>
            <w:shd w:val="clear" w:color="auto" w:fill="auto"/>
            <w:noWrap/>
            <w:vAlign w:val="center"/>
          </w:tcPr>
          <w:p w14:paraId="6FFAAEC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c>
          <w:tcPr>
            <w:tcW w:w="607" w:type="dxa"/>
            <w:shd w:val="clear" w:color="auto" w:fill="D9D9D9"/>
            <w:vAlign w:val="center"/>
          </w:tcPr>
          <w:p w14:paraId="7F0FB5C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.10</w:t>
            </w:r>
          </w:p>
        </w:tc>
        <w:tc>
          <w:tcPr>
            <w:tcW w:w="880" w:type="dxa"/>
            <w:shd w:val="clear" w:color="auto" w:fill="auto"/>
            <w:noWrap/>
            <w:vAlign w:val="center"/>
          </w:tcPr>
          <w:p w14:paraId="18BD50A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3.00</w:t>
            </w:r>
          </w:p>
        </w:tc>
        <w:tc>
          <w:tcPr>
            <w:tcW w:w="607" w:type="dxa"/>
            <w:shd w:val="clear" w:color="auto" w:fill="D9D9D9"/>
            <w:vAlign w:val="center"/>
          </w:tcPr>
          <w:p w14:paraId="31CC343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3.00</w:t>
            </w:r>
          </w:p>
        </w:tc>
        <w:tc>
          <w:tcPr>
            <w:tcW w:w="880" w:type="dxa"/>
            <w:shd w:val="clear" w:color="auto" w:fill="auto"/>
            <w:noWrap/>
            <w:vAlign w:val="center"/>
          </w:tcPr>
          <w:p w14:paraId="01FD07F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5.00</w:t>
            </w:r>
          </w:p>
        </w:tc>
        <w:tc>
          <w:tcPr>
            <w:tcW w:w="687" w:type="dxa"/>
            <w:shd w:val="clear" w:color="auto" w:fill="D9D9D9"/>
            <w:vAlign w:val="center"/>
          </w:tcPr>
          <w:p w14:paraId="63284A1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5.00</w:t>
            </w:r>
          </w:p>
        </w:tc>
        <w:tc>
          <w:tcPr>
            <w:tcW w:w="860" w:type="dxa"/>
            <w:shd w:val="clear" w:color="auto" w:fill="auto"/>
            <w:noWrap/>
            <w:vAlign w:val="center"/>
          </w:tcPr>
          <w:p w14:paraId="1BAFB57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w:t>
            </w:r>
          </w:p>
        </w:tc>
        <w:tc>
          <w:tcPr>
            <w:tcW w:w="709" w:type="dxa"/>
            <w:shd w:val="clear" w:color="auto" w:fill="D9D9D9"/>
            <w:vAlign w:val="center"/>
          </w:tcPr>
          <w:p w14:paraId="3ED0936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-.18</w:t>
            </w:r>
          </w:p>
        </w:tc>
        <w:tc>
          <w:tcPr>
            <w:tcW w:w="850" w:type="dxa"/>
            <w:shd w:val="clear" w:color="auto" w:fill="auto"/>
            <w:noWrap/>
            <w:vAlign w:val="center"/>
          </w:tcPr>
          <w:p w14:paraId="62B3D11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-.87</w:t>
            </w:r>
          </w:p>
        </w:tc>
        <w:tc>
          <w:tcPr>
            <w:tcW w:w="851" w:type="dxa"/>
            <w:shd w:val="clear" w:color="auto" w:fill="D9D9D9"/>
            <w:vAlign w:val="center"/>
          </w:tcPr>
          <w:p w14:paraId="2768AD0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-.37</w:t>
            </w:r>
          </w:p>
        </w:tc>
      </w:tr>
      <w:tr w:rsidR="00E6060C" w:rsidRPr="00E6060C" w14:paraId="72C569CF" w14:textId="77777777" w:rsidTr="005852AD">
        <w:trPr>
          <w:trHeight w:val="482"/>
        </w:trPr>
        <w:tc>
          <w:tcPr>
            <w:tcW w:w="1985" w:type="dxa"/>
            <w:shd w:val="clear" w:color="auto" w:fill="auto"/>
            <w:vAlign w:val="center"/>
          </w:tcPr>
          <w:p w14:paraId="285A75B4"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539" w:type="dxa"/>
            <w:shd w:val="clear" w:color="auto" w:fill="auto"/>
            <w:noWrap/>
            <w:vAlign w:val="center"/>
          </w:tcPr>
          <w:p w14:paraId="31623E5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502" w:type="dxa"/>
            <w:shd w:val="clear" w:color="auto" w:fill="D9D9D9"/>
            <w:vAlign w:val="center"/>
          </w:tcPr>
          <w:p w14:paraId="20FED2D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w:t>
            </w:r>
          </w:p>
        </w:tc>
        <w:tc>
          <w:tcPr>
            <w:tcW w:w="914" w:type="dxa"/>
            <w:shd w:val="clear" w:color="auto" w:fill="auto"/>
            <w:noWrap/>
            <w:vAlign w:val="center"/>
          </w:tcPr>
          <w:p w14:paraId="6AEC761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6.11</w:t>
            </w:r>
          </w:p>
        </w:tc>
        <w:tc>
          <w:tcPr>
            <w:tcW w:w="607" w:type="dxa"/>
            <w:shd w:val="clear" w:color="auto" w:fill="D9D9D9"/>
            <w:vAlign w:val="center"/>
          </w:tcPr>
          <w:p w14:paraId="0C7C7D8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5.76</w:t>
            </w:r>
          </w:p>
        </w:tc>
        <w:tc>
          <w:tcPr>
            <w:tcW w:w="880" w:type="dxa"/>
            <w:shd w:val="clear" w:color="auto" w:fill="auto"/>
            <w:noWrap/>
            <w:vAlign w:val="center"/>
          </w:tcPr>
          <w:p w14:paraId="1EE9281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.77</w:t>
            </w:r>
          </w:p>
        </w:tc>
        <w:tc>
          <w:tcPr>
            <w:tcW w:w="607" w:type="dxa"/>
            <w:shd w:val="clear" w:color="auto" w:fill="D9D9D9"/>
            <w:vAlign w:val="center"/>
          </w:tcPr>
          <w:p w14:paraId="71B4F2F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.86</w:t>
            </w:r>
          </w:p>
        </w:tc>
        <w:tc>
          <w:tcPr>
            <w:tcW w:w="744" w:type="dxa"/>
            <w:shd w:val="clear" w:color="auto" w:fill="auto"/>
            <w:noWrap/>
            <w:vAlign w:val="center"/>
          </w:tcPr>
          <w:p w14:paraId="45D904E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w:t>
            </w:r>
          </w:p>
        </w:tc>
        <w:tc>
          <w:tcPr>
            <w:tcW w:w="607" w:type="dxa"/>
            <w:shd w:val="clear" w:color="auto" w:fill="D9D9D9"/>
            <w:vAlign w:val="center"/>
          </w:tcPr>
          <w:p w14:paraId="319E0DC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.16</w:t>
            </w:r>
          </w:p>
        </w:tc>
        <w:tc>
          <w:tcPr>
            <w:tcW w:w="880" w:type="dxa"/>
            <w:shd w:val="clear" w:color="auto" w:fill="auto"/>
            <w:noWrap/>
            <w:vAlign w:val="center"/>
          </w:tcPr>
          <w:p w14:paraId="1783487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4.89</w:t>
            </w:r>
          </w:p>
        </w:tc>
        <w:tc>
          <w:tcPr>
            <w:tcW w:w="607" w:type="dxa"/>
            <w:shd w:val="clear" w:color="auto" w:fill="D9D9D9"/>
            <w:vAlign w:val="center"/>
          </w:tcPr>
          <w:p w14:paraId="227EAC8F"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3.89</w:t>
            </w:r>
          </w:p>
        </w:tc>
        <w:tc>
          <w:tcPr>
            <w:tcW w:w="880" w:type="dxa"/>
            <w:shd w:val="clear" w:color="auto" w:fill="auto"/>
            <w:noWrap/>
            <w:vAlign w:val="center"/>
          </w:tcPr>
          <w:p w14:paraId="70AEA27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687" w:type="dxa"/>
            <w:shd w:val="clear" w:color="auto" w:fill="D9D9D9"/>
            <w:vAlign w:val="center"/>
          </w:tcPr>
          <w:p w14:paraId="769AC79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7.00</w:t>
            </w:r>
          </w:p>
        </w:tc>
        <w:tc>
          <w:tcPr>
            <w:tcW w:w="860" w:type="dxa"/>
            <w:shd w:val="clear" w:color="auto" w:fill="auto"/>
            <w:noWrap/>
            <w:vAlign w:val="center"/>
          </w:tcPr>
          <w:p w14:paraId="2AE8573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w:t>
            </w:r>
          </w:p>
        </w:tc>
        <w:tc>
          <w:tcPr>
            <w:tcW w:w="709" w:type="dxa"/>
            <w:shd w:val="clear" w:color="auto" w:fill="D9D9D9"/>
            <w:vAlign w:val="center"/>
          </w:tcPr>
          <w:p w14:paraId="2E66544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-.55</w:t>
            </w:r>
          </w:p>
        </w:tc>
        <w:tc>
          <w:tcPr>
            <w:tcW w:w="850" w:type="dxa"/>
            <w:shd w:val="clear" w:color="auto" w:fill="auto"/>
            <w:noWrap/>
            <w:vAlign w:val="center"/>
          </w:tcPr>
          <w:p w14:paraId="26BB572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-1.45</w:t>
            </w:r>
          </w:p>
        </w:tc>
        <w:tc>
          <w:tcPr>
            <w:tcW w:w="851" w:type="dxa"/>
            <w:shd w:val="clear" w:color="auto" w:fill="D9D9D9"/>
            <w:vAlign w:val="center"/>
          </w:tcPr>
          <w:p w14:paraId="7C0BFBB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-.15</w:t>
            </w:r>
          </w:p>
        </w:tc>
      </w:tr>
      <w:tr w:rsidR="00E6060C" w:rsidRPr="00E6060C" w14:paraId="6147DEE6" w14:textId="77777777" w:rsidTr="005852AD">
        <w:trPr>
          <w:trHeight w:val="482"/>
        </w:trPr>
        <w:tc>
          <w:tcPr>
            <w:tcW w:w="1985" w:type="dxa"/>
            <w:shd w:val="clear" w:color="auto" w:fill="auto"/>
            <w:vAlign w:val="center"/>
          </w:tcPr>
          <w:p w14:paraId="1A7916A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539" w:type="dxa"/>
            <w:shd w:val="clear" w:color="auto" w:fill="auto"/>
            <w:noWrap/>
            <w:vAlign w:val="center"/>
          </w:tcPr>
          <w:p w14:paraId="3265A54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502" w:type="dxa"/>
            <w:shd w:val="clear" w:color="auto" w:fill="D9D9D9"/>
            <w:vAlign w:val="center"/>
          </w:tcPr>
          <w:p w14:paraId="00838F7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w:t>
            </w:r>
          </w:p>
        </w:tc>
        <w:tc>
          <w:tcPr>
            <w:tcW w:w="914" w:type="dxa"/>
            <w:shd w:val="clear" w:color="auto" w:fill="auto"/>
            <w:noWrap/>
            <w:vAlign w:val="center"/>
          </w:tcPr>
          <w:p w14:paraId="52243BF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5.60</w:t>
            </w:r>
          </w:p>
        </w:tc>
        <w:tc>
          <w:tcPr>
            <w:tcW w:w="607" w:type="dxa"/>
            <w:shd w:val="clear" w:color="auto" w:fill="D9D9D9"/>
            <w:vAlign w:val="center"/>
          </w:tcPr>
          <w:p w14:paraId="531D949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5.90</w:t>
            </w:r>
          </w:p>
        </w:tc>
        <w:tc>
          <w:tcPr>
            <w:tcW w:w="880" w:type="dxa"/>
            <w:shd w:val="clear" w:color="auto" w:fill="auto"/>
            <w:noWrap/>
            <w:vAlign w:val="center"/>
          </w:tcPr>
          <w:p w14:paraId="30D9BDE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.81</w:t>
            </w:r>
          </w:p>
        </w:tc>
        <w:tc>
          <w:tcPr>
            <w:tcW w:w="607" w:type="dxa"/>
            <w:shd w:val="clear" w:color="auto" w:fill="D9D9D9"/>
            <w:vAlign w:val="center"/>
          </w:tcPr>
          <w:p w14:paraId="2C56C2A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.62</w:t>
            </w:r>
          </w:p>
        </w:tc>
        <w:tc>
          <w:tcPr>
            <w:tcW w:w="744" w:type="dxa"/>
            <w:shd w:val="clear" w:color="auto" w:fill="auto"/>
            <w:noWrap/>
            <w:vAlign w:val="center"/>
          </w:tcPr>
          <w:p w14:paraId="1776269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w:t>
            </w:r>
          </w:p>
        </w:tc>
        <w:tc>
          <w:tcPr>
            <w:tcW w:w="607" w:type="dxa"/>
            <w:shd w:val="clear" w:color="auto" w:fill="D9D9D9"/>
            <w:vAlign w:val="center"/>
          </w:tcPr>
          <w:p w14:paraId="2AB2F88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.11</w:t>
            </w:r>
          </w:p>
        </w:tc>
        <w:tc>
          <w:tcPr>
            <w:tcW w:w="880" w:type="dxa"/>
            <w:shd w:val="clear" w:color="auto" w:fill="auto"/>
            <w:noWrap/>
            <w:vAlign w:val="center"/>
          </w:tcPr>
          <w:p w14:paraId="2EF4F0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3.50</w:t>
            </w:r>
          </w:p>
        </w:tc>
        <w:tc>
          <w:tcPr>
            <w:tcW w:w="607" w:type="dxa"/>
            <w:shd w:val="clear" w:color="auto" w:fill="D9D9D9"/>
            <w:vAlign w:val="center"/>
          </w:tcPr>
          <w:p w14:paraId="05C373A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4.50</w:t>
            </w:r>
          </w:p>
        </w:tc>
        <w:tc>
          <w:tcPr>
            <w:tcW w:w="880" w:type="dxa"/>
            <w:shd w:val="clear" w:color="auto" w:fill="auto"/>
            <w:noWrap/>
            <w:vAlign w:val="center"/>
          </w:tcPr>
          <w:p w14:paraId="36377E1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687" w:type="dxa"/>
            <w:shd w:val="clear" w:color="auto" w:fill="D9D9D9"/>
            <w:vAlign w:val="center"/>
          </w:tcPr>
          <w:p w14:paraId="09EE193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7.00</w:t>
            </w:r>
          </w:p>
        </w:tc>
        <w:tc>
          <w:tcPr>
            <w:tcW w:w="860" w:type="dxa"/>
            <w:shd w:val="clear" w:color="auto" w:fill="auto"/>
            <w:noWrap/>
            <w:vAlign w:val="center"/>
          </w:tcPr>
          <w:p w14:paraId="0E4953E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-.65</w:t>
            </w:r>
          </w:p>
        </w:tc>
        <w:tc>
          <w:tcPr>
            <w:tcW w:w="709" w:type="dxa"/>
            <w:shd w:val="clear" w:color="auto" w:fill="D9D9D9"/>
            <w:vAlign w:val="center"/>
          </w:tcPr>
          <w:p w14:paraId="2E249C5C"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-.18</w:t>
            </w:r>
          </w:p>
        </w:tc>
        <w:tc>
          <w:tcPr>
            <w:tcW w:w="850" w:type="dxa"/>
            <w:shd w:val="clear" w:color="auto" w:fill="auto"/>
            <w:noWrap/>
            <w:vAlign w:val="center"/>
          </w:tcPr>
          <w:p w14:paraId="4D8F4E4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c>
          <w:tcPr>
            <w:tcW w:w="851" w:type="dxa"/>
            <w:shd w:val="clear" w:color="auto" w:fill="D9D9D9"/>
            <w:vAlign w:val="center"/>
          </w:tcPr>
          <w:p w14:paraId="0DBB30B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-.43</w:t>
            </w:r>
          </w:p>
        </w:tc>
      </w:tr>
      <w:tr w:rsidR="00E6060C" w:rsidRPr="00E6060C" w14:paraId="335CD82D" w14:textId="77777777" w:rsidTr="005852AD">
        <w:trPr>
          <w:trHeight w:val="482"/>
        </w:trPr>
        <w:tc>
          <w:tcPr>
            <w:tcW w:w="1985" w:type="dxa"/>
            <w:shd w:val="clear" w:color="auto" w:fill="auto"/>
            <w:vAlign w:val="center"/>
          </w:tcPr>
          <w:p w14:paraId="1D3F0D46"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539" w:type="dxa"/>
            <w:shd w:val="clear" w:color="auto" w:fill="auto"/>
            <w:noWrap/>
            <w:vAlign w:val="center"/>
          </w:tcPr>
          <w:p w14:paraId="16ED099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502" w:type="dxa"/>
            <w:shd w:val="clear" w:color="auto" w:fill="D9D9D9"/>
            <w:vAlign w:val="center"/>
          </w:tcPr>
          <w:p w14:paraId="1E96244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w:t>
            </w:r>
          </w:p>
        </w:tc>
        <w:tc>
          <w:tcPr>
            <w:tcW w:w="914" w:type="dxa"/>
            <w:shd w:val="clear" w:color="auto" w:fill="auto"/>
            <w:noWrap/>
            <w:vAlign w:val="center"/>
          </w:tcPr>
          <w:p w14:paraId="00F973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4.26</w:t>
            </w:r>
          </w:p>
        </w:tc>
        <w:tc>
          <w:tcPr>
            <w:tcW w:w="607" w:type="dxa"/>
            <w:shd w:val="clear" w:color="auto" w:fill="D9D9D9"/>
            <w:vAlign w:val="center"/>
          </w:tcPr>
          <w:p w14:paraId="7CDB92E6"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4.31</w:t>
            </w:r>
          </w:p>
        </w:tc>
        <w:tc>
          <w:tcPr>
            <w:tcW w:w="880" w:type="dxa"/>
            <w:shd w:val="clear" w:color="auto" w:fill="auto"/>
            <w:noWrap/>
            <w:vAlign w:val="center"/>
          </w:tcPr>
          <w:p w14:paraId="0E9F7A3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1.38</w:t>
            </w:r>
          </w:p>
        </w:tc>
        <w:tc>
          <w:tcPr>
            <w:tcW w:w="607" w:type="dxa"/>
            <w:shd w:val="clear" w:color="auto" w:fill="D9D9D9"/>
            <w:vAlign w:val="center"/>
          </w:tcPr>
          <w:p w14:paraId="171F79C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1.44</w:t>
            </w:r>
          </w:p>
        </w:tc>
        <w:tc>
          <w:tcPr>
            <w:tcW w:w="744" w:type="dxa"/>
            <w:shd w:val="clear" w:color="auto" w:fill="auto"/>
            <w:noWrap/>
            <w:vAlign w:val="center"/>
          </w:tcPr>
          <w:p w14:paraId="2D8E8D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607" w:type="dxa"/>
            <w:shd w:val="clear" w:color="auto" w:fill="D9D9D9"/>
            <w:vAlign w:val="center"/>
          </w:tcPr>
          <w:p w14:paraId="50D06312"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.26</w:t>
            </w:r>
          </w:p>
        </w:tc>
        <w:tc>
          <w:tcPr>
            <w:tcW w:w="880" w:type="dxa"/>
            <w:shd w:val="clear" w:color="auto" w:fill="auto"/>
            <w:noWrap/>
            <w:vAlign w:val="center"/>
          </w:tcPr>
          <w:p w14:paraId="6575930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2.00</w:t>
            </w:r>
          </w:p>
        </w:tc>
        <w:tc>
          <w:tcPr>
            <w:tcW w:w="607" w:type="dxa"/>
            <w:shd w:val="clear" w:color="auto" w:fill="D9D9D9"/>
            <w:vAlign w:val="center"/>
          </w:tcPr>
          <w:p w14:paraId="6A96B6E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2.25</w:t>
            </w:r>
          </w:p>
        </w:tc>
        <w:tc>
          <w:tcPr>
            <w:tcW w:w="880" w:type="dxa"/>
            <w:shd w:val="clear" w:color="auto" w:fill="auto"/>
            <w:noWrap/>
            <w:vAlign w:val="center"/>
          </w:tcPr>
          <w:p w14:paraId="32F2C4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687" w:type="dxa"/>
            <w:shd w:val="clear" w:color="auto" w:fill="D9D9D9"/>
            <w:vAlign w:val="center"/>
          </w:tcPr>
          <w:p w14:paraId="265D0EE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6.75</w:t>
            </w:r>
          </w:p>
        </w:tc>
        <w:tc>
          <w:tcPr>
            <w:tcW w:w="860" w:type="dxa"/>
            <w:shd w:val="clear" w:color="auto" w:fill="auto"/>
            <w:noWrap/>
            <w:vAlign w:val="center"/>
          </w:tcPr>
          <w:p w14:paraId="5B106C0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.26</w:t>
            </w:r>
          </w:p>
        </w:tc>
        <w:tc>
          <w:tcPr>
            <w:tcW w:w="709" w:type="dxa"/>
            <w:shd w:val="clear" w:color="auto" w:fill="D9D9D9"/>
            <w:vAlign w:val="center"/>
          </w:tcPr>
          <w:p w14:paraId="200C7141"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.44</w:t>
            </w:r>
          </w:p>
        </w:tc>
        <w:tc>
          <w:tcPr>
            <w:tcW w:w="850" w:type="dxa"/>
            <w:shd w:val="clear" w:color="auto" w:fill="auto"/>
            <w:noWrap/>
            <w:vAlign w:val="center"/>
          </w:tcPr>
          <w:p w14:paraId="18618D0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-.67</w:t>
            </w:r>
          </w:p>
        </w:tc>
        <w:tc>
          <w:tcPr>
            <w:tcW w:w="851" w:type="dxa"/>
            <w:shd w:val="clear" w:color="auto" w:fill="D9D9D9"/>
            <w:vAlign w:val="center"/>
          </w:tcPr>
          <w:p w14:paraId="716B104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-1.20</w:t>
            </w:r>
          </w:p>
        </w:tc>
      </w:tr>
      <w:tr w:rsidR="00E6060C" w:rsidRPr="00E6060C" w14:paraId="323B862F" w14:textId="77777777" w:rsidTr="005852AD">
        <w:trPr>
          <w:trHeight w:val="482"/>
        </w:trPr>
        <w:tc>
          <w:tcPr>
            <w:tcW w:w="1985" w:type="dxa"/>
            <w:shd w:val="clear" w:color="auto" w:fill="auto"/>
            <w:vAlign w:val="center"/>
          </w:tcPr>
          <w:p w14:paraId="0BDE026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539" w:type="dxa"/>
            <w:shd w:val="clear" w:color="auto" w:fill="auto"/>
            <w:noWrap/>
            <w:vAlign w:val="center"/>
          </w:tcPr>
          <w:p w14:paraId="5F0EEAE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502" w:type="dxa"/>
            <w:shd w:val="clear" w:color="auto" w:fill="D9D9D9"/>
            <w:vAlign w:val="center"/>
          </w:tcPr>
          <w:p w14:paraId="5A5696A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29</w:t>
            </w:r>
          </w:p>
        </w:tc>
        <w:tc>
          <w:tcPr>
            <w:tcW w:w="914" w:type="dxa"/>
            <w:shd w:val="clear" w:color="auto" w:fill="auto"/>
            <w:noWrap/>
            <w:vAlign w:val="center"/>
          </w:tcPr>
          <w:p w14:paraId="46DF673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6.13</w:t>
            </w:r>
          </w:p>
        </w:tc>
        <w:tc>
          <w:tcPr>
            <w:tcW w:w="607" w:type="dxa"/>
            <w:shd w:val="clear" w:color="auto" w:fill="D9D9D9"/>
            <w:vAlign w:val="center"/>
          </w:tcPr>
          <w:p w14:paraId="038809F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6.22</w:t>
            </w:r>
          </w:p>
        </w:tc>
        <w:tc>
          <w:tcPr>
            <w:tcW w:w="880" w:type="dxa"/>
            <w:shd w:val="clear" w:color="auto" w:fill="auto"/>
            <w:noWrap/>
            <w:vAlign w:val="center"/>
          </w:tcPr>
          <w:p w14:paraId="14F41AA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.88</w:t>
            </w:r>
          </w:p>
        </w:tc>
        <w:tc>
          <w:tcPr>
            <w:tcW w:w="607" w:type="dxa"/>
            <w:shd w:val="clear" w:color="auto" w:fill="D9D9D9"/>
            <w:vAlign w:val="center"/>
          </w:tcPr>
          <w:p w14:paraId="73AF8083"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.70</w:t>
            </w:r>
          </w:p>
        </w:tc>
        <w:tc>
          <w:tcPr>
            <w:tcW w:w="744" w:type="dxa"/>
            <w:shd w:val="clear" w:color="auto" w:fill="auto"/>
            <w:noWrap/>
            <w:vAlign w:val="center"/>
          </w:tcPr>
          <w:p w14:paraId="2EE2077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607" w:type="dxa"/>
            <w:shd w:val="clear" w:color="auto" w:fill="D9D9D9"/>
            <w:vAlign w:val="center"/>
          </w:tcPr>
          <w:p w14:paraId="304647D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.13</w:t>
            </w:r>
          </w:p>
        </w:tc>
        <w:tc>
          <w:tcPr>
            <w:tcW w:w="880" w:type="dxa"/>
            <w:shd w:val="clear" w:color="auto" w:fill="auto"/>
            <w:noWrap/>
            <w:vAlign w:val="center"/>
          </w:tcPr>
          <w:p w14:paraId="133DC4A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3.25</w:t>
            </w:r>
          </w:p>
        </w:tc>
        <w:tc>
          <w:tcPr>
            <w:tcW w:w="607" w:type="dxa"/>
            <w:shd w:val="clear" w:color="auto" w:fill="D9D9D9"/>
            <w:vAlign w:val="center"/>
          </w:tcPr>
          <w:p w14:paraId="43AD856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4.75</w:t>
            </w:r>
          </w:p>
        </w:tc>
        <w:tc>
          <w:tcPr>
            <w:tcW w:w="880" w:type="dxa"/>
            <w:shd w:val="clear" w:color="auto" w:fill="auto"/>
            <w:noWrap/>
            <w:vAlign w:val="center"/>
          </w:tcPr>
          <w:p w14:paraId="72E347E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687" w:type="dxa"/>
            <w:shd w:val="clear" w:color="auto" w:fill="D9D9D9"/>
            <w:vAlign w:val="center"/>
          </w:tcPr>
          <w:p w14:paraId="144A95C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7.00</w:t>
            </w:r>
          </w:p>
        </w:tc>
        <w:tc>
          <w:tcPr>
            <w:tcW w:w="860" w:type="dxa"/>
            <w:shd w:val="clear" w:color="auto" w:fill="auto"/>
            <w:noWrap/>
            <w:vAlign w:val="center"/>
          </w:tcPr>
          <w:p w14:paraId="0C60CEE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-1.47</w:t>
            </w:r>
          </w:p>
        </w:tc>
        <w:tc>
          <w:tcPr>
            <w:tcW w:w="709" w:type="dxa"/>
            <w:shd w:val="clear" w:color="auto" w:fill="D9D9D9"/>
            <w:vAlign w:val="center"/>
          </w:tcPr>
          <w:p w14:paraId="78EF5FEB"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-.53</w:t>
            </w:r>
          </w:p>
        </w:tc>
        <w:tc>
          <w:tcPr>
            <w:tcW w:w="850" w:type="dxa"/>
            <w:shd w:val="clear" w:color="auto" w:fill="auto"/>
            <w:noWrap/>
            <w:vAlign w:val="center"/>
          </w:tcPr>
          <w:p w14:paraId="123FA3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2.65</w:t>
            </w:r>
          </w:p>
        </w:tc>
        <w:tc>
          <w:tcPr>
            <w:tcW w:w="851" w:type="dxa"/>
            <w:shd w:val="clear" w:color="auto" w:fill="D9D9D9"/>
            <w:vAlign w:val="center"/>
          </w:tcPr>
          <w:p w14:paraId="2E81523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-.95</w:t>
            </w:r>
          </w:p>
        </w:tc>
      </w:tr>
      <w:tr w:rsidR="00E6060C" w:rsidRPr="00E6060C" w14:paraId="7257D208" w14:textId="77777777" w:rsidTr="005852AD">
        <w:trPr>
          <w:trHeight w:val="482"/>
        </w:trPr>
        <w:tc>
          <w:tcPr>
            <w:tcW w:w="1985" w:type="dxa"/>
            <w:tcBorders>
              <w:bottom w:val="single" w:sz="4" w:space="0" w:color="auto"/>
            </w:tcBorders>
            <w:shd w:val="clear" w:color="auto" w:fill="auto"/>
            <w:vAlign w:val="center"/>
          </w:tcPr>
          <w:p w14:paraId="3097852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539" w:type="dxa"/>
            <w:tcBorders>
              <w:bottom w:val="single" w:sz="4" w:space="0" w:color="auto"/>
            </w:tcBorders>
            <w:shd w:val="clear" w:color="auto" w:fill="auto"/>
            <w:noWrap/>
            <w:vAlign w:val="center"/>
          </w:tcPr>
          <w:p w14:paraId="3FDB047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502" w:type="dxa"/>
            <w:tcBorders>
              <w:bottom w:val="single" w:sz="4" w:space="0" w:color="auto"/>
            </w:tcBorders>
            <w:shd w:val="clear" w:color="auto" w:fill="D9D9D9"/>
            <w:vAlign w:val="center"/>
          </w:tcPr>
          <w:p w14:paraId="50478CB8"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30</w:t>
            </w:r>
          </w:p>
        </w:tc>
        <w:tc>
          <w:tcPr>
            <w:tcW w:w="914" w:type="dxa"/>
            <w:tcBorders>
              <w:bottom w:val="single" w:sz="4" w:space="0" w:color="auto"/>
            </w:tcBorders>
            <w:shd w:val="clear" w:color="auto" w:fill="auto"/>
            <w:noWrap/>
            <w:vAlign w:val="center"/>
          </w:tcPr>
          <w:p w14:paraId="63EE44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4.08</w:t>
            </w:r>
          </w:p>
        </w:tc>
        <w:tc>
          <w:tcPr>
            <w:tcW w:w="607" w:type="dxa"/>
            <w:tcBorders>
              <w:bottom w:val="single" w:sz="4" w:space="0" w:color="auto"/>
            </w:tcBorders>
            <w:shd w:val="clear" w:color="auto" w:fill="D9D9D9"/>
            <w:vAlign w:val="center"/>
          </w:tcPr>
          <w:p w14:paraId="46D499D7"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4.19</w:t>
            </w:r>
          </w:p>
        </w:tc>
        <w:tc>
          <w:tcPr>
            <w:tcW w:w="880" w:type="dxa"/>
            <w:tcBorders>
              <w:bottom w:val="single" w:sz="4" w:space="0" w:color="auto"/>
            </w:tcBorders>
            <w:shd w:val="clear" w:color="auto" w:fill="auto"/>
            <w:noWrap/>
            <w:vAlign w:val="center"/>
          </w:tcPr>
          <w:p w14:paraId="651EB8D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1.29</w:t>
            </w:r>
          </w:p>
        </w:tc>
        <w:tc>
          <w:tcPr>
            <w:tcW w:w="607" w:type="dxa"/>
            <w:tcBorders>
              <w:bottom w:val="single" w:sz="4" w:space="0" w:color="auto"/>
            </w:tcBorders>
            <w:shd w:val="clear" w:color="auto" w:fill="D9D9D9"/>
            <w:vAlign w:val="center"/>
          </w:tcPr>
          <w:p w14:paraId="66A664A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1.17</w:t>
            </w:r>
          </w:p>
        </w:tc>
        <w:tc>
          <w:tcPr>
            <w:tcW w:w="744" w:type="dxa"/>
            <w:tcBorders>
              <w:bottom w:val="single" w:sz="4" w:space="0" w:color="auto"/>
            </w:tcBorders>
            <w:shd w:val="clear" w:color="auto" w:fill="auto"/>
            <w:noWrap/>
            <w:vAlign w:val="center"/>
          </w:tcPr>
          <w:p w14:paraId="187126C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c>
          <w:tcPr>
            <w:tcW w:w="607" w:type="dxa"/>
            <w:tcBorders>
              <w:bottom w:val="single" w:sz="4" w:space="0" w:color="auto"/>
            </w:tcBorders>
            <w:shd w:val="clear" w:color="auto" w:fill="D9D9D9"/>
            <w:vAlign w:val="center"/>
          </w:tcPr>
          <w:p w14:paraId="47E86ECA"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.21</w:t>
            </w:r>
          </w:p>
        </w:tc>
        <w:tc>
          <w:tcPr>
            <w:tcW w:w="880" w:type="dxa"/>
            <w:tcBorders>
              <w:bottom w:val="single" w:sz="4" w:space="0" w:color="auto"/>
            </w:tcBorders>
            <w:shd w:val="clear" w:color="auto" w:fill="auto"/>
            <w:noWrap/>
            <w:vAlign w:val="center"/>
          </w:tcPr>
          <w:p w14:paraId="3AEF09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1.75</w:t>
            </w:r>
          </w:p>
        </w:tc>
        <w:tc>
          <w:tcPr>
            <w:tcW w:w="607" w:type="dxa"/>
            <w:tcBorders>
              <w:bottom w:val="single" w:sz="4" w:space="0" w:color="auto"/>
            </w:tcBorders>
            <w:shd w:val="clear" w:color="auto" w:fill="D9D9D9"/>
            <w:vAlign w:val="center"/>
          </w:tcPr>
          <w:p w14:paraId="7F4AB1AE"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1.50</w:t>
            </w:r>
          </w:p>
        </w:tc>
        <w:tc>
          <w:tcPr>
            <w:tcW w:w="880" w:type="dxa"/>
            <w:tcBorders>
              <w:bottom w:val="single" w:sz="4" w:space="0" w:color="auto"/>
            </w:tcBorders>
            <w:shd w:val="clear" w:color="auto" w:fill="auto"/>
            <w:noWrap/>
            <w:vAlign w:val="center"/>
          </w:tcPr>
          <w:p w14:paraId="6F8F5AC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7.00</w:t>
            </w:r>
          </w:p>
        </w:tc>
        <w:tc>
          <w:tcPr>
            <w:tcW w:w="687" w:type="dxa"/>
            <w:tcBorders>
              <w:bottom w:val="single" w:sz="4" w:space="0" w:color="auto"/>
            </w:tcBorders>
            <w:shd w:val="clear" w:color="auto" w:fill="D9D9D9"/>
            <w:vAlign w:val="center"/>
          </w:tcPr>
          <w:p w14:paraId="699AFDE0"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6.75</w:t>
            </w:r>
          </w:p>
        </w:tc>
        <w:tc>
          <w:tcPr>
            <w:tcW w:w="860" w:type="dxa"/>
            <w:tcBorders>
              <w:bottom w:val="single" w:sz="4" w:space="0" w:color="auto"/>
            </w:tcBorders>
            <w:shd w:val="clear" w:color="auto" w:fill="auto"/>
            <w:noWrap/>
            <w:vAlign w:val="center"/>
          </w:tcPr>
          <w:p w14:paraId="7A0A7C5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.56</w:t>
            </w:r>
          </w:p>
        </w:tc>
        <w:tc>
          <w:tcPr>
            <w:tcW w:w="709" w:type="dxa"/>
            <w:tcBorders>
              <w:bottom w:val="single" w:sz="4" w:space="0" w:color="auto"/>
            </w:tcBorders>
            <w:shd w:val="clear" w:color="auto" w:fill="D9D9D9"/>
            <w:vAlign w:val="center"/>
          </w:tcPr>
          <w:p w14:paraId="7F524E55"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c>
          <w:tcPr>
            <w:tcW w:w="850" w:type="dxa"/>
            <w:tcBorders>
              <w:bottom w:val="single" w:sz="4" w:space="0" w:color="auto"/>
            </w:tcBorders>
            <w:shd w:val="clear" w:color="auto" w:fill="auto"/>
            <w:noWrap/>
            <w:vAlign w:val="center"/>
          </w:tcPr>
          <w:p w14:paraId="1393FC9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.17</w:t>
            </w:r>
          </w:p>
        </w:tc>
        <w:tc>
          <w:tcPr>
            <w:tcW w:w="851" w:type="dxa"/>
            <w:tcBorders>
              <w:bottom w:val="single" w:sz="4" w:space="0" w:color="auto"/>
            </w:tcBorders>
            <w:shd w:val="clear" w:color="auto" w:fill="D9D9D9"/>
            <w:vAlign w:val="center"/>
          </w:tcPr>
          <w:p w14:paraId="2F4E852D" w14:textId="77777777" w:rsidR="00E6060C" w:rsidRPr="00E6060C" w:rsidRDefault="00E6060C" w:rsidP="00E6060C">
            <w:pPr>
              <w:spacing w:line="240" w:lineRule="auto"/>
              <w:jc w:val="center"/>
              <w:rPr>
                <w:rFonts w:ascii="Calibri" w:eastAsia="Calibri" w:hAnsi="Calibri" w:cs="Times New Roman"/>
                <w:color w:val="000000"/>
              </w:rPr>
            </w:pPr>
            <w:r w:rsidRPr="00E6060C">
              <w:rPr>
                <w:rFonts w:ascii="Calibri" w:eastAsia="Calibri" w:hAnsi="Calibri" w:cs="Times New Roman"/>
                <w:color w:val="000000"/>
              </w:rPr>
              <w:t>.31</w:t>
            </w:r>
          </w:p>
        </w:tc>
      </w:tr>
    </w:tbl>
    <w:p w14:paraId="2E217013"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resources, and demands, were scored on a scale of 1 to 5. All other variables were scored on a scale of 1 to 7. For all scales, higher scores indicate better results.</w:t>
      </w:r>
    </w:p>
    <w:p w14:paraId="53D5436C"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w:t>
      </w:r>
      <w:r w:rsidRPr="00E6060C">
        <w:rPr>
          <w:rFonts w:ascii="Calibri" w:eastAsia="Calibri" w:hAnsi="Calibri" w:cs="Times New Roman"/>
          <w:i/>
        </w:rPr>
        <w:t xml:space="preserve"> M=mean; SD</w:t>
      </w:r>
      <w:r w:rsidRPr="00E6060C">
        <w:rPr>
          <w:rFonts w:ascii="Calibri" w:eastAsia="Calibri" w:hAnsi="Calibri" w:cs="Times New Roman"/>
        </w:rPr>
        <w:t xml:space="preserve">=standard deviation; </w:t>
      </w:r>
      <w:r w:rsidRPr="00E6060C">
        <w:rPr>
          <w:rFonts w:ascii="Calibri" w:eastAsia="Calibri" w:hAnsi="Calibri" w:cs="Times New Roman"/>
          <w:i/>
        </w:rPr>
        <w:t>SE</w:t>
      </w:r>
      <w:r w:rsidRPr="00E6060C">
        <w:rPr>
          <w:rFonts w:ascii="Calibri" w:eastAsia="Calibri" w:hAnsi="Calibri" w:cs="Times New Roman"/>
        </w:rPr>
        <w:t>=standard error; Min=Minimum value; Max=Maximum value</w:t>
      </w:r>
    </w:p>
    <w:p w14:paraId="37885AC1" w14:textId="77777777" w:rsidR="00E6060C" w:rsidRPr="00E6060C" w:rsidRDefault="00E6060C" w:rsidP="00E6060C">
      <w:pPr>
        <w:spacing w:after="200" w:line="240" w:lineRule="auto"/>
        <w:ind w:left="142"/>
        <w:contextualSpacing/>
        <w:rPr>
          <w:rFonts w:ascii="Calibri" w:eastAsia="Calibri" w:hAnsi="Calibri" w:cs="Times New Roman"/>
        </w:rPr>
      </w:pPr>
    </w:p>
    <w:p w14:paraId="050E73C3" w14:textId="77777777" w:rsidR="00E6060C" w:rsidRPr="00E6060C" w:rsidRDefault="00E6060C" w:rsidP="00E6060C">
      <w:pPr>
        <w:spacing w:after="200" w:line="240" w:lineRule="auto"/>
        <w:ind w:left="142"/>
        <w:contextualSpacing/>
        <w:rPr>
          <w:rFonts w:ascii="Calibri" w:eastAsia="Calibri" w:hAnsi="Calibri" w:cs="Times New Roman"/>
        </w:rPr>
      </w:pPr>
    </w:p>
    <w:p w14:paraId="167BA48F" w14:textId="77777777" w:rsidR="00E6060C" w:rsidRPr="00E6060C" w:rsidRDefault="00E6060C" w:rsidP="00E6060C">
      <w:pPr>
        <w:spacing w:after="200" w:line="240" w:lineRule="auto"/>
        <w:ind w:left="142"/>
        <w:contextualSpacing/>
        <w:rPr>
          <w:rFonts w:ascii="Calibri" w:eastAsia="Calibri" w:hAnsi="Calibri" w:cs="Times New Roman"/>
        </w:rPr>
      </w:pPr>
    </w:p>
    <w:p w14:paraId="2064B594" w14:textId="77777777" w:rsidR="00E6060C" w:rsidRPr="00E6060C" w:rsidRDefault="00E6060C" w:rsidP="00E6060C">
      <w:pPr>
        <w:spacing w:after="200" w:line="240" w:lineRule="auto"/>
        <w:ind w:left="142"/>
        <w:contextualSpacing/>
        <w:rPr>
          <w:rFonts w:ascii="Calibri" w:eastAsia="Calibri" w:hAnsi="Calibri" w:cs="Times New Roman"/>
        </w:rPr>
      </w:pPr>
    </w:p>
    <w:p w14:paraId="19D5F37D" w14:textId="49FF2B0D" w:rsidR="00842587" w:rsidRDefault="00842587" w:rsidP="005852AD">
      <w:pPr>
        <w:pStyle w:val="Figurestyle"/>
      </w:pPr>
      <w:bookmarkStart w:id="434" w:name="_Ref453590737"/>
      <w:bookmarkStart w:id="435" w:name="_Toc468286089"/>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15</w:t>
      </w:r>
      <w:r w:rsidR="00245D68">
        <w:rPr>
          <w:noProof/>
        </w:rPr>
        <w:fldChar w:fldCharType="end"/>
      </w:r>
      <w:bookmarkEnd w:id="434"/>
      <w:r>
        <w:t xml:space="preserve"> </w:t>
      </w:r>
      <w:r w:rsidRPr="001B10E6">
        <w:t>Time 1 and Time 2 bivariate Pearson’s correlations between all of the research variables and the demographic variable, role, for the matched sample (N=45)</w:t>
      </w:r>
      <w:bookmarkEnd w:id="435"/>
    </w:p>
    <w:p w14:paraId="0481E741" w14:textId="77777777" w:rsidR="00842587" w:rsidRDefault="00842587" w:rsidP="005852AD">
      <w:pPr>
        <w:pStyle w:val="Figurestyle"/>
      </w:pPr>
    </w:p>
    <w:tbl>
      <w:tblPr>
        <w:tblW w:w="14169" w:type="dxa"/>
        <w:tblInd w:w="-5" w:type="dxa"/>
        <w:tblBorders>
          <w:top w:val="single" w:sz="4" w:space="0" w:color="auto"/>
          <w:bottom w:val="single" w:sz="4" w:space="0" w:color="auto"/>
        </w:tblBorders>
        <w:tblLook w:val="04A0" w:firstRow="1" w:lastRow="0" w:firstColumn="1" w:lastColumn="0" w:noHBand="0" w:noVBand="1"/>
      </w:tblPr>
      <w:tblGrid>
        <w:gridCol w:w="628"/>
        <w:gridCol w:w="2240"/>
        <w:gridCol w:w="1011"/>
        <w:gridCol w:w="1014"/>
        <w:gridCol w:w="1014"/>
        <w:gridCol w:w="1014"/>
        <w:gridCol w:w="906"/>
        <w:gridCol w:w="906"/>
        <w:gridCol w:w="906"/>
        <w:gridCol w:w="906"/>
        <w:gridCol w:w="906"/>
        <w:gridCol w:w="906"/>
        <w:gridCol w:w="906"/>
        <w:gridCol w:w="906"/>
      </w:tblGrid>
      <w:tr w:rsidR="00E6060C" w:rsidRPr="00E6060C" w14:paraId="0183B094" w14:textId="77777777" w:rsidTr="00E6060C">
        <w:trPr>
          <w:trHeight w:val="431"/>
        </w:trPr>
        <w:tc>
          <w:tcPr>
            <w:tcW w:w="628" w:type="dxa"/>
            <w:tcBorders>
              <w:top w:val="single" w:sz="4" w:space="0" w:color="auto"/>
              <w:bottom w:val="single" w:sz="4" w:space="0" w:color="auto"/>
            </w:tcBorders>
            <w:shd w:val="clear" w:color="auto" w:fill="auto"/>
            <w:noWrap/>
            <w:vAlign w:val="center"/>
            <w:hideMark/>
          </w:tcPr>
          <w:p w14:paraId="78B84C3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2240" w:type="dxa"/>
            <w:tcBorders>
              <w:top w:val="single" w:sz="4" w:space="0" w:color="auto"/>
              <w:bottom w:val="single" w:sz="4" w:space="0" w:color="auto"/>
            </w:tcBorders>
            <w:shd w:val="clear" w:color="auto" w:fill="auto"/>
            <w:noWrap/>
            <w:vAlign w:val="center"/>
            <w:hideMark/>
          </w:tcPr>
          <w:p w14:paraId="51518F22"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p>
        </w:tc>
        <w:tc>
          <w:tcPr>
            <w:tcW w:w="1011" w:type="dxa"/>
            <w:tcBorders>
              <w:top w:val="single" w:sz="4" w:space="0" w:color="auto"/>
              <w:bottom w:val="single" w:sz="4" w:space="0" w:color="auto"/>
            </w:tcBorders>
            <w:shd w:val="clear" w:color="auto" w:fill="auto"/>
            <w:noWrap/>
            <w:vAlign w:val="center"/>
            <w:hideMark/>
          </w:tcPr>
          <w:p w14:paraId="40ECF693"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w:t>
            </w:r>
          </w:p>
        </w:tc>
        <w:tc>
          <w:tcPr>
            <w:tcW w:w="1014" w:type="dxa"/>
            <w:tcBorders>
              <w:top w:val="single" w:sz="4" w:space="0" w:color="auto"/>
              <w:bottom w:val="single" w:sz="4" w:space="0" w:color="auto"/>
            </w:tcBorders>
            <w:shd w:val="clear" w:color="auto" w:fill="auto"/>
            <w:noWrap/>
            <w:vAlign w:val="center"/>
            <w:hideMark/>
          </w:tcPr>
          <w:p w14:paraId="5DBC3C78"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w:t>
            </w:r>
          </w:p>
        </w:tc>
        <w:tc>
          <w:tcPr>
            <w:tcW w:w="1014" w:type="dxa"/>
            <w:tcBorders>
              <w:top w:val="single" w:sz="4" w:space="0" w:color="auto"/>
              <w:bottom w:val="single" w:sz="4" w:space="0" w:color="auto"/>
            </w:tcBorders>
            <w:shd w:val="clear" w:color="auto" w:fill="auto"/>
            <w:noWrap/>
            <w:vAlign w:val="center"/>
            <w:hideMark/>
          </w:tcPr>
          <w:p w14:paraId="1968A3FC"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3</w:t>
            </w:r>
          </w:p>
        </w:tc>
        <w:tc>
          <w:tcPr>
            <w:tcW w:w="1014" w:type="dxa"/>
            <w:tcBorders>
              <w:top w:val="single" w:sz="4" w:space="0" w:color="auto"/>
              <w:bottom w:val="single" w:sz="4" w:space="0" w:color="auto"/>
            </w:tcBorders>
            <w:shd w:val="clear" w:color="auto" w:fill="auto"/>
            <w:noWrap/>
            <w:vAlign w:val="center"/>
            <w:hideMark/>
          </w:tcPr>
          <w:p w14:paraId="5E67AC99"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4</w:t>
            </w:r>
          </w:p>
        </w:tc>
        <w:tc>
          <w:tcPr>
            <w:tcW w:w="906" w:type="dxa"/>
            <w:tcBorders>
              <w:top w:val="single" w:sz="4" w:space="0" w:color="auto"/>
              <w:bottom w:val="single" w:sz="4" w:space="0" w:color="auto"/>
            </w:tcBorders>
            <w:shd w:val="clear" w:color="auto" w:fill="auto"/>
            <w:noWrap/>
            <w:vAlign w:val="center"/>
            <w:hideMark/>
          </w:tcPr>
          <w:p w14:paraId="4A55504F"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w:t>
            </w:r>
          </w:p>
        </w:tc>
        <w:tc>
          <w:tcPr>
            <w:tcW w:w="906" w:type="dxa"/>
            <w:tcBorders>
              <w:top w:val="single" w:sz="4" w:space="0" w:color="auto"/>
              <w:bottom w:val="single" w:sz="4" w:space="0" w:color="auto"/>
            </w:tcBorders>
            <w:shd w:val="clear" w:color="auto" w:fill="auto"/>
            <w:noWrap/>
            <w:vAlign w:val="center"/>
            <w:hideMark/>
          </w:tcPr>
          <w:p w14:paraId="45F6C1A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6</w:t>
            </w:r>
          </w:p>
        </w:tc>
        <w:tc>
          <w:tcPr>
            <w:tcW w:w="906" w:type="dxa"/>
            <w:tcBorders>
              <w:top w:val="single" w:sz="4" w:space="0" w:color="auto"/>
              <w:bottom w:val="single" w:sz="4" w:space="0" w:color="auto"/>
            </w:tcBorders>
            <w:shd w:val="clear" w:color="auto" w:fill="auto"/>
            <w:noWrap/>
            <w:vAlign w:val="center"/>
            <w:hideMark/>
          </w:tcPr>
          <w:p w14:paraId="26705DDE"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w:t>
            </w:r>
          </w:p>
        </w:tc>
        <w:tc>
          <w:tcPr>
            <w:tcW w:w="906" w:type="dxa"/>
            <w:tcBorders>
              <w:top w:val="single" w:sz="4" w:space="0" w:color="auto"/>
              <w:bottom w:val="single" w:sz="4" w:space="0" w:color="auto"/>
            </w:tcBorders>
            <w:shd w:val="clear" w:color="auto" w:fill="auto"/>
            <w:noWrap/>
            <w:vAlign w:val="center"/>
          </w:tcPr>
          <w:p w14:paraId="3FCDCF9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8</w:t>
            </w:r>
          </w:p>
        </w:tc>
        <w:tc>
          <w:tcPr>
            <w:tcW w:w="906" w:type="dxa"/>
            <w:tcBorders>
              <w:top w:val="single" w:sz="4" w:space="0" w:color="auto"/>
              <w:bottom w:val="single" w:sz="4" w:space="0" w:color="auto"/>
            </w:tcBorders>
            <w:shd w:val="clear" w:color="auto" w:fill="auto"/>
            <w:noWrap/>
            <w:vAlign w:val="center"/>
          </w:tcPr>
          <w:p w14:paraId="55A1815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9</w:t>
            </w:r>
          </w:p>
        </w:tc>
        <w:tc>
          <w:tcPr>
            <w:tcW w:w="906" w:type="dxa"/>
            <w:tcBorders>
              <w:top w:val="single" w:sz="4" w:space="0" w:color="auto"/>
              <w:bottom w:val="single" w:sz="4" w:space="0" w:color="auto"/>
            </w:tcBorders>
            <w:shd w:val="clear" w:color="auto" w:fill="auto"/>
            <w:noWrap/>
            <w:vAlign w:val="center"/>
          </w:tcPr>
          <w:p w14:paraId="2FEBA3E6"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10</w:t>
            </w:r>
          </w:p>
        </w:tc>
        <w:tc>
          <w:tcPr>
            <w:tcW w:w="906" w:type="dxa"/>
            <w:tcBorders>
              <w:top w:val="single" w:sz="4" w:space="0" w:color="auto"/>
              <w:bottom w:val="single" w:sz="4" w:space="0" w:color="auto"/>
            </w:tcBorders>
            <w:shd w:val="clear" w:color="auto" w:fill="auto"/>
            <w:noWrap/>
            <w:vAlign w:val="center"/>
          </w:tcPr>
          <w:p w14:paraId="7DFB785B"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11</w:t>
            </w:r>
          </w:p>
        </w:tc>
        <w:tc>
          <w:tcPr>
            <w:tcW w:w="906" w:type="dxa"/>
            <w:tcBorders>
              <w:top w:val="single" w:sz="4" w:space="0" w:color="auto"/>
              <w:bottom w:val="single" w:sz="4" w:space="0" w:color="auto"/>
            </w:tcBorders>
            <w:shd w:val="clear" w:color="auto" w:fill="auto"/>
            <w:noWrap/>
            <w:vAlign w:val="center"/>
          </w:tcPr>
          <w:p w14:paraId="3345380A" w14:textId="77777777" w:rsidR="00E6060C" w:rsidRPr="00E6060C" w:rsidRDefault="00E6060C" w:rsidP="00E6060C">
            <w:pPr>
              <w:spacing w:line="240" w:lineRule="auto"/>
              <w:jc w:val="center"/>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12</w:t>
            </w:r>
          </w:p>
        </w:tc>
      </w:tr>
      <w:tr w:rsidR="00E6060C" w:rsidRPr="00E6060C" w14:paraId="15B029FD" w14:textId="77777777" w:rsidTr="00E6060C">
        <w:trPr>
          <w:trHeight w:val="431"/>
        </w:trPr>
        <w:tc>
          <w:tcPr>
            <w:tcW w:w="628" w:type="dxa"/>
            <w:tcBorders>
              <w:top w:val="single" w:sz="4" w:space="0" w:color="auto"/>
              <w:bottom w:val="nil"/>
            </w:tcBorders>
            <w:shd w:val="clear" w:color="auto" w:fill="auto"/>
            <w:noWrap/>
            <w:vAlign w:val="center"/>
          </w:tcPr>
          <w:p w14:paraId="3419C22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w:t>
            </w:r>
          </w:p>
        </w:tc>
        <w:tc>
          <w:tcPr>
            <w:tcW w:w="2240" w:type="dxa"/>
            <w:tcBorders>
              <w:top w:val="single" w:sz="4" w:space="0" w:color="auto"/>
              <w:bottom w:val="nil"/>
            </w:tcBorders>
            <w:shd w:val="clear" w:color="auto" w:fill="auto"/>
            <w:vAlign w:val="center"/>
            <w:hideMark/>
          </w:tcPr>
          <w:p w14:paraId="5B3B4331"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Role</w:t>
            </w:r>
          </w:p>
        </w:tc>
        <w:tc>
          <w:tcPr>
            <w:tcW w:w="1011" w:type="dxa"/>
            <w:tcBorders>
              <w:top w:val="single" w:sz="4" w:space="0" w:color="auto"/>
              <w:left w:val="nil"/>
              <w:bottom w:val="nil"/>
              <w:right w:val="nil"/>
            </w:tcBorders>
            <w:shd w:val="clear" w:color="auto" w:fill="auto"/>
            <w:noWrap/>
            <w:vAlign w:val="center"/>
          </w:tcPr>
          <w:p w14:paraId="0B8D8409" w14:textId="595F643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.00</w:t>
            </w:r>
          </w:p>
        </w:tc>
        <w:tc>
          <w:tcPr>
            <w:tcW w:w="1014" w:type="dxa"/>
            <w:tcBorders>
              <w:top w:val="single" w:sz="4" w:space="0" w:color="auto"/>
              <w:left w:val="nil"/>
              <w:bottom w:val="nil"/>
              <w:right w:val="nil"/>
            </w:tcBorders>
            <w:shd w:val="clear" w:color="auto" w:fill="D9D9D9"/>
            <w:noWrap/>
            <w:vAlign w:val="center"/>
          </w:tcPr>
          <w:p w14:paraId="4F0F052A" w14:textId="7A5A6CE3"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6</w:t>
            </w:r>
          </w:p>
        </w:tc>
        <w:tc>
          <w:tcPr>
            <w:tcW w:w="1014" w:type="dxa"/>
            <w:tcBorders>
              <w:top w:val="single" w:sz="4" w:space="0" w:color="auto"/>
              <w:left w:val="nil"/>
              <w:bottom w:val="nil"/>
              <w:right w:val="nil"/>
            </w:tcBorders>
            <w:shd w:val="clear" w:color="auto" w:fill="D9D9D9"/>
            <w:noWrap/>
            <w:vAlign w:val="center"/>
          </w:tcPr>
          <w:p w14:paraId="0E46096F" w14:textId="7A1027C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1</w:t>
            </w:r>
          </w:p>
        </w:tc>
        <w:tc>
          <w:tcPr>
            <w:tcW w:w="1014" w:type="dxa"/>
            <w:tcBorders>
              <w:top w:val="single" w:sz="4" w:space="0" w:color="auto"/>
              <w:left w:val="nil"/>
              <w:bottom w:val="nil"/>
              <w:right w:val="nil"/>
            </w:tcBorders>
            <w:shd w:val="clear" w:color="auto" w:fill="D9D9D9"/>
            <w:noWrap/>
            <w:vAlign w:val="center"/>
          </w:tcPr>
          <w:p w14:paraId="2FE48D64" w14:textId="58D36858"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.09</w:t>
            </w:r>
          </w:p>
        </w:tc>
        <w:tc>
          <w:tcPr>
            <w:tcW w:w="906" w:type="dxa"/>
            <w:tcBorders>
              <w:top w:val="single" w:sz="4" w:space="0" w:color="auto"/>
              <w:left w:val="nil"/>
              <w:bottom w:val="nil"/>
              <w:right w:val="nil"/>
            </w:tcBorders>
            <w:shd w:val="clear" w:color="auto" w:fill="D9D9D9"/>
            <w:noWrap/>
            <w:vAlign w:val="center"/>
          </w:tcPr>
          <w:p w14:paraId="6E10F34B" w14:textId="4156CA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9</w:t>
            </w:r>
          </w:p>
        </w:tc>
        <w:tc>
          <w:tcPr>
            <w:tcW w:w="906" w:type="dxa"/>
            <w:tcBorders>
              <w:top w:val="single" w:sz="4" w:space="0" w:color="auto"/>
              <w:left w:val="nil"/>
              <w:bottom w:val="nil"/>
              <w:right w:val="nil"/>
            </w:tcBorders>
            <w:shd w:val="clear" w:color="auto" w:fill="D9D9D9"/>
            <w:noWrap/>
            <w:vAlign w:val="center"/>
          </w:tcPr>
          <w:p w14:paraId="1B526668" w14:textId="1961921E"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.00</w:t>
            </w:r>
          </w:p>
        </w:tc>
        <w:tc>
          <w:tcPr>
            <w:tcW w:w="906" w:type="dxa"/>
            <w:tcBorders>
              <w:top w:val="single" w:sz="4" w:space="0" w:color="auto"/>
              <w:left w:val="nil"/>
              <w:bottom w:val="nil"/>
              <w:right w:val="nil"/>
            </w:tcBorders>
            <w:shd w:val="clear" w:color="auto" w:fill="D9D9D9"/>
            <w:noWrap/>
            <w:vAlign w:val="center"/>
          </w:tcPr>
          <w:p w14:paraId="432F5575" w14:textId="77777777"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.08</w:t>
            </w:r>
          </w:p>
        </w:tc>
        <w:tc>
          <w:tcPr>
            <w:tcW w:w="906" w:type="dxa"/>
            <w:tcBorders>
              <w:top w:val="single" w:sz="4" w:space="0" w:color="auto"/>
              <w:left w:val="nil"/>
              <w:bottom w:val="nil"/>
              <w:right w:val="nil"/>
            </w:tcBorders>
            <w:shd w:val="clear" w:color="auto" w:fill="D9D9D9"/>
            <w:noWrap/>
            <w:vAlign w:val="center"/>
          </w:tcPr>
          <w:p w14:paraId="09EE53C1" w14:textId="4F2F58C5"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7</w:t>
            </w:r>
          </w:p>
        </w:tc>
        <w:tc>
          <w:tcPr>
            <w:tcW w:w="906" w:type="dxa"/>
            <w:tcBorders>
              <w:top w:val="single" w:sz="4" w:space="0" w:color="auto"/>
              <w:left w:val="nil"/>
              <w:bottom w:val="nil"/>
              <w:right w:val="nil"/>
            </w:tcBorders>
            <w:shd w:val="clear" w:color="auto" w:fill="D9D9D9"/>
            <w:noWrap/>
            <w:vAlign w:val="center"/>
          </w:tcPr>
          <w:p w14:paraId="170FDC52" w14:textId="666D6F88"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-.18</w:t>
            </w:r>
          </w:p>
        </w:tc>
        <w:tc>
          <w:tcPr>
            <w:tcW w:w="906" w:type="dxa"/>
            <w:tcBorders>
              <w:top w:val="single" w:sz="4" w:space="0" w:color="auto"/>
              <w:left w:val="nil"/>
              <w:bottom w:val="nil"/>
              <w:right w:val="nil"/>
            </w:tcBorders>
            <w:shd w:val="clear" w:color="auto" w:fill="D9D9D9"/>
            <w:noWrap/>
            <w:vAlign w:val="center"/>
          </w:tcPr>
          <w:p w14:paraId="5683FB06" w14:textId="0F5C98D0"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2</w:t>
            </w:r>
          </w:p>
        </w:tc>
        <w:tc>
          <w:tcPr>
            <w:tcW w:w="906" w:type="dxa"/>
            <w:tcBorders>
              <w:top w:val="single" w:sz="4" w:space="0" w:color="auto"/>
              <w:left w:val="nil"/>
              <w:bottom w:val="nil"/>
              <w:right w:val="nil"/>
            </w:tcBorders>
            <w:shd w:val="clear" w:color="auto" w:fill="D9D9D9"/>
            <w:noWrap/>
            <w:vAlign w:val="center"/>
          </w:tcPr>
          <w:p w14:paraId="2041E8BA" w14:textId="6E5F2652"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w:t>
            </w:r>
            <w:r w:rsidR="00582EE6">
              <w:rPr>
                <w:rFonts w:ascii="Calibri" w:eastAsia="Calibri" w:hAnsi="Calibri" w:cs="Times New Roman"/>
                <w:color w:val="000000"/>
              </w:rPr>
              <w:t>23</w:t>
            </w:r>
          </w:p>
        </w:tc>
        <w:tc>
          <w:tcPr>
            <w:tcW w:w="906" w:type="dxa"/>
            <w:tcBorders>
              <w:top w:val="single" w:sz="4" w:space="0" w:color="auto"/>
              <w:left w:val="nil"/>
              <w:bottom w:val="nil"/>
              <w:right w:val="nil"/>
            </w:tcBorders>
            <w:shd w:val="clear" w:color="auto" w:fill="D9D9D9"/>
            <w:noWrap/>
            <w:vAlign w:val="center"/>
          </w:tcPr>
          <w:p w14:paraId="1B89EF5B" w14:textId="534E11EC"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8</w:t>
            </w:r>
          </w:p>
        </w:tc>
      </w:tr>
      <w:tr w:rsidR="00E6060C" w:rsidRPr="00E6060C" w14:paraId="47F163B9" w14:textId="77777777" w:rsidTr="00E6060C">
        <w:trPr>
          <w:trHeight w:val="431"/>
        </w:trPr>
        <w:tc>
          <w:tcPr>
            <w:tcW w:w="628" w:type="dxa"/>
            <w:tcBorders>
              <w:top w:val="nil"/>
            </w:tcBorders>
            <w:shd w:val="clear" w:color="auto" w:fill="auto"/>
            <w:noWrap/>
            <w:vAlign w:val="center"/>
          </w:tcPr>
          <w:p w14:paraId="22477DA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2</w:t>
            </w:r>
          </w:p>
        </w:tc>
        <w:tc>
          <w:tcPr>
            <w:tcW w:w="2240" w:type="dxa"/>
            <w:tcBorders>
              <w:top w:val="nil"/>
            </w:tcBorders>
            <w:shd w:val="clear" w:color="auto" w:fill="auto"/>
            <w:vAlign w:val="center"/>
            <w:hideMark/>
          </w:tcPr>
          <w:p w14:paraId="2BACC9C9"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Colleague support</w:t>
            </w:r>
          </w:p>
        </w:tc>
        <w:tc>
          <w:tcPr>
            <w:tcW w:w="1011" w:type="dxa"/>
            <w:tcBorders>
              <w:top w:val="nil"/>
              <w:left w:val="nil"/>
              <w:bottom w:val="nil"/>
              <w:right w:val="nil"/>
            </w:tcBorders>
            <w:shd w:val="clear" w:color="auto" w:fill="auto"/>
            <w:noWrap/>
            <w:vAlign w:val="center"/>
          </w:tcPr>
          <w:p w14:paraId="1EC5F47F" w14:textId="75126791"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30</w:t>
            </w:r>
          </w:p>
        </w:tc>
        <w:tc>
          <w:tcPr>
            <w:tcW w:w="1014" w:type="dxa"/>
            <w:tcBorders>
              <w:top w:val="nil"/>
              <w:left w:val="nil"/>
              <w:bottom w:val="nil"/>
              <w:right w:val="nil"/>
            </w:tcBorders>
            <w:shd w:val="clear" w:color="auto" w:fill="auto"/>
            <w:noWrap/>
            <w:vAlign w:val="center"/>
          </w:tcPr>
          <w:p w14:paraId="2B4162C3" w14:textId="3EE54A36"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.00</w:t>
            </w:r>
          </w:p>
        </w:tc>
        <w:tc>
          <w:tcPr>
            <w:tcW w:w="1014" w:type="dxa"/>
            <w:tcBorders>
              <w:top w:val="nil"/>
              <w:left w:val="nil"/>
              <w:bottom w:val="nil"/>
              <w:right w:val="nil"/>
            </w:tcBorders>
            <w:shd w:val="clear" w:color="auto" w:fill="D9D9D9"/>
            <w:noWrap/>
            <w:vAlign w:val="center"/>
          </w:tcPr>
          <w:p w14:paraId="06769647" w14:textId="5E1C27E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1014" w:type="dxa"/>
            <w:tcBorders>
              <w:top w:val="nil"/>
              <w:left w:val="nil"/>
              <w:bottom w:val="nil"/>
              <w:right w:val="nil"/>
            </w:tcBorders>
            <w:shd w:val="clear" w:color="auto" w:fill="D9D9D9"/>
            <w:noWrap/>
            <w:vAlign w:val="center"/>
          </w:tcPr>
          <w:p w14:paraId="0E6FE78E" w14:textId="7933971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5</w:t>
            </w:r>
          </w:p>
        </w:tc>
        <w:tc>
          <w:tcPr>
            <w:tcW w:w="906" w:type="dxa"/>
            <w:tcBorders>
              <w:top w:val="nil"/>
              <w:left w:val="nil"/>
              <w:bottom w:val="nil"/>
              <w:right w:val="nil"/>
            </w:tcBorders>
            <w:shd w:val="clear" w:color="auto" w:fill="D9D9D9"/>
            <w:noWrap/>
            <w:vAlign w:val="center"/>
          </w:tcPr>
          <w:p w14:paraId="7612EA2E" w14:textId="4B375253"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.22</w:t>
            </w:r>
          </w:p>
        </w:tc>
        <w:tc>
          <w:tcPr>
            <w:tcW w:w="906" w:type="dxa"/>
            <w:tcBorders>
              <w:top w:val="nil"/>
              <w:left w:val="nil"/>
              <w:bottom w:val="nil"/>
              <w:right w:val="nil"/>
            </w:tcBorders>
            <w:shd w:val="clear" w:color="auto" w:fill="D9D9D9"/>
            <w:noWrap/>
            <w:vAlign w:val="center"/>
          </w:tcPr>
          <w:p w14:paraId="4EAEDE5F" w14:textId="245E0A6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9</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2595BF80" w14:textId="46C1D98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1</w:t>
            </w:r>
          </w:p>
        </w:tc>
        <w:tc>
          <w:tcPr>
            <w:tcW w:w="906" w:type="dxa"/>
            <w:tcBorders>
              <w:top w:val="nil"/>
              <w:left w:val="nil"/>
              <w:bottom w:val="nil"/>
              <w:right w:val="nil"/>
            </w:tcBorders>
            <w:shd w:val="clear" w:color="auto" w:fill="D9D9D9"/>
            <w:noWrap/>
            <w:vAlign w:val="center"/>
          </w:tcPr>
          <w:p w14:paraId="7CE054EF" w14:textId="15C1D34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.04</w:t>
            </w:r>
          </w:p>
        </w:tc>
        <w:tc>
          <w:tcPr>
            <w:tcW w:w="906" w:type="dxa"/>
            <w:tcBorders>
              <w:top w:val="nil"/>
              <w:left w:val="nil"/>
              <w:bottom w:val="nil"/>
              <w:right w:val="nil"/>
            </w:tcBorders>
            <w:shd w:val="clear" w:color="auto" w:fill="D9D9D9"/>
            <w:noWrap/>
            <w:vAlign w:val="center"/>
          </w:tcPr>
          <w:p w14:paraId="452740F2" w14:textId="47D3F59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7</w:t>
            </w:r>
          </w:p>
        </w:tc>
        <w:tc>
          <w:tcPr>
            <w:tcW w:w="906" w:type="dxa"/>
            <w:tcBorders>
              <w:top w:val="nil"/>
              <w:left w:val="nil"/>
              <w:bottom w:val="nil"/>
              <w:right w:val="nil"/>
            </w:tcBorders>
            <w:shd w:val="clear" w:color="auto" w:fill="D9D9D9"/>
            <w:noWrap/>
            <w:vAlign w:val="center"/>
          </w:tcPr>
          <w:p w14:paraId="0DF361F4" w14:textId="298223D6" w:rsidR="00E6060C" w:rsidRPr="00E6060C" w:rsidRDefault="00E6060C" w:rsidP="008E423B">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.10</w:t>
            </w:r>
          </w:p>
        </w:tc>
        <w:tc>
          <w:tcPr>
            <w:tcW w:w="906" w:type="dxa"/>
            <w:tcBorders>
              <w:top w:val="nil"/>
              <w:left w:val="nil"/>
              <w:bottom w:val="nil"/>
              <w:right w:val="nil"/>
            </w:tcBorders>
            <w:shd w:val="clear" w:color="auto" w:fill="D9D9D9"/>
            <w:noWrap/>
            <w:vAlign w:val="center"/>
          </w:tcPr>
          <w:p w14:paraId="4D017F8B" w14:textId="00A58B22" w:rsidR="00E6060C" w:rsidRPr="00E6060C" w:rsidRDefault="00E6060C" w:rsidP="008E423B">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w:t>
            </w:r>
            <w:r w:rsidR="00582EE6">
              <w:rPr>
                <w:rFonts w:ascii="Calibri" w:eastAsia="Calibri" w:hAnsi="Calibri" w:cs="Times New Roman"/>
                <w:color w:val="000000"/>
              </w:rPr>
              <w:t>20</w:t>
            </w:r>
          </w:p>
        </w:tc>
        <w:tc>
          <w:tcPr>
            <w:tcW w:w="906" w:type="dxa"/>
            <w:tcBorders>
              <w:top w:val="nil"/>
              <w:left w:val="nil"/>
              <w:bottom w:val="nil"/>
              <w:right w:val="nil"/>
            </w:tcBorders>
            <w:shd w:val="clear" w:color="auto" w:fill="D9D9D9"/>
            <w:noWrap/>
            <w:vAlign w:val="center"/>
          </w:tcPr>
          <w:p w14:paraId="4D86D049" w14:textId="69D74847" w:rsidR="00E6060C" w:rsidRPr="00E6060C" w:rsidRDefault="00E6060C" w:rsidP="008E423B">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4</w:t>
            </w:r>
          </w:p>
        </w:tc>
      </w:tr>
      <w:tr w:rsidR="00E6060C" w:rsidRPr="00E6060C" w14:paraId="642AC6DC" w14:textId="77777777" w:rsidTr="00E6060C">
        <w:trPr>
          <w:trHeight w:val="431"/>
        </w:trPr>
        <w:tc>
          <w:tcPr>
            <w:tcW w:w="628" w:type="dxa"/>
            <w:shd w:val="clear" w:color="auto" w:fill="auto"/>
            <w:noWrap/>
            <w:vAlign w:val="center"/>
          </w:tcPr>
          <w:p w14:paraId="128B9CE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3</w:t>
            </w:r>
          </w:p>
        </w:tc>
        <w:tc>
          <w:tcPr>
            <w:tcW w:w="2240" w:type="dxa"/>
            <w:shd w:val="clear" w:color="auto" w:fill="auto"/>
            <w:vAlign w:val="center"/>
            <w:hideMark/>
          </w:tcPr>
          <w:p w14:paraId="11101F72"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Influence in decision-making</w:t>
            </w:r>
          </w:p>
        </w:tc>
        <w:tc>
          <w:tcPr>
            <w:tcW w:w="1011" w:type="dxa"/>
            <w:tcBorders>
              <w:top w:val="nil"/>
              <w:left w:val="nil"/>
              <w:bottom w:val="nil"/>
              <w:right w:val="nil"/>
            </w:tcBorders>
            <w:shd w:val="clear" w:color="auto" w:fill="auto"/>
            <w:noWrap/>
            <w:vAlign w:val="center"/>
          </w:tcPr>
          <w:p w14:paraId="329308BE" w14:textId="02FCBD1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-.28</w:t>
            </w:r>
          </w:p>
        </w:tc>
        <w:tc>
          <w:tcPr>
            <w:tcW w:w="1014" w:type="dxa"/>
            <w:tcBorders>
              <w:top w:val="nil"/>
              <w:left w:val="nil"/>
              <w:bottom w:val="nil"/>
              <w:right w:val="nil"/>
            </w:tcBorders>
            <w:shd w:val="clear" w:color="auto" w:fill="auto"/>
            <w:noWrap/>
            <w:vAlign w:val="center"/>
          </w:tcPr>
          <w:p w14:paraId="4DC340EE" w14:textId="34EECC8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4</w:t>
            </w:r>
          </w:p>
        </w:tc>
        <w:tc>
          <w:tcPr>
            <w:tcW w:w="1014" w:type="dxa"/>
            <w:tcBorders>
              <w:top w:val="nil"/>
              <w:left w:val="nil"/>
              <w:bottom w:val="nil"/>
              <w:right w:val="nil"/>
            </w:tcBorders>
            <w:shd w:val="clear" w:color="auto" w:fill="auto"/>
            <w:noWrap/>
            <w:vAlign w:val="center"/>
          </w:tcPr>
          <w:p w14:paraId="569ED77B" w14:textId="48287710"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1014" w:type="dxa"/>
            <w:tcBorders>
              <w:top w:val="nil"/>
              <w:left w:val="nil"/>
              <w:bottom w:val="nil"/>
              <w:right w:val="nil"/>
            </w:tcBorders>
            <w:shd w:val="clear" w:color="auto" w:fill="D9D9D9"/>
            <w:noWrap/>
            <w:vAlign w:val="center"/>
          </w:tcPr>
          <w:p w14:paraId="26BD6E8A" w14:textId="536C778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.54**</w:t>
            </w:r>
          </w:p>
        </w:tc>
        <w:tc>
          <w:tcPr>
            <w:tcW w:w="906" w:type="dxa"/>
            <w:tcBorders>
              <w:top w:val="nil"/>
              <w:left w:val="nil"/>
              <w:bottom w:val="nil"/>
              <w:right w:val="nil"/>
            </w:tcBorders>
            <w:shd w:val="clear" w:color="auto" w:fill="D9D9D9"/>
            <w:noWrap/>
            <w:vAlign w:val="center"/>
          </w:tcPr>
          <w:p w14:paraId="4C466A57" w14:textId="03316FC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w:t>
            </w:r>
          </w:p>
        </w:tc>
        <w:tc>
          <w:tcPr>
            <w:tcW w:w="906" w:type="dxa"/>
            <w:tcBorders>
              <w:top w:val="nil"/>
              <w:left w:val="nil"/>
              <w:bottom w:val="nil"/>
              <w:right w:val="nil"/>
            </w:tcBorders>
            <w:shd w:val="clear" w:color="auto" w:fill="D9D9D9"/>
            <w:noWrap/>
            <w:vAlign w:val="center"/>
          </w:tcPr>
          <w:p w14:paraId="446A6D03" w14:textId="1A99C59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4</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41E4EB06" w14:textId="183DF05A"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5</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06192458" w14:textId="1B3A638C"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2</w:t>
            </w:r>
          </w:p>
        </w:tc>
        <w:tc>
          <w:tcPr>
            <w:tcW w:w="906" w:type="dxa"/>
            <w:tcBorders>
              <w:top w:val="nil"/>
              <w:left w:val="nil"/>
              <w:bottom w:val="nil"/>
              <w:right w:val="nil"/>
            </w:tcBorders>
            <w:shd w:val="clear" w:color="auto" w:fill="D9D9D9"/>
            <w:noWrap/>
            <w:vAlign w:val="center"/>
          </w:tcPr>
          <w:p w14:paraId="0D93EB4F" w14:textId="2A09A3D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582EE6">
              <w:rPr>
                <w:rFonts w:ascii="Calibri" w:eastAsia="Calibri" w:hAnsi="Calibri" w:cs="Times New Roman"/>
                <w:color w:val="000000"/>
              </w:rPr>
              <w:t>4</w:t>
            </w:r>
          </w:p>
        </w:tc>
        <w:tc>
          <w:tcPr>
            <w:tcW w:w="906" w:type="dxa"/>
            <w:tcBorders>
              <w:top w:val="nil"/>
              <w:left w:val="nil"/>
              <w:bottom w:val="nil"/>
              <w:right w:val="nil"/>
            </w:tcBorders>
            <w:shd w:val="clear" w:color="auto" w:fill="D9D9D9"/>
            <w:noWrap/>
            <w:vAlign w:val="center"/>
          </w:tcPr>
          <w:p w14:paraId="7EB6F708" w14:textId="4EDF288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906" w:type="dxa"/>
            <w:tcBorders>
              <w:top w:val="nil"/>
              <w:left w:val="nil"/>
              <w:bottom w:val="nil"/>
              <w:right w:val="nil"/>
            </w:tcBorders>
            <w:shd w:val="clear" w:color="auto" w:fill="D9D9D9"/>
            <w:noWrap/>
            <w:vAlign w:val="center"/>
          </w:tcPr>
          <w:p w14:paraId="4C2FFD18" w14:textId="62219595" w:rsidR="00E6060C" w:rsidRPr="00E6060C" w:rsidRDefault="00E6060C" w:rsidP="008E423B">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6</w:t>
            </w:r>
          </w:p>
        </w:tc>
        <w:tc>
          <w:tcPr>
            <w:tcW w:w="906" w:type="dxa"/>
            <w:tcBorders>
              <w:top w:val="nil"/>
              <w:left w:val="nil"/>
              <w:bottom w:val="nil"/>
              <w:right w:val="nil"/>
            </w:tcBorders>
            <w:shd w:val="clear" w:color="auto" w:fill="D9D9D9"/>
            <w:noWrap/>
            <w:vAlign w:val="center"/>
          </w:tcPr>
          <w:p w14:paraId="680D600D" w14:textId="77777777" w:rsidR="00E6060C" w:rsidRPr="00E6060C" w:rsidRDefault="00E6060C" w:rsidP="00E6060C">
            <w:pPr>
              <w:spacing w:line="240" w:lineRule="auto"/>
              <w:jc w:val="center"/>
              <w:rPr>
                <w:rFonts w:ascii="Times New Roman" w:eastAsia="Times New Roman" w:hAnsi="Times New Roman" w:cs="Times New Roman"/>
                <w:lang w:eastAsia="en-GB"/>
              </w:rPr>
            </w:pPr>
            <w:r w:rsidRPr="00E6060C">
              <w:rPr>
                <w:rFonts w:ascii="Calibri" w:eastAsia="Calibri" w:hAnsi="Calibri" w:cs="Times New Roman"/>
                <w:color w:val="000000"/>
              </w:rPr>
              <w:t>.29</w:t>
            </w:r>
          </w:p>
        </w:tc>
      </w:tr>
      <w:tr w:rsidR="00E6060C" w:rsidRPr="00E6060C" w14:paraId="21C3FB3A" w14:textId="77777777" w:rsidTr="00E6060C">
        <w:trPr>
          <w:trHeight w:val="431"/>
        </w:trPr>
        <w:tc>
          <w:tcPr>
            <w:tcW w:w="628" w:type="dxa"/>
            <w:shd w:val="clear" w:color="auto" w:fill="auto"/>
            <w:noWrap/>
            <w:vAlign w:val="center"/>
          </w:tcPr>
          <w:p w14:paraId="581BD49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4</w:t>
            </w:r>
          </w:p>
        </w:tc>
        <w:tc>
          <w:tcPr>
            <w:tcW w:w="2240" w:type="dxa"/>
            <w:shd w:val="clear" w:color="auto" w:fill="auto"/>
            <w:vAlign w:val="center"/>
            <w:hideMark/>
          </w:tcPr>
          <w:p w14:paraId="3EB7898F" w14:textId="77777777" w:rsidR="00E6060C" w:rsidRPr="00E6060C" w:rsidRDefault="00E6060C" w:rsidP="00E6060C">
            <w:pPr>
              <w:spacing w:line="240" w:lineRule="auto"/>
              <w:rPr>
                <w:rFonts w:ascii="Calibri" w:eastAsia="Times New Roman" w:hAnsi="Calibri" w:cs="Times New Roman"/>
                <w:b/>
                <w:bCs/>
                <w:color w:val="000000"/>
                <w:vertAlign w:val="superscript"/>
                <w:lang w:eastAsia="en-GB"/>
              </w:rPr>
            </w:pPr>
            <w:r w:rsidRPr="00E6060C">
              <w:rPr>
                <w:rFonts w:ascii="Calibri" w:eastAsia="Times New Roman" w:hAnsi="Calibri" w:cs="Times New Roman"/>
                <w:b/>
                <w:bCs/>
                <w:color w:val="000000"/>
                <w:lang w:eastAsia="en-GB"/>
              </w:rPr>
              <w:t>Resources &amp; demands</w:t>
            </w:r>
          </w:p>
        </w:tc>
        <w:tc>
          <w:tcPr>
            <w:tcW w:w="1011" w:type="dxa"/>
            <w:tcBorders>
              <w:top w:val="nil"/>
              <w:left w:val="nil"/>
              <w:bottom w:val="nil"/>
              <w:right w:val="nil"/>
            </w:tcBorders>
            <w:shd w:val="clear" w:color="auto" w:fill="auto"/>
            <w:noWrap/>
            <w:vAlign w:val="center"/>
          </w:tcPr>
          <w:p w14:paraId="22251196" w14:textId="3D74623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c>
          <w:tcPr>
            <w:tcW w:w="1014" w:type="dxa"/>
            <w:tcBorders>
              <w:top w:val="nil"/>
              <w:left w:val="nil"/>
              <w:bottom w:val="nil"/>
              <w:right w:val="nil"/>
            </w:tcBorders>
            <w:shd w:val="clear" w:color="auto" w:fill="auto"/>
            <w:noWrap/>
            <w:vAlign w:val="center"/>
          </w:tcPr>
          <w:p w14:paraId="03206AC8" w14:textId="34E9108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6</w:t>
            </w:r>
          </w:p>
        </w:tc>
        <w:tc>
          <w:tcPr>
            <w:tcW w:w="1014" w:type="dxa"/>
            <w:tcBorders>
              <w:top w:val="nil"/>
              <w:left w:val="nil"/>
              <w:bottom w:val="nil"/>
              <w:right w:val="nil"/>
            </w:tcBorders>
            <w:shd w:val="clear" w:color="auto" w:fill="auto"/>
            <w:noWrap/>
            <w:vAlign w:val="center"/>
          </w:tcPr>
          <w:p w14:paraId="0DAD327B" w14:textId="6C2BF37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1014" w:type="dxa"/>
            <w:tcBorders>
              <w:top w:val="nil"/>
              <w:left w:val="nil"/>
              <w:bottom w:val="nil"/>
              <w:right w:val="nil"/>
            </w:tcBorders>
            <w:shd w:val="clear" w:color="auto" w:fill="auto"/>
            <w:noWrap/>
            <w:vAlign w:val="center"/>
          </w:tcPr>
          <w:p w14:paraId="48765886" w14:textId="6D290A8D"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7F2EF43A" w14:textId="5A86C51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5</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475C5652" w14:textId="7F433B7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5</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3C686E5E" w14:textId="514E6FEC"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39</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0D5ED92E" w14:textId="4928831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w:t>
            </w:r>
          </w:p>
        </w:tc>
        <w:tc>
          <w:tcPr>
            <w:tcW w:w="906" w:type="dxa"/>
            <w:tcBorders>
              <w:top w:val="nil"/>
              <w:left w:val="nil"/>
              <w:bottom w:val="nil"/>
              <w:right w:val="nil"/>
            </w:tcBorders>
            <w:shd w:val="clear" w:color="auto" w:fill="D9D9D9"/>
            <w:noWrap/>
            <w:vAlign w:val="center"/>
          </w:tcPr>
          <w:p w14:paraId="0ABE62B3" w14:textId="3239880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906" w:type="dxa"/>
            <w:tcBorders>
              <w:top w:val="nil"/>
              <w:left w:val="nil"/>
              <w:bottom w:val="nil"/>
              <w:right w:val="nil"/>
            </w:tcBorders>
            <w:shd w:val="clear" w:color="auto" w:fill="D9D9D9"/>
            <w:noWrap/>
            <w:vAlign w:val="center"/>
          </w:tcPr>
          <w:p w14:paraId="44DD2E37" w14:textId="64238439"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582EE6">
              <w:rPr>
                <w:rFonts w:ascii="Calibri" w:eastAsia="Calibri" w:hAnsi="Calibri" w:cs="Times New Roman"/>
                <w:color w:val="000000"/>
              </w:rPr>
              <w:t>9</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7442CEDE" w14:textId="4194743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7</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42070127" w14:textId="773A74C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30</w:t>
            </w:r>
          </w:p>
        </w:tc>
      </w:tr>
      <w:tr w:rsidR="00E6060C" w:rsidRPr="00E6060C" w14:paraId="4CFD57D7" w14:textId="77777777" w:rsidTr="00E6060C">
        <w:trPr>
          <w:trHeight w:val="431"/>
        </w:trPr>
        <w:tc>
          <w:tcPr>
            <w:tcW w:w="628" w:type="dxa"/>
            <w:shd w:val="clear" w:color="auto" w:fill="auto"/>
            <w:noWrap/>
            <w:vAlign w:val="center"/>
          </w:tcPr>
          <w:p w14:paraId="7689B38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5</w:t>
            </w:r>
          </w:p>
        </w:tc>
        <w:tc>
          <w:tcPr>
            <w:tcW w:w="2240" w:type="dxa"/>
            <w:shd w:val="clear" w:color="auto" w:fill="auto"/>
            <w:vAlign w:val="center"/>
            <w:hideMark/>
          </w:tcPr>
          <w:p w14:paraId="1BB99C5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xml:space="preserve">Autonomy </w:t>
            </w:r>
          </w:p>
        </w:tc>
        <w:tc>
          <w:tcPr>
            <w:tcW w:w="1011" w:type="dxa"/>
            <w:tcBorders>
              <w:top w:val="nil"/>
              <w:left w:val="nil"/>
              <w:bottom w:val="nil"/>
              <w:right w:val="nil"/>
            </w:tcBorders>
            <w:shd w:val="clear" w:color="auto" w:fill="auto"/>
            <w:noWrap/>
            <w:vAlign w:val="center"/>
          </w:tcPr>
          <w:p w14:paraId="3AAE612F" w14:textId="18A0107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2</w:t>
            </w:r>
          </w:p>
        </w:tc>
        <w:tc>
          <w:tcPr>
            <w:tcW w:w="1014" w:type="dxa"/>
            <w:tcBorders>
              <w:top w:val="nil"/>
              <w:left w:val="nil"/>
              <w:bottom w:val="nil"/>
              <w:right w:val="nil"/>
            </w:tcBorders>
            <w:shd w:val="clear" w:color="auto" w:fill="auto"/>
            <w:noWrap/>
            <w:vAlign w:val="center"/>
          </w:tcPr>
          <w:p w14:paraId="4ED323C9" w14:textId="4FA3F14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.52**</w:t>
            </w:r>
          </w:p>
        </w:tc>
        <w:tc>
          <w:tcPr>
            <w:tcW w:w="1014" w:type="dxa"/>
            <w:tcBorders>
              <w:top w:val="nil"/>
              <w:left w:val="nil"/>
              <w:bottom w:val="nil"/>
              <w:right w:val="nil"/>
            </w:tcBorders>
            <w:shd w:val="clear" w:color="auto" w:fill="auto"/>
            <w:noWrap/>
            <w:vAlign w:val="center"/>
          </w:tcPr>
          <w:p w14:paraId="1510BC73" w14:textId="5F6D1BE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4</w:t>
            </w:r>
            <w:r w:rsidRPr="00E6060C">
              <w:rPr>
                <w:rFonts w:ascii="Calibri" w:eastAsia="Calibri" w:hAnsi="Calibri" w:cs="Times New Roman"/>
                <w:color w:val="000000"/>
              </w:rPr>
              <w:t>**</w:t>
            </w:r>
          </w:p>
        </w:tc>
        <w:tc>
          <w:tcPr>
            <w:tcW w:w="1014" w:type="dxa"/>
            <w:tcBorders>
              <w:top w:val="nil"/>
              <w:left w:val="nil"/>
              <w:bottom w:val="nil"/>
              <w:right w:val="nil"/>
            </w:tcBorders>
            <w:shd w:val="clear" w:color="auto" w:fill="auto"/>
            <w:noWrap/>
            <w:vAlign w:val="center"/>
          </w:tcPr>
          <w:p w14:paraId="3E1A46DE" w14:textId="77D402D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6</w:t>
            </w:r>
          </w:p>
        </w:tc>
        <w:tc>
          <w:tcPr>
            <w:tcW w:w="906" w:type="dxa"/>
            <w:tcBorders>
              <w:top w:val="nil"/>
              <w:left w:val="nil"/>
              <w:bottom w:val="nil"/>
              <w:right w:val="nil"/>
            </w:tcBorders>
            <w:shd w:val="clear" w:color="auto" w:fill="auto"/>
            <w:noWrap/>
            <w:vAlign w:val="center"/>
          </w:tcPr>
          <w:p w14:paraId="111D8A3E" w14:textId="1B7F0752"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354D2CF6" w14:textId="7348944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.64**</w:t>
            </w:r>
          </w:p>
        </w:tc>
        <w:tc>
          <w:tcPr>
            <w:tcW w:w="906" w:type="dxa"/>
            <w:tcBorders>
              <w:top w:val="nil"/>
              <w:left w:val="nil"/>
              <w:bottom w:val="nil"/>
              <w:right w:val="nil"/>
            </w:tcBorders>
            <w:shd w:val="clear" w:color="auto" w:fill="D9D9D9"/>
            <w:noWrap/>
            <w:vAlign w:val="center"/>
          </w:tcPr>
          <w:p w14:paraId="6CC2BB4C" w14:textId="426C55A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.61**</w:t>
            </w:r>
          </w:p>
        </w:tc>
        <w:tc>
          <w:tcPr>
            <w:tcW w:w="906" w:type="dxa"/>
            <w:tcBorders>
              <w:top w:val="nil"/>
              <w:left w:val="nil"/>
              <w:bottom w:val="nil"/>
              <w:right w:val="nil"/>
            </w:tcBorders>
            <w:shd w:val="clear" w:color="auto" w:fill="D9D9D9"/>
            <w:noWrap/>
            <w:vAlign w:val="center"/>
          </w:tcPr>
          <w:p w14:paraId="05983BF6" w14:textId="511FECE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.40**</w:t>
            </w:r>
          </w:p>
        </w:tc>
        <w:tc>
          <w:tcPr>
            <w:tcW w:w="906" w:type="dxa"/>
            <w:tcBorders>
              <w:top w:val="nil"/>
              <w:left w:val="nil"/>
              <w:bottom w:val="nil"/>
              <w:right w:val="nil"/>
            </w:tcBorders>
            <w:shd w:val="clear" w:color="auto" w:fill="D9D9D9"/>
            <w:noWrap/>
            <w:vAlign w:val="center"/>
          </w:tcPr>
          <w:p w14:paraId="3C410ED4" w14:textId="50D0E51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906" w:type="dxa"/>
            <w:tcBorders>
              <w:top w:val="nil"/>
              <w:left w:val="nil"/>
              <w:bottom w:val="nil"/>
              <w:right w:val="nil"/>
            </w:tcBorders>
            <w:shd w:val="clear" w:color="auto" w:fill="D9D9D9"/>
            <w:noWrap/>
            <w:vAlign w:val="center"/>
          </w:tcPr>
          <w:p w14:paraId="26E2B947" w14:textId="78F2590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.49**</w:t>
            </w:r>
          </w:p>
        </w:tc>
        <w:tc>
          <w:tcPr>
            <w:tcW w:w="906" w:type="dxa"/>
            <w:tcBorders>
              <w:top w:val="nil"/>
              <w:left w:val="nil"/>
              <w:bottom w:val="nil"/>
              <w:right w:val="nil"/>
            </w:tcBorders>
            <w:shd w:val="clear" w:color="auto" w:fill="D9D9D9"/>
            <w:noWrap/>
            <w:vAlign w:val="center"/>
          </w:tcPr>
          <w:p w14:paraId="62EA9F99" w14:textId="044E7D6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w:t>
            </w:r>
          </w:p>
        </w:tc>
        <w:tc>
          <w:tcPr>
            <w:tcW w:w="906" w:type="dxa"/>
            <w:tcBorders>
              <w:top w:val="nil"/>
              <w:left w:val="nil"/>
              <w:bottom w:val="nil"/>
              <w:right w:val="nil"/>
            </w:tcBorders>
            <w:shd w:val="clear" w:color="auto" w:fill="D9D9D9"/>
            <w:noWrap/>
            <w:vAlign w:val="center"/>
          </w:tcPr>
          <w:p w14:paraId="5DF9A35F" w14:textId="522D5E5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w:t>
            </w:r>
            <w:r w:rsidR="00582EE6">
              <w:rPr>
                <w:rFonts w:ascii="Calibri" w:eastAsia="Calibri" w:hAnsi="Calibri" w:cs="Times New Roman"/>
                <w:color w:val="000000"/>
              </w:rPr>
              <w:t>3</w:t>
            </w:r>
            <w:r w:rsidRPr="00E6060C">
              <w:rPr>
                <w:rFonts w:ascii="Calibri" w:eastAsia="Calibri" w:hAnsi="Calibri" w:cs="Times New Roman"/>
                <w:color w:val="000000"/>
              </w:rPr>
              <w:t>**</w:t>
            </w:r>
          </w:p>
        </w:tc>
      </w:tr>
      <w:tr w:rsidR="00E6060C" w:rsidRPr="00E6060C" w14:paraId="7A71B65D" w14:textId="77777777" w:rsidTr="00E6060C">
        <w:trPr>
          <w:trHeight w:val="431"/>
        </w:trPr>
        <w:tc>
          <w:tcPr>
            <w:tcW w:w="628" w:type="dxa"/>
            <w:shd w:val="clear" w:color="auto" w:fill="auto"/>
            <w:noWrap/>
            <w:vAlign w:val="center"/>
          </w:tcPr>
          <w:p w14:paraId="2E1FB543"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6</w:t>
            </w:r>
          </w:p>
        </w:tc>
        <w:tc>
          <w:tcPr>
            <w:tcW w:w="2240" w:type="dxa"/>
            <w:shd w:val="clear" w:color="auto" w:fill="auto"/>
            <w:vAlign w:val="center"/>
            <w:hideMark/>
          </w:tcPr>
          <w:p w14:paraId="1179A33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 xml:space="preserve">Competence </w:t>
            </w:r>
          </w:p>
        </w:tc>
        <w:tc>
          <w:tcPr>
            <w:tcW w:w="1011" w:type="dxa"/>
            <w:tcBorders>
              <w:top w:val="nil"/>
              <w:left w:val="nil"/>
              <w:bottom w:val="nil"/>
              <w:right w:val="nil"/>
            </w:tcBorders>
            <w:shd w:val="clear" w:color="auto" w:fill="auto"/>
            <w:noWrap/>
            <w:vAlign w:val="center"/>
          </w:tcPr>
          <w:p w14:paraId="0277EA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-.22</w:t>
            </w:r>
          </w:p>
        </w:tc>
        <w:tc>
          <w:tcPr>
            <w:tcW w:w="1014" w:type="dxa"/>
            <w:tcBorders>
              <w:top w:val="nil"/>
              <w:left w:val="nil"/>
              <w:bottom w:val="nil"/>
              <w:right w:val="nil"/>
            </w:tcBorders>
            <w:shd w:val="clear" w:color="auto" w:fill="auto"/>
            <w:noWrap/>
            <w:vAlign w:val="center"/>
          </w:tcPr>
          <w:p w14:paraId="4D7572D5" w14:textId="3188F07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.54**</w:t>
            </w:r>
          </w:p>
        </w:tc>
        <w:tc>
          <w:tcPr>
            <w:tcW w:w="1014" w:type="dxa"/>
            <w:tcBorders>
              <w:top w:val="nil"/>
              <w:left w:val="nil"/>
              <w:bottom w:val="nil"/>
              <w:right w:val="nil"/>
            </w:tcBorders>
            <w:shd w:val="clear" w:color="auto" w:fill="auto"/>
            <w:noWrap/>
            <w:vAlign w:val="center"/>
          </w:tcPr>
          <w:p w14:paraId="2DC3403B" w14:textId="6D7EF72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9</w:t>
            </w:r>
            <w:r w:rsidRPr="00E6060C">
              <w:rPr>
                <w:rFonts w:ascii="Calibri" w:eastAsia="Calibri" w:hAnsi="Calibri" w:cs="Times New Roman"/>
                <w:color w:val="000000"/>
              </w:rPr>
              <w:t>**</w:t>
            </w:r>
          </w:p>
        </w:tc>
        <w:tc>
          <w:tcPr>
            <w:tcW w:w="1014" w:type="dxa"/>
            <w:tcBorders>
              <w:top w:val="nil"/>
              <w:left w:val="nil"/>
              <w:bottom w:val="nil"/>
              <w:right w:val="nil"/>
            </w:tcBorders>
            <w:shd w:val="clear" w:color="auto" w:fill="auto"/>
            <w:noWrap/>
            <w:vAlign w:val="center"/>
          </w:tcPr>
          <w:p w14:paraId="3683E2AA" w14:textId="3ADC63C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w:t>
            </w:r>
          </w:p>
        </w:tc>
        <w:tc>
          <w:tcPr>
            <w:tcW w:w="906" w:type="dxa"/>
            <w:tcBorders>
              <w:top w:val="nil"/>
              <w:left w:val="nil"/>
              <w:bottom w:val="nil"/>
              <w:right w:val="nil"/>
            </w:tcBorders>
            <w:shd w:val="clear" w:color="auto" w:fill="auto"/>
            <w:noWrap/>
            <w:vAlign w:val="center"/>
          </w:tcPr>
          <w:p w14:paraId="7C9B5551" w14:textId="33ED274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.76**</w:t>
            </w:r>
          </w:p>
        </w:tc>
        <w:tc>
          <w:tcPr>
            <w:tcW w:w="906" w:type="dxa"/>
            <w:tcBorders>
              <w:top w:val="nil"/>
              <w:left w:val="nil"/>
              <w:bottom w:val="nil"/>
              <w:right w:val="nil"/>
            </w:tcBorders>
            <w:shd w:val="clear" w:color="auto" w:fill="auto"/>
            <w:noWrap/>
            <w:vAlign w:val="center"/>
          </w:tcPr>
          <w:p w14:paraId="6E250227" w14:textId="2C09BCE5"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1CD08A95" w14:textId="0CA063B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.53**</w:t>
            </w:r>
          </w:p>
        </w:tc>
        <w:tc>
          <w:tcPr>
            <w:tcW w:w="906" w:type="dxa"/>
            <w:tcBorders>
              <w:top w:val="nil"/>
              <w:left w:val="nil"/>
              <w:bottom w:val="nil"/>
              <w:right w:val="nil"/>
            </w:tcBorders>
            <w:shd w:val="clear" w:color="auto" w:fill="D9D9D9"/>
            <w:noWrap/>
            <w:vAlign w:val="center"/>
          </w:tcPr>
          <w:p w14:paraId="076125B6" w14:textId="001DA0F3"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40</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34F077B5" w14:textId="0BB4325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.38*</w:t>
            </w:r>
          </w:p>
        </w:tc>
        <w:tc>
          <w:tcPr>
            <w:tcW w:w="906" w:type="dxa"/>
            <w:tcBorders>
              <w:top w:val="nil"/>
              <w:left w:val="nil"/>
              <w:bottom w:val="nil"/>
              <w:right w:val="nil"/>
            </w:tcBorders>
            <w:shd w:val="clear" w:color="auto" w:fill="D9D9D9"/>
            <w:noWrap/>
            <w:vAlign w:val="center"/>
          </w:tcPr>
          <w:p w14:paraId="082D2443" w14:textId="1AFCFA7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.48**</w:t>
            </w:r>
          </w:p>
        </w:tc>
        <w:tc>
          <w:tcPr>
            <w:tcW w:w="906" w:type="dxa"/>
            <w:tcBorders>
              <w:top w:val="nil"/>
              <w:left w:val="nil"/>
              <w:bottom w:val="nil"/>
              <w:right w:val="nil"/>
            </w:tcBorders>
            <w:shd w:val="clear" w:color="auto" w:fill="D9D9D9"/>
            <w:noWrap/>
            <w:vAlign w:val="center"/>
          </w:tcPr>
          <w:p w14:paraId="46D4D915" w14:textId="7620B56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7</w:t>
            </w:r>
          </w:p>
        </w:tc>
        <w:tc>
          <w:tcPr>
            <w:tcW w:w="906" w:type="dxa"/>
            <w:tcBorders>
              <w:top w:val="nil"/>
              <w:left w:val="nil"/>
              <w:bottom w:val="nil"/>
              <w:right w:val="nil"/>
            </w:tcBorders>
            <w:shd w:val="clear" w:color="auto" w:fill="D9D9D9"/>
            <w:noWrap/>
            <w:vAlign w:val="center"/>
          </w:tcPr>
          <w:p w14:paraId="6E98E40D" w14:textId="5FDC24B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3</w:t>
            </w:r>
            <w:r w:rsidRPr="00E6060C">
              <w:rPr>
                <w:rFonts w:ascii="Calibri" w:eastAsia="Calibri" w:hAnsi="Calibri" w:cs="Times New Roman"/>
                <w:color w:val="000000"/>
              </w:rPr>
              <w:t>**</w:t>
            </w:r>
          </w:p>
        </w:tc>
      </w:tr>
      <w:tr w:rsidR="00E6060C" w:rsidRPr="00E6060C" w14:paraId="7340052E" w14:textId="77777777" w:rsidTr="00E6060C">
        <w:trPr>
          <w:trHeight w:val="431"/>
        </w:trPr>
        <w:tc>
          <w:tcPr>
            <w:tcW w:w="628" w:type="dxa"/>
            <w:shd w:val="clear" w:color="auto" w:fill="auto"/>
            <w:noWrap/>
            <w:vAlign w:val="center"/>
          </w:tcPr>
          <w:p w14:paraId="776E007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7</w:t>
            </w:r>
          </w:p>
        </w:tc>
        <w:tc>
          <w:tcPr>
            <w:tcW w:w="2240" w:type="dxa"/>
            <w:shd w:val="clear" w:color="auto" w:fill="auto"/>
            <w:vAlign w:val="center"/>
            <w:hideMark/>
          </w:tcPr>
          <w:p w14:paraId="52160BE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Relatedness</w:t>
            </w:r>
          </w:p>
        </w:tc>
        <w:tc>
          <w:tcPr>
            <w:tcW w:w="1011" w:type="dxa"/>
            <w:tcBorders>
              <w:top w:val="nil"/>
              <w:left w:val="nil"/>
              <w:bottom w:val="nil"/>
              <w:right w:val="nil"/>
            </w:tcBorders>
            <w:shd w:val="clear" w:color="auto" w:fill="auto"/>
            <w:noWrap/>
            <w:vAlign w:val="center"/>
          </w:tcPr>
          <w:p w14:paraId="32D4BD25" w14:textId="1B7A7A0C"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10</w:t>
            </w:r>
          </w:p>
        </w:tc>
        <w:tc>
          <w:tcPr>
            <w:tcW w:w="1014" w:type="dxa"/>
            <w:tcBorders>
              <w:top w:val="nil"/>
              <w:left w:val="nil"/>
              <w:bottom w:val="nil"/>
              <w:right w:val="nil"/>
            </w:tcBorders>
            <w:shd w:val="clear" w:color="auto" w:fill="auto"/>
            <w:noWrap/>
            <w:vAlign w:val="center"/>
          </w:tcPr>
          <w:p w14:paraId="26690ECF" w14:textId="44A8DCD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1014" w:type="dxa"/>
            <w:tcBorders>
              <w:top w:val="nil"/>
              <w:left w:val="nil"/>
              <w:bottom w:val="nil"/>
              <w:right w:val="nil"/>
            </w:tcBorders>
            <w:shd w:val="clear" w:color="auto" w:fill="auto"/>
            <w:noWrap/>
            <w:vAlign w:val="center"/>
          </w:tcPr>
          <w:p w14:paraId="2769D0ED" w14:textId="1D2D5D6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.47**</w:t>
            </w:r>
          </w:p>
        </w:tc>
        <w:tc>
          <w:tcPr>
            <w:tcW w:w="1014" w:type="dxa"/>
            <w:tcBorders>
              <w:top w:val="nil"/>
              <w:left w:val="nil"/>
              <w:bottom w:val="nil"/>
              <w:right w:val="nil"/>
            </w:tcBorders>
            <w:shd w:val="clear" w:color="auto" w:fill="auto"/>
            <w:noWrap/>
            <w:vAlign w:val="center"/>
          </w:tcPr>
          <w:p w14:paraId="2180D0A4" w14:textId="706519D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5</w:t>
            </w:r>
          </w:p>
        </w:tc>
        <w:tc>
          <w:tcPr>
            <w:tcW w:w="906" w:type="dxa"/>
            <w:tcBorders>
              <w:top w:val="nil"/>
              <w:left w:val="nil"/>
              <w:bottom w:val="nil"/>
              <w:right w:val="nil"/>
            </w:tcBorders>
            <w:shd w:val="clear" w:color="auto" w:fill="auto"/>
            <w:noWrap/>
            <w:vAlign w:val="center"/>
          </w:tcPr>
          <w:p w14:paraId="65D0F46C" w14:textId="719C929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.78**</w:t>
            </w:r>
          </w:p>
        </w:tc>
        <w:tc>
          <w:tcPr>
            <w:tcW w:w="906" w:type="dxa"/>
            <w:tcBorders>
              <w:top w:val="nil"/>
              <w:left w:val="nil"/>
              <w:bottom w:val="nil"/>
              <w:right w:val="nil"/>
            </w:tcBorders>
            <w:shd w:val="clear" w:color="auto" w:fill="auto"/>
            <w:noWrap/>
            <w:vAlign w:val="center"/>
          </w:tcPr>
          <w:p w14:paraId="1C3DD311" w14:textId="1EB063B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.64**</w:t>
            </w:r>
          </w:p>
        </w:tc>
        <w:tc>
          <w:tcPr>
            <w:tcW w:w="906" w:type="dxa"/>
            <w:tcBorders>
              <w:top w:val="nil"/>
              <w:left w:val="nil"/>
              <w:bottom w:val="nil"/>
              <w:right w:val="nil"/>
            </w:tcBorders>
            <w:shd w:val="clear" w:color="auto" w:fill="auto"/>
            <w:noWrap/>
            <w:vAlign w:val="center"/>
          </w:tcPr>
          <w:p w14:paraId="0AD6E202" w14:textId="6FEEAB50"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70A92E5B" w14:textId="322F069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906" w:type="dxa"/>
            <w:tcBorders>
              <w:top w:val="nil"/>
              <w:left w:val="nil"/>
              <w:bottom w:val="nil"/>
              <w:right w:val="nil"/>
            </w:tcBorders>
            <w:shd w:val="clear" w:color="auto" w:fill="D9D9D9"/>
            <w:noWrap/>
            <w:vAlign w:val="center"/>
          </w:tcPr>
          <w:p w14:paraId="25644BC7" w14:textId="511D73E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40</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13BBC85E" w14:textId="71F4279A"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906" w:type="dxa"/>
            <w:tcBorders>
              <w:top w:val="nil"/>
              <w:left w:val="nil"/>
              <w:bottom w:val="nil"/>
              <w:right w:val="nil"/>
            </w:tcBorders>
            <w:shd w:val="clear" w:color="auto" w:fill="D9D9D9"/>
            <w:noWrap/>
            <w:vAlign w:val="center"/>
          </w:tcPr>
          <w:p w14:paraId="26028508" w14:textId="3EA0321C"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40</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49B6574D" w14:textId="22AF3D0E"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.44**</w:t>
            </w:r>
          </w:p>
        </w:tc>
      </w:tr>
      <w:tr w:rsidR="00E6060C" w:rsidRPr="00E6060C" w14:paraId="3A6BB20D" w14:textId="77777777" w:rsidTr="00E6060C">
        <w:trPr>
          <w:trHeight w:val="431"/>
        </w:trPr>
        <w:tc>
          <w:tcPr>
            <w:tcW w:w="628" w:type="dxa"/>
            <w:shd w:val="clear" w:color="auto" w:fill="auto"/>
            <w:noWrap/>
            <w:vAlign w:val="center"/>
          </w:tcPr>
          <w:p w14:paraId="7A13983D"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8</w:t>
            </w:r>
          </w:p>
        </w:tc>
        <w:tc>
          <w:tcPr>
            <w:tcW w:w="2240" w:type="dxa"/>
            <w:shd w:val="clear" w:color="auto" w:fill="auto"/>
            <w:vAlign w:val="center"/>
            <w:hideMark/>
          </w:tcPr>
          <w:p w14:paraId="5CC456F7"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Work engagement</w:t>
            </w:r>
          </w:p>
        </w:tc>
        <w:tc>
          <w:tcPr>
            <w:tcW w:w="1011" w:type="dxa"/>
            <w:tcBorders>
              <w:top w:val="nil"/>
              <w:left w:val="nil"/>
              <w:bottom w:val="nil"/>
              <w:right w:val="nil"/>
            </w:tcBorders>
            <w:shd w:val="clear" w:color="auto" w:fill="auto"/>
            <w:noWrap/>
            <w:vAlign w:val="center"/>
          </w:tcPr>
          <w:p w14:paraId="734936D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-.15</w:t>
            </w:r>
          </w:p>
        </w:tc>
        <w:tc>
          <w:tcPr>
            <w:tcW w:w="1014" w:type="dxa"/>
            <w:tcBorders>
              <w:top w:val="nil"/>
              <w:left w:val="nil"/>
              <w:bottom w:val="nil"/>
              <w:right w:val="nil"/>
            </w:tcBorders>
            <w:shd w:val="clear" w:color="auto" w:fill="auto"/>
            <w:noWrap/>
            <w:vAlign w:val="center"/>
          </w:tcPr>
          <w:p w14:paraId="5AC9D2A3" w14:textId="37C6169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582EE6">
              <w:rPr>
                <w:rFonts w:ascii="Calibri" w:eastAsia="Calibri" w:hAnsi="Calibri" w:cs="Times New Roman"/>
                <w:color w:val="000000"/>
              </w:rPr>
              <w:t>3</w:t>
            </w:r>
            <w:r w:rsidRPr="00E6060C">
              <w:rPr>
                <w:rFonts w:ascii="Calibri" w:eastAsia="Calibri" w:hAnsi="Calibri" w:cs="Times New Roman"/>
                <w:color w:val="000000"/>
              </w:rPr>
              <w:t>**</w:t>
            </w:r>
          </w:p>
        </w:tc>
        <w:tc>
          <w:tcPr>
            <w:tcW w:w="1014" w:type="dxa"/>
            <w:tcBorders>
              <w:top w:val="nil"/>
              <w:left w:val="nil"/>
              <w:bottom w:val="nil"/>
              <w:right w:val="nil"/>
            </w:tcBorders>
            <w:shd w:val="clear" w:color="auto" w:fill="auto"/>
            <w:noWrap/>
            <w:vAlign w:val="center"/>
          </w:tcPr>
          <w:p w14:paraId="0BA28CDD" w14:textId="455E0DF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c>
          <w:tcPr>
            <w:tcW w:w="1014" w:type="dxa"/>
            <w:tcBorders>
              <w:top w:val="nil"/>
              <w:left w:val="nil"/>
              <w:bottom w:val="nil"/>
              <w:right w:val="nil"/>
            </w:tcBorders>
            <w:shd w:val="clear" w:color="auto" w:fill="auto"/>
            <w:noWrap/>
            <w:vAlign w:val="center"/>
          </w:tcPr>
          <w:p w14:paraId="76029EFF" w14:textId="444A14B8"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906" w:type="dxa"/>
            <w:tcBorders>
              <w:top w:val="nil"/>
              <w:left w:val="nil"/>
              <w:bottom w:val="nil"/>
              <w:right w:val="nil"/>
            </w:tcBorders>
            <w:shd w:val="clear" w:color="auto" w:fill="auto"/>
            <w:noWrap/>
            <w:vAlign w:val="center"/>
          </w:tcPr>
          <w:p w14:paraId="5D9A9CFD" w14:textId="6909B0D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w:t>
            </w:r>
            <w:r w:rsidR="00582EE6">
              <w:rPr>
                <w:rFonts w:ascii="Calibri" w:eastAsia="Calibri" w:hAnsi="Calibri" w:cs="Times New Roman"/>
                <w:color w:val="000000"/>
              </w:rPr>
              <w:t>4</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auto"/>
            <w:noWrap/>
            <w:vAlign w:val="center"/>
          </w:tcPr>
          <w:p w14:paraId="0F857599" w14:textId="33D1BAF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.58**</w:t>
            </w:r>
          </w:p>
        </w:tc>
        <w:tc>
          <w:tcPr>
            <w:tcW w:w="906" w:type="dxa"/>
            <w:tcBorders>
              <w:top w:val="nil"/>
              <w:left w:val="nil"/>
              <w:bottom w:val="nil"/>
              <w:right w:val="nil"/>
            </w:tcBorders>
            <w:shd w:val="clear" w:color="auto" w:fill="auto"/>
            <w:noWrap/>
            <w:vAlign w:val="center"/>
          </w:tcPr>
          <w:p w14:paraId="0DFD2056" w14:textId="0FFF4D1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.54**</w:t>
            </w:r>
          </w:p>
        </w:tc>
        <w:tc>
          <w:tcPr>
            <w:tcW w:w="906" w:type="dxa"/>
            <w:tcBorders>
              <w:top w:val="nil"/>
              <w:left w:val="nil"/>
              <w:bottom w:val="nil"/>
              <w:right w:val="nil"/>
            </w:tcBorders>
            <w:shd w:val="clear" w:color="auto" w:fill="auto"/>
            <w:noWrap/>
            <w:vAlign w:val="center"/>
          </w:tcPr>
          <w:p w14:paraId="42CE4E19" w14:textId="503C076C"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7F96DA2A" w14:textId="29F5A54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7</w:t>
            </w:r>
          </w:p>
        </w:tc>
        <w:tc>
          <w:tcPr>
            <w:tcW w:w="906" w:type="dxa"/>
            <w:tcBorders>
              <w:top w:val="nil"/>
              <w:left w:val="nil"/>
              <w:bottom w:val="nil"/>
              <w:right w:val="nil"/>
            </w:tcBorders>
            <w:shd w:val="clear" w:color="auto" w:fill="D9D9D9"/>
            <w:noWrap/>
            <w:vAlign w:val="center"/>
          </w:tcPr>
          <w:p w14:paraId="593C693A" w14:textId="4FD390D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.65**</w:t>
            </w:r>
          </w:p>
        </w:tc>
        <w:tc>
          <w:tcPr>
            <w:tcW w:w="906" w:type="dxa"/>
            <w:tcBorders>
              <w:top w:val="nil"/>
              <w:left w:val="nil"/>
              <w:bottom w:val="nil"/>
              <w:right w:val="nil"/>
            </w:tcBorders>
            <w:shd w:val="clear" w:color="auto" w:fill="D9D9D9"/>
            <w:noWrap/>
            <w:vAlign w:val="center"/>
          </w:tcPr>
          <w:p w14:paraId="7D9DCC87" w14:textId="0267F9A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6</w:t>
            </w:r>
          </w:p>
        </w:tc>
        <w:tc>
          <w:tcPr>
            <w:tcW w:w="906" w:type="dxa"/>
            <w:tcBorders>
              <w:top w:val="nil"/>
              <w:left w:val="nil"/>
              <w:bottom w:val="nil"/>
              <w:right w:val="nil"/>
            </w:tcBorders>
            <w:shd w:val="clear" w:color="auto" w:fill="D9D9D9"/>
            <w:noWrap/>
            <w:vAlign w:val="center"/>
          </w:tcPr>
          <w:p w14:paraId="29BC5DEA" w14:textId="69E1069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1</w:t>
            </w:r>
            <w:r w:rsidRPr="00E6060C">
              <w:rPr>
                <w:rFonts w:ascii="Calibri" w:eastAsia="Calibri" w:hAnsi="Calibri" w:cs="Times New Roman"/>
                <w:color w:val="000000"/>
              </w:rPr>
              <w:t>**</w:t>
            </w:r>
          </w:p>
        </w:tc>
      </w:tr>
      <w:tr w:rsidR="00E6060C" w:rsidRPr="00E6060C" w14:paraId="5206AEDA" w14:textId="77777777" w:rsidTr="00E6060C">
        <w:trPr>
          <w:trHeight w:val="431"/>
        </w:trPr>
        <w:tc>
          <w:tcPr>
            <w:tcW w:w="628" w:type="dxa"/>
            <w:shd w:val="clear" w:color="auto" w:fill="auto"/>
            <w:noWrap/>
            <w:vAlign w:val="center"/>
          </w:tcPr>
          <w:p w14:paraId="509A609B"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9</w:t>
            </w:r>
          </w:p>
        </w:tc>
        <w:tc>
          <w:tcPr>
            <w:tcW w:w="2240" w:type="dxa"/>
            <w:shd w:val="clear" w:color="auto" w:fill="auto"/>
            <w:vAlign w:val="center"/>
          </w:tcPr>
          <w:p w14:paraId="4D7909E0"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unpleasant affect</w:t>
            </w:r>
          </w:p>
        </w:tc>
        <w:tc>
          <w:tcPr>
            <w:tcW w:w="1011" w:type="dxa"/>
            <w:tcBorders>
              <w:top w:val="nil"/>
              <w:left w:val="nil"/>
              <w:bottom w:val="nil"/>
              <w:right w:val="nil"/>
            </w:tcBorders>
            <w:shd w:val="clear" w:color="auto" w:fill="auto"/>
            <w:noWrap/>
            <w:vAlign w:val="center"/>
          </w:tcPr>
          <w:p w14:paraId="377CC1F9" w14:textId="78C7561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7</w:t>
            </w:r>
          </w:p>
        </w:tc>
        <w:tc>
          <w:tcPr>
            <w:tcW w:w="1014" w:type="dxa"/>
            <w:tcBorders>
              <w:top w:val="nil"/>
              <w:left w:val="nil"/>
              <w:bottom w:val="nil"/>
              <w:right w:val="nil"/>
            </w:tcBorders>
            <w:shd w:val="clear" w:color="auto" w:fill="auto"/>
            <w:noWrap/>
            <w:vAlign w:val="center"/>
          </w:tcPr>
          <w:p w14:paraId="482A4100" w14:textId="123E321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2</w:t>
            </w:r>
          </w:p>
        </w:tc>
        <w:tc>
          <w:tcPr>
            <w:tcW w:w="1014" w:type="dxa"/>
            <w:tcBorders>
              <w:top w:val="nil"/>
              <w:left w:val="nil"/>
              <w:bottom w:val="nil"/>
              <w:right w:val="nil"/>
            </w:tcBorders>
            <w:shd w:val="clear" w:color="auto" w:fill="auto"/>
            <w:noWrap/>
            <w:vAlign w:val="center"/>
          </w:tcPr>
          <w:p w14:paraId="180C8B26" w14:textId="771409F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w:t>
            </w:r>
          </w:p>
        </w:tc>
        <w:tc>
          <w:tcPr>
            <w:tcW w:w="1014" w:type="dxa"/>
            <w:tcBorders>
              <w:top w:val="nil"/>
              <w:left w:val="nil"/>
              <w:bottom w:val="nil"/>
              <w:right w:val="nil"/>
            </w:tcBorders>
            <w:shd w:val="clear" w:color="auto" w:fill="auto"/>
            <w:noWrap/>
            <w:vAlign w:val="center"/>
          </w:tcPr>
          <w:p w14:paraId="3442E4BB" w14:textId="56D0689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906" w:type="dxa"/>
            <w:tcBorders>
              <w:top w:val="nil"/>
              <w:left w:val="nil"/>
              <w:bottom w:val="nil"/>
              <w:right w:val="nil"/>
            </w:tcBorders>
            <w:shd w:val="clear" w:color="auto" w:fill="auto"/>
            <w:noWrap/>
            <w:vAlign w:val="center"/>
          </w:tcPr>
          <w:p w14:paraId="054DAF0E" w14:textId="1448FA2B"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w:t>
            </w:r>
          </w:p>
        </w:tc>
        <w:tc>
          <w:tcPr>
            <w:tcW w:w="906" w:type="dxa"/>
            <w:tcBorders>
              <w:top w:val="nil"/>
              <w:left w:val="nil"/>
              <w:bottom w:val="nil"/>
              <w:right w:val="nil"/>
            </w:tcBorders>
            <w:shd w:val="clear" w:color="auto" w:fill="auto"/>
            <w:noWrap/>
            <w:vAlign w:val="center"/>
          </w:tcPr>
          <w:p w14:paraId="10416CC1" w14:textId="4EB1F58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10</w:t>
            </w:r>
          </w:p>
        </w:tc>
        <w:tc>
          <w:tcPr>
            <w:tcW w:w="906" w:type="dxa"/>
            <w:tcBorders>
              <w:top w:val="nil"/>
              <w:left w:val="nil"/>
              <w:bottom w:val="nil"/>
              <w:right w:val="nil"/>
            </w:tcBorders>
            <w:shd w:val="clear" w:color="auto" w:fill="auto"/>
            <w:noWrap/>
            <w:vAlign w:val="center"/>
          </w:tcPr>
          <w:p w14:paraId="38F5D23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.03</w:t>
            </w:r>
          </w:p>
        </w:tc>
        <w:tc>
          <w:tcPr>
            <w:tcW w:w="906" w:type="dxa"/>
            <w:tcBorders>
              <w:top w:val="nil"/>
              <w:left w:val="nil"/>
              <w:bottom w:val="nil"/>
              <w:right w:val="nil"/>
            </w:tcBorders>
            <w:shd w:val="clear" w:color="auto" w:fill="auto"/>
            <w:noWrap/>
            <w:vAlign w:val="center"/>
          </w:tcPr>
          <w:p w14:paraId="498EB1B1" w14:textId="1C24EE79"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1</w:t>
            </w:r>
          </w:p>
        </w:tc>
        <w:tc>
          <w:tcPr>
            <w:tcW w:w="906" w:type="dxa"/>
            <w:tcBorders>
              <w:top w:val="nil"/>
              <w:left w:val="nil"/>
              <w:bottom w:val="nil"/>
              <w:right w:val="nil"/>
            </w:tcBorders>
            <w:shd w:val="clear" w:color="auto" w:fill="auto"/>
            <w:noWrap/>
            <w:vAlign w:val="center"/>
          </w:tcPr>
          <w:p w14:paraId="0243BD1B" w14:textId="4FDD54CC"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7BBA5433" w14:textId="790B02D4"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20</w:t>
            </w:r>
          </w:p>
        </w:tc>
        <w:tc>
          <w:tcPr>
            <w:tcW w:w="906" w:type="dxa"/>
            <w:tcBorders>
              <w:top w:val="nil"/>
              <w:left w:val="nil"/>
              <w:bottom w:val="nil"/>
              <w:right w:val="nil"/>
            </w:tcBorders>
            <w:shd w:val="clear" w:color="auto" w:fill="D9D9D9"/>
            <w:noWrap/>
            <w:vAlign w:val="center"/>
          </w:tcPr>
          <w:p w14:paraId="363D2CDB" w14:textId="36786E5C"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w:t>
            </w:r>
            <w:r w:rsidR="00582EE6">
              <w:rPr>
                <w:rFonts w:ascii="Calibri" w:eastAsia="Calibri" w:hAnsi="Calibri" w:cs="Times New Roman"/>
                <w:color w:val="000000"/>
              </w:rPr>
              <w:t>3</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D9D9D9"/>
            <w:noWrap/>
            <w:vAlign w:val="center"/>
          </w:tcPr>
          <w:p w14:paraId="63EE8F92" w14:textId="452E964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.43**</w:t>
            </w:r>
          </w:p>
        </w:tc>
      </w:tr>
      <w:tr w:rsidR="00E6060C" w:rsidRPr="00E6060C" w14:paraId="70806DF4" w14:textId="77777777" w:rsidTr="00E6060C">
        <w:trPr>
          <w:trHeight w:val="431"/>
        </w:trPr>
        <w:tc>
          <w:tcPr>
            <w:tcW w:w="628" w:type="dxa"/>
            <w:shd w:val="clear" w:color="auto" w:fill="auto"/>
            <w:noWrap/>
            <w:vAlign w:val="center"/>
          </w:tcPr>
          <w:p w14:paraId="656EC0BA"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10</w:t>
            </w:r>
          </w:p>
        </w:tc>
        <w:tc>
          <w:tcPr>
            <w:tcW w:w="2240" w:type="dxa"/>
            <w:shd w:val="clear" w:color="auto" w:fill="auto"/>
            <w:vAlign w:val="center"/>
          </w:tcPr>
          <w:p w14:paraId="64E4901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High activation pleasant affect</w:t>
            </w:r>
          </w:p>
        </w:tc>
        <w:tc>
          <w:tcPr>
            <w:tcW w:w="1011" w:type="dxa"/>
            <w:tcBorders>
              <w:top w:val="nil"/>
              <w:left w:val="nil"/>
              <w:bottom w:val="nil"/>
              <w:right w:val="nil"/>
            </w:tcBorders>
            <w:shd w:val="clear" w:color="auto" w:fill="auto"/>
            <w:noWrap/>
            <w:vAlign w:val="center"/>
          </w:tcPr>
          <w:p w14:paraId="2F797BA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c>
          <w:tcPr>
            <w:tcW w:w="1014" w:type="dxa"/>
            <w:tcBorders>
              <w:top w:val="nil"/>
              <w:left w:val="nil"/>
              <w:bottom w:val="nil"/>
              <w:right w:val="nil"/>
            </w:tcBorders>
            <w:shd w:val="clear" w:color="auto" w:fill="auto"/>
            <w:noWrap/>
            <w:vAlign w:val="center"/>
          </w:tcPr>
          <w:p w14:paraId="6288BA2F" w14:textId="2747763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1014" w:type="dxa"/>
            <w:tcBorders>
              <w:top w:val="nil"/>
              <w:left w:val="nil"/>
              <w:bottom w:val="nil"/>
              <w:right w:val="nil"/>
            </w:tcBorders>
            <w:shd w:val="clear" w:color="auto" w:fill="auto"/>
            <w:noWrap/>
            <w:vAlign w:val="center"/>
          </w:tcPr>
          <w:p w14:paraId="325B9017" w14:textId="7B8DCDD9"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.19</w:t>
            </w:r>
          </w:p>
        </w:tc>
        <w:tc>
          <w:tcPr>
            <w:tcW w:w="1014" w:type="dxa"/>
            <w:tcBorders>
              <w:top w:val="nil"/>
              <w:left w:val="nil"/>
              <w:bottom w:val="nil"/>
              <w:right w:val="nil"/>
            </w:tcBorders>
            <w:shd w:val="clear" w:color="auto" w:fill="auto"/>
            <w:noWrap/>
            <w:vAlign w:val="center"/>
          </w:tcPr>
          <w:p w14:paraId="7DB39539" w14:textId="0A1F09C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4</w:t>
            </w:r>
          </w:p>
        </w:tc>
        <w:tc>
          <w:tcPr>
            <w:tcW w:w="906" w:type="dxa"/>
            <w:tcBorders>
              <w:top w:val="nil"/>
              <w:left w:val="nil"/>
              <w:bottom w:val="nil"/>
              <w:right w:val="nil"/>
            </w:tcBorders>
            <w:shd w:val="clear" w:color="auto" w:fill="auto"/>
            <w:noWrap/>
            <w:vAlign w:val="center"/>
          </w:tcPr>
          <w:p w14:paraId="6D70A7DC" w14:textId="63C7BCA3"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w:t>
            </w:r>
            <w:r w:rsidR="00582EE6">
              <w:rPr>
                <w:rFonts w:ascii="Calibri" w:eastAsia="Calibri" w:hAnsi="Calibri" w:cs="Times New Roman"/>
                <w:color w:val="000000"/>
              </w:rPr>
              <w:t>2</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auto"/>
            <w:noWrap/>
            <w:vAlign w:val="center"/>
          </w:tcPr>
          <w:p w14:paraId="15E4A261" w14:textId="009C97C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w:t>
            </w:r>
            <w:r w:rsidR="00582EE6">
              <w:rPr>
                <w:rFonts w:ascii="Calibri" w:eastAsia="Calibri" w:hAnsi="Calibri" w:cs="Times New Roman"/>
                <w:color w:val="000000"/>
              </w:rPr>
              <w:t>3</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auto"/>
            <w:noWrap/>
            <w:vAlign w:val="center"/>
          </w:tcPr>
          <w:p w14:paraId="7F3615A9" w14:textId="1277699D"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.35*</w:t>
            </w:r>
          </w:p>
        </w:tc>
        <w:tc>
          <w:tcPr>
            <w:tcW w:w="906" w:type="dxa"/>
            <w:tcBorders>
              <w:top w:val="nil"/>
              <w:left w:val="nil"/>
              <w:bottom w:val="nil"/>
              <w:right w:val="nil"/>
            </w:tcBorders>
            <w:shd w:val="clear" w:color="auto" w:fill="auto"/>
            <w:noWrap/>
            <w:vAlign w:val="center"/>
          </w:tcPr>
          <w:p w14:paraId="58E9FDF6" w14:textId="0A1B67FC"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w:t>
            </w:r>
            <w:r w:rsidR="00582EE6">
              <w:rPr>
                <w:rFonts w:ascii="Calibri" w:eastAsia="Calibri" w:hAnsi="Calibri" w:cs="Times New Roman"/>
                <w:color w:val="000000"/>
              </w:rPr>
              <w:t>6</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auto"/>
            <w:noWrap/>
            <w:vAlign w:val="center"/>
          </w:tcPr>
          <w:p w14:paraId="23C0B317" w14:textId="5870D32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-.20</w:t>
            </w:r>
          </w:p>
        </w:tc>
        <w:tc>
          <w:tcPr>
            <w:tcW w:w="906" w:type="dxa"/>
            <w:tcBorders>
              <w:top w:val="nil"/>
              <w:left w:val="nil"/>
              <w:bottom w:val="nil"/>
              <w:right w:val="nil"/>
            </w:tcBorders>
            <w:shd w:val="clear" w:color="auto" w:fill="auto"/>
            <w:noWrap/>
            <w:vAlign w:val="center"/>
          </w:tcPr>
          <w:p w14:paraId="32A34256" w14:textId="7B613B85"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3C34B3EF" w14:textId="5C35564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.32*</w:t>
            </w:r>
          </w:p>
        </w:tc>
        <w:tc>
          <w:tcPr>
            <w:tcW w:w="906" w:type="dxa"/>
            <w:tcBorders>
              <w:top w:val="nil"/>
              <w:left w:val="nil"/>
              <w:bottom w:val="nil"/>
              <w:right w:val="nil"/>
            </w:tcBorders>
            <w:shd w:val="clear" w:color="auto" w:fill="D9D9D9"/>
            <w:noWrap/>
            <w:vAlign w:val="center"/>
          </w:tcPr>
          <w:p w14:paraId="4CE7B7BB" w14:textId="053AB5B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50</w:t>
            </w:r>
            <w:r w:rsidRPr="00E6060C">
              <w:rPr>
                <w:rFonts w:ascii="Calibri" w:eastAsia="Calibri" w:hAnsi="Calibri" w:cs="Times New Roman"/>
                <w:color w:val="000000"/>
              </w:rPr>
              <w:t>**</w:t>
            </w:r>
          </w:p>
        </w:tc>
      </w:tr>
      <w:tr w:rsidR="00E6060C" w:rsidRPr="00E6060C" w14:paraId="0A5ADB6C" w14:textId="77777777" w:rsidTr="00E6060C">
        <w:trPr>
          <w:trHeight w:val="431"/>
        </w:trPr>
        <w:tc>
          <w:tcPr>
            <w:tcW w:w="628" w:type="dxa"/>
            <w:tcBorders>
              <w:bottom w:val="nil"/>
            </w:tcBorders>
            <w:shd w:val="clear" w:color="auto" w:fill="auto"/>
            <w:noWrap/>
            <w:vAlign w:val="center"/>
          </w:tcPr>
          <w:p w14:paraId="0A070E7F"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11</w:t>
            </w:r>
          </w:p>
        </w:tc>
        <w:tc>
          <w:tcPr>
            <w:tcW w:w="2240" w:type="dxa"/>
            <w:tcBorders>
              <w:bottom w:val="nil"/>
            </w:tcBorders>
            <w:shd w:val="clear" w:color="auto" w:fill="auto"/>
            <w:vAlign w:val="center"/>
          </w:tcPr>
          <w:p w14:paraId="4BC3E47E"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unpleasant affect</w:t>
            </w:r>
          </w:p>
        </w:tc>
        <w:tc>
          <w:tcPr>
            <w:tcW w:w="1011" w:type="dxa"/>
            <w:tcBorders>
              <w:top w:val="nil"/>
              <w:left w:val="nil"/>
              <w:bottom w:val="nil"/>
              <w:right w:val="nil"/>
            </w:tcBorders>
            <w:shd w:val="clear" w:color="auto" w:fill="auto"/>
            <w:noWrap/>
            <w:vAlign w:val="center"/>
          </w:tcPr>
          <w:p w14:paraId="3521A51E" w14:textId="3858CBA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1014" w:type="dxa"/>
            <w:tcBorders>
              <w:top w:val="nil"/>
              <w:left w:val="nil"/>
              <w:bottom w:val="nil"/>
              <w:right w:val="nil"/>
            </w:tcBorders>
            <w:shd w:val="clear" w:color="auto" w:fill="auto"/>
            <w:noWrap/>
            <w:vAlign w:val="center"/>
          </w:tcPr>
          <w:p w14:paraId="66C84697" w14:textId="4189675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.34*</w:t>
            </w:r>
          </w:p>
        </w:tc>
        <w:tc>
          <w:tcPr>
            <w:tcW w:w="1014" w:type="dxa"/>
            <w:tcBorders>
              <w:top w:val="nil"/>
              <w:left w:val="nil"/>
              <w:bottom w:val="nil"/>
              <w:right w:val="nil"/>
            </w:tcBorders>
            <w:shd w:val="clear" w:color="auto" w:fill="auto"/>
            <w:noWrap/>
            <w:vAlign w:val="center"/>
          </w:tcPr>
          <w:p w14:paraId="2C48EEC4" w14:textId="4F4D30E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c>
          <w:tcPr>
            <w:tcW w:w="1014" w:type="dxa"/>
            <w:tcBorders>
              <w:top w:val="nil"/>
              <w:left w:val="nil"/>
              <w:bottom w:val="nil"/>
              <w:right w:val="nil"/>
            </w:tcBorders>
            <w:shd w:val="clear" w:color="auto" w:fill="auto"/>
            <w:noWrap/>
            <w:vAlign w:val="center"/>
          </w:tcPr>
          <w:p w14:paraId="04FC9BDD" w14:textId="5F5989F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.18</w:t>
            </w:r>
          </w:p>
        </w:tc>
        <w:tc>
          <w:tcPr>
            <w:tcW w:w="906" w:type="dxa"/>
            <w:tcBorders>
              <w:top w:val="nil"/>
              <w:left w:val="nil"/>
              <w:bottom w:val="nil"/>
              <w:right w:val="nil"/>
            </w:tcBorders>
            <w:shd w:val="clear" w:color="auto" w:fill="auto"/>
            <w:noWrap/>
            <w:vAlign w:val="center"/>
          </w:tcPr>
          <w:p w14:paraId="69F42BC6" w14:textId="090DF11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8</w:t>
            </w:r>
          </w:p>
        </w:tc>
        <w:tc>
          <w:tcPr>
            <w:tcW w:w="906" w:type="dxa"/>
            <w:tcBorders>
              <w:top w:val="nil"/>
              <w:left w:val="nil"/>
              <w:bottom w:val="nil"/>
              <w:right w:val="nil"/>
            </w:tcBorders>
            <w:shd w:val="clear" w:color="auto" w:fill="auto"/>
            <w:noWrap/>
            <w:vAlign w:val="center"/>
          </w:tcPr>
          <w:p w14:paraId="57403780" w14:textId="76E5DF1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1</w:t>
            </w:r>
            <w:r w:rsidRPr="00E6060C">
              <w:rPr>
                <w:rFonts w:ascii="Calibri" w:eastAsia="Calibri" w:hAnsi="Calibri" w:cs="Times New Roman"/>
                <w:color w:val="000000"/>
              </w:rPr>
              <w:t>**</w:t>
            </w:r>
          </w:p>
        </w:tc>
        <w:tc>
          <w:tcPr>
            <w:tcW w:w="906" w:type="dxa"/>
            <w:tcBorders>
              <w:top w:val="nil"/>
              <w:left w:val="nil"/>
              <w:bottom w:val="nil"/>
              <w:right w:val="nil"/>
            </w:tcBorders>
            <w:shd w:val="clear" w:color="auto" w:fill="auto"/>
            <w:noWrap/>
            <w:vAlign w:val="center"/>
          </w:tcPr>
          <w:p w14:paraId="559E0AE8" w14:textId="6BAC148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sidR="00582EE6">
              <w:rPr>
                <w:rFonts w:ascii="Calibri" w:eastAsia="Calibri" w:hAnsi="Calibri" w:cs="Times New Roman"/>
                <w:color w:val="000000"/>
              </w:rPr>
              <w:t>8</w:t>
            </w:r>
          </w:p>
        </w:tc>
        <w:tc>
          <w:tcPr>
            <w:tcW w:w="906" w:type="dxa"/>
            <w:tcBorders>
              <w:top w:val="nil"/>
              <w:left w:val="nil"/>
              <w:bottom w:val="nil"/>
              <w:right w:val="nil"/>
            </w:tcBorders>
            <w:shd w:val="clear" w:color="auto" w:fill="auto"/>
            <w:noWrap/>
            <w:vAlign w:val="center"/>
          </w:tcPr>
          <w:p w14:paraId="2B154538" w14:textId="439C4819"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w:t>
            </w:r>
            <w:r w:rsidR="00582EE6">
              <w:rPr>
                <w:rFonts w:ascii="Calibri" w:eastAsia="Calibri" w:hAnsi="Calibri" w:cs="Times New Roman"/>
                <w:color w:val="000000"/>
              </w:rPr>
              <w:t>6</w:t>
            </w:r>
          </w:p>
        </w:tc>
        <w:tc>
          <w:tcPr>
            <w:tcW w:w="906" w:type="dxa"/>
            <w:tcBorders>
              <w:top w:val="nil"/>
              <w:left w:val="nil"/>
              <w:bottom w:val="nil"/>
              <w:right w:val="nil"/>
            </w:tcBorders>
            <w:shd w:val="clear" w:color="auto" w:fill="auto"/>
            <w:noWrap/>
            <w:vAlign w:val="center"/>
          </w:tcPr>
          <w:p w14:paraId="6A0D2E23" w14:textId="5D86C4D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.57**</w:t>
            </w:r>
          </w:p>
        </w:tc>
        <w:tc>
          <w:tcPr>
            <w:tcW w:w="906" w:type="dxa"/>
            <w:tcBorders>
              <w:top w:val="nil"/>
              <w:left w:val="nil"/>
              <w:bottom w:val="nil"/>
              <w:right w:val="nil"/>
            </w:tcBorders>
            <w:shd w:val="clear" w:color="auto" w:fill="auto"/>
            <w:noWrap/>
            <w:vAlign w:val="center"/>
          </w:tcPr>
          <w:p w14:paraId="16AFE8C8" w14:textId="163968A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9</w:t>
            </w:r>
          </w:p>
        </w:tc>
        <w:tc>
          <w:tcPr>
            <w:tcW w:w="906" w:type="dxa"/>
            <w:tcBorders>
              <w:top w:val="nil"/>
              <w:left w:val="nil"/>
              <w:bottom w:val="nil"/>
              <w:right w:val="nil"/>
            </w:tcBorders>
            <w:shd w:val="clear" w:color="auto" w:fill="auto"/>
            <w:noWrap/>
            <w:vAlign w:val="center"/>
          </w:tcPr>
          <w:p w14:paraId="758201FE" w14:textId="3371C47C"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c>
          <w:tcPr>
            <w:tcW w:w="906" w:type="dxa"/>
            <w:tcBorders>
              <w:top w:val="nil"/>
              <w:left w:val="nil"/>
              <w:bottom w:val="nil"/>
              <w:right w:val="nil"/>
            </w:tcBorders>
            <w:shd w:val="clear" w:color="auto" w:fill="D9D9D9"/>
            <w:noWrap/>
            <w:vAlign w:val="center"/>
          </w:tcPr>
          <w:p w14:paraId="1793561A" w14:textId="2E8BAAC1"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.39*</w:t>
            </w:r>
          </w:p>
        </w:tc>
      </w:tr>
      <w:tr w:rsidR="00E6060C" w:rsidRPr="00E6060C" w14:paraId="2ED345FC" w14:textId="77777777" w:rsidTr="00E6060C">
        <w:trPr>
          <w:trHeight w:val="431"/>
        </w:trPr>
        <w:tc>
          <w:tcPr>
            <w:tcW w:w="628" w:type="dxa"/>
            <w:tcBorders>
              <w:top w:val="nil"/>
              <w:bottom w:val="single" w:sz="4" w:space="0" w:color="auto"/>
            </w:tcBorders>
            <w:shd w:val="clear" w:color="auto" w:fill="auto"/>
            <w:noWrap/>
            <w:vAlign w:val="center"/>
          </w:tcPr>
          <w:p w14:paraId="5AA065A5"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12</w:t>
            </w:r>
          </w:p>
        </w:tc>
        <w:tc>
          <w:tcPr>
            <w:tcW w:w="2240" w:type="dxa"/>
            <w:tcBorders>
              <w:top w:val="nil"/>
              <w:bottom w:val="single" w:sz="4" w:space="0" w:color="auto"/>
            </w:tcBorders>
            <w:shd w:val="clear" w:color="auto" w:fill="auto"/>
            <w:vAlign w:val="center"/>
          </w:tcPr>
          <w:p w14:paraId="5668599C" w14:textId="77777777" w:rsidR="00E6060C" w:rsidRPr="00E6060C" w:rsidRDefault="00E6060C" w:rsidP="00E6060C">
            <w:pPr>
              <w:spacing w:line="240" w:lineRule="auto"/>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1011" w:type="dxa"/>
            <w:tcBorders>
              <w:top w:val="nil"/>
              <w:left w:val="nil"/>
              <w:bottom w:val="single" w:sz="4" w:space="0" w:color="auto"/>
              <w:right w:val="nil"/>
            </w:tcBorders>
            <w:shd w:val="clear" w:color="auto" w:fill="auto"/>
            <w:noWrap/>
            <w:vAlign w:val="center"/>
          </w:tcPr>
          <w:p w14:paraId="7C429A5F" w14:textId="3F22828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.00</w:t>
            </w:r>
          </w:p>
        </w:tc>
        <w:tc>
          <w:tcPr>
            <w:tcW w:w="1014" w:type="dxa"/>
            <w:tcBorders>
              <w:top w:val="nil"/>
              <w:left w:val="nil"/>
              <w:bottom w:val="single" w:sz="4" w:space="0" w:color="auto"/>
              <w:right w:val="nil"/>
            </w:tcBorders>
            <w:shd w:val="clear" w:color="auto" w:fill="auto"/>
            <w:noWrap/>
            <w:vAlign w:val="center"/>
          </w:tcPr>
          <w:p w14:paraId="22293383" w14:textId="29F776A0"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5</w:t>
            </w:r>
          </w:p>
        </w:tc>
        <w:tc>
          <w:tcPr>
            <w:tcW w:w="1014" w:type="dxa"/>
            <w:tcBorders>
              <w:top w:val="nil"/>
              <w:left w:val="nil"/>
              <w:bottom w:val="single" w:sz="4" w:space="0" w:color="auto"/>
              <w:right w:val="nil"/>
            </w:tcBorders>
            <w:shd w:val="clear" w:color="auto" w:fill="auto"/>
            <w:noWrap/>
            <w:vAlign w:val="center"/>
          </w:tcPr>
          <w:p w14:paraId="21A9EBF4" w14:textId="158EA75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.10</w:t>
            </w:r>
          </w:p>
        </w:tc>
        <w:tc>
          <w:tcPr>
            <w:tcW w:w="1014" w:type="dxa"/>
            <w:tcBorders>
              <w:top w:val="nil"/>
              <w:left w:val="nil"/>
              <w:bottom w:val="single" w:sz="4" w:space="0" w:color="auto"/>
              <w:right w:val="nil"/>
            </w:tcBorders>
            <w:shd w:val="clear" w:color="auto" w:fill="auto"/>
            <w:noWrap/>
            <w:vAlign w:val="center"/>
          </w:tcPr>
          <w:p w14:paraId="0ECDAE6F" w14:textId="1CB5F4C5"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30</w:t>
            </w:r>
          </w:p>
        </w:tc>
        <w:tc>
          <w:tcPr>
            <w:tcW w:w="906" w:type="dxa"/>
            <w:tcBorders>
              <w:top w:val="nil"/>
              <w:left w:val="nil"/>
              <w:bottom w:val="single" w:sz="4" w:space="0" w:color="auto"/>
              <w:right w:val="nil"/>
            </w:tcBorders>
            <w:shd w:val="clear" w:color="auto" w:fill="auto"/>
            <w:noWrap/>
            <w:vAlign w:val="center"/>
          </w:tcPr>
          <w:p w14:paraId="03A9940C" w14:textId="0B7BE65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.4</w:t>
            </w:r>
            <w:r w:rsidR="00582EE6">
              <w:rPr>
                <w:rFonts w:ascii="Calibri" w:eastAsia="Calibri" w:hAnsi="Calibri" w:cs="Times New Roman"/>
                <w:color w:val="000000"/>
              </w:rPr>
              <w:t>3</w:t>
            </w:r>
            <w:r w:rsidRPr="00E6060C">
              <w:rPr>
                <w:rFonts w:ascii="Calibri" w:eastAsia="Calibri" w:hAnsi="Calibri" w:cs="Times New Roman"/>
                <w:color w:val="000000"/>
              </w:rPr>
              <w:t>**</w:t>
            </w:r>
          </w:p>
        </w:tc>
        <w:tc>
          <w:tcPr>
            <w:tcW w:w="906" w:type="dxa"/>
            <w:tcBorders>
              <w:top w:val="nil"/>
              <w:left w:val="nil"/>
              <w:bottom w:val="single" w:sz="4" w:space="0" w:color="auto"/>
              <w:right w:val="nil"/>
            </w:tcBorders>
            <w:shd w:val="clear" w:color="auto" w:fill="auto"/>
            <w:noWrap/>
            <w:vAlign w:val="center"/>
          </w:tcPr>
          <w:p w14:paraId="1BA13AEC" w14:textId="2B4030A2"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.27</w:t>
            </w:r>
          </w:p>
        </w:tc>
        <w:tc>
          <w:tcPr>
            <w:tcW w:w="906" w:type="dxa"/>
            <w:tcBorders>
              <w:top w:val="nil"/>
              <w:left w:val="nil"/>
              <w:bottom w:val="single" w:sz="4" w:space="0" w:color="auto"/>
              <w:right w:val="nil"/>
            </w:tcBorders>
            <w:shd w:val="clear" w:color="auto" w:fill="auto"/>
            <w:noWrap/>
            <w:vAlign w:val="center"/>
          </w:tcPr>
          <w:p w14:paraId="135E29CF" w14:textId="589683F4"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c>
          <w:tcPr>
            <w:tcW w:w="906" w:type="dxa"/>
            <w:tcBorders>
              <w:top w:val="nil"/>
              <w:left w:val="nil"/>
              <w:bottom w:val="single" w:sz="4" w:space="0" w:color="auto"/>
              <w:right w:val="nil"/>
            </w:tcBorders>
            <w:shd w:val="clear" w:color="auto" w:fill="auto"/>
            <w:noWrap/>
            <w:vAlign w:val="center"/>
          </w:tcPr>
          <w:p w14:paraId="1E7694E9" w14:textId="2150FDF6"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w:t>
            </w:r>
            <w:r w:rsidR="00582EE6">
              <w:rPr>
                <w:rFonts w:ascii="Calibri" w:eastAsia="Calibri" w:hAnsi="Calibri" w:cs="Times New Roman"/>
                <w:color w:val="000000"/>
              </w:rPr>
              <w:t>40</w:t>
            </w:r>
            <w:r w:rsidRPr="00E6060C">
              <w:rPr>
                <w:rFonts w:ascii="Calibri" w:eastAsia="Calibri" w:hAnsi="Calibri" w:cs="Times New Roman"/>
                <w:color w:val="000000"/>
              </w:rPr>
              <w:t>*</w:t>
            </w:r>
          </w:p>
        </w:tc>
        <w:tc>
          <w:tcPr>
            <w:tcW w:w="906" w:type="dxa"/>
            <w:tcBorders>
              <w:top w:val="nil"/>
              <w:left w:val="nil"/>
              <w:bottom w:val="single" w:sz="4" w:space="0" w:color="auto"/>
              <w:right w:val="nil"/>
            </w:tcBorders>
            <w:shd w:val="clear" w:color="auto" w:fill="auto"/>
            <w:noWrap/>
            <w:vAlign w:val="center"/>
          </w:tcPr>
          <w:p w14:paraId="463B76A7" w14:textId="3B2B836F"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9</w:t>
            </w:r>
          </w:p>
        </w:tc>
        <w:tc>
          <w:tcPr>
            <w:tcW w:w="906" w:type="dxa"/>
            <w:tcBorders>
              <w:top w:val="nil"/>
              <w:left w:val="nil"/>
              <w:bottom w:val="single" w:sz="4" w:space="0" w:color="auto"/>
              <w:right w:val="nil"/>
            </w:tcBorders>
            <w:shd w:val="clear" w:color="auto" w:fill="auto"/>
            <w:noWrap/>
            <w:vAlign w:val="center"/>
          </w:tcPr>
          <w:p w14:paraId="7243AD7F" w14:textId="0F5E1497"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.66**</w:t>
            </w:r>
          </w:p>
        </w:tc>
        <w:tc>
          <w:tcPr>
            <w:tcW w:w="906" w:type="dxa"/>
            <w:tcBorders>
              <w:top w:val="nil"/>
              <w:left w:val="nil"/>
              <w:bottom w:val="single" w:sz="4" w:space="0" w:color="auto"/>
              <w:right w:val="nil"/>
            </w:tcBorders>
            <w:shd w:val="clear" w:color="auto" w:fill="auto"/>
            <w:noWrap/>
            <w:vAlign w:val="center"/>
          </w:tcPr>
          <w:p w14:paraId="2963D042" w14:textId="2748A179" w:rsidR="00E6060C" w:rsidRPr="00E6060C" w:rsidRDefault="00E6060C" w:rsidP="008E423B">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-.0</w:t>
            </w:r>
            <w:r w:rsidR="00582EE6">
              <w:rPr>
                <w:rFonts w:ascii="Calibri" w:eastAsia="Calibri" w:hAnsi="Calibri" w:cs="Times New Roman"/>
                <w:color w:val="000000"/>
              </w:rPr>
              <w:t>3</w:t>
            </w:r>
          </w:p>
        </w:tc>
        <w:tc>
          <w:tcPr>
            <w:tcW w:w="906" w:type="dxa"/>
            <w:tcBorders>
              <w:top w:val="nil"/>
              <w:left w:val="nil"/>
              <w:bottom w:val="single" w:sz="4" w:space="0" w:color="auto"/>
              <w:right w:val="nil"/>
            </w:tcBorders>
            <w:shd w:val="clear" w:color="auto" w:fill="auto"/>
            <w:noWrap/>
            <w:vAlign w:val="center"/>
          </w:tcPr>
          <w:p w14:paraId="753935D6" w14:textId="286776C6" w:rsidR="00E6060C" w:rsidRPr="00E6060C" w:rsidRDefault="00582EE6" w:rsidP="00E6060C">
            <w:pPr>
              <w:spacing w:line="240" w:lineRule="auto"/>
              <w:jc w:val="center"/>
              <w:rPr>
                <w:rFonts w:ascii="Calibri" w:eastAsia="Times New Roman" w:hAnsi="Calibri" w:cs="Times New Roman"/>
                <w:color w:val="000000"/>
                <w:lang w:eastAsia="en-GB"/>
              </w:rPr>
            </w:pPr>
            <w:r w:rsidRPr="00E6060C">
              <w:rPr>
                <w:rFonts w:ascii="Calibri" w:eastAsia="Calibri" w:hAnsi="Calibri" w:cs="Times New Roman"/>
                <w:color w:val="000000"/>
              </w:rPr>
              <w:t>1</w:t>
            </w:r>
            <w:r>
              <w:rPr>
                <w:rFonts w:ascii="Calibri" w:eastAsia="Calibri" w:hAnsi="Calibri" w:cs="Times New Roman"/>
                <w:color w:val="000000"/>
              </w:rPr>
              <w:t>.00</w:t>
            </w:r>
          </w:p>
        </w:tc>
      </w:tr>
    </w:tbl>
    <w:p w14:paraId="7A30961B"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i/>
        </w:rPr>
        <w:t>Note:</w:t>
      </w:r>
      <w:r w:rsidRPr="00E6060C">
        <w:rPr>
          <w:rFonts w:ascii="Calibri" w:eastAsia="Calibri" w:hAnsi="Calibri" w:cs="Times New Roman"/>
        </w:rPr>
        <w:t xml:space="preserve"> Time 1 correlations are below the diagonal and Time 2 correlations are above the diagonal</w:t>
      </w:r>
    </w:p>
    <w:p w14:paraId="34FB878A" w14:textId="77777777" w:rsidR="00E6060C" w:rsidRPr="00E6060C" w:rsidRDefault="00E6060C" w:rsidP="00E6060C">
      <w:pPr>
        <w:spacing w:after="200" w:line="240" w:lineRule="auto"/>
        <w:contextualSpacing/>
        <w:rPr>
          <w:rFonts w:ascii="Calibri" w:eastAsia="Calibri" w:hAnsi="Calibri" w:cs="Times New Roman"/>
          <w:color w:val="000000"/>
        </w:rPr>
      </w:pPr>
      <w:r w:rsidRPr="00E6060C">
        <w:rPr>
          <w:rFonts w:ascii="Calibri" w:eastAsia="Calibri" w:hAnsi="Calibri" w:cs="Times New Roman"/>
          <w:color w:val="000000"/>
        </w:rPr>
        <w:t>**Correlation is significant at the .01 level (2-tailed)</w:t>
      </w:r>
    </w:p>
    <w:p w14:paraId="308B8B2E" w14:textId="77777777" w:rsidR="00E6060C" w:rsidRPr="00E6060C" w:rsidRDefault="00E6060C" w:rsidP="00E6060C">
      <w:pPr>
        <w:spacing w:after="200" w:line="240" w:lineRule="auto"/>
        <w:contextualSpacing/>
        <w:rPr>
          <w:rFonts w:ascii="Calibri" w:eastAsia="Calibri" w:hAnsi="Calibri" w:cs="Times New Roman"/>
          <w:color w:val="000000"/>
        </w:rPr>
        <w:sectPr w:rsidR="00E6060C" w:rsidRPr="00E6060C"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color w:val="000000"/>
        </w:rPr>
        <w:t xml:space="preserve">*Correlation is significant at the .05 level (2-tailed)  </w:t>
      </w:r>
    </w:p>
    <w:p w14:paraId="06002323" w14:textId="6815D6D9" w:rsidR="00842587" w:rsidRDefault="00842587" w:rsidP="005852AD">
      <w:pPr>
        <w:pStyle w:val="Figurestyle"/>
      </w:pPr>
      <w:bookmarkStart w:id="436" w:name="_Ref453590759"/>
      <w:bookmarkStart w:id="437" w:name="_Toc468286090"/>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16</w:t>
      </w:r>
      <w:r w:rsidR="00245D68">
        <w:rPr>
          <w:noProof/>
        </w:rPr>
        <w:fldChar w:fldCharType="end"/>
      </w:r>
      <w:bookmarkEnd w:id="436"/>
      <w:r>
        <w:t xml:space="preserve"> </w:t>
      </w:r>
      <w:r w:rsidRPr="001259C4">
        <w:t xml:space="preserve">Results of independent samples </w:t>
      </w:r>
      <w:r w:rsidRPr="001B5BAE">
        <w:rPr>
          <w:i/>
        </w:rPr>
        <w:t>t</w:t>
      </w:r>
      <w:r w:rsidRPr="001259C4">
        <w:t>-tests between the intervention (N=31) and control (N=14) groups at baseline (Time 1), for all of the measures</w:t>
      </w:r>
      <w:bookmarkEnd w:id="437"/>
    </w:p>
    <w:p w14:paraId="05341EE8" w14:textId="77777777" w:rsidR="00842587" w:rsidRDefault="00842587" w:rsidP="005852AD">
      <w:pPr>
        <w:pStyle w:val="Figurestyle"/>
      </w:pPr>
    </w:p>
    <w:tbl>
      <w:tblPr>
        <w:tblW w:w="13641" w:type="dxa"/>
        <w:tblLook w:val="04A0" w:firstRow="1" w:lastRow="0" w:firstColumn="1" w:lastColumn="0" w:noHBand="0" w:noVBand="1"/>
      </w:tblPr>
      <w:tblGrid>
        <w:gridCol w:w="3261"/>
        <w:gridCol w:w="1555"/>
        <w:gridCol w:w="948"/>
        <w:gridCol w:w="944"/>
        <w:gridCol w:w="946"/>
        <w:gridCol w:w="948"/>
        <w:gridCol w:w="944"/>
        <w:gridCol w:w="1251"/>
        <w:gridCol w:w="944"/>
        <w:gridCol w:w="949"/>
        <w:gridCol w:w="951"/>
      </w:tblGrid>
      <w:tr w:rsidR="00E6060C" w:rsidRPr="00E6060C" w14:paraId="1B19F2C7" w14:textId="77777777" w:rsidTr="005852AD">
        <w:trPr>
          <w:trHeight w:val="290"/>
        </w:trPr>
        <w:tc>
          <w:tcPr>
            <w:tcW w:w="3261" w:type="dxa"/>
            <w:vMerge w:val="restart"/>
            <w:tcBorders>
              <w:top w:val="single" w:sz="4" w:space="0" w:color="auto"/>
            </w:tcBorders>
            <w:shd w:val="clear" w:color="auto" w:fill="auto"/>
            <w:vAlign w:val="center"/>
            <w:hideMark/>
          </w:tcPr>
          <w:p w14:paraId="4BF40D73" w14:textId="77777777" w:rsidR="00E6060C" w:rsidRPr="00E6060C" w:rsidRDefault="00E6060C" w:rsidP="00E6060C">
            <w:pPr>
              <w:spacing w:line="240" w:lineRule="auto"/>
              <w:contextualSpacing/>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Variables</w:t>
            </w:r>
            <w:r w:rsidRPr="00E6060C">
              <w:rPr>
                <w:rFonts w:ascii="Calibri" w:eastAsia="Times New Roman" w:hAnsi="Calibri" w:cs="Times New Roman"/>
                <w:b/>
                <w:color w:val="000000"/>
                <w:vertAlign w:val="superscript"/>
                <w:lang w:eastAsia="en-GB"/>
              </w:rPr>
              <w:t>1</w:t>
            </w:r>
          </w:p>
        </w:tc>
        <w:tc>
          <w:tcPr>
            <w:tcW w:w="3447" w:type="dxa"/>
            <w:gridSpan w:val="3"/>
            <w:tcBorders>
              <w:top w:val="single" w:sz="4" w:space="0" w:color="auto"/>
              <w:bottom w:val="single" w:sz="4" w:space="0" w:color="auto"/>
              <w:right w:val="single" w:sz="4" w:space="0" w:color="auto"/>
            </w:tcBorders>
            <w:shd w:val="clear" w:color="auto" w:fill="auto"/>
            <w:vAlign w:val="center"/>
            <w:hideMark/>
          </w:tcPr>
          <w:p w14:paraId="6CB4DC7A" w14:textId="77777777" w:rsidR="00E6060C" w:rsidRPr="00E6060C" w:rsidRDefault="00E6060C" w:rsidP="00E6060C">
            <w:pPr>
              <w:spacing w:line="240" w:lineRule="auto"/>
              <w:contextualSpacing/>
              <w:jc w:val="center"/>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Levene's test for equality of variances</w:t>
            </w:r>
            <w:r w:rsidRPr="00E6060C">
              <w:rPr>
                <w:rFonts w:ascii="Calibri" w:eastAsia="Times New Roman" w:hAnsi="Calibri" w:cs="Times New Roman"/>
                <w:b/>
                <w:color w:val="000000"/>
                <w:vertAlign w:val="superscript"/>
                <w:lang w:eastAsia="en-GB"/>
              </w:rPr>
              <w:t>2</w:t>
            </w:r>
          </w:p>
        </w:tc>
        <w:tc>
          <w:tcPr>
            <w:tcW w:w="6933" w:type="dxa"/>
            <w:gridSpan w:val="7"/>
            <w:tcBorders>
              <w:top w:val="single" w:sz="4" w:space="0" w:color="auto"/>
              <w:left w:val="single" w:sz="4" w:space="0" w:color="auto"/>
              <w:bottom w:val="single" w:sz="4" w:space="0" w:color="auto"/>
            </w:tcBorders>
            <w:shd w:val="clear" w:color="auto" w:fill="auto"/>
            <w:vAlign w:val="center"/>
            <w:hideMark/>
          </w:tcPr>
          <w:p w14:paraId="717B1D24"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i/>
                <w:color w:val="000000"/>
                <w:lang w:eastAsia="en-GB"/>
              </w:rPr>
              <w:t>t</w:t>
            </w:r>
            <w:r w:rsidRPr="00E6060C">
              <w:rPr>
                <w:rFonts w:ascii="Calibri" w:eastAsia="Times New Roman" w:hAnsi="Calibri" w:cs="Times New Roman"/>
                <w:b/>
                <w:color w:val="000000"/>
                <w:lang w:eastAsia="en-GB"/>
              </w:rPr>
              <w:t>-test for equality of means</w:t>
            </w:r>
          </w:p>
        </w:tc>
      </w:tr>
      <w:tr w:rsidR="00E6060C" w:rsidRPr="00E6060C" w14:paraId="499CC6B5" w14:textId="77777777" w:rsidTr="005852AD">
        <w:trPr>
          <w:trHeight w:val="860"/>
        </w:trPr>
        <w:tc>
          <w:tcPr>
            <w:tcW w:w="3261" w:type="dxa"/>
            <w:vMerge/>
            <w:tcBorders>
              <w:bottom w:val="single" w:sz="4" w:space="0" w:color="auto"/>
            </w:tcBorders>
            <w:shd w:val="clear" w:color="auto" w:fill="auto"/>
            <w:vAlign w:val="center"/>
            <w:hideMark/>
          </w:tcPr>
          <w:p w14:paraId="4D838A2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p>
        </w:tc>
        <w:tc>
          <w:tcPr>
            <w:tcW w:w="1555" w:type="dxa"/>
            <w:tcBorders>
              <w:top w:val="single" w:sz="4" w:space="0" w:color="auto"/>
              <w:bottom w:val="single" w:sz="4" w:space="0" w:color="auto"/>
            </w:tcBorders>
            <w:shd w:val="clear" w:color="auto" w:fill="auto"/>
            <w:vAlign w:val="center"/>
            <w:hideMark/>
          </w:tcPr>
          <w:p w14:paraId="4A577CB7"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Equal variances assumed?</w:t>
            </w:r>
          </w:p>
        </w:tc>
        <w:tc>
          <w:tcPr>
            <w:tcW w:w="948" w:type="dxa"/>
            <w:tcBorders>
              <w:top w:val="single" w:sz="4" w:space="0" w:color="auto"/>
              <w:bottom w:val="single" w:sz="4" w:space="0" w:color="auto"/>
            </w:tcBorders>
            <w:shd w:val="clear" w:color="auto" w:fill="auto"/>
            <w:vAlign w:val="center"/>
            <w:hideMark/>
          </w:tcPr>
          <w:p w14:paraId="19585911"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F</w:t>
            </w:r>
          </w:p>
        </w:tc>
        <w:tc>
          <w:tcPr>
            <w:tcW w:w="944" w:type="dxa"/>
            <w:tcBorders>
              <w:top w:val="single" w:sz="4" w:space="0" w:color="auto"/>
              <w:bottom w:val="single" w:sz="4" w:space="0" w:color="auto"/>
              <w:right w:val="single" w:sz="4" w:space="0" w:color="auto"/>
            </w:tcBorders>
            <w:shd w:val="clear" w:color="auto" w:fill="auto"/>
            <w:vAlign w:val="center"/>
            <w:hideMark/>
          </w:tcPr>
          <w:p w14:paraId="6D5D99D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946" w:type="dxa"/>
            <w:tcBorders>
              <w:top w:val="single" w:sz="4" w:space="0" w:color="auto"/>
              <w:left w:val="single" w:sz="4" w:space="0" w:color="auto"/>
              <w:bottom w:val="single" w:sz="4" w:space="0" w:color="auto"/>
            </w:tcBorders>
            <w:shd w:val="clear" w:color="auto" w:fill="auto"/>
            <w:vAlign w:val="center"/>
            <w:hideMark/>
          </w:tcPr>
          <w:p w14:paraId="3AE2F36B"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t</w:t>
            </w:r>
          </w:p>
        </w:tc>
        <w:tc>
          <w:tcPr>
            <w:tcW w:w="948" w:type="dxa"/>
            <w:tcBorders>
              <w:top w:val="single" w:sz="4" w:space="0" w:color="auto"/>
              <w:bottom w:val="single" w:sz="4" w:space="0" w:color="auto"/>
            </w:tcBorders>
            <w:shd w:val="clear" w:color="auto" w:fill="auto"/>
            <w:vAlign w:val="center"/>
            <w:hideMark/>
          </w:tcPr>
          <w:p w14:paraId="2FA11987"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df</w:t>
            </w:r>
          </w:p>
        </w:tc>
        <w:tc>
          <w:tcPr>
            <w:tcW w:w="944" w:type="dxa"/>
            <w:tcBorders>
              <w:top w:val="single" w:sz="4" w:space="0" w:color="auto"/>
              <w:bottom w:val="single" w:sz="4" w:space="0" w:color="auto"/>
            </w:tcBorders>
            <w:shd w:val="clear" w:color="auto" w:fill="auto"/>
            <w:vAlign w:val="center"/>
            <w:hideMark/>
          </w:tcPr>
          <w:p w14:paraId="525D18B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1251" w:type="dxa"/>
            <w:tcBorders>
              <w:top w:val="single" w:sz="4" w:space="0" w:color="auto"/>
              <w:bottom w:val="single" w:sz="4" w:space="0" w:color="auto"/>
            </w:tcBorders>
            <w:shd w:val="clear" w:color="auto" w:fill="auto"/>
            <w:vAlign w:val="center"/>
            <w:hideMark/>
          </w:tcPr>
          <w:p w14:paraId="588A5263"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Mean difference</w:t>
            </w:r>
          </w:p>
        </w:tc>
        <w:tc>
          <w:tcPr>
            <w:tcW w:w="944" w:type="dxa"/>
            <w:tcBorders>
              <w:top w:val="single" w:sz="4" w:space="0" w:color="auto"/>
              <w:bottom w:val="single" w:sz="4" w:space="0" w:color="auto"/>
            </w:tcBorders>
            <w:shd w:val="clear" w:color="auto" w:fill="auto"/>
            <w:vAlign w:val="center"/>
            <w:hideMark/>
          </w:tcPr>
          <w:p w14:paraId="4D87905B"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SE</w:t>
            </w:r>
          </w:p>
        </w:tc>
        <w:tc>
          <w:tcPr>
            <w:tcW w:w="1900" w:type="dxa"/>
            <w:gridSpan w:val="2"/>
            <w:tcBorders>
              <w:top w:val="single" w:sz="4" w:space="0" w:color="auto"/>
              <w:bottom w:val="single" w:sz="4" w:space="0" w:color="auto"/>
            </w:tcBorders>
            <w:shd w:val="clear" w:color="auto" w:fill="auto"/>
            <w:vAlign w:val="center"/>
            <w:hideMark/>
          </w:tcPr>
          <w:p w14:paraId="64B9DE94"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95%-CI</w:t>
            </w:r>
          </w:p>
        </w:tc>
      </w:tr>
      <w:tr w:rsidR="00E6060C" w:rsidRPr="00E6060C" w14:paraId="01773F77" w14:textId="77777777" w:rsidTr="005852AD">
        <w:trPr>
          <w:trHeight w:val="290"/>
        </w:trPr>
        <w:tc>
          <w:tcPr>
            <w:tcW w:w="3261" w:type="dxa"/>
            <w:tcBorders>
              <w:top w:val="single" w:sz="4" w:space="0" w:color="auto"/>
            </w:tcBorders>
            <w:shd w:val="clear" w:color="auto" w:fill="auto"/>
            <w:vAlign w:val="center"/>
          </w:tcPr>
          <w:p w14:paraId="1E7FD9A9" w14:textId="77777777" w:rsidR="00E6060C" w:rsidRPr="00E6060C" w:rsidRDefault="00E6060C" w:rsidP="00E6060C">
            <w:pPr>
              <w:spacing w:line="240" w:lineRule="auto"/>
              <w:contextualSpacing/>
              <w:jc w:val="center"/>
              <w:rPr>
                <w:rFonts w:ascii="Calibri" w:eastAsia="Times New Roman" w:hAnsi="Calibri" w:cs="Times New Roman"/>
                <w:b/>
                <w:bCs/>
                <w:color w:val="000000"/>
                <w:lang w:eastAsia="en-GB"/>
              </w:rPr>
            </w:pPr>
          </w:p>
        </w:tc>
        <w:tc>
          <w:tcPr>
            <w:tcW w:w="1555" w:type="dxa"/>
            <w:tcBorders>
              <w:top w:val="single" w:sz="4" w:space="0" w:color="auto"/>
            </w:tcBorders>
            <w:shd w:val="clear" w:color="auto" w:fill="auto"/>
            <w:vAlign w:val="center"/>
          </w:tcPr>
          <w:p w14:paraId="29CDDBF2"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p>
        </w:tc>
        <w:tc>
          <w:tcPr>
            <w:tcW w:w="948" w:type="dxa"/>
            <w:tcBorders>
              <w:top w:val="single" w:sz="4" w:space="0" w:color="auto"/>
            </w:tcBorders>
            <w:shd w:val="clear" w:color="auto" w:fill="auto"/>
            <w:vAlign w:val="center"/>
          </w:tcPr>
          <w:p w14:paraId="597BAB8E" w14:textId="77777777" w:rsidR="00E6060C" w:rsidRPr="00E6060C" w:rsidRDefault="00E6060C" w:rsidP="00E6060C">
            <w:pPr>
              <w:spacing w:line="240" w:lineRule="auto"/>
              <w:contextualSpacing/>
              <w:jc w:val="center"/>
              <w:rPr>
                <w:rFonts w:ascii="Calibri" w:eastAsia="Calibri" w:hAnsi="Calibri" w:cs="Times New Roman"/>
                <w:color w:val="000000"/>
              </w:rPr>
            </w:pPr>
          </w:p>
        </w:tc>
        <w:tc>
          <w:tcPr>
            <w:tcW w:w="944" w:type="dxa"/>
            <w:tcBorders>
              <w:top w:val="single" w:sz="4" w:space="0" w:color="auto"/>
              <w:right w:val="single" w:sz="4" w:space="0" w:color="auto"/>
            </w:tcBorders>
            <w:shd w:val="clear" w:color="auto" w:fill="auto"/>
            <w:vAlign w:val="center"/>
          </w:tcPr>
          <w:p w14:paraId="78713BDA" w14:textId="77777777" w:rsidR="00E6060C" w:rsidRPr="00E6060C" w:rsidRDefault="00E6060C" w:rsidP="00E6060C">
            <w:pPr>
              <w:spacing w:line="240" w:lineRule="auto"/>
              <w:contextualSpacing/>
              <w:jc w:val="center"/>
              <w:rPr>
                <w:rFonts w:ascii="Calibri" w:eastAsia="Calibri" w:hAnsi="Calibri" w:cs="Times New Roman"/>
                <w:color w:val="000000"/>
              </w:rPr>
            </w:pPr>
          </w:p>
        </w:tc>
        <w:tc>
          <w:tcPr>
            <w:tcW w:w="946" w:type="dxa"/>
            <w:tcBorders>
              <w:top w:val="single" w:sz="4" w:space="0" w:color="auto"/>
              <w:left w:val="single" w:sz="4" w:space="0" w:color="auto"/>
            </w:tcBorders>
            <w:shd w:val="clear" w:color="auto" w:fill="auto"/>
            <w:vAlign w:val="center"/>
          </w:tcPr>
          <w:p w14:paraId="2B120F2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p>
        </w:tc>
        <w:tc>
          <w:tcPr>
            <w:tcW w:w="948" w:type="dxa"/>
            <w:tcBorders>
              <w:top w:val="single" w:sz="4" w:space="0" w:color="auto"/>
            </w:tcBorders>
            <w:shd w:val="clear" w:color="auto" w:fill="auto"/>
            <w:vAlign w:val="center"/>
          </w:tcPr>
          <w:p w14:paraId="6EDC6033"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p>
        </w:tc>
        <w:tc>
          <w:tcPr>
            <w:tcW w:w="944" w:type="dxa"/>
            <w:tcBorders>
              <w:top w:val="single" w:sz="4" w:space="0" w:color="auto"/>
            </w:tcBorders>
            <w:shd w:val="clear" w:color="auto" w:fill="auto"/>
            <w:vAlign w:val="center"/>
          </w:tcPr>
          <w:p w14:paraId="1763693C"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p>
        </w:tc>
        <w:tc>
          <w:tcPr>
            <w:tcW w:w="1251" w:type="dxa"/>
            <w:tcBorders>
              <w:top w:val="single" w:sz="4" w:space="0" w:color="auto"/>
            </w:tcBorders>
            <w:shd w:val="clear" w:color="auto" w:fill="auto"/>
            <w:vAlign w:val="center"/>
          </w:tcPr>
          <w:p w14:paraId="5BC8DB11"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p>
        </w:tc>
        <w:tc>
          <w:tcPr>
            <w:tcW w:w="944" w:type="dxa"/>
            <w:tcBorders>
              <w:top w:val="single" w:sz="4" w:space="0" w:color="auto"/>
            </w:tcBorders>
            <w:shd w:val="clear" w:color="auto" w:fill="auto"/>
            <w:vAlign w:val="center"/>
          </w:tcPr>
          <w:p w14:paraId="438904D3"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p>
        </w:tc>
        <w:tc>
          <w:tcPr>
            <w:tcW w:w="949" w:type="dxa"/>
            <w:tcBorders>
              <w:top w:val="single" w:sz="4" w:space="0" w:color="auto"/>
              <w:bottom w:val="single" w:sz="4" w:space="0" w:color="auto"/>
            </w:tcBorders>
            <w:shd w:val="clear" w:color="auto" w:fill="auto"/>
            <w:vAlign w:val="center"/>
          </w:tcPr>
          <w:p w14:paraId="7A8AF0D5"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LL</w:t>
            </w:r>
          </w:p>
        </w:tc>
        <w:tc>
          <w:tcPr>
            <w:tcW w:w="951" w:type="dxa"/>
            <w:tcBorders>
              <w:top w:val="single" w:sz="4" w:space="0" w:color="auto"/>
              <w:bottom w:val="single" w:sz="4" w:space="0" w:color="auto"/>
            </w:tcBorders>
            <w:shd w:val="clear" w:color="auto" w:fill="auto"/>
            <w:vAlign w:val="center"/>
          </w:tcPr>
          <w:p w14:paraId="3F4627F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UL</w:t>
            </w:r>
          </w:p>
        </w:tc>
      </w:tr>
      <w:tr w:rsidR="00E6060C" w:rsidRPr="00E6060C" w14:paraId="530E5A14" w14:textId="77777777" w:rsidTr="005852AD">
        <w:trPr>
          <w:trHeight w:val="369"/>
        </w:trPr>
        <w:tc>
          <w:tcPr>
            <w:tcW w:w="3261" w:type="dxa"/>
            <w:shd w:val="clear" w:color="auto" w:fill="auto"/>
            <w:vAlign w:val="center"/>
            <w:hideMark/>
          </w:tcPr>
          <w:p w14:paraId="56CA75D2" w14:textId="77777777" w:rsidR="00E6060C" w:rsidRPr="00E6060C" w:rsidRDefault="00E6060C" w:rsidP="00E6060C">
            <w:pPr>
              <w:spacing w:line="240" w:lineRule="auto"/>
              <w:contextualSpacing/>
              <w:rPr>
                <w:rFonts w:ascii="Calibri" w:eastAsia="Times New Roman" w:hAnsi="Calibri" w:cs="Times New Roman"/>
                <w:color w:val="000000"/>
                <w:lang w:eastAsia="en-GB"/>
              </w:rPr>
            </w:pPr>
            <w:r w:rsidRPr="00E6060C">
              <w:rPr>
                <w:rFonts w:ascii="Calibri" w:eastAsia="Times New Roman" w:hAnsi="Calibri" w:cs="Times New Roman"/>
                <w:b/>
                <w:bCs/>
                <w:color w:val="000000"/>
                <w:lang w:eastAsia="en-GB"/>
              </w:rPr>
              <w:t>Colleague support</w:t>
            </w:r>
          </w:p>
        </w:tc>
        <w:tc>
          <w:tcPr>
            <w:tcW w:w="1555" w:type="dxa"/>
            <w:shd w:val="clear" w:color="auto" w:fill="auto"/>
            <w:vAlign w:val="center"/>
            <w:hideMark/>
          </w:tcPr>
          <w:p w14:paraId="3016DEF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shd w:val="clear" w:color="auto" w:fill="auto"/>
            <w:vAlign w:val="center"/>
            <w:hideMark/>
          </w:tcPr>
          <w:p w14:paraId="7874A1B0"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4.75</w:t>
            </w:r>
          </w:p>
        </w:tc>
        <w:tc>
          <w:tcPr>
            <w:tcW w:w="944" w:type="dxa"/>
            <w:tcBorders>
              <w:right w:val="single" w:sz="4" w:space="0" w:color="auto"/>
            </w:tcBorders>
            <w:shd w:val="clear" w:color="auto" w:fill="auto"/>
            <w:vAlign w:val="center"/>
            <w:hideMark/>
          </w:tcPr>
          <w:p w14:paraId="2D6BD5B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.04*</w:t>
            </w:r>
          </w:p>
        </w:tc>
        <w:tc>
          <w:tcPr>
            <w:tcW w:w="946" w:type="dxa"/>
            <w:tcBorders>
              <w:left w:val="single" w:sz="4" w:space="0" w:color="auto"/>
            </w:tcBorders>
            <w:shd w:val="clear" w:color="auto" w:fill="auto"/>
            <w:vAlign w:val="center"/>
            <w:hideMark/>
          </w:tcPr>
          <w:p w14:paraId="1CF2EC8E"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-1.70</w:t>
            </w:r>
          </w:p>
        </w:tc>
        <w:tc>
          <w:tcPr>
            <w:tcW w:w="948" w:type="dxa"/>
            <w:shd w:val="clear" w:color="auto" w:fill="auto"/>
            <w:vAlign w:val="center"/>
            <w:hideMark/>
          </w:tcPr>
          <w:p w14:paraId="2E69CEF7"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19.24</w:t>
            </w:r>
          </w:p>
        </w:tc>
        <w:tc>
          <w:tcPr>
            <w:tcW w:w="944" w:type="dxa"/>
            <w:shd w:val="clear" w:color="auto" w:fill="auto"/>
            <w:vAlign w:val="center"/>
            <w:hideMark/>
          </w:tcPr>
          <w:p w14:paraId="2C35A93B"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.11</w:t>
            </w:r>
          </w:p>
        </w:tc>
        <w:tc>
          <w:tcPr>
            <w:tcW w:w="1251" w:type="dxa"/>
            <w:shd w:val="clear" w:color="auto" w:fill="auto"/>
            <w:vAlign w:val="center"/>
            <w:hideMark/>
          </w:tcPr>
          <w:p w14:paraId="21AA0B8F"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Calibri" w:hAnsi="Calibri" w:cs="Times New Roman"/>
                <w:color w:val="000000"/>
              </w:rPr>
              <w:t>-.55</w:t>
            </w:r>
          </w:p>
        </w:tc>
        <w:tc>
          <w:tcPr>
            <w:tcW w:w="944" w:type="dxa"/>
            <w:shd w:val="clear" w:color="auto" w:fill="auto"/>
            <w:vAlign w:val="center"/>
            <w:hideMark/>
          </w:tcPr>
          <w:p w14:paraId="138A3F99"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Calibri" w:hAnsi="Calibri" w:cs="Times New Roman"/>
                <w:color w:val="000000"/>
              </w:rPr>
              <w:t>.32</w:t>
            </w:r>
          </w:p>
        </w:tc>
        <w:tc>
          <w:tcPr>
            <w:tcW w:w="949" w:type="dxa"/>
            <w:tcBorders>
              <w:top w:val="single" w:sz="4" w:space="0" w:color="auto"/>
            </w:tcBorders>
            <w:shd w:val="clear" w:color="auto" w:fill="auto"/>
            <w:vAlign w:val="center"/>
          </w:tcPr>
          <w:p w14:paraId="39B69178"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-1.22</w:t>
            </w:r>
          </w:p>
        </w:tc>
        <w:tc>
          <w:tcPr>
            <w:tcW w:w="951" w:type="dxa"/>
            <w:tcBorders>
              <w:top w:val="single" w:sz="4" w:space="0" w:color="auto"/>
            </w:tcBorders>
            <w:shd w:val="clear" w:color="auto" w:fill="auto"/>
            <w:vAlign w:val="center"/>
          </w:tcPr>
          <w:p w14:paraId="2BF78DF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.13</w:t>
            </w:r>
          </w:p>
        </w:tc>
      </w:tr>
      <w:tr w:rsidR="00E6060C" w:rsidRPr="00E6060C" w14:paraId="3D56831C" w14:textId="77777777" w:rsidTr="005852AD">
        <w:trPr>
          <w:trHeight w:val="369"/>
        </w:trPr>
        <w:tc>
          <w:tcPr>
            <w:tcW w:w="3261" w:type="dxa"/>
            <w:shd w:val="clear" w:color="auto" w:fill="auto"/>
            <w:vAlign w:val="center"/>
          </w:tcPr>
          <w:p w14:paraId="68A29C30"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Influence in decision-making</w:t>
            </w:r>
          </w:p>
        </w:tc>
        <w:tc>
          <w:tcPr>
            <w:tcW w:w="1555" w:type="dxa"/>
            <w:shd w:val="clear" w:color="auto" w:fill="auto"/>
            <w:vAlign w:val="center"/>
          </w:tcPr>
          <w:p w14:paraId="414EBEF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0502032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.89</w:t>
            </w:r>
          </w:p>
        </w:tc>
        <w:tc>
          <w:tcPr>
            <w:tcW w:w="944" w:type="dxa"/>
            <w:tcBorders>
              <w:right w:val="single" w:sz="4" w:space="0" w:color="auto"/>
            </w:tcBorders>
            <w:shd w:val="clear" w:color="auto" w:fill="auto"/>
            <w:noWrap/>
            <w:vAlign w:val="center"/>
          </w:tcPr>
          <w:p w14:paraId="393F795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.35</w:t>
            </w:r>
          </w:p>
        </w:tc>
        <w:tc>
          <w:tcPr>
            <w:tcW w:w="946" w:type="dxa"/>
            <w:tcBorders>
              <w:left w:val="single" w:sz="4" w:space="0" w:color="auto"/>
            </w:tcBorders>
            <w:shd w:val="clear" w:color="auto" w:fill="auto"/>
            <w:noWrap/>
            <w:vAlign w:val="center"/>
          </w:tcPr>
          <w:p w14:paraId="531F8CD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-1.02</w:t>
            </w:r>
          </w:p>
        </w:tc>
        <w:tc>
          <w:tcPr>
            <w:tcW w:w="948" w:type="dxa"/>
            <w:shd w:val="clear" w:color="auto" w:fill="auto"/>
            <w:noWrap/>
            <w:vAlign w:val="center"/>
          </w:tcPr>
          <w:p w14:paraId="7C6C27A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43.00</w:t>
            </w:r>
          </w:p>
        </w:tc>
        <w:tc>
          <w:tcPr>
            <w:tcW w:w="944" w:type="dxa"/>
            <w:shd w:val="clear" w:color="auto" w:fill="auto"/>
            <w:noWrap/>
            <w:vAlign w:val="center"/>
          </w:tcPr>
          <w:p w14:paraId="5C3AB11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1251" w:type="dxa"/>
            <w:shd w:val="clear" w:color="auto" w:fill="auto"/>
            <w:noWrap/>
            <w:vAlign w:val="center"/>
          </w:tcPr>
          <w:p w14:paraId="52A8EE2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944" w:type="dxa"/>
            <w:shd w:val="clear" w:color="auto" w:fill="auto"/>
            <w:noWrap/>
            <w:vAlign w:val="center"/>
          </w:tcPr>
          <w:p w14:paraId="35C5922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949" w:type="dxa"/>
            <w:shd w:val="clear" w:color="auto" w:fill="auto"/>
            <w:noWrap/>
            <w:vAlign w:val="center"/>
          </w:tcPr>
          <w:p w14:paraId="7785CF2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-.89</w:t>
            </w:r>
          </w:p>
        </w:tc>
        <w:tc>
          <w:tcPr>
            <w:tcW w:w="951" w:type="dxa"/>
            <w:shd w:val="clear" w:color="auto" w:fill="auto"/>
            <w:noWrap/>
            <w:vAlign w:val="center"/>
          </w:tcPr>
          <w:p w14:paraId="63688F8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r>
      <w:tr w:rsidR="00E6060C" w:rsidRPr="00E6060C" w14:paraId="76EEA615" w14:textId="77777777" w:rsidTr="005852AD">
        <w:trPr>
          <w:trHeight w:val="369"/>
        </w:trPr>
        <w:tc>
          <w:tcPr>
            <w:tcW w:w="3261" w:type="dxa"/>
            <w:shd w:val="clear" w:color="auto" w:fill="auto"/>
            <w:vAlign w:val="center"/>
          </w:tcPr>
          <w:p w14:paraId="3AF09FF1"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Resources and demands</w:t>
            </w:r>
          </w:p>
        </w:tc>
        <w:tc>
          <w:tcPr>
            <w:tcW w:w="1555" w:type="dxa"/>
            <w:shd w:val="clear" w:color="auto" w:fill="auto"/>
            <w:vAlign w:val="center"/>
          </w:tcPr>
          <w:p w14:paraId="3C34A11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shd w:val="clear" w:color="auto" w:fill="auto"/>
            <w:noWrap/>
            <w:vAlign w:val="center"/>
          </w:tcPr>
          <w:p w14:paraId="4A13CBB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5.81</w:t>
            </w:r>
          </w:p>
        </w:tc>
        <w:tc>
          <w:tcPr>
            <w:tcW w:w="944" w:type="dxa"/>
            <w:tcBorders>
              <w:right w:val="single" w:sz="4" w:space="0" w:color="auto"/>
            </w:tcBorders>
            <w:shd w:val="clear" w:color="auto" w:fill="auto"/>
            <w:noWrap/>
            <w:vAlign w:val="center"/>
          </w:tcPr>
          <w:p w14:paraId="747AEA5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.02*</w:t>
            </w:r>
          </w:p>
        </w:tc>
        <w:tc>
          <w:tcPr>
            <w:tcW w:w="946" w:type="dxa"/>
            <w:tcBorders>
              <w:left w:val="single" w:sz="4" w:space="0" w:color="auto"/>
            </w:tcBorders>
            <w:shd w:val="clear" w:color="auto" w:fill="auto"/>
            <w:noWrap/>
            <w:vAlign w:val="center"/>
          </w:tcPr>
          <w:p w14:paraId="2A7D1B0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-.81</w:t>
            </w:r>
          </w:p>
        </w:tc>
        <w:tc>
          <w:tcPr>
            <w:tcW w:w="948" w:type="dxa"/>
            <w:shd w:val="clear" w:color="auto" w:fill="auto"/>
            <w:noWrap/>
            <w:vAlign w:val="center"/>
          </w:tcPr>
          <w:p w14:paraId="1C825BC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42.15</w:t>
            </w:r>
          </w:p>
        </w:tc>
        <w:tc>
          <w:tcPr>
            <w:tcW w:w="944" w:type="dxa"/>
            <w:shd w:val="clear" w:color="auto" w:fill="auto"/>
            <w:noWrap/>
            <w:vAlign w:val="center"/>
          </w:tcPr>
          <w:p w14:paraId="50075CF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.42</w:t>
            </w:r>
          </w:p>
        </w:tc>
        <w:tc>
          <w:tcPr>
            <w:tcW w:w="1251" w:type="dxa"/>
            <w:shd w:val="clear" w:color="auto" w:fill="auto"/>
            <w:noWrap/>
            <w:vAlign w:val="center"/>
          </w:tcPr>
          <w:p w14:paraId="45859B9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w:t>
            </w:r>
          </w:p>
        </w:tc>
        <w:tc>
          <w:tcPr>
            <w:tcW w:w="944" w:type="dxa"/>
            <w:shd w:val="clear" w:color="auto" w:fill="auto"/>
            <w:noWrap/>
            <w:vAlign w:val="center"/>
          </w:tcPr>
          <w:p w14:paraId="31AEA40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w:t>
            </w:r>
          </w:p>
        </w:tc>
        <w:tc>
          <w:tcPr>
            <w:tcW w:w="949" w:type="dxa"/>
            <w:shd w:val="clear" w:color="auto" w:fill="auto"/>
            <w:noWrap/>
            <w:vAlign w:val="center"/>
          </w:tcPr>
          <w:p w14:paraId="13D6A46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-.56</w:t>
            </w:r>
          </w:p>
        </w:tc>
        <w:tc>
          <w:tcPr>
            <w:tcW w:w="951" w:type="dxa"/>
            <w:shd w:val="clear" w:color="auto" w:fill="auto"/>
            <w:noWrap/>
            <w:vAlign w:val="center"/>
          </w:tcPr>
          <w:p w14:paraId="2C6D44A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.24</w:t>
            </w:r>
          </w:p>
        </w:tc>
      </w:tr>
      <w:tr w:rsidR="00E6060C" w:rsidRPr="00E6060C" w14:paraId="22BF6A79" w14:textId="77777777" w:rsidTr="005852AD">
        <w:trPr>
          <w:trHeight w:val="369"/>
        </w:trPr>
        <w:tc>
          <w:tcPr>
            <w:tcW w:w="3261" w:type="dxa"/>
            <w:shd w:val="clear" w:color="auto" w:fill="auto"/>
            <w:vAlign w:val="center"/>
          </w:tcPr>
          <w:p w14:paraId="3C666C6A"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Autonomy</w:t>
            </w:r>
          </w:p>
        </w:tc>
        <w:tc>
          <w:tcPr>
            <w:tcW w:w="1555" w:type="dxa"/>
            <w:shd w:val="clear" w:color="auto" w:fill="auto"/>
            <w:vAlign w:val="center"/>
          </w:tcPr>
          <w:p w14:paraId="4059F0D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5579CCE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3.52</w:t>
            </w:r>
          </w:p>
        </w:tc>
        <w:tc>
          <w:tcPr>
            <w:tcW w:w="944" w:type="dxa"/>
            <w:tcBorders>
              <w:right w:val="single" w:sz="4" w:space="0" w:color="auto"/>
            </w:tcBorders>
            <w:shd w:val="clear" w:color="auto" w:fill="auto"/>
            <w:noWrap/>
            <w:vAlign w:val="center"/>
          </w:tcPr>
          <w:p w14:paraId="3CB7E2B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.07*</w:t>
            </w:r>
          </w:p>
        </w:tc>
        <w:tc>
          <w:tcPr>
            <w:tcW w:w="946" w:type="dxa"/>
            <w:tcBorders>
              <w:left w:val="single" w:sz="4" w:space="0" w:color="auto"/>
            </w:tcBorders>
            <w:shd w:val="clear" w:color="auto" w:fill="auto"/>
            <w:noWrap/>
            <w:vAlign w:val="center"/>
          </w:tcPr>
          <w:p w14:paraId="7580490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-2.33</w:t>
            </w:r>
          </w:p>
        </w:tc>
        <w:tc>
          <w:tcPr>
            <w:tcW w:w="948" w:type="dxa"/>
            <w:shd w:val="clear" w:color="auto" w:fill="auto"/>
            <w:noWrap/>
            <w:vAlign w:val="center"/>
          </w:tcPr>
          <w:p w14:paraId="557FBD7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43.00</w:t>
            </w:r>
          </w:p>
        </w:tc>
        <w:tc>
          <w:tcPr>
            <w:tcW w:w="944" w:type="dxa"/>
            <w:shd w:val="clear" w:color="auto" w:fill="auto"/>
            <w:noWrap/>
            <w:vAlign w:val="center"/>
          </w:tcPr>
          <w:p w14:paraId="209418D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.02*</w:t>
            </w:r>
          </w:p>
        </w:tc>
        <w:tc>
          <w:tcPr>
            <w:tcW w:w="1251" w:type="dxa"/>
            <w:shd w:val="clear" w:color="auto" w:fill="auto"/>
            <w:noWrap/>
            <w:vAlign w:val="center"/>
          </w:tcPr>
          <w:p w14:paraId="6C89695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-.54</w:t>
            </w:r>
          </w:p>
        </w:tc>
        <w:tc>
          <w:tcPr>
            <w:tcW w:w="944" w:type="dxa"/>
            <w:shd w:val="clear" w:color="auto" w:fill="auto"/>
            <w:noWrap/>
            <w:vAlign w:val="center"/>
          </w:tcPr>
          <w:p w14:paraId="6E9BE14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949" w:type="dxa"/>
            <w:shd w:val="clear" w:color="auto" w:fill="auto"/>
            <w:noWrap/>
            <w:vAlign w:val="center"/>
          </w:tcPr>
          <w:p w14:paraId="6D1E98E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-1.01</w:t>
            </w:r>
          </w:p>
        </w:tc>
        <w:tc>
          <w:tcPr>
            <w:tcW w:w="951" w:type="dxa"/>
            <w:shd w:val="clear" w:color="auto" w:fill="auto"/>
            <w:noWrap/>
            <w:vAlign w:val="center"/>
          </w:tcPr>
          <w:p w14:paraId="49DC47E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-.07</w:t>
            </w:r>
          </w:p>
        </w:tc>
      </w:tr>
      <w:tr w:rsidR="00E6060C" w:rsidRPr="00E6060C" w14:paraId="6C2B7FE0" w14:textId="77777777" w:rsidTr="005852AD">
        <w:trPr>
          <w:trHeight w:val="369"/>
        </w:trPr>
        <w:tc>
          <w:tcPr>
            <w:tcW w:w="3261" w:type="dxa"/>
            <w:shd w:val="clear" w:color="auto" w:fill="auto"/>
            <w:vAlign w:val="center"/>
          </w:tcPr>
          <w:p w14:paraId="2464599C"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Competence</w:t>
            </w:r>
          </w:p>
        </w:tc>
        <w:tc>
          <w:tcPr>
            <w:tcW w:w="1555" w:type="dxa"/>
            <w:shd w:val="clear" w:color="auto" w:fill="auto"/>
            <w:vAlign w:val="center"/>
          </w:tcPr>
          <w:p w14:paraId="38CE6B3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61F524D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2.44</w:t>
            </w:r>
          </w:p>
        </w:tc>
        <w:tc>
          <w:tcPr>
            <w:tcW w:w="944" w:type="dxa"/>
            <w:tcBorders>
              <w:right w:val="single" w:sz="4" w:space="0" w:color="auto"/>
            </w:tcBorders>
            <w:shd w:val="clear" w:color="auto" w:fill="auto"/>
            <w:noWrap/>
            <w:vAlign w:val="center"/>
          </w:tcPr>
          <w:p w14:paraId="1493BEA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46" w:type="dxa"/>
            <w:tcBorders>
              <w:left w:val="single" w:sz="4" w:space="0" w:color="auto"/>
            </w:tcBorders>
            <w:shd w:val="clear" w:color="auto" w:fill="auto"/>
            <w:noWrap/>
            <w:vAlign w:val="center"/>
          </w:tcPr>
          <w:p w14:paraId="0305BF0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-3.07</w:t>
            </w:r>
          </w:p>
        </w:tc>
        <w:tc>
          <w:tcPr>
            <w:tcW w:w="948" w:type="dxa"/>
            <w:shd w:val="clear" w:color="auto" w:fill="auto"/>
            <w:noWrap/>
            <w:vAlign w:val="center"/>
          </w:tcPr>
          <w:p w14:paraId="0E7DFF0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42.00</w:t>
            </w:r>
          </w:p>
        </w:tc>
        <w:tc>
          <w:tcPr>
            <w:tcW w:w="944" w:type="dxa"/>
            <w:shd w:val="clear" w:color="auto" w:fill="auto"/>
            <w:noWrap/>
            <w:vAlign w:val="center"/>
          </w:tcPr>
          <w:p w14:paraId="12AE869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&lt;.01*</w:t>
            </w:r>
          </w:p>
        </w:tc>
        <w:tc>
          <w:tcPr>
            <w:tcW w:w="1251" w:type="dxa"/>
            <w:shd w:val="clear" w:color="auto" w:fill="auto"/>
            <w:noWrap/>
            <w:vAlign w:val="center"/>
          </w:tcPr>
          <w:p w14:paraId="4C6D484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-.77</w:t>
            </w:r>
          </w:p>
        </w:tc>
        <w:tc>
          <w:tcPr>
            <w:tcW w:w="944" w:type="dxa"/>
            <w:shd w:val="clear" w:color="auto" w:fill="auto"/>
            <w:noWrap/>
            <w:vAlign w:val="center"/>
          </w:tcPr>
          <w:p w14:paraId="177AE9A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949" w:type="dxa"/>
            <w:shd w:val="clear" w:color="auto" w:fill="auto"/>
            <w:noWrap/>
            <w:vAlign w:val="center"/>
          </w:tcPr>
          <w:p w14:paraId="6163141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-1.28</w:t>
            </w:r>
          </w:p>
        </w:tc>
        <w:tc>
          <w:tcPr>
            <w:tcW w:w="951" w:type="dxa"/>
            <w:shd w:val="clear" w:color="auto" w:fill="auto"/>
            <w:noWrap/>
            <w:vAlign w:val="center"/>
          </w:tcPr>
          <w:p w14:paraId="3106C7C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-.26</w:t>
            </w:r>
          </w:p>
        </w:tc>
      </w:tr>
      <w:tr w:rsidR="00E6060C" w:rsidRPr="00E6060C" w14:paraId="7618FCDC" w14:textId="77777777" w:rsidTr="005852AD">
        <w:trPr>
          <w:trHeight w:val="369"/>
        </w:trPr>
        <w:tc>
          <w:tcPr>
            <w:tcW w:w="3261" w:type="dxa"/>
            <w:shd w:val="clear" w:color="auto" w:fill="auto"/>
            <w:vAlign w:val="center"/>
          </w:tcPr>
          <w:p w14:paraId="5BD59901"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Relatedness</w:t>
            </w:r>
          </w:p>
        </w:tc>
        <w:tc>
          <w:tcPr>
            <w:tcW w:w="1555" w:type="dxa"/>
            <w:shd w:val="clear" w:color="auto" w:fill="auto"/>
            <w:vAlign w:val="center"/>
          </w:tcPr>
          <w:p w14:paraId="2C5B931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5027412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.03</w:t>
            </w:r>
          </w:p>
        </w:tc>
        <w:tc>
          <w:tcPr>
            <w:tcW w:w="944" w:type="dxa"/>
            <w:tcBorders>
              <w:right w:val="single" w:sz="4" w:space="0" w:color="auto"/>
            </w:tcBorders>
            <w:shd w:val="clear" w:color="auto" w:fill="auto"/>
            <w:noWrap/>
            <w:vAlign w:val="center"/>
          </w:tcPr>
          <w:p w14:paraId="0CFC81C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.87</w:t>
            </w:r>
          </w:p>
        </w:tc>
        <w:tc>
          <w:tcPr>
            <w:tcW w:w="946" w:type="dxa"/>
            <w:tcBorders>
              <w:left w:val="single" w:sz="4" w:space="0" w:color="auto"/>
            </w:tcBorders>
            <w:shd w:val="clear" w:color="auto" w:fill="auto"/>
            <w:noWrap/>
            <w:vAlign w:val="center"/>
          </w:tcPr>
          <w:p w14:paraId="4E0AFFF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-1.98</w:t>
            </w:r>
          </w:p>
        </w:tc>
        <w:tc>
          <w:tcPr>
            <w:tcW w:w="948" w:type="dxa"/>
            <w:shd w:val="clear" w:color="auto" w:fill="auto"/>
            <w:noWrap/>
            <w:vAlign w:val="center"/>
          </w:tcPr>
          <w:p w14:paraId="17097BD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42.00</w:t>
            </w:r>
          </w:p>
        </w:tc>
        <w:tc>
          <w:tcPr>
            <w:tcW w:w="944" w:type="dxa"/>
            <w:shd w:val="clear" w:color="auto" w:fill="auto"/>
            <w:noWrap/>
            <w:vAlign w:val="center"/>
          </w:tcPr>
          <w:p w14:paraId="61DFF4C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c>
          <w:tcPr>
            <w:tcW w:w="1251" w:type="dxa"/>
            <w:shd w:val="clear" w:color="auto" w:fill="auto"/>
            <w:noWrap/>
            <w:vAlign w:val="center"/>
          </w:tcPr>
          <w:p w14:paraId="67BDD5F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944" w:type="dxa"/>
            <w:shd w:val="clear" w:color="auto" w:fill="auto"/>
            <w:noWrap/>
            <w:vAlign w:val="center"/>
          </w:tcPr>
          <w:p w14:paraId="78C78CD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949" w:type="dxa"/>
            <w:shd w:val="clear" w:color="auto" w:fill="auto"/>
            <w:noWrap/>
            <w:vAlign w:val="center"/>
          </w:tcPr>
          <w:p w14:paraId="1A7257C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-.91</w:t>
            </w:r>
          </w:p>
        </w:tc>
        <w:tc>
          <w:tcPr>
            <w:tcW w:w="951" w:type="dxa"/>
            <w:shd w:val="clear" w:color="auto" w:fill="auto"/>
            <w:noWrap/>
            <w:vAlign w:val="center"/>
          </w:tcPr>
          <w:p w14:paraId="2F9EB1D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-.01</w:t>
            </w:r>
          </w:p>
        </w:tc>
      </w:tr>
      <w:tr w:rsidR="00E6060C" w:rsidRPr="00E6060C" w14:paraId="6DA25227" w14:textId="77777777" w:rsidTr="005852AD">
        <w:trPr>
          <w:trHeight w:val="369"/>
        </w:trPr>
        <w:tc>
          <w:tcPr>
            <w:tcW w:w="3261" w:type="dxa"/>
            <w:shd w:val="clear" w:color="auto" w:fill="auto"/>
            <w:vAlign w:val="center"/>
          </w:tcPr>
          <w:p w14:paraId="37A984E0"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Work engagement</w:t>
            </w:r>
          </w:p>
        </w:tc>
        <w:tc>
          <w:tcPr>
            <w:tcW w:w="1555" w:type="dxa"/>
            <w:shd w:val="clear" w:color="auto" w:fill="auto"/>
            <w:vAlign w:val="center"/>
          </w:tcPr>
          <w:p w14:paraId="7D5B501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shd w:val="clear" w:color="auto" w:fill="auto"/>
            <w:noWrap/>
            <w:vAlign w:val="center"/>
          </w:tcPr>
          <w:p w14:paraId="331BECC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8.18</w:t>
            </w:r>
          </w:p>
        </w:tc>
        <w:tc>
          <w:tcPr>
            <w:tcW w:w="944" w:type="dxa"/>
            <w:tcBorders>
              <w:right w:val="single" w:sz="4" w:space="0" w:color="auto"/>
            </w:tcBorders>
            <w:shd w:val="clear" w:color="auto" w:fill="auto"/>
            <w:noWrap/>
            <w:vAlign w:val="center"/>
          </w:tcPr>
          <w:p w14:paraId="51575C2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.01*</w:t>
            </w:r>
          </w:p>
        </w:tc>
        <w:tc>
          <w:tcPr>
            <w:tcW w:w="946" w:type="dxa"/>
            <w:tcBorders>
              <w:left w:val="single" w:sz="4" w:space="0" w:color="auto"/>
            </w:tcBorders>
            <w:shd w:val="clear" w:color="auto" w:fill="auto"/>
            <w:noWrap/>
            <w:vAlign w:val="center"/>
          </w:tcPr>
          <w:p w14:paraId="1F76C6B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-2.39</w:t>
            </w:r>
          </w:p>
        </w:tc>
        <w:tc>
          <w:tcPr>
            <w:tcW w:w="948" w:type="dxa"/>
            <w:shd w:val="clear" w:color="auto" w:fill="auto"/>
            <w:noWrap/>
            <w:vAlign w:val="center"/>
          </w:tcPr>
          <w:p w14:paraId="2AB23B1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15.88</w:t>
            </w:r>
          </w:p>
        </w:tc>
        <w:tc>
          <w:tcPr>
            <w:tcW w:w="944" w:type="dxa"/>
            <w:shd w:val="clear" w:color="auto" w:fill="auto"/>
            <w:noWrap/>
            <w:vAlign w:val="center"/>
          </w:tcPr>
          <w:p w14:paraId="1290B3D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.03*</w:t>
            </w:r>
          </w:p>
        </w:tc>
        <w:tc>
          <w:tcPr>
            <w:tcW w:w="1251" w:type="dxa"/>
            <w:shd w:val="clear" w:color="auto" w:fill="auto"/>
            <w:noWrap/>
            <w:vAlign w:val="center"/>
          </w:tcPr>
          <w:p w14:paraId="544F656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-1.08</w:t>
            </w:r>
          </w:p>
        </w:tc>
        <w:tc>
          <w:tcPr>
            <w:tcW w:w="944" w:type="dxa"/>
            <w:shd w:val="clear" w:color="auto" w:fill="auto"/>
            <w:noWrap/>
            <w:vAlign w:val="center"/>
          </w:tcPr>
          <w:p w14:paraId="04F2837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949" w:type="dxa"/>
            <w:shd w:val="clear" w:color="auto" w:fill="auto"/>
            <w:noWrap/>
            <w:vAlign w:val="center"/>
          </w:tcPr>
          <w:p w14:paraId="66A9BAD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-2.04</w:t>
            </w:r>
          </w:p>
        </w:tc>
        <w:tc>
          <w:tcPr>
            <w:tcW w:w="951" w:type="dxa"/>
            <w:shd w:val="clear" w:color="auto" w:fill="auto"/>
            <w:noWrap/>
            <w:vAlign w:val="center"/>
          </w:tcPr>
          <w:p w14:paraId="1872228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r>
      <w:tr w:rsidR="00E6060C" w:rsidRPr="00E6060C" w14:paraId="799036B6" w14:textId="77777777" w:rsidTr="005852AD">
        <w:trPr>
          <w:trHeight w:val="369"/>
        </w:trPr>
        <w:tc>
          <w:tcPr>
            <w:tcW w:w="3261" w:type="dxa"/>
            <w:shd w:val="clear" w:color="auto" w:fill="auto"/>
            <w:vAlign w:val="center"/>
          </w:tcPr>
          <w:p w14:paraId="07369137"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High activation unpleasant affect</w:t>
            </w:r>
          </w:p>
        </w:tc>
        <w:tc>
          <w:tcPr>
            <w:tcW w:w="1555" w:type="dxa"/>
            <w:shd w:val="clear" w:color="auto" w:fill="auto"/>
            <w:vAlign w:val="center"/>
          </w:tcPr>
          <w:p w14:paraId="536DA5F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3084333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.54</w:t>
            </w:r>
          </w:p>
        </w:tc>
        <w:tc>
          <w:tcPr>
            <w:tcW w:w="944" w:type="dxa"/>
            <w:tcBorders>
              <w:right w:val="single" w:sz="4" w:space="0" w:color="auto"/>
            </w:tcBorders>
            <w:shd w:val="clear" w:color="auto" w:fill="auto"/>
            <w:noWrap/>
            <w:vAlign w:val="center"/>
          </w:tcPr>
          <w:p w14:paraId="5AAEB4C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.47</w:t>
            </w:r>
          </w:p>
        </w:tc>
        <w:tc>
          <w:tcPr>
            <w:tcW w:w="946" w:type="dxa"/>
            <w:tcBorders>
              <w:left w:val="single" w:sz="4" w:space="0" w:color="auto"/>
            </w:tcBorders>
            <w:shd w:val="clear" w:color="auto" w:fill="auto"/>
            <w:noWrap/>
            <w:vAlign w:val="center"/>
          </w:tcPr>
          <w:p w14:paraId="7B5B102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-.55</w:t>
            </w:r>
          </w:p>
        </w:tc>
        <w:tc>
          <w:tcPr>
            <w:tcW w:w="948" w:type="dxa"/>
            <w:shd w:val="clear" w:color="auto" w:fill="auto"/>
            <w:noWrap/>
            <w:vAlign w:val="center"/>
          </w:tcPr>
          <w:p w14:paraId="6F87E01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4.00</w:t>
            </w:r>
          </w:p>
        </w:tc>
        <w:tc>
          <w:tcPr>
            <w:tcW w:w="944" w:type="dxa"/>
            <w:shd w:val="clear" w:color="auto" w:fill="auto"/>
            <w:noWrap/>
            <w:vAlign w:val="center"/>
          </w:tcPr>
          <w:p w14:paraId="4AADB60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.59</w:t>
            </w:r>
          </w:p>
        </w:tc>
        <w:tc>
          <w:tcPr>
            <w:tcW w:w="1251" w:type="dxa"/>
            <w:shd w:val="clear" w:color="auto" w:fill="auto"/>
            <w:noWrap/>
            <w:vAlign w:val="center"/>
          </w:tcPr>
          <w:p w14:paraId="052D811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944" w:type="dxa"/>
            <w:shd w:val="clear" w:color="auto" w:fill="auto"/>
            <w:noWrap/>
            <w:vAlign w:val="center"/>
          </w:tcPr>
          <w:p w14:paraId="3DBD1E1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949" w:type="dxa"/>
            <w:shd w:val="clear" w:color="auto" w:fill="auto"/>
            <w:noWrap/>
            <w:vAlign w:val="center"/>
          </w:tcPr>
          <w:p w14:paraId="1B37A1E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-.75</w:t>
            </w:r>
          </w:p>
        </w:tc>
        <w:tc>
          <w:tcPr>
            <w:tcW w:w="951" w:type="dxa"/>
            <w:shd w:val="clear" w:color="auto" w:fill="auto"/>
            <w:noWrap/>
            <w:vAlign w:val="center"/>
          </w:tcPr>
          <w:p w14:paraId="404A32E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.43</w:t>
            </w:r>
          </w:p>
        </w:tc>
      </w:tr>
      <w:tr w:rsidR="00E6060C" w:rsidRPr="00E6060C" w14:paraId="6DF7D759" w14:textId="77777777" w:rsidTr="005852AD">
        <w:trPr>
          <w:trHeight w:val="369"/>
        </w:trPr>
        <w:tc>
          <w:tcPr>
            <w:tcW w:w="3261" w:type="dxa"/>
            <w:shd w:val="clear" w:color="auto" w:fill="auto"/>
            <w:vAlign w:val="center"/>
          </w:tcPr>
          <w:p w14:paraId="2C8FE00D"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High activation pleasant affect</w:t>
            </w:r>
          </w:p>
        </w:tc>
        <w:tc>
          <w:tcPr>
            <w:tcW w:w="1555" w:type="dxa"/>
            <w:shd w:val="clear" w:color="auto" w:fill="auto"/>
            <w:vAlign w:val="center"/>
          </w:tcPr>
          <w:p w14:paraId="269316F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73E5873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2.07</w:t>
            </w:r>
          </w:p>
        </w:tc>
        <w:tc>
          <w:tcPr>
            <w:tcW w:w="944" w:type="dxa"/>
            <w:tcBorders>
              <w:right w:val="single" w:sz="4" w:space="0" w:color="auto"/>
            </w:tcBorders>
            <w:shd w:val="clear" w:color="auto" w:fill="auto"/>
            <w:noWrap/>
            <w:vAlign w:val="center"/>
          </w:tcPr>
          <w:p w14:paraId="4781B96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946" w:type="dxa"/>
            <w:tcBorders>
              <w:left w:val="single" w:sz="4" w:space="0" w:color="auto"/>
            </w:tcBorders>
            <w:shd w:val="clear" w:color="auto" w:fill="auto"/>
            <w:noWrap/>
            <w:vAlign w:val="center"/>
          </w:tcPr>
          <w:p w14:paraId="56B3601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-.94</w:t>
            </w:r>
          </w:p>
        </w:tc>
        <w:tc>
          <w:tcPr>
            <w:tcW w:w="948" w:type="dxa"/>
            <w:shd w:val="clear" w:color="auto" w:fill="auto"/>
            <w:noWrap/>
            <w:vAlign w:val="center"/>
          </w:tcPr>
          <w:p w14:paraId="3A7A35D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4.00</w:t>
            </w:r>
          </w:p>
        </w:tc>
        <w:tc>
          <w:tcPr>
            <w:tcW w:w="944" w:type="dxa"/>
            <w:shd w:val="clear" w:color="auto" w:fill="auto"/>
            <w:noWrap/>
            <w:vAlign w:val="center"/>
          </w:tcPr>
          <w:p w14:paraId="7D711B2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.35</w:t>
            </w:r>
          </w:p>
        </w:tc>
        <w:tc>
          <w:tcPr>
            <w:tcW w:w="1251" w:type="dxa"/>
            <w:shd w:val="clear" w:color="auto" w:fill="auto"/>
            <w:noWrap/>
            <w:vAlign w:val="center"/>
          </w:tcPr>
          <w:p w14:paraId="772B860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-.48</w:t>
            </w:r>
          </w:p>
        </w:tc>
        <w:tc>
          <w:tcPr>
            <w:tcW w:w="944" w:type="dxa"/>
            <w:shd w:val="clear" w:color="auto" w:fill="auto"/>
            <w:noWrap/>
            <w:vAlign w:val="center"/>
          </w:tcPr>
          <w:p w14:paraId="5BC192E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.52</w:t>
            </w:r>
          </w:p>
        </w:tc>
        <w:tc>
          <w:tcPr>
            <w:tcW w:w="949" w:type="dxa"/>
            <w:shd w:val="clear" w:color="auto" w:fill="auto"/>
            <w:noWrap/>
            <w:vAlign w:val="center"/>
          </w:tcPr>
          <w:p w14:paraId="2C2CC7F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-1.53</w:t>
            </w:r>
          </w:p>
        </w:tc>
        <w:tc>
          <w:tcPr>
            <w:tcW w:w="951" w:type="dxa"/>
            <w:shd w:val="clear" w:color="auto" w:fill="auto"/>
            <w:noWrap/>
            <w:vAlign w:val="center"/>
          </w:tcPr>
          <w:p w14:paraId="4CFF01E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.56</w:t>
            </w:r>
          </w:p>
        </w:tc>
      </w:tr>
      <w:tr w:rsidR="00E6060C" w:rsidRPr="00E6060C" w14:paraId="113897A6" w14:textId="77777777" w:rsidTr="005852AD">
        <w:trPr>
          <w:trHeight w:val="369"/>
        </w:trPr>
        <w:tc>
          <w:tcPr>
            <w:tcW w:w="3261" w:type="dxa"/>
            <w:shd w:val="clear" w:color="auto" w:fill="auto"/>
            <w:vAlign w:val="center"/>
          </w:tcPr>
          <w:p w14:paraId="580D5D87"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Low activation unpleasant affect</w:t>
            </w:r>
          </w:p>
        </w:tc>
        <w:tc>
          <w:tcPr>
            <w:tcW w:w="1555" w:type="dxa"/>
            <w:shd w:val="clear" w:color="auto" w:fill="auto"/>
            <w:vAlign w:val="center"/>
          </w:tcPr>
          <w:p w14:paraId="13C9E8F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shd w:val="clear" w:color="auto" w:fill="auto"/>
            <w:noWrap/>
            <w:vAlign w:val="center"/>
          </w:tcPr>
          <w:p w14:paraId="43FB65A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c>
          <w:tcPr>
            <w:tcW w:w="944" w:type="dxa"/>
            <w:tcBorders>
              <w:right w:val="single" w:sz="4" w:space="0" w:color="auto"/>
            </w:tcBorders>
            <w:shd w:val="clear" w:color="auto" w:fill="auto"/>
            <w:noWrap/>
            <w:vAlign w:val="center"/>
          </w:tcPr>
          <w:p w14:paraId="1E76D52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.83</w:t>
            </w:r>
          </w:p>
        </w:tc>
        <w:tc>
          <w:tcPr>
            <w:tcW w:w="946" w:type="dxa"/>
            <w:tcBorders>
              <w:left w:val="single" w:sz="4" w:space="0" w:color="auto"/>
            </w:tcBorders>
            <w:shd w:val="clear" w:color="auto" w:fill="auto"/>
            <w:noWrap/>
            <w:vAlign w:val="center"/>
          </w:tcPr>
          <w:p w14:paraId="4FDB7F0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-1.42</w:t>
            </w:r>
          </w:p>
        </w:tc>
        <w:tc>
          <w:tcPr>
            <w:tcW w:w="948" w:type="dxa"/>
            <w:shd w:val="clear" w:color="auto" w:fill="auto"/>
            <w:noWrap/>
            <w:vAlign w:val="center"/>
          </w:tcPr>
          <w:p w14:paraId="32A4E4D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39.00</w:t>
            </w:r>
          </w:p>
        </w:tc>
        <w:tc>
          <w:tcPr>
            <w:tcW w:w="944" w:type="dxa"/>
            <w:shd w:val="clear" w:color="auto" w:fill="auto"/>
            <w:noWrap/>
            <w:vAlign w:val="center"/>
          </w:tcPr>
          <w:p w14:paraId="7AEB056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w:t>
            </w:r>
          </w:p>
        </w:tc>
        <w:tc>
          <w:tcPr>
            <w:tcW w:w="1251" w:type="dxa"/>
            <w:shd w:val="clear" w:color="auto" w:fill="auto"/>
            <w:noWrap/>
            <w:vAlign w:val="center"/>
          </w:tcPr>
          <w:p w14:paraId="253A6A2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944" w:type="dxa"/>
            <w:shd w:val="clear" w:color="auto" w:fill="auto"/>
            <w:noWrap/>
            <w:vAlign w:val="center"/>
          </w:tcPr>
          <w:p w14:paraId="4D0817A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.30</w:t>
            </w:r>
          </w:p>
        </w:tc>
        <w:tc>
          <w:tcPr>
            <w:tcW w:w="949" w:type="dxa"/>
            <w:shd w:val="clear" w:color="auto" w:fill="auto"/>
            <w:noWrap/>
            <w:vAlign w:val="center"/>
          </w:tcPr>
          <w:p w14:paraId="4A7FB98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-1.02</w:t>
            </w:r>
          </w:p>
        </w:tc>
        <w:tc>
          <w:tcPr>
            <w:tcW w:w="951" w:type="dxa"/>
            <w:shd w:val="clear" w:color="auto" w:fill="auto"/>
            <w:noWrap/>
            <w:vAlign w:val="center"/>
          </w:tcPr>
          <w:p w14:paraId="20FC7C4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.18</w:t>
            </w:r>
          </w:p>
        </w:tc>
      </w:tr>
      <w:tr w:rsidR="00E6060C" w:rsidRPr="00E6060C" w14:paraId="1577161C" w14:textId="77777777" w:rsidTr="005852AD">
        <w:trPr>
          <w:trHeight w:val="369"/>
        </w:trPr>
        <w:tc>
          <w:tcPr>
            <w:tcW w:w="3261" w:type="dxa"/>
            <w:tcBorders>
              <w:bottom w:val="single" w:sz="4" w:space="0" w:color="auto"/>
            </w:tcBorders>
            <w:shd w:val="clear" w:color="auto" w:fill="auto"/>
            <w:vAlign w:val="center"/>
          </w:tcPr>
          <w:p w14:paraId="431E6557" w14:textId="77777777" w:rsidR="00E6060C" w:rsidRPr="00E6060C" w:rsidRDefault="00E6060C" w:rsidP="00E6060C">
            <w:pPr>
              <w:spacing w:line="240" w:lineRule="auto"/>
              <w:contextualSpacing/>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1555" w:type="dxa"/>
            <w:tcBorders>
              <w:bottom w:val="single" w:sz="4" w:space="0" w:color="auto"/>
            </w:tcBorders>
            <w:shd w:val="clear" w:color="auto" w:fill="auto"/>
            <w:vAlign w:val="center"/>
          </w:tcPr>
          <w:p w14:paraId="002290A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bottom w:val="single" w:sz="4" w:space="0" w:color="auto"/>
            </w:tcBorders>
            <w:shd w:val="clear" w:color="auto" w:fill="auto"/>
            <w:noWrap/>
            <w:vAlign w:val="center"/>
          </w:tcPr>
          <w:p w14:paraId="491311A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.00</w:t>
            </w:r>
          </w:p>
        </w:tc>
        <w:tc>
          <w:tcPr>
            <w:tcW w:w="944" w:type="dxa"/>
            <w:tcBorders>
              <w:bottom w:val="single" w:sz="4" w:space="0" w:color="auto"/>
              <w:right w:val="single" w:sz="4" w:space="0" w:color="auto"/>
            </w:tcBorders>
            <w:shd w:val="clear" w:color="auto" w:fill="auto"/>
            <w:noWrap/>
            <w:vAlign w:val="center"/>
          </w:tcPr>
          <w:p w14:paraId="7B9A2BF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.98</w:t>
            </w:r>
          </w:p>
        </w:tc>
        <w:tc>
          <w:tcPr>
            <w:tcW w:w="946" w:type="dxa"/>
            <w:tcBorders>
              <w:left w:val="single" w:sz="4" w:space="0" w:color="auto"/>
              <w:bottom w:val="single" w:sz="4" w:space="0" w:color="auto"/>
            </w:tcBorders>
            <w:shd w:val="clear" w:color="auto" w:fill="auto"/>
            <w:noWrap/>
            <w:vAlign w:val="center"/>
          </w:tcPr>
          <w:p w14:paraId="649545D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-.75</w:t>
            </w:r>
          </w:p>
        </w:tc>
        <w:tc>
          <w:tcPr>
            <w:tcW w:w="948" w:type="dxa"/>
            <w:tcBorders>
              <w:bottom w:val="single" w:sz="4" w:space="0" w:color="auto"/>
            </w:tcBorders>
            <w:shd w:val="clear" w:color="auto" w:fill="auto"/>
            <w:noWrap/>
            <w:vAlign w:val="center"/>
          </w:tcPr>
          <w:p w14:paraId="4DA65D3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39.00</w:t>
            </w:r>
          </w:p>
        </w:tc>
        <w:tc>
          <w:tcPr>
            <w:tcW w:w="944" w:type="dxa"/>
            <w:tcBorders>
              <w:bottom w:val="single" w:sz="4" w:space="0" w:color="auto"/>
            </w:tcBorders>
            <w:shd w:val="clear" w:color="auto" w:fill="auto"/>
            <w:noWrap/>
            <w:vAlign w:val="center"/>
          </w:tcPr>
          <w:p w14:paraId="0252113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.46</w:t>
            </w:r>
          </w:p>
        </w:tc>
        <w:tc>
          <w:tcPr>
            <w:tcW w:w="1251" w:type="dxa"/>
            <w:tcBorders>
              <w:bottom w:val="single" w:sz="4" w:space="0" w:color="auto"/>
            </w:tcBorders>
            <w:shd w:val="clear" w:color="auto" w:fill="auto"/>
            <w:noWrap/>
            <w:vAlign w:val="center"/>
          </w:tcPr>
          <w:p w14:paraId="216A705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c>
          <w:tcPr>
            <w:tcW w:w="944" w:type="dxa"/>
            <w:tcBorders>
              <w:bottom w:val="single" w:sz="4" w:space="0" w:color="auto"/>
            </w:tcBorders>
            <w:shd w:val="clear" w:color="auto" w:fill="auto"/>
            <w:noWrap/>
            <w:vAlign w:val="center"/>
          </w:tcPr>
          <w:p w14:paraId="0B63ECB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.44</w:t>
            </w:r>
          </w:p>
        </w:tc>
        <w:tc>
          <w:tcPr>
            <w:tcW w:w="949" w:type="dxa"/>
            <w:tcBorders>
              <w:bottom w:val="single" w:sz="4" w:space="0" w:color="auto"/>
            </w:tcBorders>
            <w:shd w:val="clear" w:color="auto" w:fill="auto"/>
            <w:noWrap/>
            <w:vAlign w:val="center"/>
          </w:tcPr>
          <w:p w14:paraId="137DA4D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-1.21</w:t>
            </w:r>
          </w:p>
        </w:tc>
        <w:tc>
          <w:tcPr>
            <w:tcW w:w="951" w:type="dxa"/>
            <w:tcBorders>
              <w:bottom w:val="single" w:sz="4" w:space="0" w:color="auto"/>
            </w:tcBorders>
            <w:shd w:val="clear" w:color="auto" w:fill="auto"/>
            <w:noWrap/>
            <w:vAlign w:val="center"/>
          </w:tcPr>
          <w:p w14:paraId="56299CF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.55</w:t>
            </w:r>
          </w:p>
        </w:tc>
      </w:tr>
    </w:tbl>
    <w:p w14:paraId="1497DF01"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2152F0FF"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resources, and demands, were scored on a scale of 1 to 5. All other variables were scored on scale of 1 to 7. For all scales, higher scores indicate better results.</w:t>
      </w:r>
    </w:p>
    <w:p w14:paraId="05F432FE"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2</w:t>
      </w:r>
      <w:r w:rsidRPr="00E6060C">
        <w:rPr>
          <w:rFonts w:ascii="Calibri" w:eastAsia="Calibri" w:hAnsi="Calibri" w:cs="Times New Roman"/>
        </w:rPr>
        <w:t>Where Levene’s test for equality of variances indicates that equal variances between groups cannot be assumed (</w:t>
      </w:r>
      <w:r w:rsidRPr="00E6060C">
        <w:rPr>
          <w:rFonts w:ascii="Calibri" w:eastAsia="Calibri" w:hAnsi="Calibri" w:cs="Times New Roman"/>
          <w:i/>
        </w:rPr>
        <w:t>p</w:t>
      </w:r>
      <w:r w:rsidRPr="00E6060C">
        <w:rPr>
          <w:rFonts w:ascii="Calibri" w:eastAsia="Calibri" w:hAnsi="Calibri" w:cs="Times New Roman"/>
        </w:rPr>
        <w:t xml:space="preserve">&lt;.05),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are </w:t>
      </w:r>
      <w:r w:rsidRPr="00E6060C">
        <w:rPr>
          <w:rFonts w:ascii="Calibri" w:eastAsia="Calibri" w:hAnsi="Calibri" w:cs="Times New Roman"/>
          <w:i/>
        </w:rPr>
        <w:t>not</w:t>
      </w:r>
      <w:r w:rsidRPr="00E6060C">
        <w:rPr>
          <w:rFonts w:ascii="Calibri" w:eastAsia="Calibri" w:hAnsi="Calibri" w:cs="Times New Roman"/>
        </w:rPr>
        <w:t xml:space="preserve"> equal. Conversely, where equal variances </w:t>
      </w:r>
      <w:r w:rsidRPr="00E6060C">
        <w:rPr>
          <w:rFonts w:ascii="Calibri" w:eastAsia="Calibri" w:hAnsi="Calibri" w:cs="Times New Roman"/>
          <w:i/>
        </w:rPr>
        <w:t xml:space="preserve">can </w:t>
      </w:r>
      <w:r w:rsidRPr="00E6060C">
        <w:rPr>
          <w:rFonts w:ascii="Calibri" w:eastAsia="Calibri" w:hAnsi="Calibri" w:cs="Times New Roman"/>
        </w:rPr>
        <w:t>be assumed (</w:t>
      </w:r>
      <w:r w:rsidRPr="00E6060C">
        <w:rPr>
          <w:rFonts w:ascii="Calibri" w:eastAsia="Calibri" w:hAnsi="Calibri" w:cs="Times New Roman"/>
          <w:i/>
        </w:rPr>
        <w:t>p</w:t>
      </w:r>
      <w:r w:rsidRPr="00E6060C">
        <w:rPr>
          <w:rFonts w:ascii="Calibri" w:eastAsia="Calibri" w:hAnsi="Calibri" w:cs="Times New Roman"/>
        </w:rPr>
        <w:t xml:space="preserve">&gt;.05),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w:t>
      </w:r>
      <w:r w:rsidRPr="00E6060C">
        <w:rPr>
          <w:rFonts w:ascii="Calibri" w:eastAsia="Calibri" w:hAnsi="Calibri" w:cs="Times New Roman"/>
          <w:i/>
        </w:rPr>
        <w:t>are</w:t>
      </w:r>
      <w:r w:rsidRPr="00E6060C">
        <w:rPr>
          <w:rFonts w:ascii="Calibri" w:eastAsia="Calibri" w:hAnsi="Calibri" w:cs="Times New Roman"/>
        </w:rPr>
        <w:t xml:space="preserve"> equal. </w:t>
      </w:r>
    </w:p>
    <w:p w14:paraId="0454F146" w14:textId="4BDE6921"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i/>
        </w:rPr>
        <w:t>Notes: 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 xml:space="preserve">-value; </w:t>
      </w:r>
      <w:r w:rsidRPr="00E6060C">
        <w:rPr>
          <w:rFonts w:ascii="Calibri" w:eastAsia="Calibri" w:hAnsi="Calibri" w:cs="Times New Roman"/>
          <w:i/>
        </w:rPr>
        <w:t>t</w:t>
      </w:r>
      <w:r w:rsidRPr="00E6060C">
        <w:rPr>
          <w:rFonts w:ascii="Calibri" w:eastAsia="Calibri" w:hAnsi="Calibri" w:cs="Times New Roman"/>
        </w:rPr>
        <w:t>=</w:t>
      </w:r>
      <w:r w:rsidRPr="00E6060C">
        <w:rPr>
          <w:rFonts w:ascii="Calibri" w:eastAsia="Calibri" w:hAnsi="Calibri" w:cs="Times New Roman"/>
          <w:i/>
        </w:rPr>
        <w:t>t</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SE</w:t>
      </w:r>
      <w:r w:rsidRPr="00E6060C">
        <w:rPr>
          <w:rFonts w:ascii="Calibri" w:eastAsia="Calibri" w:hAnsi="Calibri" w:cs="Times New Roman"/>
        </w:rPr>
        <w:t xml:space="preserve">=standard error; 95%-CI=95% confidence level; </w:t>
      </w:r>
      <w:r w:rsidRPr="00E6060C">
        <w:rPr>
          <w:rFonts w:ascii="Calibri" w:eastAsia="Calibri" w:hAnsi="Calibri" w:cs="Times New Roman"/>
          <w:i/>
        </w:rPr>
        <w:t>LL</w:t>
      </w:r>
      <w:r w:rsidRPr="00E6060C">
        <w:rPr>
          <w:rFonts w:ascii="Calibri" w:eastAsia="Calibri" w:hAnsi="Calibri" w:cs="Times New Roman"/>
        </w:rPr>
        <w:t xml:space="preserve">=lower level CI; </w:t>
      </w:r>
      <w:r w:rsidRPr="00E6060C">
        <w:rPr>
          <w:rFonts w:ascii="Calibri" w:eastAsia="Calibri" w:hAnsi="Calibri" w:cs="Times New Roman"/>
          <w:i/>
        </w:rPr>
        <w:t>UL</w:t>
      </w:r>
      <w:r w:rsidRPr="00E6060C">
        <w:rPr>
          <w:rFonts w:ascii="Calibri" w:eastAsia="Calibri" w:hAnsi="Calibri" w:cs="Times New Roman"/>
        </w:rPr>
        <w:t>=upper level CI</w:t>
      </w:r>
      <w:r w:rsidRPr="00E6060C">
        <w:rPr>
          <w:rFonts w:ascii="Calibri" w:eastAsia="Calibri" w:hAnsi="Calibri" w:cs="Times New Roman"/>
          <w:i/>
        </w:rPr>
        <w:t xml:space="preserve">        </w:t>
      </w:r>
      <w:r w:rsidRPr="00E6060C">
        <w:rPr>
          <w:rFonts w:ascii="Calibri" w:eastAsia="Calibri" w:hAnsi="Calibri" w:cs="Times New Roman"/>
          <w:i/>
        </w:rPr>
        <w:br w:type="page"/>
      </w:r>
    </w:p>
    <w:p w14:paraId="49B8CA58" w14:textId="77777777" w:rsidR="00E6060C" w:rsidRPr="00E6060C" w:rsidRDefault="00E6060C" w:rsidP="00E6060C">
      <w:pPr>
        <w:spacing w:after="200" w:line="360" w:lineRule="auto"/>
        <w:contextualSpacing/>
        <w:rPr>
          <w:rFonts w:ascii="Calibri" w:eastAsia="Calibri" w:hAnsi="Calibri" w:cs="Times New Roman"/>
          <w:i/>
        </w:rPr>
        <w:sectPr w:rsidR="00E6060C" w:rsidRPr="00E6060C" w:rsidSect="00E6060C">
          <w:pgSz w:w="16838" w:h="11906" w:orient="landscape"/>
          <w:pgMar w:top="1440" w:right="1440" w:bottom="1440" w:left="1440" w:header="709" w:footer="709" w:gutter="0"/>
          <w:cols w:space="708"/>
          <w:titlePg/>
          <w:docGrid w:linePitch="360"/>
        </w:sectPr>
      </w:pPr>
    </w:p>
    <w:p w14:paraId="5137697C" w14:textId="2E1E7D02" w:rsidR="00E6060C" w:rsidRPr="007A253F" w:rsidRDefault="00E6060C" w:rsidP="00B7614E">
      <w:pPr>
        <w:pStyle w:val="Thesisheading2"/>
      </w:pPr>
      <w:bookmarkStart w:id="438" w:name="_Ref453588888"/>
      <w:bookmarkStart w:id="439" w:name="_Ref453591532"/>
      <w:bookmarkStart w:id="440" w:name="_Toc468286015"/>
      <w:r w:rsidRPr="007A253F">
        <w:lastRenderedPageBreak/>
        <w:t>Investigating the effect of the intervention on the matched sample using repeated measures ANOVA</w:t>
      </w:r>
      <w:bookmarkEnd w:id="438"/>
      <w:bookmarkEnd w:id="439"/>
      <w:bookmarkEnd w:id="440"/>
    </w:p>
    <w:p w14:paraId="55D699E1" w14:textId="77777777" w:rsidR="00E6060C" w:rsidRPr="00E6060C" w:rsidRDefault="00E6060C" w:rsidP="007A253F"/>
    <w:p w14:paraId="24DA32CB" w14:textId="48AF0924"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Repeated measures ANOVA in the General Linear Model (GLM) was conducted in SPSS (version 22) to determine whether there were any significant mean differences between the intervention and control groups pre and post intervention, for any of the variables. The analysis was based on the matched sample (N=45) and the demographic variable, role, was included as a control variable. Role was one of the four demographic variables (the others being gender, ward tenure, and whether or not the respondent managed others) which demonstrated significant differences between intervention and control groups at Time 1 according to an independent samples </w:t>
      </w:r>
      <w:r w:rsidRPr="00E6060C">
        <w:rPr>
          <w:rFonts w:ascii="Calibri" w:eastAsia="Calibri" w:hAnsi="Calibri" w:cs="Times New Roman"/>
          <w:i/>
        </w:rPr>
        <w:t>t</w:t>
      </w:r>
      <w:r w:rsidRPr="00E6060C">
        <w:rPr>
          <w:rFonts w:ascii="Calibri" w:eastAsia="Calibri" w:hAnsi="Calibri" w:cs="Times New Roman"/>
        </w:rPr>
        <w:t xml:space="preserve">-test (see </w:t>
      </w:r>
      <w:r w:rsidR="00C12C09">
        <w:rPr>
          <w:rFonts w:ascii="Calibri" w:eastAsia="Calibri" w:hAnsi="Calibri" w:cs="Times New Roman"/>
        </w:rPr>
        <w:fldChar w:fldCharType="begin"/>
      </w:r>
      <w:r w:rsidR="00C12C09">
        <w:rPr>
          <w:rFonts w:ascii="Calibri" w:eastAsia="Calibri" w:hAnsi="Calibri" w:cs="Times New Roman"/>
        </w:rPr>
        <w:instrText xml:space="preserve"> REF _Ref453590389 \h </w:instrText>
      </w:r>
      <w:r w:rsidR="00C12C09">
        <w:rPr>
          <w:rFonts w:ascii="Calibri" w:eastAsia="Calibri" w:hAnsi="Calibri" w:cs="Times New Roman"/>
        </w:rPr>
      </w:r>
      <w:r w:rsidR="00C12C09">
        <w:rPr>
          <w:rFonts w:ascii="Calibri" w:eastAsia="Calibri" w:hAnsi="Calibri" w:cs="Times New Roman"/>
        </w:rPr>
        <w:fldChar w:fldCharType="separate"/>
      </w:r>
      <w:r w:rsidR="00152F6D">
        <w:t xml:space="preserve">Table </w:t>
      </w:r>
      <w:r w:rsidR="00152F6D">
        <w:rPr>
          <w:noProof/>
        </w:rPr>
        <w:t>8</w:t>
      </w:r>
      <w:r w:rsidR="00152F6D">
        <w:t>.</w:t>
      </w:r>
      <w:r w:rsidR="00152F6D">
        <w:rPr>
          <w:noProof/>
        </w:rPr>
        <w:t>11</w:t>
      </w:r>
      <w:r w:rsidR="00C12C09">
        <w:rPr>
          <w:rFonts w:ascii="Calibri" w:eastAsia="Calibri" w:hAnsi="Calibri" w:cs="Times New Roman"/>
        </w:rPr>
        <w:fldChar w:fldCharType="end"/>
      </w:r>
      <w:r w:rsidR="00C12C09">
        <w:rPr>
          <w:rFonts w:ascii="Calibri" w:eastAsia="Calibri" w:hAnsi="Calibri" w:cs="Times New Roman"/>
        </w:rPr>
        <w:t xml:space="preserve">, </w:t>
      </w:r>
      <w:r w:rsidRPr="00E6060C">
        <w:rPr>
          <w:rFonts w:ascii="Calibri" w:eastAsia="Calibri" w:hAnsi="Calibri" w:cs="Times New Roman"/>
        </w:rPr>
        <w:t xml:space="preserve">section </w:t>
      </w:r>
      <w:r w:rsidR="00C12C09">
        <w:rPr>
          <w:rFonts w:ascii="Calibri" w:eastAsia="Calibri" w:hAnsi="Calibri" w:cs="Times New Roman"/>
        </w:rPr>
        <w:fldChar w:fldCharType="begin"/>
      </w:r>
      <w:r w:rsidR="00C12C09">
        <w:rPr>
          <w:rFonts w:ascii="Calibri" w:eastAsia="Calibri" w:hAnsi="Calibri" w:cs="Times New Roman"/>
        </w:rPr>
        <w:instrText xml:space="preserve"> REF _Ref453590869 \r \h </w:instrText>
      </w:r>
      <w:r w:rsidR="00C12C09">
        <w:rPr>
          <w:rFonts w:ascii="Calibri" w:eastAsia="Calibri" w:hAnsi="Calibri" w:cs="Times New Roman"/>
        </w:rPr>
      </w:r>
      <w:r w:rsidR="00C12C09">
        <w:rPr>
          <w:rFonts w:ascii="Calibri" w:eastAsia="Calibri" w:hAnsi="Calibri" w:cs="Times New Roman"/>
        </w:rPr>
        <w:fldChar w:fldCharType="separate"/>
      </w:r>
      <w:r w:rsidR="00152F6D">
        <w:rPr>
          <w:rFonts w:ascii="Calibri" w:eastAsia="Calibri" w:hAnsi="Calibri" w:cs="Times New Roman"/>
        </w:rPr>
        <w:t>8.3.1</w:t>
      </w:r>
      <w:r w:rsidR="00C12C09">
        <w:rPr>
          <w:rFonts w:ascii="Calibri" w:eastAsia="Calibri" w:hAnsi="Calibri" w:cs="Times New Roman"/>
        </w:rPr>
        <w:fldChar w:fldCharType="end"/>
      </w:r>
      <w:r w:rsidRPr="00E6060C">
        <w:rPr>
          <w:rFonts w:ascii="Calibri" w:eastAsia="Calibri" w:hAnsi="Calibri" w:cs="Times New Roman"/>
        </w:rPr>
        <w:t xml:space="preserve">). Including all four variables in the following repeated measures ANOVAs reduced the sample size of each analysis and thus the power of the test in an already small sample. Therefore, to investigate whether it was necessary to include all four, mixed analysis of covariance (ANCOVA) was employed to determine whether there were any significant differences across the Time 1 sample in the primary outcome variable, work engagement, which were dependent on any of these four demographic variables. </w:t>
      </w:r>
    </w:p>
    <w:p w14:paraId="61DB585B" w14:textId="77777777" w:rsidR="00E6060C" w:rsidRPr="00E6060C" w:rsidRDefault="00E6060C" w:rsidP="00E6060C">
      <w:pPr>
        <w:spacing w:after="200" w:line="360" w:lineRule="auto"/>
        <w:contextualSpacing/>
        <w:rPr>
          <w:rFonts w:ascii="Calibri" w:eastAsia="Calibri" w:hAnsi="Calibri" w:cs="Times New Roman"/>
        </w:rPr>
      </w:pPr>
    </w:p>
    <w:p w14:paraId="36D98742" w14:textId="66F7A7C0"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All four of the demographic variables at Time 1 were entered as predictors (the categorical variables as fixed factors, and the continuous variable, ward tenure, as a covariate) and work engagement at Time 1 was entered as the dependent variable. Based on the results of between-subjects main effects, the predictor with the highest, non-significant, </w:t>
      </w:r>
      <w:r w:rsidRPr="00E6060C">
        <w:rPr>
          <w:rFonts w:ascii="Calibri" w:eastAsia="Calibri" w:hAnsi="Calibri" w:cs="Times New Roman"/>
          <w:i/>
        </w:rPr>
        <w:t>p</w:t>
      </w:r>
      <w:r w:rsidRPr="00E6060C">
        <w:rPr>
          <w:rFonts w:ascii="Calibri" w:eastAsia="Calibri" w:hAnsi="Calibri" w:cs="Times New Roman"/>
        </w:rPr>
        <w:t xml:space="preserve">-value (ward tenure, </w:t>
      </w:r>
      <w:r w:rsidRPr="00E6060C">
        <w:rPr>
          <w:rFonts w:ascii="Calibri" w:eastAsia="Calibri" w:hAnsi="Calibri" w:cs="Times New Roman"/>
          <w:i/>
        </w:rPr>
        <w:t>p</w:t>
      </w:r>
      <w:r w:rsidRPr="00E6060C">
        <w:rPr>
          <w:rFonts w:ascii="Calibri" w:eastAsia="Calibri" w:hAnsi="Calibri" w:cs="Times New Roman"/>
        </w:rPr>
        <w:t xml:space="preserve">=.986), was removed, and the analysis was run again with the remaining three variables. Each non-significant predictor with the highest </w:t>
      </w:r>
      <w:r w:rsidRPr="00E6060C">
        <w:rPr>
          <w:rFonts w:ascii="Calibri" w:eastAsia="Calibri" w:hAnsi="Calibri" w:cs="Times New Roman"/>
          <w:i/>
        </w:rPr>
        <w:t>p-</w:t>
      </w:r>
      <w:r w:rsidRPr="00E6060C">
        <w:rPr>
          <w:rFonts w:ascii="Calibri" w:eastAsia="Calibri" w:hAnsi="Calibri" w:cs="Times New Roman"/>
        </w:rPr>
        <w:t xml:space="preserve">value was removed stepwise, one by one, until only those which were significant remained (see </w:t>
      </w:r>
      <w:r w:rsidR="00C12C09">
        <w:rPr>
          <w:rFonts w:ascii="Calibri" w:eastAsia="Calibri" w:hAnsi="Calibri" w:cs="Times New Roman"/>
        </w:rPr>
        <w:fldChar w:fldCharType="begin"/>
      </w:r>
      <w:r w:rsidR="00C12C09">
        <w:rPr>
          <w:rFonts w:ascii="Calibri" w:eastAsia="Calibri" w:hAnsi="Calibri" w:cs="Times New Roman"/>
        </w:rPr>
        <w:instrText xml:space="preserve"> REF _Ref453590977 \h </w:instrText>
      </w:r>
      <w:r w:rsidR="00C12C09">
        <w:rPr>
          <w:rFonts w:ascii="Calibri" w:eastAsia="Calibri" w:hAnsi="Calibri" w:cs="Times New Roman"/>
        </w:rPr>
      </w:r>
      <w:r w:rsidR="00C12C09">
        <w:rPr>
          <w:rFonts w:ascii="Calibri" w:eastAsia="Calibri" w:hAnsi="Calibri" w:cs="Times New Roman"/>
        </w:rPr>
        <w:fldChar w:fldCharType="separate"/>
      </w:r>
      <w:r w:rsidR="00152F6D">
        <w:t xml:space="preserve">Table </w:t>
      </w:r>
      <w:r w:rsidR="00152F6D">
        <w:rPr>
          <w:noProof/>
        </w:rPr>
        <w:t>8</w:t>
      </w:r>
      <w:r w:rsidR="00152F6D">
        <w:t>.</w:t>
      </w:r>
      <w:r w:rsidR="00152F6D">
        <w:rPr>
          <w:noProof/>
        </w:rPr>
        <w:t>17</w:t>
      </w:r>
      <w:r w:rsidR="00C12C09">
        <w:rPr>
          <w:rFonts w:ascii="Calibri" w:eastAsia="Calibri" w:hAnsi="Calibri" w:cs="Times New Roman"/>
        </w:rPr>
        <w:fldChar w:fldCharType="end"/>
      </w:r>
      <w:r w:rsidRPr="00E6060C">
        <w:rPr>
          <w:rFonts w:ascii="Calibri" w:eastAsia="Calibri" w:hAnsi="Calibri" w:cs="Times New Roman"/>
        </w:rPr>
        <w:t xml:space="preserve">). Following this process, only one predictor was found to be significant, role, </w:t>
      </w:r>
      <w:r w:rsidRPr="00E6060C">
        <w:rPr>
          <w:rFonts w:ascii="Calibri" w:eastAsia="Calibri" w:hAnsi="Calibri" w:cs="Times New Roman"/>
          <w:i/>
        </w:rPr>
        <w:t>F</w:t>
      </w:r>
      <w:r w:rsidRPr="00E6060C">
        <w:rPr>
          <w:rFonts w:ascii="Calibri" w:eastAsia="Calibri" w:hAnsi="Calibri" w:cs="Times New Roman"/>
        </w:rPr>
        <w:t xml:space="preserve">(3, 39)= 3.75, </w:t>
      </w:r>
      <w:r w:rsidRPr="00E6060C">
        <w:rPr>
          <w:rFonts w:ascii="Calibri" w:eastAsia="Calibri" w:hAnsi="Calibri" w:cs="Times New Roman"/>
          <w:i/>
        </w:rPr>
        <w:t>p</w:t>
      </w:r>
      <w:r w:rsidRPr="00E6060C">
        <w:rPr>
          <w:rFonts w:ascii="Calibri" w:eastAsia="Calibri" w:hAnsi="Calibri" w:cs="Times New Roman"/>
        </w:rPr>
        <w:t xml:space="preserve">=.018, indicating that there were significant differences in work engagement for people in different roles. </w:t>
      </w:r>
    </w:p>
    <w:p w14:paraId="5226AD8A" w14:textId="77777777" w:rsidR="00E6060C" w:rsidRPr="00E6060C" w:rsidRDefault="00E6060C" w:rsidP="00E6060C">
      <w:pPr>
        <w:spacing w:after="200" w:line="360" w:lineRule="auto"/>
        <w:contextualSpacing/>
        <w:rPr>
          <w:rFonts w:ascii="Calibri" w:eastAsia="Calibri" w:hAnsi="Calibri" w:cs="Times New Roman"/>
        </w:rPr>
      </w:pPr>
    </w:p>
    <w:p w14:paraId="30DC7AAC"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Post-hoc pairwise comparisons, with Bonferroni adjustment to maintain the familywise error rate at the .05 level and decrease the risk of a Type I error associated with multiple testing, revealed that the only difference was between healthcare assistants and those respondents who responded ‘other’ to the question asking them what their current role was (mean difference=-1.84, </w:t>
      </w:r>
      <w:r w:rsidRPr="00E6060C">
        <w:rPr>
          <w:rFonts w:ascii="Calibri" w:eastAsia="Calibri" w:hAnsi="Calibri" w:cs="Times New Roman"/>
          <w:i/>
        </w:rPr>
        <w:t>SE</w:t>
      </w:r>
      <w:r w:rsidRPr="00E6060C">
        <w:rPr>
          <w:rFonts w:ascii="Calibri" w:eastAsia="Calibri" w:hAnsi="Calibri" w:cs="Times New Roman"/>
        </w:rPr>
        <w:t xml:space="preserve">=.60, </w:t>
      </w:r>
      <w:r w:rsidRPr="00E6060C">
        <w:rPr>
          <w:rFonts w:ascii="Calibri" w:eastAsia="Calibri" w:hAnsi="Calibri" w:cs="Times New Roman"/>
          <w:i/>
        </w:rPr>
        <w:t>p</w:t>
      </w:r>
      <w:r w:rsidRPr="00E6060C">
        <w:rPr>
          <w:rFonts w:ascii="Calibri" w:eastAsia="Calibri" w:hAnsi="Calibri" w:cs="Times New Roman"/>
        </w:rPr>
        <w:t xml:space="preserve">=.023, 95%-CI, </w:t>
      </w:r>
      <w:r w:rsidRPr="00E6060C">
        <w:rPr>
          <w:rFonts w:ascii="Calibri" w:eastAsia="Calibri" w:hAnsi="Calibri" w:cs="Times New Roman"/>
          <w:i/>
        </w:rPr>
        <w:t>LL</w:t>
      </w:r>
      <w:r w:rsidRPr="00E6060C">
        <w:rPr>
          <w:rFonts w:ascii="Calibri" w:eastAsia="Calibri" w:hAnsi="Calibri" w:cs="Times New Roman"/>
        </w:rPr>
        <w:t xml:space="preserve">=-3.51, </w:t>
      </w:r>
      <w:r w:rsidRPr="00E6060C">
        <w:rPr>
          <w:rFonts w:ascii="Calibri" w:eastAsia="Calibri" w:hAnsi="Calibri" w:cs="Times New Roman"/>
          <w:i/>
        </w:rPr>
        <w:t>UL</w:t>
      </w:r>
      <w:r w:rsidRPr="00E6060C">
        <w:rPr>
          <w:rFonts w:ascii="Calibri" w:eastAsia="Calibri" w:hAnsi="Calibri" w:cs="Times New Roman"/>
        </w:rPr>
        <w:t xml:space="preserve">=-.17). These results indicate that healthcare assistants reported significantly higher work engagement at Time 1 (observed mean=6.10, </w:t>
      </w:r>
      <w:r w:rsidRPr="00E6060C">
        <w:rPr>
          <w:rFonts w:ascii="Calibri" w:eastAsia="Calibri" w:hAnsi="Calibri" w:cs="Times New Roman"/>
          <w:i/>
        </w:rPr>
        <w:t>SD</w:t>
      </w:r>
      <w:r w:rsidRPr="00E6060C">
        <w:rPr>
          <w:rFonts w:ascii="Calibri" w:eastAsia="Calibri" w:hAnsi="Calibri" w:cs="Times New Roman"/>
        </w:rPr>
        <w:t xml:space="preserve">=.72) than those who responded ‘other’ (observed mean=4.25, </w:t>
      </w:r>
      <w:r w:rsidRPr="00E6060C">
        <w:rPr>
          <w:rFonts w:ascii="Calibri" w:eastAsia="Calibri" w:hAnsi="Calibri" w:cs="Times New Roman"/>
          <w:i/>
        </w:rPr>
        <w:t>SD</w:t>
      </w:r>
      <w:r w:rsidRPr="00E6060C">
        <w:rPr>
          <w:rFonts w:ascii="Calibri" w:eastAsia="Calibri" w:hAnsi="Calibri" w:cs="Times New Roman"/>
        </w:rPr>
        <w:t xml:space="preserve">=.77). Role was therefore included as a control in all of the repeated measures ANOVAs. </w:t>
      </w:r>
      <w:r w:rsidRPr="00E6060C">
        <w:rPr>
          <w:rFonts w:ascii="Calibri" w:eastAsia="Calibri" w:hAnsi="Calibri" w:cs="Times New Roman"/>
        </w:rPr>
        <w:br w:type="page"/>
      </w:r>
    </w:p>
    <w:p w14:paraId="2F4C7E36" w14:textId="15B193FC" w:rsidR="00842587" w:rsidRDefault="00842587" w:rsidP="00345254">
      <w:pPr>
        <w:spacing w:after="200" w:line="360" w:lineRule="auto"/>
        <w:contextualSpacing/>
        <w:rPr>
          <w:rFonts w:ascii="Calibri" w:eastAsia="Calibri" w:hAnsi="Calibri" w:cs="Times New Roman"/>
        </w:rPr>
      </w:pPr>
      <w:bookmarkStart w:id="441" w:name="_Ref453590977"/>
      <w:bookmarkStart w:id="442" w:name="_Toc468286091"/>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17</w:t>
      </w:r>
      <w:r w:rsidR="00245D68">
        <w:rPr>
          <w:noProof/>
        </w:rPr>
        <w:fldChar w:fldCharType="end"/>
      </w:r>
      <w:bookmarkEnd w:id="441"/>
      <w:r>
        <w:t xml:space="preserve"> </w:t>
      </w:r>
      <w:r w:rsidRPr="00940901">
        <w:t>Results of mixed analysis of covariance to determine whether there were significant differences</w:t>
      </w:r>
      <w:r w:rsidR="00345254">
        <w:t xml:space="preserve"> in work engagement across the T</w:t>
      </w:r>
      <w:r w:rsidRPr="00940901">
        <w:t xml:space="preserve">ime 1 sample (N=45) in terms of the continuous demographic variable, ward tenure, and the categorical demographic variables, </w:t>
      </w:r>
      <w:r w:rsidRPr="00E6060C">
        <w:rPr>
          <w:rFonts w:ascii="Calibri" w:eastAsia="Calibri" w:hAnsi="Calibri" w:cs="Times New Roman"/>
        </w:rPr>
        <w:t>gender, role, and whether or not respondents managed others (Manager)</w:t>
      </w:r>
      <w:bookmarkEnd w:id="442"/>
    </w:p>
    <w:p w14:paraId="6F96427B" w14:textId="77777777" w:rsidR="00345254" w:rsidRDefault="00345254" w:rsidP="00345254">
      <w:pPr>
        <w:spacing w:after="200" w:line="360" w:lineRule="auto"/>
        <w:contextualSpacing/>
      </w:pPr>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394"/>
        <w:gridCol w:w="1395"/>
        <w:gridCol w:w="1395"/>
      </w:tblGrid>
      <w:tr w:rsidR="00E6060C" w:rsidRPr="00E6060C" w14:paraId="29FE7D3D" w14:textId="77777777" w:rsidTr="00E6060C">
        <w:tc>
          <w:tcPr>
            <w:tcW w:w="1394" w:type="dxa"/>
            <w:tcBorders>
              <w:top w:val="single" w:sz="4" w:space="0" w:color="auto"/>
              <w:bottom w:val="single" w:sz="4" w:space="0" w:color="auto"/>
            </w:tcBorders>
            <w:vAlign w:val="center"/>
          </w:tcPr>
          <w:p w14:paraId="7AB81E02"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Variables</w:t>
            </w:r>
          </w:p>
        </w:tc>
        <w:tc>
          <w:tcPr>
            <w:tcW w:w="1394" w:type="dxa"/>
            <w:tcBorders>
              <w:top w:val="single" w:sz="4" w:space="0" w:color="auto"/>
              <w:bottom w:val="single" w:sz="4" w:space="0" w:color="auto"/>
            </w:tcBorders>
            <w:vAlign w:val="center"/>
          </w:tcPr>
          <w:p w14:paraId="0464388D"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F</w:t>
            </w:r>
          </w:p>
        </w:tc>
        <w:tc>
          <w:tcPr>
            <w:tcW w:w="1395" w:type="dxa"/>
            <w:tcBorders>
              <w:top w:val="single" w:sz="4" w:space="0" w:color="auto"/>
              <w:bottom w:val="single" w:sz="4" w:space="0" w:color="auto"/>
            </w:tcBorders>
            <w:vAlign w:val="center"/>
          </w:tcPr>
          <w:p w14:paraId="13DA3C96" w14:textId="2F97BF37" w:rsidR="00E6060C" w:rsidRPr="00E6060C" w:rsidRDefault="00465601" w:rsidP="00E6060C">
            <w:pPr>
              <w:jc w:val="center"/>
              <w:rPr>
                <w:rFonts w:ascii="Calibri" w:eastAsia="Calibri" w:hAnsi="Calibri" w:cs="Times New Roman"/>
                <w:b/>
                <w:i/>
              </w:rPr>
            </w:pPr>
            <w:r>
              <w:rPr>
                <w:rFonts w:ascii="Calibri" w:eastAsia="Calibri" w:hAnsi="Calibri" w:cs="Times New Roman"/>
                <w:b/>
                <w:i/>
              </w:rPr>
              <w:t>d</w:t>
            </w:r>
            <w:r w:rsidR="00E6060C" w:rsidRPr="00E6060C">
              <w:rPr>
                <w:rFonts w:ascii="Calibri" w:eastAsia="Calibri" w:hAnsi="Calibri" w:cs="Times New Roman"/>
                <w:b/>
                <w:i/>
              </w:rPr>
              <w:t>f</w:t>
            </w:r>
          </w:p>
        </w:tc>
        <w:tc>
          <w:tcPr>
            <w:tcW w:w="1395" w:type="dxa"/>
            <w:tcBorders>
              <w:top w:val="single" w:sz="4" w:space="0" w:color="auto"/>
              <w:bottom w:val="single" w:sz="4" w:space="0" w:color="auto"/>
            </w:tcBorders>
            <w:vAlign w:val="center"/>
          </w:tcPr>
          <w:p w14:paraId="36530548" w14:textId="1A610FA3" w:rsidR="00E6060C" w:rsidRPr="00E6060C" w:rsidRDefault="00345254" w:rsidP="00E6060C">
            <w:pPr>
              <w:jc w:val="center"/>
              <w:rPr>
                <w:rFonts w:ascii="Calibri" w:eastAsia="Calibri" w:hAnsi="Calibri" w:cs="Times New Roman"/>
                <w:b/>
                <w:i/>
              </w:rPr>
            </w:pPr>
            <w:r w:rsidRPr="00E6060C">
              <w:rPr>
                <w:rFonts w:ascii="Calibri" w:eastAsia="Calibri" w:hAnsi="Calibri" w:cs="Times New Roman"/>
                <w:b/>
                <w:i/>
              </w:rPr>
              <w:t>P</w:t>
            </w:r>
          </w:p>
        </w:tc>
      </w:tr>
      <w:tr w:rsidR="00E6060C" w:rsidRPr="00E6060C" w14:paraId="7C1C48C9" w14:textId="77777777" w:rsidTr="00E6060C">
        <w:tc>
          <w:tcPr>
            <w:tcW w:w="1394" w:type="dxa"/>
            <w:tcBorders>
              <w:top w:val="single" w:sz="4" w:space="0" w:color="auto"/>
            </w:tcBorders>
            <w:vAlign w:val="center"/>
          </w:tcPr>
          <w:p w14:paraId="23175E16"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Step one</w:t>
            </w:r>
          </w:p>
        </w:tc>
        <w:tc>
          <w:tcPr>
            <w:tcW w:w="1394" w:type="dxa"/>
            <w:tcBorders>
              <w:top w:val="single" w:sz="4" w:space="0" w:color="auto"/>
            </w:tcBorders>
            <w:vAlign w:val="center"/>
          </w:tcPr>
          <w:p w14:paraId="52812C10" w14:textId="77777777" w:rsidR="00E6060C" w:rsidRPr="00E6060C" w:rsidRDefault="00E6060C" w:rsidP="00E6060C">
            <w:pPr>
              <w:jc w:val="center"/>
              <w:rPr>
                <w:rFonts w:ascii="Calibri" w:eastAsia="Calibri" w:hAnsi="Calibri" w:cs="Times New Roman"/>
              </w:rPr>
            </w:pPr>
          </w:p>
        </w:tc>
        <w:tc>
          <w:tcPr>
            <w:tcW w:w="1395" w:type="dxa"/>
            <w:tcBorders>
              <w:top w:val="single" w:sz="4" w:space="0" w:color="auto"/>
            </w:tcBorders>
            <w:vAlign w:val="center"/>
          </w:tcPr>
          <w:p w14:paraId="408432E3" w14:textId="77777777" w:rsidR="00E6060C" w:rsidRPr="00E6060C" w:rsidRDefault="00E6060C" w:rsidP="00E6060C">
            <w:pPr>
              <w:jc w:val="center"/>
              <w:rPr>
                <w:rFonts w:ascii="Calibri" w:eastAsia="Calibri" w:hAnsi="Calibri" w:cs="Times New Roman"/>
              </w:rPr>
            </w:pPr>
          </w:p>
        </w:tc>
        <w:tc>
          <w:tcPr>
            <w:tcW w:w="1395" w:type="dxa"/>
            <w:tcBorders>
              <w:top w:val="single" w:sz="4" w:space="0" w:color="auto"/>
            </w:tcBorders>
            <w:vAlign w:val="center"/>
          </w:tcPr>
          <w:p w14:paraId="2AA0F679" w14:textId="77777777" w:rsidR="00E6060C" w:rsidRPr="00E6060C" w:rsidRDefault="00E6060C" w:rsidP="00E6060C">
            <w:pPr>
              <w:jc w:val="center"/>
              <w:rPr>
                <w:rFonts w:ascii="Calibri" w:eastAsia="Calibri" w:hAnsi="Calibri" w:cs="Times New Roman"/>
              </w:rPr>
            </w:pPr>
          </w:p>
        </w:tc>
      </w:tr>
      <w:tr w:rsidR="00E6060C" w:rsidRPr="00E6060C" w14:paraId="3AD3E34E" w14:textId="77777777" w:rsidTr="00E6060C">
        <w:tc>
          <w:tcPr>
            <w:tcW w:w="1394" w:type="dxa"/>
            <w:vAlign w:val="center"/>
          </w:tcPr>
          <w:p w14:paraId="64213623"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Gender</w:t>
            </w:r>
          </w:p>
        </w:tc>
        <w:tc>
          <w:tcPr>
            <w:tcW w:w="1394" w:type="dxa"/>
            <w:vAlign w:val="center"/>
          </w:tcPr>
          <w:p w14:paraId="6926C4F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.23</w:t>
            </w:r>
          </w:p>
        </w:tc>
        <w:tc>
          <w:tcPr>
            <w:tcW w:w="1395" w:type="dxa"/>
            <w:vAlign w:val="center"/>
          </w:tcPr>
          <w:p w14:paraId="0F5E1E6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1, 30</w:t>
            </w:r>
          </w:p>
        </w:tc>
        <w:tc>
          <w:tcPr>
            <w:tcW w:w="1395" w:type="dxa"/>
            <w:vAlign w:val="center"/>
          </w:tcPr>
          <w:p w14:paraId="28C2236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.633</w:t>
            </w:r>
          </w:p>
        </w:tc>
      </w:tr>
      <w:tr w:rsidR="00E6060C" w:rsidRPr="00E6060C" w14:paraId="050290B3" w14:textId="77777777" w:rsidTr="00E6060C">
        <w:tc>
          <w:tcPr>
            <w:tcW w:w="1394" w:type="dxa"/>
            <w:vAlign w:val="center"/>
          </w:tcPr>
          <w:p w14:paraId="6DC40179"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Ward tenure</w:t>
            </w:r>
          </w:p>
        </w:tc>
        <w:tc>
          <w:tcPr>
            <w:tcW w:w="1394" w:type="dxa"/>
            <w:vAlign w:val="center"/>
          </w:tcPr>
          <w:p w14:paraId="13796C8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c>
          <w:tcPr>
            <w:tcW w:w="1395" w:type="dxa"/>
            <w:vAlign w:val="center"/>
          </w:tcPr>
          <w:p w14:paraId="344459E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1, 30</w:t>
            </w:r>
          </w:p>
        </w:tc>
        <w:tc>
          <w:tcPr>
            <w:tcW w:w="1395" w:type="dxa"/>
            <w:vAlign w:val="center"/>
          </w:tcPr>
          <w:p w14:paraId="3D3A6A0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.986</w:t>
            </w:r>
          </w:p>
        </w:tc>
      </w:tr>
      <w:tr w:rsidR="00E6060C" w:rsidRPr="00E6060C" w14:paraId="40C32B66" w14:textId="77777777" w:rsidTr="00E6060C">
        <w:tc>
          <w:tcPr>
            <w:tcW w:w="1394" w:type="dxa"/>
            <w:vAlign w:val="center"/>
          </w:tcPr>
          <w:p w14:paraId="4E75C3B2"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Role</w:t>
            </w:r>
          </w:p>
        </w:tc>
        <w:tc>
          <w:tcPr>
            <w:tcW w:w="1394" w:type="dxa"/>
            <w:vAlign w:val="center"/>
          </w:tcPr>
          <w:p w14:paraId="16E1650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5.09</w:t>
            </w:r>
          </w:p>
        </w:tc>
        <w:tc>
          <w:tcPr>
            <w:tcW w:w="1395" w:type="dxa"/>
            <w:vAlign w:val="center"/>
          </w:tcPr>
          <w:p w14:paraId="5FEC629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3, 30</w:t>
            </w:r>
          </w:p>
        </w:tc>
        <w:tc>
          <w:tcPr>
            <w:tcW w:w="1395" w:type="dxa"/>
            <w:vAlign w:val="center"/>
          </w:tcPr>
          <w:p w14:paraId="0A8F913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.006</w:t>
            </w:r>
          </w:p>
        </w:tc>
      </w:tr>
      <w:tr w:rsidR="00E6060C" w:rsidRPr="00E6060C" w14:paraId="1DCE2E57" w14:textId="77777777" w:rsidTr="00E6060C">
        <w:tc>
          <w:tcPr>
            <w:tcW w:w="1394" w:type="dxa"/>
            <w:vAlign w:val="center"/>
          </w:tcPr>
          <w:p w14:paraId="1A64ACEB"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Manager</w:t>
            </w:r>
          </w:p>
        </w:tc>
        <w:tc>
          <w:tcPr>
            <w:tcW w:w="1394" w:type="dxa"/>
            <w:vAlign w:val="center"/>
          </w:tcPr>
          <w:p w14:paraId="234A641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3.48</w:t>
            </w:r>
          </w:p>
        </w:tc>
        <w:tc>
          <w:tcPr>
            <w:tcW w:w="1395" w:type="dxa"/>
            <w:vAlign w:val="center"/>
          </w:tcPr>
          <w:p w14:paraId="77EE094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1, 30</w:t>
            </w:r>
          </w:p>
        </w:tc>
        <w:tc>
          <w:tcPr>
            <w:tcW w:w="1395" w:type="dxa"/>
            <w:vAlign w:val="center"/>
          </w:tcPr>
          <w:p w14:paraId="01E7344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.072</w:t>
            </w:r>
          </w:p>
        </w:tc>
      </w:tr>
      <w:tr w:rsidR="00E6060C" w:rsidRPr="00E6060C" w14:paraId="5E2482A0" w14:textId="77777777" w:rsidTr="00E6060C">
        <w:tc>
          <w:tcPr>
            <w:tcW w:w="1394" w:type="dxa"/>
            <w:vAlign w:val="center"/>
          </w:tcPr>
          <w:p w14:paraId="09D47436"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Step two</w:t>
            </w:r>
          </w:p>
        </w:tc>
        <w:tc>
          <w:tcPr>
            <w:tcW w:w="1394" w:type="dxa"/>
            <w:vAlign w:val="center"/>
          </w:tcPr>
          <w:p w14:paraId="367AF35D" w14:textId="77777777" w:rsidR="00E6060C" w:rsidRPr="00E6060C" w:rsidRDefault="00E6060C" w:rsidP="00E6060C">
            <w:pPr>
              <w:jc w:val="center"/>
              <w:rPr>
                <w:rFonts w:ascii="Calibri" w:eastAsia="Calibri" w:hAnsi="Calibri" w:cs="Times New Roman"/>
              </w:rPr>
            </w:pPr>
          </w:p>
        </w:tc>
        <w:tc>
          <w:tcPr>
            <w:tcW w:w="1395" w:type="dxa"/>
            <w:vAlign w:val="center"/>
          </w:tcPr>
          <w:p w14:paraId="25D71605" w14:textId="77777777" w:rsidR="00E6060C" w:rsidRPr="00E6060C" w:rsidRDefault="00E6060C" w:rsidP="00E6060C">
            <w:pPr>
              <w:jc w:val="center"/>
              <w:rPr>
                <w:rFonts w:ascii="Calibri" w:eastAsia="Calibri" w:hAnsi="Calibri" w:cs="Times New Roman"/>
              </w:rPr>
            </w:pPr>
          </w:p>
        </w:tc>
        <w:tc>
          <w:tcPr>
            <w:tcW w:w="1395" w:type="dxa"/>
            <w:vAlign w:val="center"/>
          </w:tcPr>
          <w:p w14:paraId="4774927C" w14:textId="77777777" w:rsidR="00E6060C" w:rsidRPr="00E6060C" w:rsidRDefault="00E6060C" w:rsidP="00E6060C">
            <w:pPr>
              <w:jc w:val="center"/>
              <w:rPr>
                <w:rFonts w:ascii="Calibri" w:eastAsia="Calibri" w:hAnsi="Calibri" w:cs="Times New Roman"/>
              </w:rPr>
            </w:pPr>
          </w:p>
        </w:tc>
      </w:tr>
      <w:tr w:rsidR="00E6060C" w:rsidRPr="00E6060C" w14:paraId="5F1E8CFE" w14:textId="77777777" w:rsidTr="00E6060C">
        <w:tc>
          <w:tcPr>
            <w:tcW w:w="1394" w:type="dxa"/>
            <w:vAlign w:val="center"/>
          </w:tcPr>
          <w:p w14:paraId="39B41D53"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Gender</w:t>
            </w:r>
          </w:p>
        </w:tc>
        <w:tc>
          <w:tcPr>
            <w:tcW w:w="1394" w:type="dxa"/>
            <w:vAlign w:val="center"/>
          </w:tcPr>
          <w:p w14:paraId="4DD5D3E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.24</w:t>
            </w:r>
          </w:p>
        </w:tc>
        <w:tc>
          <w:tcPr>
            <w:tcW w:w="1395" w:type="dxa"/>
            <w:vAlign w:val="center"/>
          </w:tcPr>
          <w:p w14:paraId="1F2EAA6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1, 31</w:t>
            </w:r>
          </w:p>
        </w:tc>
        <w:tc>
          <w:tcPr>
            <w:tcW w:w="1395" w:type="dxa"/>
            <w:vAlign w:val="center"/>
          </w:tcPr>
          <w:p w14:paraId="5C4BB2F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.625</w:t>
            </w:r>
          </w:p>
        </w:tc>
      </w:tr>
      <w:tr w:rsidR="00E6060C" w:rsidRPr="00E6060C" w14:paraId="0C338BBE" w14:textId="77777777" w:rsidTr="00E6060C">
        <w:tc>
          <w:tcPr>
            <w:tcW w:w="1394" w:type="dxa"/>
            <w:vAlign w:val="center"/>
          </w:tcPr>
          <w:p w14:paraId="3213DA7E"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Role</w:t>
            </w:r>
          </w:p>
        </w:tc>
        <w:tc>
          <w:tcPr>
            <w:tcW w:w="1394" w:type="dxa"/>
            <w:vAlign w:val="center"/>
          </w:tcPr>
          <w:p w14:paraId="3EB1F50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5.27</w:t>
            </w:r>
          </w:p>
        </w:tc>
        <w:tc>
          <w:tcPr>
            <w:tcW w:w="1395" w:type="dxa"/>
            <w:vAlign w:val="center"/>
          </w:tcPr>
          <w:p w14:paraId="4C1204E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3, 31</w:t>
            </w:r>
          </w:p>
        </w:tc>
        <w:tc>
          <w:tcPr>
            <w:tcW w:w="1395" w:type="dxa"/>
            <w:vAlign w:val="center"/>
          </w:tcPr>
          <w:p w14:paraId="6A52F95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.005*</w:t>
            </w:r>
          </w:p>
        </w:tc>
      </w:tr>
      <w:tr w:rsidR="00E6060C" w:rsidRPr="00E6060C" w14:paraId="06EF8A27" w14:textId="77777777" w:rsidTr="00E6060C">
        <w:tc>
          <w:tcPr>
            <w:tcW w:w="1394" w:type="dxa"/>
            <w:vAlign w:val="center"/>
          </w:tcPr>
          <w:p w14:paraId="3084C068"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Manager</w:t>
            </w:r>
          </w:p>
        </w:tc>
        <w:tc>
          <w:tcPr>
            <w:tcW w:w="1394" w:type="dxa"/>
            <w:vAlign w:val="center"/>
          </w:tcPr>
          <w:p w14:paraId="6FD61B1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3.69</w:t>
            </w:r>
          </w:p>
        </w:tc>
        <w:tc>
          <w:tcPr>
            <w:tcW w:w="1395" w:type="dxa"/>
            <w:vAlign w:val="center"/>
          </w:tcPr>
          <w:p w14:paraId="03DA1BD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1, 31</w:t>
            </w:r>
          </w:p>
        </w:tc>
        <w:tc>
          <w:tcPr>
            <w:tcW w:w="1395" w:type="dxa"/>
            <w:vAlign w:val="center"/>
          </w:tcPr>
          <w:p w14:paraId="616BFDA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.064</w:t>
            </w:r>
          </w:p>
        </w:tc>
      </w:tr>
      <w:tr w:rsidR="00E6060C" w:rsidRPr="00E6060C" w14:paraId="37C8CAB0" w14:textId="77777777" w:rsidTr="00E6060C">
        <w:tc>
          <w:tcPr>
            <w:tcW w:w="1394" w:type="dxa"/>
            <w:vAlign w:val="center"/>
          </w:tcPr>
          <w:p w14:paraId="2E93A567"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Step three</w:t>
            </w:r>
          </w:p>
        </w:tc>
        <w:tc>
          <w:tcPr>
            <w:tcW w:w="1394" w:type="dxa"/>
            <w:vAlign w:val="center"/>
          </w:tcPr>
          <w:p w14:paraId="713D32D6" w14:textId="77777777" w:rsidR="00E6060C" w:rsidRPr="00E6060C" w:rsidRDefault="00E6060C" w:rsidP="00E6060C">
            <w:pPr>
              <w:jc w:val="center"/>
              <w:rPr>
                <w:rFonts w:ascii="Calibri" w:eastAsia="Calibri" w:hAnsi="Calibri" w:cs="Times New Roman"/>
              </w:rPr>
            </w:pPr>
          </w:p>
        </w:tc>
        <w:tc>
          <w:tcPr>
            <w:tcW w:w="1395" w:type="dxa"/>
            <w:vAlign w:val="center"/>
          </w:tcPr>
          <w:p w14:paraId="53D43473" w14:textId="77777777" w:rsidR="00E6060C" w:rsidRPr="00E6060C" w:rsidRDefault="00E6060C" w:rsidP="00E6060C">
            <w:pPr>
              <w:jc w:val="center"/>
              <w:rPr>
                <w:rFonts w:ascii="Calibri" w:eastAsia="Calibri" w:hAnsi="Calibri" w:cs="Times New Roman"/>
              </w:rPr>
            </w:pPr>
          </w:p>
        </w:tc>
        <w:tc>
          <w:tcPr>
            <w:tcW w:w="1395" w:type="dxa"/>
            <w:vAlign w:val="center"/>
          </w:tcPr>
          <w:p w14:paraId="0EED1199" w14:textId="77777777" w:rsidR="00E6060C" w:rsidRPr="00E6060C" w:rsidRDefault="00E6060C" w:rsidP="00E6060C">
            <w:pPr>
              <w:jc w:val="center"/>
              <w:rPr>
                <w:rFonts w:ascii="Calibri" w:eastAsia="Calibri" w:hAnsi="Calibri" w:cs="Times New Roman"/>
              </w:rPr>
            </w:pPr>
          </w:p>
        </w:tc>
      </w:tr>
      <w:tr w:rsidR="00E6060C" w:rsidRPr="00E6060C" w14:paraId="1CCDFA1B" w14:textId="77777777" w:rsidTr="00E6060C">
        <w:tc>
          <w:tcPr>
            <w:tcW w:w="1394" w:type="dxa"/>
            <w:vAlign w:val="center"/>
          </w:tcPr>
          <w:p w14:paraId="2D148CF1"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Role</w:t>
            </w:r>
          </w:p>
        </w:tc>
        <w:tc>
          <w:tcPr>
            <w:tcW w:w="1394" w:type="dxa"/>
            <w:vAlign w:val="center"/>
          </w:tcPr>
          <w:p w14:paraId="086FCC9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5.04</w:t>
            </w:r>
          </w:p>
        </w:tc>
        <w:tc>
          <w:tcPr>
            <w:tcW w:w="1395" w:type="dxa"/>
            <w:vAlign w:val="center"/>
          </w:tcPr>
          <w:p w14:paraId="4407E0C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3, 33</w:t>
            </w:r>
          </w:p>
        </w:tc>
        <w:tc>
          <w:tcPr>
            <w:tcW w:w="1395" w:type="dxa"/>
            <w:vAlign w:val="center"/>
          </w:tcPr>
          <w:p w14:paraId="7D46B65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.006*</w:t>
            </w:r>
          </w:p>
        </w:tc>
      </w:tr>
      <w:tr w:rsidR="00E6060C" w:rsidRPr="00E6060C" w14:paraId="0E1A3E16" w14:textId="77777777" w:rsidTr="00E6060C">
        <w:tc>
          <w:tcPr>
            <w:tcW w:w="1394" w:type="dxa"/>
            <w:vAlign w:val="center"/>
          </w:tcPr>
          <w:p w14:paraId="250090D6"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Manager</w:t>
            </w:r>
          </w:p>
        </w:tc>
        <w:tc>
          <w:tcPr>
            <w:tcW w:w="1394" w:type="dxa"/>
            <w:vAlign w:val="center"/>
          </w:tcPr>
          <w:p w14:paraId="21C12FF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3.25</w:t>
            </w:r>
          </w:p>
        </w:tc>
        <w:tc>
          <w:tcPr>
            <w:tcW w:w="1395" w:type="dxa"/>
            <w:vAlign w:val="center"/>
          </w:tcPr>
          <w:p w14:paraId="0B5A08D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1, 33</w:t>
            </w:r>
          </w:p>
        </w:tc>
        <w:tc>
          <w:tcPr>
            <w:tcW w:w="1395" w:type="dxa"/>
            <w:vAlign w:val="center"/>
          </w:tcPr>
          <w:p w14:paraId="181238D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.080</w:t>
            </w:r>
          </w:p>
        </w:tc>
      </w:tr>
      <w:tr w:rsidR="00E6060C" w:rsidRPr="00E6060C" w14:paraId="3464D278" w14:textId="77777777" w:rsidTr="00E6060C">
        <w:tc>
          <w:tcPr>
            <w:tcW w:w="1394" w:type="dxa"/>
            <w:vAlign w:val="center"/>
          </w:tcPr>
          <w:p w14:paraId="1FCC8026"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Step four</w:t>
            </w:r>
          </w:p>
        </w:tc>
        <w:tc>
          <w:tcPr>
            <w:tcW w:w="1394" w:type="dxa"/>
            <w:vAlign w:val="center"/>
          </w:tcPr>
          <w:p w14:paraId="035D0774" w14:textId="77777777" w:rsidR="00E6060C" w:rsidRPr="00E6060C" w:rsidRDefault="00E6060C" w:rsidP="00E6060C">
            <w:pPr>
              <w:jc w:val="center"/>
              <w:rPr>
                <w:rFonts w:ascii="Calibri" w:eastAsia="Calibri" w:hAnsi="Calibri" w:cs="Times New Roman"/>
              </w:rPr>
            </w:pPr>
          </w:p>
        </w:tc>
        <w:tc>
          <w:tcPr>
            <w:tcW w:w="1395" w:type="dxa"/>
            <w:vAlign w:val="center"/>
          </w:tcPr>
          <w:p w14:paraId="22F391DC" w14:textId="77777777" w:rsidR="00E6060C" w:rsidRPr="00E6060C" w:rsidRDefault="00E6060C" w:rsidP="00E6060C">
            <w:pPr>
              <w:jc w:val="center"/>
              <w:rPr>
                <w:rFonts w:ascii="Calibri" w:eastAsia="Calibri" w:hAnsi="Calibri" w:cs="Times New Roman"/>
              </w:rPr>
            </w:pPr>
          </w:p>
        </w:tc>
        <w:tc>
          <w:tcPr>
            <w:tcW w:w="1395" w:type="dxa"/>
            <w:vAlign w:val="center"/>
          </w:tcPr>
          <w:p w14:paraId="752F588B" w14:textId="77777777" w:rsidR="00E6060C" w:rsidRPr="00E6060C" w:rsidRDefault="00E6060C" w:rsidP="00E6060C">
            <w:pPr>
              <w:jc w:val="center"/>
              <w:rPr>
                <w:rFonts w:ascii="Calibri" w:eastAsia="Calibri" w:hAnsi="Calibri" w:cs="Times New Roman"/>
              </w:rPr>
            </w:pPr>
          </w:p>
        </w:tc>
      </w:tr>
      <w:tr w:rsidR="00E6060C" w:rsidRPr="00E6060C" w14:paraId="406D0A84" w14:textId="77777777" w:rsidTr="00E6060C">
        <w:tc>
          <w:tcPr>
            <w:tcW w:w="1394" w:type="dxa"/>
            <w:vAlign w:val="center"/>
          </w:tcPr>
          <w:p w14:paraId="1AEB16BE"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Role</w:t>
            </w:r>
          </w:p>
        </w:tc>
        <w:tc>
          <w:tcPr>
            <w:tcW w:w="1394" w:type="dxa"/>
            <w:vAlign w:val="center"/>
          </w:tcPr>
          <w:p w14:paraId="47D445F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3.75</w:t>
            </w:r>
          </w:p>
        </w:tc>
        <w:tc>
          <w:tcPr>
            <w:tcW w:w="1395" w:type="dxa"/>
            <w:vAlign w:val="center"/>
          </w:tcPr>
          <w:p w14:paraId="358E32B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3, 39</w:t>
            </w:r>
          </w:p>
        </w:tc>
        <w:tc>
          <w:tcPr>
            <w:tcW w:w="1395" w:type="dxa"/>
            <w:vAlign w:val="center"/>
          </w:tcPr>
          <w:p w14:paraId="2B3C394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.018*</w:t>
            </w:r>
          </w:p>
        </w:tc>
      </w:tr>
    </w:tbl>
    <w:p w14:paraId="3239419F"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5997382B" w14:textId="77777777" w:rsidR="00E6060C" w:rsidRPr="00E6060C" w:rsidRDefault="00E6060C" w:rsidP="00E6060C">
      <w:pPr>
        <w:spacing w:after="200" w:line="240" w:lineRule="auto"/>
        <w:contextualSpacing/>
        <w:rPr>
          <w:rFonts w:ascii="Calibri" w:eastAsia="Calibri" w:hAnsi="Calibri" w:cs="Times New Roman"/>
          <w:i/>
        </w:rPr>
      </w:pPr>
      <w:r w:rsidRPr="00E6060C">
        <w:rPr>
          <w:rFonts w:ascii="Calibri" w:eastAsia="Calibri" w:hAnsi="Calibri" w:cs="Times New Roman"/>
          <w:i/>
        </w:rPr>
        <w:t>Notes: 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-value</w:t>
      </w:r>
      <w:r w:rsidRPr="00E6060C">
        <w:rPr>
          <w:rFonts w:ascii="Calibri" w:eastAsia="Calibri" w:hAnsi="Calibri" w:cs="Times New Roman"/>
          <w:i/>
        </w:rPr>
        <w:t xml:space="preserve"> </w:t>
      </w:r>
    </w:p>
    <w:p w14:paraId="1952A76F" w14:textId="77777777" w:rsidR="00E6060C" w:rsidRPr="00E6060C" w:rsidRDefault="00E6060C" w:rsidP="00E6060C">
      <w:pPr>
        <w:spacing w:after="200" w:line="240" w:lineRule="auto"/>
        <w:contextualSpacing/>
        <w:rPr>
          <w:rFonts w:ascii="Calibri" w:eastAsia="Calibri" w:hAnsi="Calibri" w:cs="Times New Roman"/>
          <w:i/>
        </w:rPr>
      </w:pPr>
    </w:p>
    <w:p w14:paraId="12EE10B0" w14:textId="77777777" w:rsidR="00E6060C" w:rsidRPr="00E6060C" w:rsidRDefault="00E6060C" w:rsidP="00E6060C">
      <w:pPr>
        <w:spacing w:after="200" w:line="360" w:lineRule="auto"/>
        <w:contextualSpacing/>
        <w:rPr>
          <w:rFonts w:ascii="Calibri" w:eastAsia="Calibri" w:hAnsi="Calibri" w:cs="Times New Roman"/>
        </w:rPr>
      </w:pPr>
    </w:p>
    <w:p w14:paraId="3384472C" w14:textId="56341E23" w:rsidR="00BC2D9F" w:rsidRDefault="00E6060C" w:rsidP="00BC2D9F">
      <w:pPr>
        <w:spacing w:after="200" w:line="360" w:lineRule="auto"/>
        <w:contextualSpacing/>
        <w:rPr>
          <w:rFonts w:ascii="Calibri" w:eastAsia="Calibri" w:hAnsi="Calibri" w:cs="Times New Roman"/>
        </w:rPr>
      </w:pPr>
      <w:r w:rsidRPr="00E6060C">
        <w:rPr>
          <w:rFonts w:ascii="Calibri" w:eastAsia="Calibri" w:hAnsi="Calibri" w:cs="Times New Roman"/>
        </w:rPr>
        <w:t xml:space="preserve">The results of repeated measures ANOVA, controlling for role, revealed a significant difference between intervention and control groups pre- and post- intervention for the work-related basic need, relatedness, </w:t>
      </w:r>
      <w:r w:rsidRPr="00E6060C">
        <w:rPr>
          <w:rFonts w:ascii="Calibri" w:eastAsia="Calibri" w:hAnsi="Calibri" w:cs="Times New Roman"/>
          <w:i/>
        </w:rPr>
        <w:t>F</w:t>
      </w:r>
      <w:r w:rsidRPr="00E6060C">
        <w:rPr>
          <w:rFonts w:ascii="Calibri" w:eastAsia="Calibri" w:hAnsi="Calibri" w:cs="Times New Roman"/>
        </w:rPr>
        <w:t xml:space="preserve">(1, 40)=7.30, </w:t>
      </w:r>
      <w:r w:rsidRPr="00E6060C">
        <w:rPr>
          <w:rFonts w:ascii="Calibri" w:eastAsia="Calibri" w:hAnsi="Calibri" w:cs="Times New Roman"/>
          <w:i/>
        </w:rPr>
        <w:t>p</w:t>
      </w:r>
      <w:r w:rsidRPr="00E6060C">
        <w:rPr>
          <w:rFonts w:ascii="Calibri" w:eastAsia="Calibri" w:hAnsi="Calibri" w:cs="Times New Roman"/>
        </w:rPr>
        <w:t xml:space="preserve">=.010 (Table 8.18). Inspection of the profile plot of the estimated marginal means for both groups indicates that the results were not in the expected direction. </w:t>
      </w:r>
      <w:r w:rsidR="00C12C09">
        <w:rPr>
          <w:rFonts w:ascii="Calibri" w:eastAsia="Calibri" w:hAnsi="Calibri" w:cs="Times New Roman"/>
        </w:rPr>
        <w:fldChar w:fldCharType="begin"/>
      </w:r>
      <w:r w:rsidR="00C12C09">
        <w:rPr>
          <w:rFonts w:ascii="Calibri" w:eastAsia="Calibri" w:hAnsi="Calibri" w:cs="Times New Roman"/>
        </w:rPr>
        <w:instrText xml:space="preserve"> REF _Ref453591024 \h </w:instrText>
      </w:r>
      <w:r w:rsidR="00C12C09">
        <w:rPr>
          <w:rFonts w:ascii="Calibri" w:eastAsia="Calibri" w:hAnsi="Calibri" w:cs="Times New Roman"/>
        </w:rPr>
      </w:r>
      <w:r w:rsidR="00C12C09">
        <w:rPr>
          <w:rFonts w:ascii="Calibri" w:eastAsia="Calibri" w:hAnsi="Calibri" w:cs="Times New Roman"/>
        </w:rPr>
        <w:fldChar w:fldCharType="separate"/>
      </w:r>
      <w:r w:rsidR="00152F6D">
        <w:t xml:space="preserve">Figure </w:t>
      </w:r>
      <w:r w:rsidR="00152F6D">
        <w:rPr>
          <w:noProof/>
        </w:rPr>
        <w:t>8</w:t>
      </w:r>
      <w:r w:rsidR="00152F6D">
        <w:t>.</w:t>
      </w:r>
      <w:r w:rsidR="00152F6D">
        <w:rPr>
          <w:noProof/>
        </w:rPr>
        <w:t>1</w:t>
      </w:r>
      <w:r w:rsidR="00C12C09">
        <w:rPr>
          <w:rFonts w:ascii="Calibri" w:eastAsia="Calibri" w:hAnsi="Calibri" w:cs="Times New Roman"/>
        </w:rPr>
        <w:fldChar w:fldCharType="end"/>
      </w:r>
      <w:r w:rsidR="00C12C09">
        <w:rPr>
          <w:rFonts w:ascii="Calibri" w:eastAsia="Calibri" w:hAnsi="Calibri" w:cs="Times New Roman"/>
        </w:rPr>
        <w:t xml:space="preserve"> </w:t>
      </w:r>
      <w:r w:rsidRPr="00E6060C">
        <w:rPr>
          <w:rFonts w:ascii="Calibri" w:eastAsia="Calibri" w:hAnsi="Calibri" w:cs="Times New Roman"/>
        </w:rPr>
        <w:t xml:space="preserve">demonstrates that there was a significantly greater increase in relatedness, on average, for the control group than for the intervention group when </w:t>
      </w:r>
      <w:r w:rsidR="00345254">
        <w:rPr>
          <w:rFonts w:ascii="Calibri" w:eastAsia="Calibri" w:hAnsi="Calibri" w:cs="Times New Roman"/>
        </w:rPr>
        <w:t>controlling for role</w:t>
      </w:r>
      <w:r w:rsidRPr="00E6060C">
        <w:rPr>
          <w:rFonts w:ascii="Calibri" w:eastAsia="Calibri" w:hAnsi="Calibri" w:cs="Times New Roman"/>
        </w:rPr>
        <w:t>, and that the mean of the intervention group slightly decreased between time points. Levene’s test revealed that the homogeneity of variances assumption</w:t>
      </w:r>
      <w:r w:rsidRPr="00E6060C">
        <w:rPr>
          <w:rFonts w:ascii="Calibri" w:eastAsia="Calibri" w:hAnsi="Calibri" w:cs="Times New Roman"/>
          <w:vertAlign w:val="superscript"/>
        </w:rPr>
        <w:footnoteReference w:id="8"/>
      </w:r>
      <w:r w:rsidRPr="00E6060C">
        <w:rPr>
          <w:rFonts w:ascii="Calibri" w:eastAsia="Calibri" w:hAnsi="Calibri" w:cs="Times New Roman"/>
        </w:rPr>
        <w:t xml:space="preserve"> was violated at Time 2 (</w:t>
      </w:r>
      <w:r w:rsidRPr="00E6060C">
        <w:rPr>
          <w:rFonts w:ascii="Calibri" w:eastAsia="Calibri" w:hAnsi="Calibri" w:cs="Times New Roman"/>
          <w:i/>
        </w:rPr>
        <w:t>F</w:t>
      </w:r>
      <w:r w:rsidRPr="00E6060C">
        <w:rPr>
          <w:rFonts w:ascii="Calibri" w:eastAsia="Calibri" w:hAnsi="Calibri" w:cs="Times New Roman"/>
        </w:rPr>
        <w:t xml:space="preserve">(1, 41)=3.29, </w:t>
      </w:r>
      <w:r w:rsidRPr="00E6060C">
        <w:rPr>
          <w:rFonts w:ascii="Calibri" w:eastAsia="Calibri" w:hAnsi="Calibri" w:cs="Times New Roman"/>
          <w:i/>
        </w:rPr>
        <w:t>p</w:t>
      </w:r>
      <w:r w:rsidRPr="00E6060C">
        <w:rPr>
          <w:rFonts w:ascii="Calibri" w:eastAsia="Calibri" w:hAnsi="Calibri" w:cs="Times New Roman"/>
        </w:rPr>
        <w:t>=.077), however, inspection of histograms displaying the distribution of the residuals suggests that the normality assumption</w:t>
      </w:r>
      <w:r w:rsidRPr="00E6060C">
        <w:rPr>
          <w:rFonts w:ascii="Calibri" w:eastAsia="Calibri" w:hAnsi="Calibri" w:cs="Times New Roman"/>
          <w:vertAlign w:val="superscript"/>
        </w:rPr>
        <w:footnoteReference w:id="9"/>
      </w:r>
      <w:r w:rsidRPr="00E6060C">
        <w:rPr>
          <w:rFonts w:ascii="Calibri" w:eastAsia="Calibri" w:hAnsi="Calibri" w:cs="Times New Roman"/>
        </w:rPr>
        <w:t xml:space="preserve"> was not violated. This suggests that the results are robust. </w:t>
      </w:r>
    </w:p>
    <w:p w14:paraId="259CD298" w14:textId="6F65A6D6" w:rsidR="00E6060C" w:rsidRPr="00E6060C" w:rsidRDefault="00E6060C" w:rsidP="00F315E6">
      <w:pPr>
        <w:pStyle w:val="Figurestyle"/>
        <w:rPr>
          <w:rFonts w:ascii="Calibri" w:eastAsia="Calibri" w:hAnsi="Calibri" w:cs="Times New Roman"/>
        </w:rPr>
      </w:pPr>
      <w:r w:rsidRPr="00E6060C">
        <w:rPr>
          <w:rFonts w:ascii="Calibri" w:eastAsia="Calibri" w:hAnsi="Calibri" w:cs="Times New Roman"/>
        </w:rPr>
        <w:t xml:space="preserve">A borderline significant difference was observed for competence, </w:t>
      </w:r>
      <w:r w:rsidRPr="00E6060C">
        <w:rPr>
          <w:rFonts w:ascii="Calibri" w:eastAsia="Calibri" w:hAnsi="Calibri" w:cs="Times New Roman"/>
          <w:i/>
        </w:rPr>
        <w:t>F</w:t>
      </w:r>
      <w:r w:rsidRPr="00E6060C">
        <w:rPr>
          <w:rFonts w:ascii="Calibri" w:eastAsia="Calibri" w:hAnsi="Calibri" w:cs="Times New Roman"/>
        </w:rPr>
        <w:t xml:space="preserve">(1, 40)=3.23, </w:t>
      </w:r>
      <w:r w:rsidRPr="00E6060C">
        <w:rPr>
          <w:rFonts w:ascii="Calibri" w:eastAsia="Calibri" w:hAnsi="Calibri" w:cs="Times New Roman"/>
          <w:i/>
        </w:rPr>
        <w:t>p</w:t>
      </w:r>
      <w:r w:rsidRPr="00E6060C">
        <w:rPr>
          <w:rFonts w:ascii="Calibri" w:eastAsia="Calibri" w:hAnsi="Calibri" w:cs="Times New Roman"/>
        </w:rPr>
        <w:t xml:space="preserve">=.080, and, again, inspection of the profile plot of the estimated marginal means for both groups suggests that the </w:t>
      </w:r>
      <w:r w:rsidRPr="00E6060C">
        <w:rPr>
          <w:rFonts w:ascii="Calibri" w:eastAsia="Calibri" w:hAnsi="Calibri" w:cs="Times New Roman"/>
        </w:rPr>
        <w:lastRenderedPageBreak/>
        <w:t>results were</w:t>
      </w:r>
      <w:r w:rsidR="00F315E6">
        <w:rPr>
          <w:rFonts w:ascii="Calibri" w:eastAsia="Calibri" w:hAnsi="Calibri" w:cs="Times New Roman"/>
        </w:rPr>
        <w:t xml:space="preserve"> not in the expected direction. </w:t>
      </w:r>
      <w:r w:rsidR="00F315E6">
        <w:rPr>
          <w:rFonts w:ascii="Calibri" w:eastAsia="Calibri" w:hAnsi="Calibri" w:cs="Times New Roman"/>
        </w:rPr>
        <w:fldChar w:fldCharType="begin"/>
      </w:r>
      <w:r w:rsidR="00F315E6">
        <w:rPr>
          <w:rFonts w:ascii="Calibri" w:eastAsia="Calibri" w:hAnsi="Calibri" w:cs="Times New Roman"/>
        </w:rPr>
        <w:instrText xml:space="preserve"> REF _Ref458108971 \h </w:instrText>
      </w:r>
      <w:r w:rsidR="00F315E6">
        <w:rPr>
          <w:rFonts w:ascii="Calibri" w:eastAsia="Calibri" w:hAnsi="Calibri" w:cs="Times New Roman"/>
        </w:rPr>
      </w:r>
      <w:r w:rsidR="00F315E6">
        <w:rPr>
          <w:rFonts w:ascii="Calibri" w:eastAsia="Calibri" w:hAnsi="Calibri" w:cs="Times New Roman"/>
        </w:rPr>
        <w:fldChar w:fldCharType="separate"/>
      </w:r>
      <w:r w:rsidR="00152F6D">
        <w:t xml:space="preserve">Figure </w:t>
      </w:r>
      <w:r w:rsidR="00152F6D">
        <w:rPr>
          <w:noProof/>
        </w:rPr>
        <w:t>8</w:t>
      </w:r>
      <w:r w:rsidR="00152F6D">
        <w:t>.</w:t>
      </w:r>
      <w:r w:rsidR="00152F6D">
        <w:rPr>
          <w:noProof/>
        </w:rPr>
        <w:t>2</w:t>
      </w:r>
      <w:r w:rsidR="00F315E6">
        <w:rPr>
          <w:rFonts w:ascii="Calibri" w:eastAsia="Calibri" w:hAnsi="Calibri" w:cs="Times New Roman"/>
        </w:rPr>
        <w:fldChar w:fldCharType="end"/>
      </w:r>
      <w:r w:rsidR="00F315E6">
        <w:rPr>
          <w:rFonts w:ascii="Calibri" w:eastAsia="Calibri" w:hAnsi="Calibri" w:cs="Times New Roman"/>
        </w:rPr>
        <w:t xml:space="preserve"> </w:t>
      </w:r>
      <w:r w:rsidRPr="00E6060C">
        <w:rPr>
          <w:rFonts w:ascii="Calibri" w:eastAsia="Calibri" w:hAnsi="Calibri" w:cs="Times New Roman"/>
        </w:rPr>
        <w:t xml:space="preserve">shows that, on average, there was a significantly greater increase in competence for those in the control group than those in the intervention group, when </w:t>
      </w:r>
      <w:r w:rsidR="00345254">
        <w:rPr>
          <w:rFonts w:ascii="Calibri" w:eastAsia="Calibri" w:hAnsi="Calibri" w:cs="Times New Roman"/>
        </w:rPr>
        <w:t>controlling for role,</w:t>
      </w:r>
      <w:r w:rsidRPr="00E6060C">
        <w:rPr>
          <w:rFonts w:ascii="Calibri" w:eastAsia="Calibri" w:hAnsi="Calibri" w:cs="Times New Roman"/>
        </w:rPr>
        <w:t xml:space="preserve"> and that the mean of the intervention group slightly decreased between time points. The results of Levene’s test did not indicate violation of the ho</w:t>
      </w:r>
      <w:r w:rsidR="00C12C09">
        <w:rPr>
          <w:rFonts w:ascii="Calibri" w:eastAsia="Calibri" w:hAnsi="Calibri" w:cs="Times New Roman"/>
        </w:rPr>
        <w:t>mogeneity assumption at either T</w:t>
      </w:r>
      <w:r w:rsidRPr="00E6060C">
        <w:rPr>
          <w:rFonts w:ascii="Calibri" w:eastAsia="Calibri" w:hAnsi="Calibri" w:cs="Times New Roman"/>
        </w:rPr>
        <w:t>ime 1 (</w:t>
      </w:r>
      <w:r w:rsidRPr="00E6060C">
        <w:rPr>
          <w:rFonts w:ascii="Calibri" w:eastAsia="Calibri" w:hAnsi="Calibri" w:cs="Times New Roman"/>
          <w:i/>
        </w:rPr>
        <w:t>F</w:t>
      </w:r>
      <w:r w:rsidRPr="00E6060C">
        <w:rPr>
          <w:rFonts w:ascii="Calibri" w:eastAsia="Calibri" w:hAnsi="Calibri" w:cs="Times New Roman"/>
        </w:rPr>
        <w:t xml:space="preserve">(1, 41)=.04, </w:t>
      </w:r>
      <w:r w:rsidRPr="00E6060C">
        <w:rPr>
          <w:rFonts w:ascii="Calibri" w:eastAsia="Calibri" w:hAnsi="Calibri" w:cs="Times New Roman"/>
          <w:i/>
        </w:rPr>
        <w:t>p</w:t>
      </w:r>
      <w:r w:rsidR="00C12C09">
        <w:rPr>
          <w:rFonts w:ascii="Calibri" w:eastAsia="Calibri" w:hAnsi="Calibri" w:cs="Times New Roman"/>
        </w:rPr>
        <w:t>=.853) or T</w:t>
      </w:r>
      <w:r w:rsidRPr="00E6060C">
        <w:rPr>
          <w:rFonts w:ascii="Calibri" w:eastAsia="Calibri" w:hAnsi="Calibri" w:cs="Times New Roman"/>
        </w:rPr>
        <w:t>ime 2 (</w:t>
      </w:r>
      <w:r w:rsidRPr="00E6060C">
        <w:rPr>
          <w:rFonts w:ascii="Calibri" w:eastAsia="Calibri" w:hAnsi="Calibri" w:cs="Times New Roman"/>
          <w:i/>
        </w:rPr>
        <w:t>F</w:t>
      </w:r>
      <w:r w:rsidRPr="00E6060C">
        <w:rPr>
          <w:rFonts w:ascii="Calibri" w:eastAsia="Calibri" w:hAnsi="Calibri" w:cs="Times New Roman"/>
        </w:rPr>
        <w:t xml:space="preserve">(1, 41)=.70, </w:t>
      </w:r>
      <w:r w:rsidRPr="00E6060C">
        <w:rPr>
          <w:rFonts w:ascii="Calibri" w:eastAsia="Calibri" w:hAnsi="Calibri" w:cs="Times New Roman"/>
          <w:i/>
        </w:rPr>
        <w:t>p</w:t>
      </w:r>
      <w:r w:rsidRPr="00E6060C">
        <w:rPr>
          <w:rFonts w:ascii="Calibri" w:eastAsia="Calibri" w:hAnsi="Calibri" w:cs="Times New Roman"/>
        </w:rPr>
        <w:t>=.409), however, inspection of the distributions of the residuals indicated some deviation from normality, with a somewhat leptok</w:t>
      </w:r>
      <w:r w:rsidR="00345254">
        <w:rPr>
          <w:rFonts w:ascii="Calibri" w:eastAsia="Calibri" w:hAnsi="Calibri" w:cs="Times New Roman"/>
        </w:rPr>
        <w:t>urtic (peaked) distribution at T</w:t>
      </w:r>
      <w:r w:rsidRPr="00E6060C">
        <w:rPr>
          <w:rFonts w:ascii="Calibri" w:eastAsia="Calibri" w:hAnsi="Calibri" w:cs="Times New Roman"/>
        </w:rPr>
        <w:t>ime 1 (</w:t>
      </w:r>
      <w:r w:rsidRPr="00345254">
        <w:rPr>
          <w:rFonts w:ascii="Calibri" w:eastAsia="Calibri" w:hAnsi="Calibri" w:cs="Times New Roman"/>
          <w:i/>
        </w:rPr>
        <w:t>kurtosis</w:t>
      </w:r>
      <w:r w:rsidRPr="00E6060C">
        <w:rPr>
          <w:rFonts w:ascii="Calibri" w:eastAsia="Calibri" w:hAnsi="Calibri" w:cs="Times New Roman"/>
        </w:rPr>
        <w:t xml:space="preserve">=6.08, </w:t>
      </w:r>
      <w:r w:rsidRPr="00345254">
        <w:rPr>
          <w:rFonts w:ascii="Calibri" w:eastAsia="Calibri" w:hAnsi="Calibri" w:cs="Times New Roman"/>
          <w:i/>
        </w:rPr>
        <w:t>skewness</w:t>
      </w:r>
      <w:r w:rsidRPr="00E6060C">
        <w:rPr>
          <w:rFonts w:ascii="Calibri" w:eastAsia="Calibri" w:hAnsi="Calibri" w:cs="Times New Roman"/>
        </w:rPr>
        <w:t>=-1.67), and a somewhat plat</w:t>
      </w:r>
      <w:r w:rsidR="00C12C09">
        <w:rPr>
          <w:rFonts w:ascii="Calibri" w:eastAsia="Calibri" w:hAnsi="Calibri" w:cs="Times New Roman"/>
        </w:rPr>
        <w:t>ykurtic (flat) distribution at T</w:t>
      </w:r>
      <w:r w:rsidRPr="00E6060C">
        <w:rPr>
          <w:rFonts w:ascii="Calibri" w:eastAsia="Calibri" w:hAnsi="Calibri" w:cs="Times New Roman"/>
        </w:rPr>
        <w:t>ime 2 (</w:t>
      </w:r>
      <w:r w:rsidRPr="00345254">
        <w:rPr>
          <w:rFonts w:ascii="Calibri" w:eastAsia="Calibri" w:hAnsi="Calibri" w:cs="Times New Roman"/>
          <w:i/>
        </w:rPr>
        <w:t>kurtosis</w:t>
      </w:r>
      <w:r w:rsidRPr="00E6060C">
        <w:rPr>
          <w:rFonts w:ascii="Calibri" w:eastAsia="Calibri" w:hAnsi="Calibri" w:cs="Times New Roman"/>
        </w:rPr>
        <w:t xml:space="preserve">=-1.12, </w:t>
      </w:r>
      <w:r w:rsidRPr="00345254">
        <w:rPr>
          <w:rFonts w:ascii="Calibri" w:eastAsia="Calibri" w:hAnsi="Calibri" w:cs="Times New Roman"/>
          <w:i/>
        </w:rPr>
        <w:t>skewness</w:t>
      </w:r>
      <w:r w:rsidRPr="00E6060C">
        <w:rPr>
          <w:rFonts w:ascii="Calibri" w:eastAsia="Calibri" w:hAnsi="Calibri" w:cs="Times New Roman"/>
        </w:rPr>
        <w:t xml:space="preserve">=.31). </w:t>
      </w:r>
    </w:p>
    <w:p w14:paraId="0C47CB4B" w14:textId="77777777" w:rsidR="00E6060C" w:rsidRPr="00E6060C" w:rsidRDefault="00E6060C" w:rsidP="00E6060C">
      <w:pPr>
        <w:spacing w:after="200" w:line="360" w:lineRule="auto"/>
        <w:contextualSpacing/>
        <w:rPr>
          <w:rFonts w:ascii="Calibri" w:eastAsia="Calibri" w:hAnsi="Calibri" w:cs="Times New Roman"/>
        </w:rPr>
      </w:pPr>
    </w:p>
    <w:p w14:paraId="394EA6F5" w14:textId="50510796"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Repeated measures ANOVA involving the other research variables revealed no other significant or borderline significant differences (</w:t>
      </w:r>
      <w:r w:rsidR="00C12C09">
        <w:rPr>
          <w:rFonts w:ascii="Calibri" w:eastAsia="Calibri" w:hAnsi="Calibri" w:cs="Times New Roman"/>
        </w:rPr>
        <w:fldChar w:fldCharType="begin"/>
      </w:r>
      <w:r w:rsidR="00C12C09">
        <w:rPr>
          <w:rFonts w:ascii="Calibri" w:eastAsia="Calibri" w:hAnsi="Calibri" w:cs="Times New Roman"/>
        </w:rPr>
        <w:instrText xml:space="preserve"> REF _Ref453591102 \h </w:instrText>
      </w:r>
      <w:r w:rsidR="00C12C09">
        <w:rPr>
          <w:rFonts w:ascii="Calibri" w:eastAsia="Calibri" w:hAnsi="Calibri" w:cs="Times New Roman"/>
        </w:rPr>
      </w:r>
      <w:r w:rsidR="00C12C09">
        <w:rPr>
          <w:rFonts w:ascii="Calibri" w:eastAsia="Calibri" w:hAnsi="Calibri" w:cs="Times New Roman"/>
        </w:rPr>
        <w:fldChar w:fldCharType="separate"/>
      </w:r>
      <w:r w:rsidR="00152F6D">
        <w:t xml:space="preserve">Table </w:t>
      </w:r>
      <w:r w:rsidR="00152F6D">
        <w:rPr>
          <w:noProof/>
        </w:rPr>
        <w:t>8</w:t>
      </w:r>
      <w:r w:rsidR="00152F6D">
        <w:t>.</w:t>
      </w:r>
      <w:r w:rsidR="00152F6D">
        <w:rPr>
          <w:noProof/>
        </w:rPr>
        <w:t>18</w:t>
      </w:r>
      <w:r w:rsidR="00C12C09">
        <w:rPr>
          <w:rFonts w:ascii="Calibri" w:eastAsia="Calibri" w:hAnsi="Calibri" w:cs="Times New Roman"/>
        </w:rPr>
        <w:fldChar w:fldCharType="end"/>
      </w:r>
      <w:r w:rsidRPr="00E6060C">
        <w:rPr>
          <w:rFonts w:ascii="Calibri" w:eastAsia="Calibri" w:hAnsi="Calibri" w:cs="Times New Roman"/>
        </w:rPr>
        <w:t>). Levene’s test revealed violation of the assumption of homogeneity for four of these va</w:t>
      </w:r>
      <w:r w:rsidR="00C51E88">
        <w:rPr>
          <w:rFonts w:ascii="Calibri" w:eastAsia="Calibri" w:hAnsi="Calibri" w:cs="Times New Roman"/>
        </w:rPr>
        <w:t>riables: i) work engagement at T</w:t>
      </w:r>
      <w:r w:rsidRPr="00E6060C">
        <w:rPr>
          <w:rFonts w:ascii="Calibri" w:eastAsia="Calibri" w:hAnsi="Calibri" w:cs="Times New Roman"/>
        </w:rPr>
        <w:t>ime 1 (</w:t>
      </w:r>
      <w:r w:rsidRPr="00E6060C">
        <w:rPr>
          <w:rFonts w:ascii="Calibri" w:eastAsia="Calibri" w:hAnsi="Calibri" w:cs="Times New Roman"/>
          <w:i/>
        </w:rPr>
        <w:t>F</w:t>
      </w:r>
      <w:r w:rsidRPr="00E6060C">
        <w:rPr>
          <w:rFonts w:ascii="Calibri" w:eastAsia="Calibri" w:hAnsi="Calibri" w:cs="Times New Roman"/>
        </w:rPr>
        <w:t xml:space="preserve">(1, 40)=8.59, </w:t>
      </w:r>
      <w:r w:rsidRPr="00E6060C">
        <w:rPr>
          <w:rFonts w:ascii="Calibri" w:eastAsia="Calibri" w:hAnsi="Calibri" w:cs="Times New Roman"/>
          <w:i/>
        </w:rPr>
        <w:t>p</w:t>
      </w:r>
      <w:r w:rsidRPr="00E6060C">
        <w:rPr>
          <w:rFonts w:ascii="Calibri" w:eastAsia="Calibri" w:hAnsi="Calibri" w:cs="Times New Roman"/>
        </w:rPr>
        <w:t xml:space="preserve">=.006) ; ii) colleague support at </w:t>
      </w:r>
      <w:r w:rsidR="00345254">
        <w:rPr>
          <w:rFonts w:ascii="Calibri" w:eastAsia="Calibri" w:hAnsi="Calibri" w:cs="Times New Roman"/>
        </w:rPr>
        <w:t>T</w:t>
      </w:r>
      <w:r w:rsidRPr="00E6060C">
        <w:rPr>
          <w:rFonts w:ascii="Calibri" w:eastAsia="Calibri" w:hAnsi="Calibri" w:cs="Times New Roman"/>
        </w:rPr>
        <w:t>ime 1 (</w:t>
      </w:r>
      <w:r w:rsidRPr="00E6060C">
        <w:rPr>
          <w:rFonts w:ascii="Calibri" w:eastAsia="Calibri" w:hAnsi="Calibri" w:cs="Times New Roman"/>
          <w:i/>
        </w:rPr>
        <w:t>F</w:t>
      </w:r>
      <w:r w:rsidRPr="00E6060C">
        <w:rPr>
          <w:rFonts w:ascii="Calibri" w:eastAsia="Calibri" w:hAnsi="Calibri" w:cs="Times New Roman"/>
        </w:rPr>
        <w:t xml:space="preserve">(1, 42)=4.62, </w:t>
      </w:r>
      <w:r w:rsidRPr="00E6060C">
        <w:rPr>
          <w:rFonts w:ascii="Calibri" w:eastAsia="Calibri" w:hAnsi="Calibri" w:cs="Times New Roman"/>
          <w:i/>
        </w:rPr>
        <w:t>p</w:t>
      </w:r>
      <w:r w:rsidRPr="00E6060C">
        <w:rPr>
          <w:rFonts w:ascii="Calibri" w:eastAsia="Calibri" w:hAnsi="Calibri" w:cs="Times New Roman"/>
        </w:rPr>
        <w:t>=.037); iii) high a</w:t>
      </w:r>
      <w:r w:rsidR="00C51E88">
        <w:rPr>
          <w:rFonts w:ascii="Calibri" w:eastAsia="Calibri" w:hAnsi="Calibri" w:cs="Times New Roman"/>
        </w:rPr>
        <w:t>ctivation unpleasant affect at T</w:t>
      </w:r>
      <w:r w:rsidR="00345254">
        <w:rPr>
          <w:rFonts w:ascii="Calibri" w:eastAsia="Calibri" w:hAnsi="Calibri" w:cs="Times New Roman"/>
        </w:rPr>
        <w:t>ime 2</w:t>
      </w:r>
      <w:r w:rsidRPr="00E6060C">
        <w:rPr>
          <w:rFonts w:ascii="Calibri" w:eastAsia="Calibri" w:hAnsi="Calibri" w:cs="Times New Roman"/>
        </w:rPr>
        <w:t xml:space="preserve"> (anxiety, </w:t>
      </w:r>
      <w:r w:rsidRPr="00E6060C">
        <w:rPr>
          <w:rFonts w:ascii="Calibri" w:eastAsia="Calibri" w:hAnsi="Calibri" w:cs="Times New Roman"/>
          <w:i/>
        </w:rPr>
        <w:t>F</w:t>
      </w:r>
      <w:r w:rsidRPr="00E6060C">
        <w:rPr>
          <w:rFonts w:ascii="Calibri" w:eastAsia="Calibri" w:hAnsi="Calibri" w:cs="Times New Roman"/>
        </w:rPr>
        <w:t xml:space="preserve">(1, 38)=8.10, </w:t>
      </w:r>
      <w:r w:rsidRPr="00E6060C">
        <w:rPr>
          <w:rFonts w:ascii="Calibri" w:eastAsia="Calibri" w:hAnsi="Calibri" w:cs="Times New Roman"/>
          <w:i/>
        </w:rPr>
        <w:t>p</w:t>
      </w:r>
      <w:r w:rsidRPr="00E6060C">
        <w:rPr>
          <w:rFonts w:ascii="Calibri" w:eastAsia="Calibri" w:hAnsi="Calibri" w:cs="Times New Roman"/>
        </w:rPr>
        <w:t>=.007); and iv)</w:t>
      </w:r>
      <w:r w:rsidR="00C51E88">
        <w:rPr>
          <w:rFonts w:ascii="Calibri" w:eastAsia="Calibri" w:hAnsi="Calibri" w:cs="Times New Roman"/>
        </w:rPr>
        <w:t xml:space="preserve"> resources and demands at both T</w:t>
      </w:r>
      <w:r w:rsidRPr="00E6060C">
        <w:rPr>
          <w:rFonts w:ascii="Calibri" w:eastAsia="Calibri" w:hAnsi="Calibri" w:cs="Times New Roman"/>
        </w:rPr>
        <w:t>ime 1 (</w:t>
      </w:r>
      <w:r w:rsidRPr="00E6060C">
        <w:rPr>
          <w:rFonts w:ascii="Calibri" w:eastAsia="Calibri" w:hAnsi="Calibri" w:cs="Times New Roman"/>
          <w:i/>
        </w:rPr>
        <w:t>F</w:t>
      </w:r>
      <w:r w:rsidRPr="00E6060C">
        <w:rPr>
          <w:rFonts w:ascii="Calibri" w:eastAsia="Calibri" w:hAnsi="Calibri" w:cs="Times New Roman"/>
        </w:rPr>
        <w:t xml:space="preserve">(1, 42)=5.11, </w:t>
      </w:r>
      <w:r w:rsidRPr="00E6060C">
        <w:rPr>
          <w:rFonts w:ascii="Calibri" w:eastAsia="Calibri" w:hAnsi="Calibri" w:cs="Times New Roman"/>
          <w:i/>
        </w:rPr>
        <w:t>p</w:t>
      </w:r>
      <w:r w:rsidR="00C51E88">
        <w:rPr>
          <w:rFonts w:ascii="Calibri" w:eastAsia="Calibri" w:hAnsi="Calibri" w:cs="Times New Roman"/>
        </w:rPr>
        <w:t>=.029) and T</w:t>
      </w:r>
      <w:r w:rsidRPr="00E6060C">
        <w:rPr>
          <w:rFonts w:ascii="Calibri" w:eastAsia="Calibri" w:hAnsi="Calibri" w:cs="Times New Roman"/>
        </w:rPr>
        <w:t>ime 2 (</w:t>
      </w:r>
      <w:r w:rsidRPr="00E6060C">
        <w:rPr>
          <w:rFonts w:ascii="Calibri" w:eastAsia="Calibri" w:hAnsi="Calibri" w:cs="Times New Roman"/>
          <w:i/>
        </w:rPr>
        <w:t>F</w:t>
      </w:r>
      <w:r w:rsidRPr="00E6060C">
        <w:rPr>
          <w:rFonts w:ascii="Calibri" w:eastAsia="Calibri" w:hAnsi="Calibri" w:cs="Times New Roman"/>
        </w:rPr>
        <w:t xml:space="preserve">(1, 42)=4.38, </w:t>
      </w:r>
      <w:r w:rsidRPr="00E6060C">
        <w:rPr>
          <w:rFonts w:ascii="Calibri" w:eastAsia="Calibri" w:hAnsi="Calibri" w:cs="Times New Roman"/>
          <w:i/>
        </w:rPr>
        <w:t>p</w:t>
      </w:r>
      <w:r w:rsidRPr="00E6060C">
        <w:rPr>
          <w:rFonts w:ascii="Calibri" w:eastAsia="Calibri" w:hAnsi="Calibri" w:cs="Times New Roman"/>
        </w:rPr>
        <w:t xml:space="preserve">=.042). Inspection of the residual distributions, however, revealed little deviation from the normal distribution, suggesting that the normality assumption for each of these repeated measures analyses was not violated and thus that the results can be considered robust.  </w:t>
      </w:r>
    </w:p>
    <w:p w14:paraId="1967CD03" w14:textId="77777777" w:rsidR="00E6060C" w:rsidRPr="00E6060C" w:rsidRDefault="00E6060C" w:rsidP="00E6060C">
      <w:pPr>
        <w:spacing w:after="200" w:line="360" w:lineRule="auto"/>
        <w:contextualSpacing/>
        <w:rPr>
          <w:rFonts w:ascii="Calibri" w:eastAsia="Calibri" w:hAnsi="Calibri" w:cs="Times New Roman"/>
        </w:rPr>
      </w:pPr>
    </w:p>
    <w:p w14:paraId="3E30B4EC" w14:textId="77777777" w:rsidR="00E6060C" w:rsidRPr="00E6060C" w:rsidRDefault="00E6060C" w:rsidP="00E6060C">
      <w:pPr>
        <w:spacing w:after="200" w:line="276" w:lineRule="auto"/>
        <w:rPr>
          <w:rFonts w:ascii="Calibri" w:eastAsia="Calibri" w:hAnsi="Calibri" w:cs="Times New Roman"/>
        </w:rPr>
      </w:pPr>
      <w:r w:rsidRPr="00E6060C">
        <w:rPr>
          <w:rFonts w:ascii="Calibri" w:eastAsia="Calibri" w:hAnsi="Calibri" w:cs="Times New Roman"/>
        </w:rPr>
        <w:br w:type="page"/>
      </w:r>
    </w:p>
    <w:p w14:paraId="6D998A7D" w14:textId="77777777" w:rsidR="00E6060C" w:rsidRPr="00E6060C" w:rsidRDefault="00E6060C" w:rsidP="00E6060C">
      <w:pPr>
        <w:spacing w:after="200" w:line="276" w:lineRule="auto"/>
        <w:rPr>
          <w:rFonts w:ascii="Calibri" w:eastAsia="Calibri" w:hAnsi="Calibri" w:cs="Times New Roman"/>
        </w:rPr>
        <w:sectPr w:rsidR="00E6060C" w:rsidRPr="00E6060C" w:rsidSect="00E6060C">
          <w:pgSz w:w="11906" w:h="16838"/>
          <w:pgMar w:top="1440" w:right="1440" w:bottom="1440" w:left="1440" w:header="709" w:footer="709" w:gutter="0"/>
          <w:cols w:space="708"/>
          <w:titlePg/>
          <w:docGrid w:linePitch="360"/>
        </w:sectPr>
      </w:pPr>
    </w:p>
    <w:p w14:paraId="0EC77115" w14:textId="7888DB22" w:rsidR="00842587" w:rsidRDefault="00842587" w:rsidP="005852AD">
      <w:pPr>
        <w:pStyle w:val="Figurestyle"/>
      </w:pPr>
      <w:bookmarkStart w:id="443" w:name="_Ref453591102"/>
      <w:bookmarkStart w:id="444" w:name="_Toc468286092"/>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18</w:t>
      </w:r>
      <w:r w:rsidR="00245D68">
        <w:rPr>
          <w:noProof/>
        </w:rPr>
        <w:fldChar w:fldCharType="end"/>
      </w:r>
      <w:bookmarkEnd w:id="443"/>
      <w:r>
        <w:t xml:space="preserve"> </w:t>
      </w:r>
      <w:r w:rsidRPr="009930BC">
        <w:t>Results of repeated measures ANOVA in the general linear model (GLM) to test whether there were any significant mean differences between intervention and control groups across the two time points on any of the measures (N=45)</w:t>
      </w:r>
      <w:bookmarkEnd w:id="444"/>
    </w:p>
    <w:p w14:paraId="5624BEE5" w14:textId="77777777" w:rsidR="00842587" w:rsidRDefault="00842587" w:rsidP="005852AD">
      <w:pPr>
        <w:pStyle w:val="Figurestyle"/>
      </w:pPr>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726"/>
        <w:gridCol w:w="719"/>
        <w:gridCol w:w="689"/>
        <w:gridCol w:w="635"/>
        <w:gridCol w:w="719"/>
        <w:gridCol w:w="690"/>
        <w:gridCol w:w="658"/>
        <w:gridCol w:w="820"/>
        <w:gridCol w:w="628"/>
        <w:gridCol w:w="561"/>
        <w:gridCol w:w="719"/>
        <w:gridCol w:w="771"/>
        <w:gridCol w:w="713"/>
        <w:gridCol w:w="695"/>
        <w:gridCol w:w="853"/>
      </w:tblGrid>
      <w:tr w:rsidR="00E6060C" w:rsidRPr="00E6060C" w14:paraId="256CD0E8" w14:textId="77777777" w:rsidTr="00E6060C">
        <w:trPr>
          <w:trHeight w:val="537"/>
        </w:trPr>
        <w:tc>
          <w:tcPr>
            <w:tcW w:w="2800" w:type="dxa"/>
            <w:tcBorders>
              <w:top w:val="single" w:sz="4" w:space="0" w:color="auto"/>
              <w:bottom w:val="nil"/>
            </w:tcBorders>
          </w:tcPr>
          <w:p w14:paraId="0641EB60"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Variable</w:t>
            </w:r>
          </w:p>
        </w:tc>
        <w:tc>
          <w:tcPr>
            <w:tcW w:w="4178" w:type="dxa"/>
            <w:gridSpan w:val="6"/>
            <w:tcBorders>
              <w:top w:val="single" w:sz="4" w:space="0" w:color="auto"/>
              <w:bottom w:val="single" w:sz="4" w:space="0" w:color="auto"/>
              <w:right w:val="single" w:sz="4" w:space="0" w:color="auto"/>
            </w:tcBorders>
          </w:tcPr>
          <w:p w14:paraId="29EF6EFC"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Time 1</w:t>
            </w:r>
          </w:p>
          <w:p w14:paraId="61817A5C" w14:textId="77777777" w:rsidR="00E6060C" w:rsidRPr="00E6060C" w:rsidRDefault="00E6060C" w:rsidP="00E6060C">
            <w:pPr>
              <w:jc w:val="center"/>
              <w:rPr>
                <w:rFonts w:ascii="Calibri" w:eastAsia="Calibri" w:hAnsi="Calibri" w:cs="Times New Roman"/>
                <w:b/>
              </w:rPr>
            </w:pPr>
          </w:p>
        </w:tc>
        <w:tc>
          <w:tcPr>
            <w:tcW w:w="4157" w:type="dxa"/>
            <w:gridSpan w:val="6"/>
            <w:tcBorders>
              <w:top w:val="single" w:sz="4" w:space="0" w:color="auto"/>
              <w:left w:val="single" w:sz="4" w:space="0" w:color="auto"/>
              <w:bottom w:val="single" w:sz="4" w:space="0" w:color="auto"/>
            </w:tcBorders>
          </w:tcPr>
          <w:p w14:paraId="3F3FF9D5"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Time 2</w:t>
            </w:r>
          </w:p>
        </w:tc>
        <w:tc>
          <w:tcPr>
            <w:tcW w:w="713" w:type="dxa"/>
            <w:tcBorders>
              <w:top w:val="single" w:sz="4" w:space="0" w:color="auto"/>
              <w:bottom w:val="nil"/>
            </w:tcBorders>
          </w:tcPr>
          <w:p w14:paraId="14603520"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F</w:t>
            </w:r>
          </w:p>
        </w:tc>
        <w:tc>
          <w:tcPr>
            <w:tcW w:w="695" w:type="dxa"/>
            <w:tcBorders>
              <w:top w:val="single" w:sz="4" w:space="0" w:color="auto"/>
              <w:bottom w:val="nil"/>
            </w:tcBorders>
          </w:tcPr>
          <w:p w14:paraId="49E2D0CF"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df</w:t>
            </w:r>
          </w:p>
        </w:tc>
        <w:tc>
          <w:tcPr>
            <w:tcW w:w="853" w:type="dxa"/>
            <w:tcBorders>
              <w:top w:val="single" w:sz="4" w:space="0" w:color="auto"/>
              <w:bottom w:val="nil"/>
            </w:tcBorders>
          </w:tcPr>
          <w:p w14:paraId="1D717A48"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i/>
              </w:rPr>
              <w:t>p</w:t>
            </w:r>
          </w:p>
        </w:tc>
      </w:tr>
      <w:tr w:rsidR="00E6060C" w:rsidRPr="00E6060C" w14:paraId="5F4327A8" w14:textId="77777777" w:rsidTr="00842587">
        <w:trPr>
          <w:trHeight w:val="386"/>
        </w:trPr>
        <w:tc>
          <w:tcPr>
            <w:tcW w:w="2800" w:type="dxa"/>
            <w:tcBorders>
              <w:top w:val="nil"/>
              <w:bottom w:val="nil"/>
            </w:tcBorders>
          </w:tcPr>
          <w:p w14:paraId="5A972953" w14:textId="77777777" w:rsidR="00E6060C" w:rsidRPr="00E6060C" w:rsidRDefault="00E6060C" w:rsidP="00E6060C">
            <w:pPr>
              <w:rPr>
                <w:rFonts w:ascii="Calibri" w:eastAsia="Calibri" w:hAnsi="Calibri" w:cs="Times New Roman"/>
                <w:b/>
              </w:rPr>
            </w:pPr>
          </w:p>
        </w:tc>
        <w:tc>
          <w:tcPr>
            <w:tcW w:w="2134" w:type="dxa"/>
            <w:gridSpan w:val="3"/>
            <w:tcBorders>
              <w:top w:val="single" w:sz="4" w:space="0" w:color="auto"/>
              <w:bottom w:val="single" w:sz="4" w:space="0" w:color="auto"/>
            </w:tcBorders>
            <w:vAlign w:val="center"/>
          </w:tcPr>
          <w:p w14:paraId="74193535"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Control</w:t>
            </w:r>
          </w:p>
        </w:tc>
        <w:tc>
          <w:tcPr>
            <w:tcW w:w="2044" w:type="dxa"/>
            <w:gridSpan w:val="3"/>
            <w:tcBorders>
              <w:top w:val="single" w:sz="4" w:space="0" w:color="auto"/>
              <w:bottom w:val="single" w:sz="4" w:space="0" w:color="auto"/>
              <w:right w:val="single" w:sz="4" w:space="0" w:color="auto"/>
            </w:tcBorders>
            <w:vAlign w:val="center"/>
          </w:tcPr>
          <w:p w14:paraId="061B2D37"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Intervention</w:t>
            </w:r>
          </w:p>
        </w:tc>
        <w:tc>
          <w:tcPr>
            <w:tcW w:w="2106" w:type="dxa"/>
            <w:gridSpan w:val="3"/>
            <w:tcBorders>
              <w:top w:val="single" w:sz="4" w:space="0" w:color="auto"/>
              <w:left w:val="single" w:sz="4" w:space="0" w:color="auto"/>
              <w:bottom w:val="single" w:sz="4" w:space="0" w:color="auto"/>
            </w:tcBorders>
            <w:vAlign w:val="center"/>
          </w:tcPr>
          <w:p w14:paraId="5BA24D4D"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Control</w:t>
            </w:r>
          </w:p>
        </w:tc>
        <w:tc>
          <w:tcPr>
            <w:tcW w:w="2051" w:type="dxa"/>
            <w:gridSpan w:val="3"/>
            <w:tcBorders>
              <w:top w:val="single" w:sz="4" w:space="0" w:color="auto"/>
              <w:bottom w:val="single" w:sz="4" w:space="0" w:color="auto"/>
            </w:tcBorders>
            <w:vAlign w:val="center"/>
          </w:tcPr>
          <w:p w14:paraId="7C7C7742"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Intervention</w:t>
            </w:r>
          </w:p>
        </w:tc>
        <w:tc>
          <w:tcPr>
            <w:tcW w:w="713" w:type="dxa"/>
            <w:tcBorders>
              <w:top w:val="nil"/>
              <w:bottom w:val="nil"/>
            </w:tcBorders>
          </w:tcPr>
          <w:p w14:paraId="4DF81B95" w14:textId="77777777" w:rsidR="00E6060C" w:rsidRPr="00E6060C" w:rsidRDefault="00E6060C" w:rsidP="00E6060C">
            <w:pPr>
              <w:rPr>
                <w:rFonts w:ascii="Calibri" w:eastAsia="Calibri" w:hAnsi="Calibri" w:cs="Times New Roman"/>
                <w:b/>
              </w:rPr>
            </w:pPr>
          </w:p>
        </w:tc>
        <w:tc>
          <w:tcPr>
            <w:tcW w:w="695" w:type="dxa"/>
            <w:tcBorders>
              <w:top w:val="nil"/>
              <w:bottom w:val="nil"/>
            </w:tcBorders>
          </w:tcPr>
          <w:p w14:paraId="4246FFAA" w14:textId="77777777" w:rsidR="00E6060C" w:rsidRPr="00E6060C" w:rsidRDefault="00E6060C" w:rsidP="00E6060C">
            <w:pPr>
              <w:rPr>
                <w:rFonts w:ascii="Calibri" w:eastAsia="Calibri" w:hAnsi="Calibri" w:cs="Times New Roman"/>
                <w:b/>
              </w:rPr>
            </w:pPr>
          </w:p>
        </w:tc>
        <w:tc>
          <w:tcPr>
            <w:tcW w:w="853" w:type="dxa"/>
            <w:tcBorders>
              <w:top w:val="nil"/>
              <w:bottom w:val="nil"/>
            </w:tcBorders>
          </w:tcPr>
          <w:p w14:paraId="38CB031C" w14:textId="77777777" w:rsidR="00E6060C" w:rsidRPr="00E6060C" w:rsidRDefault="00E6060C" w:rsidP="00E6060C">
            <w:pPr>
              <w:rPr>
                <w:rFonts w:ascii="Calibri" w:eastAsia="Calibri" w:hAnsi="Calibri" w:cs="Times New Roman"/>
                <w:b/>
              </w:rPr>
            </w:pPr>
          </w:p>
        </w:tc>
      </w:tr>
      <w:tr w:rsidR="00E6060C" w:rsidRPr="00E6060C" w14:paraId="6A050D44" w14:textId="77777777" w:rsidTr="00842587">
        <w:trPr>
          <w:trHeight w:val="386"/>
        </w:trPr>
        <w:tc>
          <w:tcPr>
            <w:tcW w:w="2800" w:type="dxa"/>
            <w:tcBorders>
              <w:top w:val="nil"/>
              <w:bottom w:val="single" w:sz="4" w:space="0" w:color="auto"/>
            </w:tcBorders>
          </w:tcPr>
          <w:p w14:paraId="2E5533BF" w14:textId="77777777" w:rsidR="00E6060C" w:rsidRPr="00E6060C" w:rsidRDefault="00E6060C" w:rsidP="00E6060C">
            <w:pPr>
              <w:rPr>
                <w:rFonts w:ascii="Calibri" w:eastAsia="Calibri" w:hAnsi="Calibri" w:cs="Times New Roman"/>
                <w:b/>
              </w:rPr>
            </w:pPr>
          </w:p>
        </w:tc>
        <w:tc>
          <w:tcPr>
            <w:tcW w:w="726" w:type="dxa"/>
            <w:tcBorders>
              <w:top w:val="single" w:sz="4" w:space="0" w:color="auto"/>
              <w:bottom w:val="single" w:sz="4" w:space="0" w:color="auto"/>
            </w:tcBorders>
            <w:vAlign w:val="center"/>
          </w:tcPr>
          <w:p w14:paraId="15AEE674"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w:t>
            </w:r>
          </w:p>
        </w:tc>
        <w:tc>
          <w:tcPr>
            <w:tcW w:w="719" w:type="dxa"/>
            <w:tcBorders>
              <w:top w:val="single" w:sz="4" w:space="0" w:color="auto"/>
              <w:bottom w:val="single" w:sz="4" w:space="0" w:color="auto"/>
            </w:tcBorders>
            <w:shd w:val="clear" w:color="auto" w:fill="D9D9D9"/>
            <w:vAlign w:val="center"/>
          </w:tcPr>
          <w:p w14:paraId="71CBAF3A"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M</w:t>
            </w:r>
          </w:p>
        </w:tc>
        <w:tc>
          <w:tcPr>
            <w:tcW w:w="689" w:type="dxa"/>
            <w:tcBorders>
              <w:top w:val="single" w:sz="4" w:space="0" w:color="auto"/>
              <w:bottom w:val="single" w:sz="4" w:space="0" w:color="auto"/>
            </w:tcBorders>
            <w:vAlign w:val="center"/>
          </w:tcPr>
          <w:p w14:paraId="2E0E4207"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SD</w:t>
            </w:r>
          </w:p>
        </w:tc>
        <w:tc>
          <w:tcPr>
            <w:tcW w:w="635" w:type="dxa"/>
            <w:tcBorders>
              <w:top w:val="single" w:sz="4" w:space="0" w:color="auto"/>
              <w:bottom w:val="single" w:sz="4" w:space="0" w:color="auto"/>
            </w:tcBorders>
            <w:vAlign w:val="center"/>
          </w:tcPr>
          <w:p w14:paraId="7407C70E"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w:t>
            </w:r>
          </w:p>
        </w:tc>
        <w:tc>
          <w:tcPr>
            <w:tcW w:w="719" w:type="dxa"/>
            <w:tcBorders>
              <w:top w:val="single" w:sz="4" w:space="0" w:color="auto"/>
              <w:bottom w:val="single" w:sz="4" w:space="0" w:color="auto"/>
            </w:tcBorders>
            <w:shd w:val="clear" w:color="auto" w:fill="D9D9D9"/>
            <w:vAlign w:val="center"/>
          </w:tcPr>
          <w:p w14:paraId="696C4CFC"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i/>
              </w:rPr>
              <w:t>M</w:t>
            </w:r>
          </w:p>
        </w:tc>
        <w:tc>
          <w:tcPr>
            <w:tcW w:w="690" w:type="dxa"/>
            <w:tcBorders>
              <w:top w:val="single" w:sz="4" w:space="0" w:color="auto"/>
              <w:bottom w:val="single" w:sz="4" w:space="0" w:color="auto"/>
              <w:right w:val="single" w:sz="4" w:space="0" w:color="auto"/>
            </w:tcBorders>
            <w:vAlign w:val="center"/>
          </w:tcPr>
          <w:p w14:paraId="7AD244C6"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SD</w:t>
            </w:r>
          </w:p>
        </w:tc>
        <w:tc>
          <w:tcPr>
            <w:tcW w:w="658" w:type="dxa"/>
            <w:tcBorders>
              <w:top w:val="single" w:sz="4" w:space="0" w:color="auto"/>
              <w:left w:val="single" w:sz="4" w:space="0" w:color="auto"/>
              <w:bottom w:val="single" w:sz="4" w:space="0" w:color="auto"/>
            </w:tcBorders>
            <w:vAlign w:val="center"/>
          </w:tcPr>
          <w:p w14:paraId="6FA548FA"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w:t>
            </w:r>
          </w:p>
        </w:tc>
        <w:tc>
          <w:tcPr>
            <w:tcW w:w="820" w:type="dxa"/>
            <w:tcBorders>
              <w:top w:val="single" w:sz="4" w:space="0" w:color="auto"/>
              <w:bottom w:val="single" w:sz="4" w:space="0" w:color="auto"/>
            </w:tcBorders>
            <w:shd w:val="clear" w:color="auto" w:fill="D9D9D9"/>
            <w:vAlign w:val="center"/>
          </w:tcPr>
          <w:p w14:paraId="32ED9223"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i/>
              </w:rPr>
              <w:t>M</w:t>
            </w:r>
          </w:p>
        </w:tc>
        <w:tc>
          <w:tcPr>
            <w:tcW w:w="628" w:type="dxa"/>
            <w:tcBorders>
              <w:top w:val="single" w:sz="4" w:space="0" w:color="auto"/>
              <w:bottom w:val="single" w:sz="4" w:space="0" w:color="auto"/>
            </w:tcBorders>
            <w:vAlign w:val="center"/>
          </w:tcPr>
          <w:p w14:paraId="5F0C112B"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SD</w:t>
            </w:r>
          </w:p>
        </w:tc>
        <w:tc>
          <w:tcPr>
            <w:tcW w:w="561" w:type="dxa"/>
            <w:tcBorders>
              <w:top w:val="single" w:sz="4" w:space="0" w:color="auto"/>
              <w:bottom w:val="single" w:sz="4" w:space="0" w:color="auto"/>
            </w:tcBorders>
            <w:vAlign w:val="center"/>
          </w:tcPr>
          <w:p w14:paraId="6CFB9142"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w:t>
            </w:r>
          </w:p>
        </w:tc>
        <w:tc>
          <w:tcPr>
            <w:tcW w:w="719" w:type="dxa"/>
            <w:tcBorders>
              <w:top w:val="single" w:sz="4" w:space="0" w:color="auto"/>
              <w:bottom w:val="single" w:sz="4" w:space="0" w:color="auto"/>
            </w:tcBorders>
            <w:shd w:val="clear" w:color="auto" w:fill="D9D9D9"/>
            <w:vAlign w:val="center"/>
          </w:tcPr>
          <w:p w14:paraId="0A008DBC"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i/>
              </w:rPr>
              <w:t>M</w:t>
            </w:r>
          </w:p>
        </w:tc>
        <w:tc>
          <w:tcPr>
            <w:tcW w:w="771" w:type="dxa"/>
            <w:tcBorders>
              <w:top w:val="single" w:sz="4" w:space="0" w:color="auto"/>
              <w:bottom w:val="single" w:sz="4" w:space="0" w:color="auto"/>
            </w:tcBorders>
            <w:vAlign w:val="center"/>
          </w:tcPr>
          <w:p w14:paraId="524A2968"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SD</w:t>
            </w:r>
          </w:p>
        </w:tc>
        <w:tc>
          <w:tcPr>
            <w:tcW w:w="713" w:type="dxa"/>
            <w:tcBorders>
              <w:top w:val="nil"/>
              <w:bottom w:val="single" w:sz="4" w:space="0" w:color="auto"/>
            </w:tcBorders>
            <w:vAlign w:val="center"/>
          </w:tcPr>
          <w:p w14:paraId="022358E5" w14:textId="77777777" w:rsidR="00E6060C" w:rsidRPr="00E6060C" w:rsidRDefault="00E6060C" w:rsidP="00E6060C">
            <w:pPr>
              <w:jc w:val="center"/>
              <w:rPr>
                <w:rFonts w:ascii="Calibri" w:eastAsia="Calibri" w:hAnsi="Calibri" w:cs="Times New Roman"/>
                <w:b/>
              </w:rPr>
            </w:pPr>
          </w:p>
        </w:tc>
        <w:tc>
          <w:tcPr>
            <w:tcW w:w="695" w:type="dxa"/>
            <w:tcBorders>
              <w:top w:val="nil"/>
              <w:bottom w:val="single" w:sz="4" w:space="0" w:color="auto"/>
            </w:tcBorders>
            <w:vAlign w:val="center"/>
          </w:tcPr>
          <w:p w14:paraId="21160210" w14:textId="77777777" w:rsidR="00E6060C" w:rsidRPr="00E6060C" w:rsidRDefault="00E6060C" w:rsidP="00E6060C">
            <w:pPr>
              <w:jc w:val="center"/>
              <w:rPr>
                <w:rFonts w:ascii="Calibri" w:eastAsia="Calibri" w:hAnsi="Calibri" w:cs="Times New Roman"/>
                <w:b/>
              </w:rPr>
            </w:pPr>
          </w:p>
        </w:tc>
        <w:tc>
          <w:tcPr>
            <w:tcW w:w="853" w:type="dxa"/>
            <w:tcBorders>
              <w:top w:val="nil"/>
              <w:bottom w:val="single" w:sz="4" w:space="0" w:color="auto"/>
            </w:tcBorders>
            <w:vAlign w:val="center"/>
          </w:tcPr>
          <w:p w14:paraId="6459F47B" w14:textId="77777777" w:rsidR="00E6060C" w:rsidRPr="00E6060C" w:rsidRDefault="00E6060C" w:rsidP="00E6060C">
            <w:pPr>
              <w:jc w:val="center"/>
              <w:rPr>
                <w:rFonts w:ascii="Calibri" w:eastAsia="Calibri" w:hAnsi="Calibri" w:cs="Times New Roman"/>
                <w:b/>
              </w:rPr>
            </w:pPr>
          </w:p>
        </w:tc>
      </w:tr>
      <w:tr w:rsidR="00E6060C" w:rsidRPr="00E6060C" w14:paraId="3A0DA4F7" w14:textId="77777777" w:rsidTr="00842587">
        <w:trPr>
          <w:trHeight w:val="386"/>
        </w:trPr>
        <w:tc>
          <w:tcPr>
            <w:tcW w:w="2800" w:type="dxa"/>
            <w:tcBorders>
              <w:top w:val="single" w:sz="4" w:space="0" w:color="auto"/>
            </w:tcBorders>
            <w:vAlign w:val="center"/>
          </w:tcPr>
          <w:p w14:paraId="5EDAC9D6"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Colleague support</w:t>
            </w:r>
          </w:p>
        </w:tc>
        <w:tc>
          <w:tcPr>
            <w:tcW w:w="726" w:type="dxa"/>
            <w:tcBorders>
              <w:top w:val="single" w:sz="4" w:space="0" w:color="auto"/>
            </w:tcBorders>
            <w:vAlign w:val="center"/>
          </w:tcPr>
          <w:p w14:paraId="0A7DF24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719" w:type="dxa"/>
            <w:tcBorders>
              <w:top w:val="single" w:sz="4" w:space="0" w:color="auto"/>
            </w:tcBorders>
            <w:shd w:val="clear" w:color="auto" w:fill="D9D9D9"/>
            <w:vAlign w:val="center"/>
          </w:tcPr>
          <w:p w14:paraId="1CC572D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3.48</w:t>
            </w:r>
          </w:p>
        </w:tc>
        <w:tc>
          <w:tcPr>
            <w:tcW w:w="689" w:type="dxa"/>
            <w:tcBorders>
              <w:top w:val="single" w:sz="4" w:space="0" w:color="auto"/>
            </w:tcBorders>
            <w:vAlign w:val="center"/>
          </w:tcPr>
          <w:p w14:paraId="5DD2F65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1.08</w:t>
            </w:r>
          </w:p>
        </w:tc>
        <w:tc>
          <w:tcPr>
            <w:tcW w:w="635" w:type="dxa"/>
            <w:tcBorders>
              <w:top w:val="single" w:sz="4" w:space="0" w:color="auto"/>
            </w:tcBorders>
            <w:vAlign w:val="center"/>
          </w:tcPr>
          <w:p w14:paraId="01418B2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w:t>
            </w:r>
          </w:p>
        </w:tc>
        <w:tc>
          <w:tcPr>
            <w:tcW w:w="719" w:type="dxa"/>
            <w:tcBorders>
              <w:top w:val="single" w:sz="4" w:space="0" w:color="auto"/>
            </w:tcBorders>
            <w:shd w:val="clear" w:color="auto" w:fill="D9D9D9"/>
            <w:vAlign w:val="center"/>
          </w:tcPr>
          <w:p w14:paraId="4A8504D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4.02</w:t>
            </w:r>
          </w:p>
        </w:tc>
        <w:tc>
          <w:tcPr>
            <w:tcW w:w="690" w:type="dxa"/>
            <w:tcBorders>
              <w:top w:val="single" w:sz="4" w:space="0" w:color="auto"/>
              <w:right w:val="single" w:sz="4" w:space="0" w:color="auto"/>
            </w:tcBorders>
            <w:vAlign w:val="center"/>
          </w:tcPr>
          <w:p w14:paraId="6C171DC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w:t>
            </w:r>
          </w:p>
        </w:tc>
        <w:tc>
          <w:tcPr>
            <w:tcW w:w="658" w:type="dxa"/>
            <w:tcBorders>
              <w:top w:val="single" w:sz="4" w:space="0" w:color="auto"/>
              <w:left w:val="single" w:sz="4" w:space="0" w:color="auto"/>
            </w:tcBorders>
            <w:vAlign w:val="center"/>
          </w:tcPr>
          <w:p w14:paraId="4DDEE5D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20" w:type="dxa"/>
            <w:tcBorders>
              <w:top w:val="single" w:sz="4" w:space="0" w:color="auto"/>
            </w:tcBorders>
            <w:shd w:val="clear" w:color="auto" w:fill="D9D9D9"/>
            <w:vAlign w:val="center"/>
          </w:tcPr>
          <w:p w14:paraId="7B233A2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3.76</w:t>
            </w:r>
          </w:p>
        </w:tc>
        <w:tc>
          <w:tcPr>
            <w:tcW w:w="628" w:type="dxa"/>
            <w:tcBorders>
              <w:top w:val="single" w:sz="4" w:space="0" w:color="auto"/>
            </w:tcBorders>
            <w:vAlign w:val="center"/>
          </w:tcPr>
          <w:p w14:paraId="117A98A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.80</w:t>
            </w:r>
          </w:p>
        </w:tc>
        <w:tc>
          <w:tcPr>
            <w:tcW w:w="561" w:type="dxa"/>
            <w:tcBorders>
              <w:top w:val="single" w:sz="4" w:space="0" w:color="auto"/>
            </w:tcBorders>
            <w:vAlign w:val="center"/>
          </w:tcPr>
          <w:p w14:paraId="273DFD4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w:t>
            </w:r>
          </w:p>
        </w:tc>
        <w:tc>
          <w:tcPr>
            <w:tcW w:w="719" w:type="dxa"/>
            <w:tcBorders>
              <w:top w:val="single" w:sz="4" w:space="0" w:color="auto"/>
            </w:tcBorders>
            <w:shd w:val="clear" w:color="auto" w:fill="D9D9D9"/>
            <w:vAlign w:val="center"/>
          </w:tcPr>
          <w:p w14:paraId="102A6DC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4.12</w:t>
            </w:r>
          </w:p>
        </w:tc>
        <w:tc>
          <w:tcPr>
            <w:tcW w:w="771" w:type="dxa"/>
            <w:tcBorders>
              <w:top w:val="single" w:sz="4" w:space="0" w:color="auto"/>
            </w:tcBorders>
            <w:vAlign w:val="center"/>
          </w:tcPr>
          <w:p w14:paraId="46C13A3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.86</w:t>
            </w:r>
          </w:p>
        </w:tc>
        <w:tc>
          <w:tcPr>
            <w:tcW w:w="713" w:type="dxa"/>
            <w:tcBorders>
              <w:top w:val="single" w:sz="4" w:space="0" w:color="auto"/>
            </w:tcBorders>
            <w:vAlign w:val="center"/>
          </w:tcPr>
          <w:p w14:paraId="7DE407A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.41</w:t>
            </w:r>
          </w:p>
        </w:tc>
        <w:tc>
          <w:tcPr>
            <w:tcW w:w="695" w:type="dxa"/>
            <w:tcBorders>
              <w:top w:val="single" w:sz="4" w:space="0" w:color="auto"/>
            </w:tcBorders>
            <w:vAlign w:val="center"/>
          </w:tcPr>
          <w:p w14:paraId="3007900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1, 41</w:t>
            </w:r>
          </w:p>
        </w:tc>
        <w:tc>
          <w:tcPr>
            <w:tcW w:w="853" w:type="dxa"/>
            <w:tcBorders>
              <w:top w:val="single" w:sz="4" w:space="0" w:color="auto"/>
            </w:tcBorders>
            <w:vAlign w:val="center"/>
          </w:tcPr>
          <w:p w14:paraId="2D2D331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.528</w:t>
            </w:r>
          </w:p>
        </w:tc>
      </w:tr>
      <w:tr w:rsidR="00E6060C" w:rsidRPr="00E6060C" w14:paraId="63F67CAD" w14:textId="77777777" w:rsidTr="00842587">
        <w:trPr>
          <w:trHeight w:val="386"/>
        </w:trPr>
        <w:tc>
          <w:tcPr>
            <w:tcW w:w="2800" w:type="dxa"/>
            <w:vAlign w:val="center"/>
          </w:tcPr>
          <w:p w14:paraId="387E66A1"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Influence in decision-making</w:t>
            </w:r>
          </w:p>
        </w:tc>
        <w:tc>
          <w:tcPr>
            <w:tcW w:w="726" w:type="dxa"/>
            <w:vAlign w:val="center"/>
          </w:tcPr>
          <w:p w14:paraId="6434129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719" w:type="dxa"/>
            <w:shd w:val="clear" w:color="auto" w:fill="D9D9D9"/>
            <w:vAlign w:val="center"/>
          </w:tcPr>
          <w:p w14:paraId="3CBA1E7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2.79</w:t>
            </w:r>
          </w:p>
        </w:tc>
        <w:tc>
          <w:tcPr>
            <w:tcW w:w="689" w:type="dxa"/>
            <w:vAlign w:val="center"/>
          </w:tcPr>
          <w:p w14:paraId="4B2FC5D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.77</w:t>
            </w:r>
          </w:p>
        </w:tc>
        <w:tc>
          <w:tcPr>
            <w:tcW w:w="635" w:type="dxa"/>
            <w:vAlign w:val="center"/>
          </w:tcPr>
          <w:p w14:paraId="02C5F10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w:t>
            </w:r>
          </w:p>
        </w:tc>
        <w:tc>
          <w:tcPr>
            <w:tcW w:w="719" w:type="dxa"/>
            <w:shd w:val="clear" w:color="auto" w:fill="D9D9D9"/>
            <w:vAlign w:val="center"/>
          </w:tcPr>
          <w:p w14:paraId="7EBC28D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3.12</w:t>
            </w:r>
          </w:p>
        </w:tc>
        <w:tc>
          <w:tcPr>
            <w:tcW w:w="690" w:type="dxa"/>
            <w:tcBorders>
              <w:right w:val="single" w:sz="4" w:space="0" w:color="auto"/>
            </w:tcBorders>
            <w:vAlign w:val="center"/>
          </w:tcPr>
          <w:p w14:paraId="137728F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.96</w:t>
            </w:r>
          </w:p>
        </w:tc>
        <w:tc>
          <w:tcPr>
            <w:tcW w:w="658" w:type="dxa"/>
            <w:tcBorders>
              <w:left w:val="single" w:sz="4" w:space="0" w:color="auto"/>
            </w:tcBorders>
            <w:vAlign w:val="center"/>
          </w:tcPr>
          <w:p w14:paraId="5D6B049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20" w:type="dxa"/>
            <w:shd w:val="clear" w:color="auto" w:fill="D9D9D9"/>
            <w:vAlign w:val="center"/>
          </w:tcPr>
          <w:p w14:paraId="6D9CCB0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3.17</w:t>
            </w:r>
          </w:p>
        </w:tc>
        <w:tc>
          <w:tcPr>
            <w:tcW w:w="628" w:type="dxa"/>
            <w:vAlign w:val="center"/>
          </w:tcPr>
          <w:p w14:paraId="3326D7F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.52</w:t>
            </w:r>
          </w:p>
        </w:tc>
        <w:tc>
          <w:tcPr>
            <w:tcW w:w="561" w:type="dxa"/>
            <w:vAlign w:val="center"/>
          </w:tcPr>
          <w:p w14:paraId="7438E12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w:t>
            </w:r>
          </w:p>
        </w:tc>
        <w:tc>
          <w:tcPr>
            <w:tcW w:w="719" w:type="dxa"/>
            <w:shd w:val="clear" w:color="auto" w:fill="D9D9D9"/>
            <w:vAlign w:val="center"/>
          </w:tcPr>
          <w:p w14:paraId="4522394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3.13</w:t>
            </w:r>
          </w:p>
        </w:tc>
        <w:tc>
          <w:tcPr>
            <w:tcW w:w="771" w:type="dxa"/>
            <w:vAlign w:val="center"/>
          </w:tcPr>
          <w:p w14:paraId="4CFC6E4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.91</w:t>
            </w:r>
          </w:p>
        </w:tc>
        <w:tc>
          <w:tcPr>
            <w:tcW w:w="713" w:type="dxa"/>
            <w:vAlign w:val="center"/>
          </w:tcPr>
          <w:p w14:paraId="0B1F5B9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2.02</w:t>
            </w:r>
          </w:p>
        </w:tc>
        <w:tc>
          <w:tcPr>
            <w:tcW w:w="695" w:type="dxa"/>
            <w:vAlign w:val="center"/>
          </w:tcPr>
          <w:p w14:paraId="4D09290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1, 41</w:t>
            </w:r>
          </w:p>
        </w:tc>
        <w:tc>
          <w:tcPr>
            <w:tcW w:w="853" w:type="dxa"/>
            <w:vAlign w:val="center"/>
          </w:tcPr>
          <w:p w14:paraId="73782A2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.163</w:t>
            </w:r>
          </w:p>
        </w:tc>
      </w:tr>
      <w:tr w:rsidR="00E6060C" w:rsidRPr="00E6060C" w14:paraId="0626AFD7" w14:textId="77777777" w:rsidTr="00842587">
        <w:trPr>
          <w:trHeight w:val="386"/>
        </w:trPr>
        <w:tc>
          <w:tcPr>
            <w:tcW w:w="2800" w:type="dxa"/>
            <w:vAlign w:val="center"/>
          </w:tcPr>
          <w:p w14:paraId="0219D696"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Resources and demands</w:t>
            </w:r>
          </w:p>
        </w:tc>
        <w:tc>
          <w:tcPr>
            <w:tcW w:w="726" w:type="dxa"/>
            <w:vAlign w:val="center"/>
          </w:tcPr>
          <w:p w14:paraId="3449F4E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719" w:type="dxa"/>
            <w:shd w:val="clear" w:color="auto" w:fill="D9D9D9"/>
            <w:vAlign w:val="center"/>
          </w:tcPr>
          <w:p w14:paraId="14446B6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2.79</w:t>
            </w:r>
          </w:p>
        </w:tc>
        <w:tc>
          <w:tcPr>
            <w:tcW w:w="689" w:type="dxa"/>
            <w:vAlign w:val="center"/>
          </w:tcPr>
          <w:p w14:paraId="1FD83A9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.45</w:t>
            </w:r>
          </w:p>
        </w:tc>
        <w:tc>
          <w:tcPr>
            <w:tcW w:w="635" w:type="dxa"/>
            <w:vAlign w:val="center"/>
          </w:tcPr>
          <w:p w14:paraId="454C57D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w:t>
            </w:r>
          </w:p>
        </w:tc>
        <w:tc>
          <w:tcPr>
            <w:tcW w:w="719" w:type="dxa"/>
            <w:shd w:val="clear" w:color="auto" w:fill="D9D9D9"/>
            <w:vAlign w:val="center"/>
          </w:tcPr>
          <w:p w14:paraId="1CD3D58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2.93</w:t>
            </w:r>
          </w:p>
        </w:tc>
        <w:tc>
          <w:tcPr>
            <w:tcW w:w="690" w:type="dxa"/>
            <w:tcBorders>
              <w:right w:val="single" w:sz="4" w:space="0" w:color="auto"/>
            </w:tcBorders>
            <w:vAlign w:val="center"/>
          </w:tcPr>
          <w:p w14:paraId="05B2D1B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.88</w:t>
            </w:r>
          </w:p>
        </w:tc>
        <w:tc>
          <w:tcPr>
            <w:tcW w:w="658" w:type="dxa"/>
            <w:tcBorders>
              <w:left w:val="single" w:sz="4" w:space="0" w:color="auto"/>
            </w:tcBorders>
            <w:vAlign w:val="center"/>
          </w:tcPr>
          <w:p w14:paraId="38242C2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20" w:type="dxa"/>
            <w:shd w:val="clear" w:color="auto" w:fill="D9D9D9"/>
            <w:vAlign w:val="center"/>
          </w:tcPr>
          <w:p w14:paraId="5EBDAEE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3.03</w:t>
            </w:r>
          </w:p>
        </w:tc>
        <w:tc>
          <w:tcPr>
            <w:tcW w:w="628" w:type="dxa"/>
            <w:vAlign w:val="center"/>
          </w:tcPr>
          <w:p w14:paraId="2DEAACC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.45</w:t>
            </w:r>
          </w:p>
        </w:tc>
        <w:tc>
          <w:tcPr>
            <w:tcW w:w="561" w:type="dxa"/>
            <w:vAlign w:val="center"/>
          </w:tcPr>
          <w:p w14:paraId="1EF238B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30</w:t>
            </w:r>
          </w:p>
        </w:tc>
        <w:tc>
          <w:tcPr>
            <w:tcW w:w="719" w:type="dxa"/>
            <w:shd w:val="clear" w:color="auto" w:fill="D9D9D9"/>
            <w:vAlign w:val="center"/>
          </w:tcPr>
          <w:p w14:paraId="4D776F3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3.25</w:t>
            </w:r>
          </w:p>
        </w:tc>
        <w:tc>
          <w:tcPr>
            <w:tcW w:w="771" w:type="dxa"/>
            <w:vAlign w:val="center"/>
          </w:tcPr>
          <w:p w14:paraId="79F298E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.82</w:t>
            </w:r>
          </w:p>
        </w:tc>
        <w:tc>
          <w:tcPr>
            <w:tcW w:w="713" w:type="dxa"/>
            <w:vAlign w:val="center"/>
          </w:tcPr>
          <w:p w14:paraId="6AE09C6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.28</w:t>
            </w:r>
          </w:p>
        </w:tc>
        <w:tc>
          <w:tcPr>
            <w:tcW w:w="695" w:type="dxa"/>
            <w:vAlign w:val="center"/>
          </w:tcPr>
          <w:p w14:paraId="45DDD89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1, 41</w:t>
            </w:r>
          </w:p>
        </w:tc>
        <w:tc>
          <w:tcPr>
            <w:tcW w:w="853" w:type="dxa"/>
            <w:vAlign w:val="center"/>
          </w:tcPr>
          <w:p w14:paraId="6ACAEE5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.602</w:t>
            </w:r>
          </w:p>
        </w:tc>
      </w:tr>
      <w:tr w:rsidR="00E6060C" w:rsidRPr="00E6060C" w14:paraId="405D802D" w14:textId="77777777" w:rsidTr="00842587">
        <w:trPr>
          <w:trHeight w:val="386"/>
        </w:trPr>
        <w:tc>
          <w:tcPr>
            <w:tcW w:w="2800" w:type="dxa"/>
            <w:vAlign w:val="center"/>
          </w:tcPr>
          <w:p w14:paraId="153486FA"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Autonomy</w:t>
            </w:r>
          </w:p>
        </w:tc>
        <w:tc>
          <w:tcPr>
            <w:tcW w:w="726" w:type="dxa"/>
            <w:vAlign w:val="center"/>
          </w:tcPr>
          <w:p w14:paraId="1B2ADD5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719" w:type="dxa"/>
            <w:shd w:val="clear" w:color="auto" w:fill="D9D9D9"/>
            <w:vAlign w:val="center"/>
          </w:tcPr>
          <w:p w14:paraId="5679449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3.62</w:t>
            </w:r>
          </w:p>
        </w:tc>
        <w:tc>
          <w:tcPr>
            <w:tcW w:w="689" w:type="dxa"/>
            <w:vAlign w:val="center"/>
          </w:tcPr>
          <w:p w14:paraId="054A333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1.03</w:t>
            </w:r>
          </w:p>
        </w:tc>
        <w:tc>
          <w:tcPr>
            <w:tcW w:w="635" w:type="dxa"/>
            <w:vAlign w:val="center"/>
          </w:tcPr>
          <w:p w14:paraId="0A9BD2A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16EDD67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4.02</w:t>
            </w:r>
          </w:p>
        </w:tc>
        <w:tc>
          <w:tcPr>
            <w:tcW w:w="690" w:type="dxa"/>
            <w:tcBorders>
              <w:right w:val="single" w:sz="4" w:space="0" w:color="auto"/>
            </w:tcBorders>
            <w:vAlign w:val="center"/>
          </w:tcPr>
          <w:p w14:paraId="3D49861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.77</w:t>
            </w:r>
          </w:p>
        </w:tc>
        <w:tc>
          <w:tcPr>
            <w:tcW w:w="658" w:type="dxa"/>
            <w:tcBorders>
              <w:left w:val="single" w:sz="4" w:space="0" w:color="auto"/>
            </w:tcBorders>
            <w:vAlign w:val="center"/>
          </w:tcPr>
          <w:p w14:paraId="48AA320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20" w:type="dxa"/>
            <w:shd w:val="clear" w:color="auto" w:fill="D9D9D9"/>
            <w:vAlign w:val="center"/>
          </w:tcPr>
          <w:p w14:paraId="444DA17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4.02</w:t>
            </w:r>
          </w:p>
        </w:tc>
        <w:tc>
          <w:tcPr>
            <w:tcW w:w="628" w:type="dxa"/>
            <w:vAlign w:val="center"/>
          </w:tcPr>
          <w:p w14:paraId="713910A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.48</w:t>
            </w:r>
          </w:p>
        </w:tc>
        <w:tc>
          <w:tcPr>
            <w:tcW w:w="561" w:type="dxa"/>
            <w:vAlign w:val="center"/>
          </w:tcPr>
          <w:p w14:paraId="354195A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3016717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4.25</w:t>
            </w:r>
          </w:p>
        </w:tc>
        <w:tc>
          <w:tcPr>
            <w:tcW w:w="771" w:type="dxa"/>
            <w:vAlign w:val="center"/>
          </w:tcPr>
          <w:p w14:paraId="680CE27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.52</w:t>
            </w:r>
          </w:p>
        </w:tc>
        <w:tc>
          <w:tcPr>
            <w:tcW w:w="713" w:type="dxa"/>
            <w:vAlign w:val="center"/>
          </w:tcPr>
          <w:p w14:paraId="5158B41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1.38</w:t>
            </w:r>
          </w:p>
        </w:tc>
        <w:tc>
          <w:tcPr>
            <w:tcW w:w="695" w:type="dxa"/>
            <w:vAlign w:val="center"/>
          </w:tcPr>
          <w:p w14:paraId="5301AD6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1, 40</w:t>
            </w:r>
          </w:p>
        </w:tc>
        <w:tc>
          <w:tcPr>
            <w:tcW w:w="853" w:type="dxa"/>
            <w:vAlign w:val="center"/>
          </w:tcPr>
          <w:p w14:paraId="0266E4A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.248</w:t>
            </w:r>
          </w:p>
        </w:tc>
      </w:tr>
      <w:tr w:rsidR="00E6060C" w:rsidRPr="00E6060C" w14:paraId="480557AB" w14:textId="77777777" w:rsidTr="00842587">
        <w:trPr>
          <w:trHeight w:val="386"/>
        </w:trPr>
        <w:tc>
          <w:tcPr>
            <w:tcW w:w="2800" w:type="dxa"/>
            <w:vAlign w:val="center"/>
          </w:tcPr>
          <w:p w14:paraId="5E0B2513"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Competence</w:t>
            </w:r>
          </w:p>
        </w:tc>
        <w:tc>
          <w:tcPr>
            <w:tcW w:w="726" w:type="dxa"/>
            <w:vAlign w:val="center"/>
          </w:tcPr>
          <w:p w14:paraId="6C9A3BD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719" w:type="dxa"/>
            <w:shd w:val="clear" w:color="auto" w:fill="D9D9D9"/>
            <w:vAlign w:val="center"/>
          </w:tcPr>
          <w:p w14:paraId="73F7980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3.90</w:t>
            </w:r>
          </w:p>
        </w:tc>
        <w:tc>
          <w:tcPr>
            <w:tcW w:w="689" w:type="dxa"/>
            <w:vAlign w:val="center"/>
          </w:tcPr>
          <w:p w14:paraId="7C9113D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.95</w:t>
            </w:r>
          </w:p>
        </w:tc>
        <w:tc>
          <w:tcPr>
            <w:tcW w:w="635" w:type="dxa"/>
            <w:vAlign w:val="center"/>
          </w:tcPr>
          <w:p w14:paraId="64B33FA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4B9EB39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4.38</w:t>
            </w:r>
          </w:p>
        </w:tc>
        <w:tc>
          <w:tcPr>
            <w:tcW w:w="690" w:type="dxa"/>
            <w:tcBorders>
              <w:right w:val="single" w:sz="4" w:space="0" w:color="auto"/>
            </w:tcBorders>
            <w:vAlign w:val="center"/>
          </w:tcPr>
          <w:p w14:paraId="225C058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.55</w:t>
            </w:r>
          </w:p>
        </w:tc>
        <w:tc>
          <w:tcPr>
            <w:tcW w:w="658" w:type="dxa"/>
            <w:tcBorders>
              <w:left w:val="single" w:sz="4" w:space="0" w:color="auto"/>
            </w:tcBorders>
            <w:vAlign w:val="center"/>
          </w:tcPr>
          <w:p w14:paraId="3F4D51A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20" w:type="dxa"/>
            <w:shd w:val="clear" w:color="auto" w:fill="D9D9D9"/>
            <w:vAlign w:val="center"/>
          </w:tcPr>
          <w:p w14:paraId="144166C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4.24</w:t>
            </w:r>
          </w:p>
        </w:tc>
        <w:tc>
          <w:tcPr>
            <w:tcW w:w="628" w:type="dxa"/>
            <w:vAlign w:val="center"/>
          </w:tcPr>
          <w:p w14:paraId="2C11B41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.48</w:t>
            </w:r>
          </w:p>
        </w:tc>
        <w:tc>
          <w:tcPr>
            <w:tcW w:w="561" w:type="dxa"/>
            <w:vAlign w:val="center"/>
          </w:tcPr>
          <w:p w14:paraId="3E36CC9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5753AED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4.37</w:t>
            </w:r>
          </w:p>
        </w:tc>
        <w:tc>
          <w:tcPr>
            <w:tcW w:w="771" w:type="dxa"/>
            <w:vAlign w:val="center"/>
          </w:tcPr>
          <w:p w14:paraId="406692B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.50</w:t>
            </w:r>
          </w:p>
        </w:tc>
        <w:tc>
          <w:tcPr>
            <w:tcW w:w="713" w:type="dxa"/>
            <w:vAlign w:val="center"/>
          </w:tcPr>
          <w:p w14:paraId="3A16796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3.23</w:t>
            </w:r>
          </w:p>
        </w:tc>
        <w:tc>
          <w:tcPr>
            <w:tcW w:w="695" w:type="dxa"/>
            <w:vAlign w:val="center"/>
          </w:tcPr>
          <w:p w14:paraId="0B3D1E5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1, 40</w:t>
            </w:r>
          </w:p>
        </w:tc>
        <w:tc>
          <w:tcPr>
            <w:tcW w:w="853" w:type="dxa"/>
            <w:vAlign w:val="center"/>
          </w:tcPr>
          <w:p w14:paraId="42C2D8D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.080</w:t>
            </w:r>
            <w:r w:rsidRPr="00E6060C">
              <w:rPr>
                <w:rFonts w:ascii="Calibri" w:eastAsia="Calibri" w:hAnsi="Calibri" w:cs="Times New Roman"/>
                <w:vertAlign w:val="superscript"/>
              </w:rPr>
              <w:t>†</w:t>
            </w:r>
          </w:p>
        </w:tc>
      </w:tr>
      <w:tr w:rsidR="00E6060C" w:rsidRPr="00E6060C" w14:paraId="4E83E9D7" w14:textId="77777777" w:rsidTr="00842587">
        <w:trPr>
          <w:trHeight w:val="386"/>
        </w:trPr>
        <w:tc>
          <w:tcPr>
            <w:tcW w:w="2800" w:type="dxa"/>
            <w:vAlign w:val="center"/>
          </w:tcPr>
          <w:p w14:paraId="1001115E"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Relatedness</w:t>
            </w:r>
          </w:p>
        </w:tc>
        <w:tc>
          <w:tcPr>
            <w:tcW w:w="726" w:type="dxa"/>
            <w:vAlign w:val="center"/>
          </w:tcPr>
          <w:p w14:paraId="1403F94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719" w:type="dxa"/>
            <w:shd w:val="clear" w:color="auto" w:fill="D9D9D9"/>
            <w:vAlign w:val="center"/>
          </w:tcPr>
          <w:p w14:paraId="777DC54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3.42</w:t>
            </w:r>
          </w:p>
        </w:tc>
        <w:tc>
          <w:tcPr>
            <w:tcW w:w="689" w:type="dxa"/>
            <w:vAlign w:val="center"/>
          </w:tcPr>
          <w:p w14:paraId="2F05CAA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1.00</w:t>
            </w:r>
          </w:p>
        </w:tc>
        <w:tc>
          <w:tcPr>
            <w:tcW w:w="635" w:type="dxa"/>
            <w:vAlign w:val="center"/>
          </w:tcPr>
          <w:p w14:paraId="0C3D03D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1BC8793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4.24</w:t>
            </w:r>
          </w:p>
        </w:tc>
        <w:tc>
          <w:tcPr>
            <w:tcW w:w="690" w:type="dxa"/>
            <w:tcBorders>
              <w:right w:val="single" w:sz="4" w:space="0" w:color="auto"/>
            </w:tcBorders>
            <w:vAlign w:val="center"/>
          </w:tcPr>
          <w:p w14:paraId="74DFECD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.62</w:t>
            </w:r>
          </w:p>
        </w:tc>
        <w:tc>
          <w:tcPr>
            <w:tcW w:w="658" w:type="dxa"/>
            <w:tcBorders>
              <w:left w:val="single" w:sz="4" w:space="0" w:color="auto"/>
            </w:tcBorders>
            <w:vAlign w:val="center"/>
          </w:tcPr>
          <w:p w14:paraId="4D8E634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w:t>
            </w:r>
          </w:p>
        </w:tc>
        <w:tc>
          <w:tcPr>
            <w:tcW w:w="820" w:type="dxa"/>
            <w:shd w:val="clear" w:color="auto" w:fill="D9D9D9"/>
            <w:vAlign w:val="center"/>
          </w:tcPr>
          <w:p w14:paraId="6A836CD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4.04</w:t>
            </w:r>
          </w:p>
        </w:tc>
        <w:tc>
          <w:tcPr>
            <w:tcW w:w="628" w:type="dxa"/>
            <w:vAlign w:val="center"/>
          </w:tcPr>
          <w:p w14:paraId="4EF349F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561" w:type="dxa"/>
            <w:vAlign w:val="center"/>
          </w:tcPr>
          <w:p w14:paraId="6669B57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00627DA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4.23</w:t>
            </w:r>
          </w:p>
        </w:tc>
        <w:tc>
          <w:tcPr>
            <w:tcW w:w="771" w:type="dxa"/>
            <w:vAlign w:val="center"/>
          </w:tcPr>
          <w:p w14:paraId="5D7C369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.58</w:t>
            </w:r>
          </w:p>
        </w:tc>
        <w:tc>
          <w:tcPr>
            <w:tcW w:w="713" w:type="dxa"/>
            <w:vAlign w:val="center"/>
          </w:tcPr>
          <w:p w14:paraId="0146B8B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7.30</w:t>
            </w:r>
          </w:p>
        </w:tc>
        <w:tc>
          <w:tcPr>
            <w:tcW w:w="695" w:type="dxa"/>
            <w:vAlign w:val="center"/>
          </w:tcPr>
          <w:p w14:paraId="11290A6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1, 40</w:t>
            </w:r>
          </w:p>
        </w:tc>
        <w:tc>
          <w:tcPr>
            <w:tcW w:w="853" w:type="dxa"/>
            <w:vAlign w:val="center"/>
          </w:tcPr>
          <w:p w14:paraId="6E8063D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.010*</w:t>
            </w:r>
          </w:p>
        </w:tc>
      </w:tr>
      <w:tr w:rsidR="00E6060C" w:rsidRPr="00E6060C" w14:paraId="2FC42B04" w14:textId="77777777" w:rsidTr="00842587">
        <w:trPr>
          <w:trHeight w:val="386"/>
        </w:trPr>
        <w:tc>
          <w:tcPr>
            <w:tcW w:w="2800" w:type="dxa"/>
            <w:vAlign w:val="center"/>
          </w:tcPr>
          <w:p w14:paraId="35AEC987"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 xml:space="preserve">Work engagement </w:t>
            </w:r>
          </w:p>
        </w:tc>
        <w:tc>
          <w:tcPr>
            <w:tcW w:w="726" w:type="dxa"/>
            <w:vAlign w:val="center"/>
          </w:tcPr>
          <w:p w14:paraId="0D76138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13</w:t>
            </w:r>
          </w:p>
        </w:tc>
        <w:tc>
          <w:tcPr>
            <w:tcW w:w="719" w:type="dxa"/>
            <w:shd w:val="clear" w:color="auto" w:fill="D9D9D9"/>
            <w:vAlign w:val="center"/>
          </w:tcPr>
          <w:p w14:paraId="05D76FC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4.97</w:t>
            </w:r>
          </w:p>
        </w:tc>
        <w:tc>
          <w:tcPr>
            <w:tcW w:w="689" w:type="dxa"/>
            <w:vAlign w:val="center"/>
          </w:tcPr>
          <w:p w14:paraId="34E7909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1.66</w:t>
            </w:r>
          </w:p>
        </w:tc>
        <w:tc>
          <w:tcPr>
            <w:tcW w:w="635" w:type="dxa"/>
            <w:vAlign w:val="center"/>
          </w:tcPr>
          <w:p w14:paraId="32A3ABC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4C01DBD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6.08</w:t>
            </w:r>
          </w:p>
        </w:tc>
        <w:tc>
          <w:tcPr>
            <w:tcW w:w="690" w:type="dxa"/>
            <w:tcBorders>
              <w:right w:val="single" w:sz="4" w:space="0" w:color="auto"/>
            </w:tcBorders>
            <w:vAlign w:val="center"/>
          </w:tcPr>
          <w:p w14:paraId="7E5BAC2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.78</w:t>
            </w:r>
          </w:p>
        </w:tc>
        <w:tc>
          <w:tcPr>
            <w:tcW w:w="658" w:type="dxa"/>
            <w:tcBorders>
              <w:left w:val="single" w:sz="4" w:space="0" w:color="auto"/>
            </w:tcBorders>
            <w:vAlign w:val="center"/>
          </w:tcPr>
          <w:p w14:paraId="1DE9623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13</w:t>
            </w:r>
          </w:p>
        </w:tc>
        <w:tc>
          <w:tcPr>
            <w:tcW w:w="820" w:type="dxa"/>
            <w:shd w:val="clear" w:color="auto" w:fill="D9D9D9"/>
            <w:vAlign w:val="center"/>
          </w:tcPr>
          <w:p w14:paraId="1D68A07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5.08</w:t>
            </w:r>
          </w:p>
        </w:tc>
        <w:tc>
          <w:tcPr>
            <w:tcW w:w="628" w:type="dxa"/>
            <w:vAlign w:val="center"/>
          </w:tcPr>
          <w:p w14:paraId="51E16EB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1.40</w:t>
            </w:r>
          </w:p>
        </w:tc>
        <w:tc>
          <w:tcPr>
            <w:tcW w:w="561" w:type="dxa"/>
            <w:vAlign w:val="center"/>
          </w:tcPr>
          <w:p w14:paraId="5062439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64C8E10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5.76</w:t>
            </w:r>
          </w:p>
        </w:tc>
        <w:tc>
          <w:tcPr>
            <w:tcW w:w="771" w:type="dxa"/>
            <w:vAlign w:val="center"/>
          </w:tcPr>
          <w:p w14:paraId="096CF70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.88</w:t>
            </w:r>
          </w:p>
        </w:tc>
        <w:tc>
          <w:tcPr>
            <w:tcW w:w="713" w:type="dxa"/>
            <w:vAlign w:val="center"/>
          </w:tcPr>
          <w:p w14:paraId="344E61B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w:t>
            </w:r>
          </w:p>
        </w:tc>
        <w:tc>
          <w:tcPr>
            <w:tcW w:w="695" w:type="dxa"/>
            <w:vAlign w:val="center"/>
          </w:tcPr>
          <w:p w14:paraId="3E07D24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1, 39</w:t>
            </w:r>
          </w:p>
        </w:tc>
        <w:tc>
          <w:tcPr>
            <w:tcW w:w="853" w:type="dxa"/>
            <w:vAlign w:val="center"/>
          </w:tcPr>
          <w:p w14:paraId="4D1B6A2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.379</w:t>
            </w:r>
          </w:p>
        </w:tc>
      </w:tr>
      <w:tr w:rsidR="00E6060C" w:rsidRPr="00E6060C" w14:paraId="6406BE2D" w14:textId="77777777" w:rsidTr="00842587">
        <w:trPr>
          <w:trHeight w:val="386"/>
        </w:trPr>
        <w:tc>
          <w:tcPr>
            <w:tcW w:w="2800" w:type="dxa"/>
            <w:vAlign w:val="center"/>
          </w:tcPr>
          <w:p w14:paraId="13B311EC"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High activation unpleasant affect (anxiety)</w:t>
            </w:r>
          </w:p>
        </w:tc>
        <w:tc>
          <w:tcPr>
            <w:tcW w:w="726" w:type="dxa"/>
            <w:vAlign w:val="center"/>
          </w:tcPr>
          <w:p w14:paraId="57C3399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719" w:type="dxa"/>
            <w:shd w:val="clear" w:color="auto" w:fill="D9D9D9"/>
            <w:vAlign w:val="center"/>
          </w:tcPr>
          <w:p w14:paraId="7784374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5.44</w:t>
            </w:r>
          </w:p>
        </w:tc>
        <w:tc>
          <w:tcPr>
            <w:tcW w:w="689" w:type="dxa"/>
            <w:vAlign w:val="center"/>
          </w:tcPr>
          <w:p w14:paraId="264A9E0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.97</w:t>
            </w:r>
          </w:p>
        </w:tc>
        <w:tc>
          <w:tcPr>
            <w:tcW w:w="635" w:type="dxa"/>
            <w:vAlign w:val="center"/>
          </w:tcPr>
          <w:p w14:paraId="179E362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29</w:t>
            </w:r>
          </w:p>
        </w:tc>
        <w:tc>
          <w:tcPr>
            <w:tcW w:w="719" w:type="dxa"/>
            <w:shd w:val="clear" w:color="auto" w:fill="D9D9D9"/>
            <w:vAlign w:val="center"/>
          </w:tcPr>
          <w:p w14:paraId="2B9089C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5.60</w:t>
            </w:r>
          </w:p>
        </w:tc>
        <w:tc>
          <w:tcPr>
            <w:tcW w:w="690" w:type="dxa"/>
            <w:tcBorders>
              <w:right w:val="single" w:sz="4" w:space="0" w:color="auto"/>
            </w:tcBorders>
            <w:vAlign w:val="center"/>
          </w:tcPr>
          <w:p w14:paraId="63026AB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.87</w:t>
            </w:r>
          </w:p>
        </w:tc>
        <w:tc>
          <w:tcPr>
            <w:tcW w:w="658" w:type="dxa"/>
            <w:tcBorders>
              <w:left w:val="single" w:sz="4" w:space="0" w:color="auto"/>
            </w:tcBorders>
            <w:vAlign w:val="center"/>
          </w:tcPr>
          <w:p w14:paraId="6EC3C22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820" w:type="dxa"/>
            <w:shd w:val="clear" w:color="auto" w:fill="D9D9D9"/>
            <w:vAlign w:val="center"/>
          </w:tcPr>
          <w:p w14:paraId="66FBE7F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5.43</w:t>
            </w:r>
          </w:p>
        </w:tc>
        <w:tc>
          <w:tcPr>
            <w:tcW w:w="628" w:type="dxa"/>
            <w:vAlign w:val="center"/>
          </w:tcPr>
          <w:p w14:paraId="68FF0FE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.87</w:t>
            </w:r>
          </w:p>
        </w:tc>
        <w:tc>
          <w:tcPr>
            <w:tcW w:w="561" w:type="dxa"/>
            <w:vAlign w:val="center"/>
          </w:tcPr>
          <w:p w14:paraId="1C11DF9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28</w:t>
            </w:r>
          </w:p>
        </w:tc>
        <w:tc>
          <w:tcPr>
            <w:tcW w:w="719" w:type="dxa"/>
            <w:shd w:val="clear" w:color="auto" w:fill="D9D9D9"/>
            <w:vAlign w:val="center"/>
          </w:tcPr>
          <w:p w14:paraId="74BB996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5.97</w:t>
            </w:r>
          </w:p>
        </w:tc>
        <w:tc>
          <w:tcPr>
            <w:tcW w:w="771" w:type="dxa"/>
            <w:vAlign w:val="center"/>
          </w:tcPr>
          <w:p w14:paraId="5BF9777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.56</w:t>
            </w:r>
          </w:p>
        </w:tc>
        <w:tc>
          <w:tcPr>
            <w:tcW w:w="713" w:type="dxa"/>
            <w:vAlign w:val="center"/>
          </w:tcPr>
          <w:p w14:paraId="0C69B32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.95</w:t>
            </w:r>
          </w:p>
        </w:tc>
        <w:tc>
          <w:tcPr>
            <w:tcW w:w="695" w:type="dxa"/>
            <w:vAlign w:val="center"/>
          </w:tcPr>
          <w:p w14:paraId="4E0BAB1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1, 37</w:t>
            </w:r>
          </w:p>
        </w:tc>
        <w:tc>
          <w:tcPr>
            <w:tcW w:w="853" w:type="dxa"/>
            <w:vAlign w:val="center"/>
          </w:tcPr>
          <w:p w14:paraId="30AFD18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.335</w:t>
            </w:r>
          </w:p>
        </w:tc>
      </w:tr>
      <w:tr w:rsidR="00E6060C" w:rsidRPr="00E6060C" w14:paraId="4CB9CF50" w14:textId="77777777" w:rsidTr="00842587">
        <w:trPr>
          <w:trHeight w:val="386"/>
        </w:trPr>
        <w:tc>
          <w:tcPr>
            <w:tcW w:w="2800" w:type="dxa"/>
            <w:vAlign w:val="center"/>
          </w:tcPr>
          <w:p w14:paraId="71BAA7C6"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Low activation unpleasant affect (depression)</w:t>
            </w:r>
          </w:p>
        </w:tc>
        <w:tc>
          <w:tcPr>
            <w:tcW w:w="726" w:type="dxa"/>
            <w:vAlign w:val="center"/>
          </w:tcPr>
          <w:p w14:paraId="20C3588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719" w:type="dxa"/>
            <w:shd w:val="clear" w:color="auto" w:fill="D9D9D9"/>
            <w:vAlign w:val="center"/>
          </w:tcPr>
          <w:p w14:paraId="012922B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5.71</w:t>
            </w:r>
          </w:p>
        </w:tc>
        <w:tc>
          <w:tcPr>
            <w:tcW w:w="689" w:type="dxa"/>
            <w:vAlign w:val="center"/>
          </w:tcPr>
          <w:p w14:paraId="2225AC3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.80</w:t>
            </w:r>
          </w:p>
        </w:tc>
        <w:tc>
          <w:tcPr>
            <w:tcW w:w="635" w:type="dxa"/>
            <w:vAlign w:val="center"/>
          </w:tcPr>
          <w:p w14:paraId="1A4D46E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w:t>
            </w:r>
          </w:p>
        </w:tc>
        <w:tc>
          <w:tcPr>
            <w:tcW w:w="719" w:type="dxa"/>
            <w:shd w:val="clear" w:color="auto" w:fill="D9D9D9"/>
            <w:vAlign w:val="center"/>
          </w:tcPr>
          <w:p w14:paraId="21A5C76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620</w:t>
            </w:r>
          </w:p>
        </w:tc>
        <w:tc>
          <w:tcPr>
            <w:tcW w:w="690" w:type="dxa"/>
            <w:tcBorders>
              <w:right w:val="single" w:sz="4" w:space="0" w:color="auto"/>
            </w:tcBorders>
            <w:vAlign w:val="center"/>
          </w:tcPr>
          <w:p w14:paraId="6FDE799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.87</w:t>
            </w:r>
          </w:p>
        </w:tc>
        <w:tc>
          <w:tcPr>
            <w:tcW w:w="658" w:type="dxa"/>
            <w:tcBorders>
              <w:left w:val="single" w:sz="4" w:space="0" w:color="auto"/>
            </w:tcBorders>
            <w:vAlign w:val="center"/>
          </w:tcPr>
          <w:p w14:paraId="44EB718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820" w:type="dxa"/>
            <w:shd w:val="clear" w:color="auto" w:fill="D9D9D9"/>
            <w:vAlign w:val="center"/>
          </w:tcPr>
          <w:p w14:paraId="176F3E3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6.19</w:t>
            </w:r>
          </w:p>
        </w:tc>
        <w:tc>
          <w:tcPr>
            <w:tcW w:w="628" w:type="dxa"/>
            <w:vAlign w:val="center"/>
          </w:tcPr>
          <w:p w14:paraId="21B23BE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.80</w:t>
            </w:r>
          </w:p>
        </w:tc>
        <w:tc>
          <w:tcPr>
            <w:tcW w:w="561" w:type="dxa"/>
            <w:vAlign w:val="center"/>
          </w:tcPr>
          <w:p w14:paraId="4DB05BF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w:t>
            </w:r>
          </w:p>
        </w:tc>
        <w:tc>
          <w:tcPr>
            <w:tcW w:w="719" w:type="dxa"/>
            <w:shd w:val="clear" w:color="auto" w:fill="D9D9D9"/>
            <w:vAlign w:val="center"/>
          </w:tcPr>
          <w:p w14:paraId="01C5E1A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6.25</w:t>
            </w:r>
          </w:p>
        </w:tc>
        <w:tc>
          <w:tcPr>
            <w:tcW w:w="771" w:type="dxa"/>
            <w:vAlign w:val="center"/>
          </w:tcPr>
          <w:p w14:paraId="1F6EE7B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.71</w:t>
            </w:r>
          </w:p>
        </w:tc>
        <w:tc>
          <w:tcPr>
            <w:tcW w:w="713" w:type="dxa"/>
            <w:vAlign w:val="center"/>
          </w:tcPr>
          <w:p w14:paraId="7CBB15D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1.82</w:t>
            </w:r>
          </w:p>
        </w:tc>
        <w:tc>
          <w:tcPr>
            <w:tcW w:w="695" w:type="dxa"/>
            <w:vAlign w:val="center"/>
          </w:tcPr>
          <w:p w14:paraId="3042C8B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1, 35</w:t>
            </w:r>
          </w:p>
        </w:tc>
        <w:tc>
          <w:tcPr>
            <w:tcW w:w="853" w:type="dxa"/>
            <w:vAlign w:val="center"/>
          </w:tcPr>
          <w:p w14:paraId="0D1A805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.186</w:t>
            </w:r>
          </w:p>
        </w:tc>
      </w:tr>
      <w:tr w:rsidR="00E6060C" w:rsidRPr="00E6060C" w14:paraId="43C92071" w14:textId="77777777" w:rsidTr="00842587">
        <w:trPr>
          <w:trHeight w:val="386"/>
        </w:trPr>
        <w:tc>
          <w:tcPr>
            <w:tcW w:w="2800" w:type="dxa"/>
            <w:vAlign w:val="center"/>
          </w:tcPr>
          <w:p w14:paraId="0F52FDC4"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High activation pleasant affect (enthusiasm)</w:t>
            </w:r>
          </w:p>
        </w:tc>
        <w:tc>
          <w:tcPr>
            <w:tcW w:w="726" w:type="dxa"/>
            <w:vAlign w:val="center"/>
          </w:tcPr>
          <w:p w14:paraId="7DDE098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719" w:type="dxa"/>
            <w:shd w:val="clear" w:color="auto" w:fill="D9D9D9"/>
            <w:vAlign w:val="center"/>
          </w:tcPr>
          <w:p w14:paraId="4A20DBF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3.77</w:t>
            </w:r>
          </w:p>
        </w:tc>
        <w:tc>
          <w:tcPr>
            <w:tcW w:w="689" w:type="dxa"/>
            <w:vAlign w:val="center"/>
          </w:tcPr>
          <w:p w14:paraId="69A3245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1.81</w:t>
            </w:r>
          </w:p>
        </w:tc>
        <w:tc>
          <w:tcPr>
            <w:tcW w:w="635" w:type="dxa"/>
            <w:vAlign w:val="center"/>
          </w:tcPr>
          <w:p w14:paraId="32B5EB6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28</w:t>
            </w:r>
          </w:p>
        </w:tc>
        <w:tc>
          <w:tcPr>
            <w:tcW w:w="719" w:type="dxa"/>
            <w:shd w:val="clear" w:color="auto" w:fill="D9D9D9"/>
            <w:vAlign w:val="center"/>
          </w:tcPr>
          <w:p w14:paraId="0813D6E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4.26</w:t>
            </w:r>
          </w:p>
        </w:tc>
        <w:tc>
          <w:tcPr>
            <w:tcW w:w="690" w:type="dxa"/>
            <w:tcBorders>
              <w:right w:val="single" w:sz="4" w:space="0" w:color="auto"/>
            </w:tcBorders>
            <w:vAlign w:val="center"/>
          </w:tcPr>
          <w:p w14:paraId="7C2866F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1.43</w:t>
            </w:r>
          </w:p>
        </w:tc>
        <w:tc>
          <w:tcPr>
            <w:tcW w:w="658" w:type="dxa"/>
            <w:tcBorders>
              <w:left w:val="single" w:sz="4" w:space="0" w:color="auto"/>
            </w:tcBorders>
            <w:vAlign w:val="center"/>
          </w:tcPr>
          <w:p w14:paraId="3503B02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820" w:type="dxa"/>
            <w:shd w:val="clear" w:color="auto" w:fill="D9D9D9"/>
            <w:vAlign w:val="center"/>
          </w:tcPr>
          <w:p w14:paraId="698ABE6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3.50</w:t>
            </w:r>
          </w:p>
        </w:tc>
        <w:tc>
          <w:tcPr>
            <w:tcW w:w="628" w:type="dxa"/>
            <w:vAlign w:val="center"/>
          </w:tcPr>
          <w:p w14:paraId="0AB88D7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1.45</w:t>
            </w:r>
          </w:p>
        </w:tc>
        <w:tc>
          <w:tcPr>
            <w:tcW w:w="561" w:type="dxa"/>
            <w:vAlign w:val="center"/>
          </w:tcPr>
          <w:p w14:paraId="6518636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28</w:t>
            </w:r>
          </w:p>
        </w:tc>
        <w:tc>
          <w:tcPr>
            <w:tcW w:w="719" w:type="dxa"/>
            <w:shd w:val="clear" w:color="auto" w:fill="D9D9D9"/>
            <w:vAlign w:val="center"/>
          </w:tcPr>
          <w:p w14:paraId="73AA375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4.34</w:t>
            </w:r>
          </w:p>
        </w:tc>
        <w:tc>
          <w:tcPr>
            <w:tcW w:w="771" w:type="dxa"/>
            <w:vAlign w:val="center"/>
          </w:tcPr>
          <w:p w14:paraId="6419E50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1.46</w:t>
            </w:r>
          </w:p>
        </w:tc>
        <w:tc>
          <w:tcPr>
            <w:tcW w:w="713" w:type="dxa"/>
            <w:vAlign w:val="center"/>
          </w:tcPr>
          <w:p w14:paraId="507481C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2.05</w:t>
            </w:r>
          </w:p>
        </w:tc>
        <w:tc>
          <w:tcPr>
            <w:tcW w:w="695" w:type="dxa"/>
            <w:vAlign w:val="center"/>
          </w:tcPr>
          <w:p w14:paraId="20A3A4A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1, 37</w:t>
            </w:r>
          </w:p>
        </w:tc>
        <w:tc>
          <w:tcPr>
            <w:tcW w:w="853" w:type="dxa"/>
            <w:vAlign w:val="center"/>
          </w:tcPr>
          <w:p w14:paraId="40EF9F9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.161</w:t>
            </w:r>
          </w:p>
        </w:tc>
      </w:tr>
      <w:tr w:rsidR="00E6060C" w:rsidRPr="00E6060C" w14:paraId="042AD28A" w14:textId="77777777" w:rsidTr="00842587">
        <w:trPr>
          <w:trHeight w:val="386"/>
        </w:trPr>
        <w:tc>
          <w:tcPr>
            <w:tcW w:w="2800" w:type="dxa"/>
            <w:vAlign w:val="center"/>
          </w:tcPr>
          <w:p w14:paraId="15EE73AF"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Low activation pleasant affect (comfort)</w:t>
            </w:r>
          </w:p>
        </w:tc>
        <w:tc>
          <w:tcPr>
            <w:tcW w:w="726" w:type="dxa"/>
            <w:tcBorders>
              <w:bottom w:val="single" w:sz="4" w:space="0" w:color="auto"/>
            </w:tcBorders>
            <w:vAlign w:val="center"/>
          </w:tcPr>
          <w:p w14:paraId="77D8B1E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719" w:type="dxa"/>
            <w:tcBorders>
              <w:bottom w:val="single" w:sz="4" w:space="0" w:color="auto"/>
            </w:tcBorders>
            <w:shd w:val="clear" w:color="auto" w:fill="D9D9D9"/>
            <w:vAlign w:val="center"/>
          </w:tcPr>
          <w:p w14:paraId="4F2CCC2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3.75</w:t>
            </w:r>
          </w:p>
        </w:tc>
        <w:tc>
          <w:tcPr>
            <w:tcW w:w="689" w:type="dxa"/>
            <w:tcBorders>
              <w:bottom w:val="single" w:sz="4" w:space="0" w:color="auto"/>
            </w:tcBorders>
            <w:vAlign w:val="center"/>
          </w:tcPr>
          <w:p w14:paraId="04A0855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1.22</w:t>
            </w:r>
          </w:p>
        </w:tc>
        <w:tc>
          <w:tcPr>
            <w:tcW w:w="635" w:type="dxa"/>
            <w:tcBorders>
              <w:bottom w:val="single" w:sz="4" w:space="0" w:color="auto"/>
            </w:tcBorders>
            <w:vAlign w:val="center"/>
          </w:tcPr>
          <w:p w14:paraId="1D27B1D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w:t>
            </w:r>
          </w:p>
        </w:tc>
        <w:tc>
          <w:tcPr>
            <w:tcW w:w="719" w:type="dxa"/>
            <w:tcBorders>
              <w:bottom w:val="single" w:sz="4" w:space="0" w:color="auto"/>
            </w:tcBorders>
            <w:shd w:val="clear" w:color="auto" w:fill="D9D9D9"/>
            <w:vAlign w:val="center"/>
          </w:tcPr>
          <w:p w14:paraId="16DE8C8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4.07</w:t>
            </w:r>
          </w:p>
        </w:tc>
        <w:tc>
          <w:tcPr>
            <w:tcW w:w="690" w:type="dxa"/>
            <w:tcBorders>
              <w:bottom w:val="single" w:sz="4" w:space="0" w:color="auto"/>
              <w:right w:val="single" w:sz="4" w:space="0" w:color="auto"/>
            </w:tcBorders>
            <w:vAlign w:val="center"/>
          </w:tcPr>
          <w:p w14:paraId="72C0ECF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1.33</w:t>
            </w:r>
          </w:p>
        </w:tc>
        <w:tc>
          <w:tcPr>
            <w:tcW w:w="658" w:type="dxa"/>
            <w:tcBorders>
              <w:left w:val="single" w:sz="4" w:space="0" w:color="auto"/>
            </w:tcBorders>
            <w:vAlign w:val="center"/>
          </w:tcPr>
          <w:p w14:paraId="6E4F406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w:t>
            </w:r>
          </w:p>
        </w:tc>
        <w:tc>
          <w:tcPr>
            <w:tcW w:w="820" w:type="dxa"/>
            <w:tcBorders>
              <w:bottom w:val="single" w:sz="4" w:space="0" w:color="auto"/>
            </w:tcBorders>
            <w:shd w:val="clear" w:color="auto" w:fill="D9D9D9"/>
            <w:vAlign w:val="center"/>
          </w:tcPr>
          <w:p w14:paraId="7166A1A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3.77</w:t>
            </w:r>
          </w:p>
        </w:tc>
        <w:tc>
          <w:tcPr>
            <w:tcW w:w="628" w:type="dxa"/>
            <w:vAlign w:val="center"/>
          </w:tcPr>
          <w:p w14:paraId="0955909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1.25</w:t>
            </w:r>
          </w:p>
        </w:tc>
        <w:tc>
          <w:tcPr>
            <w:tcW w:w="561" w:type="dxa"/>
            <w:vAlign w:val="center"/>
          </w:tcPr>
          <w:p w14:paraId="3297C3F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27</w:t>
            </w:r>
          </w:p>
        </w:tc>
        <w:tc>
          <w:tcPr>
            <w:tcW w:w="719" w:type="dxa"/>
            <w:tcBorders>
              <w:bottom w:val="single" w:sz="4" w:space="0" w:color="auto"/>
            </w:tcBorders>
            <w:shd w:val="clear" w:color="auto" w:fill="D9D9D9"/>
            <w:vAlign w:val="center"/>
          </w:tcPr>
          <w:p w14:paraId="0346E5C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4.22</w:t>
            </w:r>
          </w:p>
        </w:tc>
        <w:tc>
          <w:tcPr>
            <w:tcW w:w="771" w:type="dxa"/>
            <w:vAlign w:val="center"/>
          </w:tcPr>
          <w:p w14:paraId="51E8E7F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1.22</w:t>
            </w:r>
          </w:p>
        </w:tc>
        <w:tc>
          <w:tcPr>
            <w:tcW w:w="713" w:type="dxa"/>
            <w:vAlign w:val="center"/>
          </w:tcPr>
          <w:p w14:paraId="6F17DA2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.04</w:t>
            </w:r>
          </w:p>
        </w:tc>
        <w:tc>
          <w:tcPr>
            <w:tcW w:w="695" w:type="dxa"/>
            <w:vAlign w:val="center"/>
          </w:tcPr>
          <w:p w14:paraId="0119F35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1, 36</w:t>
            </w:r>
          </w:p>
        </w:tc>
        <w:tc>
          <w:tcPr>
            <w:tcW w:w="853" w:type="dxa"/>
            <w:vAlign w:val="center"/>
          </w:tcPr>
          <w:p w14:paraId="5B987E1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.847</w:t>
            </w:r>
          </w:p>
        </w:tc>
      </w:tr>
    </w:tbl>
    <w:p w14:paraId="79DBB951"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7D6159AC"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w:t>
      </w:r>
      <w:r w:rsidRPr="00E6060C">
        <w:rPr>
          <w:rFonts w:ascii="Calibri" w:eastAsia="Calibri" w:hAnsi="Calibri" w:cs="Times New Roman"/>
        </w:rPr>
        <w:t>Significant at the .10 level</w:t>
      </w:r>
    </w:p>
    <w:p w14:paraId="1ABA286D" w14:textId="77777777" w:rsidR="00E6060C" w:rsidRPr="00E6060C" w:rsidRDefault="00E6060C" w:rsidP="00E6060C">
      <w:pPr>
        <w:spacing w:after="200" w:line="240" w:lineRule="auto"/>
        <w:contextualSpacing/>
        <w:rPr>
          <w:rFonts w:ascii="Calibri" w:eastAsia="Calibri" w:hAnsi="Calibri" w:cs="Times New Roman"/>
        </w:rPr>
        <w:sectPr w:rsidR="00E6060C" w:rsidRPr="00E6060C"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i/>
        </w:rPr>
        <w:t xml:space="preserve">Notes: </w:t>
      </w:r>
      <w:r w:rsidRPr="00E6060C">
        <w:rPr>
          <w:rFonts w:ascii="Calibri" w:eastAsia="Calibri" w:hAnsi="Calibri" w:cs="Times New Roman"/>
        </w:rPr>
        <w:t xml:space="preserve"> n=number of respondents; </w:t>
      </w:r>
      <w:r w:rsidRPr="00E6060C">
        <w:rPr>
          <w:rFonts w:ascii="Calibri" w:eastAsia="Calibri" w:hAnsi="Calibri" w:cs="Times New Roman"/>
          <w:i/>
        </w:rPr>
        <w:t>M</w:t>
      </w:r>
      <w:r w:rsidRPr="00E6060C">
        <w:rPr>
          <w:rFonts w:ascii="Calibri" w:eastAsia="Calibri" w:hAnsi="Calibri" w:cs="Times New Roman"/>
        </w:rPr>
        <w:t xml:space="preserve">=mean; </w:t>
      </w:r>
      <w:r w:rsidRPr="00E6060C">
        <w:rPr>
          <w:rFonts w:ascii="Calibri" w:eastAsia="Calibri" w:hAnsi="Calibri" w:cs="Times New Roman"/>
          <w:i/>
        </w:rPr>
        <w:t>SD</w:t>
      </w:r>
      <w:r w:rsidRPr="00E6060C">
        <w:rPr>
          <w:rFonts w:ascii="Calibri" w:eastAsia="Calibri" w:hAnsi="Calibri" w:cs="Times New Roman"/>
        </w:rPr>
        <w:t xml:space="preserve">=standard deviation of the mean; </w:t>
      </w:r>
      <w:r w:rsidRPr="00E6060C">
        <w:rPr>
          <w:rFonts w:ascii="Calibri" w:eastAsia="Calibri" w:hAnsi="Calibri" w:cs="Times New Roman"/>
          <w:i/>
        </w:rPr>
        <w:t>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 xml:space="preserve">-value;  </w:t>
      </w:r>
    </w:p>
    <w:p w14:paraId="6DB2351C" w14:textId="77777777" w:rsidR="00FD533A" w:rsidRDefault="00E6060C" w:rsidP="00FD533A">
      <w:pPr>
        <w:keepNext/>
        <w:autoSpaceDE w:val="0"/>
        <w:autoSpaceDN w:val="0"/>
        <w:adjustRightInd w:val="0"/>
        <w:spacing w:line="240" w:lineRule="auto"/>
      </w:pPr>
      <w:r w:rsidRPr="00E6060C">
        <w:rPr>
          <w:rFonts w:ascii="Times New Roman" w:eastAsia="Calibri" w:hAnsi="Times New Roman" w:cs="Times New Roman"/>
          <w:noProof/>
          <w:sz w:val="24"/>
          <w:szCs w:val="24"/>
          <w:lang w:eastAsia="en-GB"/>
        </w:rPr>
        <w:lastRenderedPageBreak/>
        <w:drawing>
          <wp:inline distT="0" distB="0" distL="0" distR="0" wp14:anchorId="57096CDF" wp14:editId="1FA280DA">
            <wp:extent cx="4580253" cy="36671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5192" cy="3687092"/>
                    </a:xfrm>
                    <a:prstGeom prst="rect">
                      <a:avLst/>
                    </a:prstGeom>
                    <a:noFill/>
                    <a:ln>
                      <a:noFill/>
                    </a:ln>
                  </pic:spPr>
                </pic:pic>
              </a:graphicData>
            </a:graphic>
          </wp:inline>
        </w:drawing>
      </w:r>
    </w:p>
    <w:p w14:paraId="72ADAAB2" w14:textId="3E51B8ED" w:rsidR="00E6060C" w:rsidRPr="00E6060C" w:rsidRDefault="00FD533A" w:rsidP="005852AD">
      <w:pPr>
        <w:pStyle w:val="Figurestyle"/>
        <w:rPr>
          <w:rFonts w:ascii="Times New Roman" w:eastAsia="Calibri" w:hAnsi="Times New Roman" w:cs="Times New Roman"/>
          <w:sz w:val="24"/>
          <w:szCs w:val="24"/>
        </w:rPr>
      </w:pPr>
      <w:bookmarkStart w:id="445" w:name="_Ref453591024"/>
      <w:bookmarkStart w:id="446" w:name="_Toc453238920"/>
      <w:bookmarkStart w:id="447" w:name="_Toc468286110"/>
      <w:r>
        <w:t xml:space="preserve">Figure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1</w:t>
      </w:r>
      <w:r w:rsidR="00245D68">
        <w:rPr>
          <w:noProof/>
        </w:rPr>
        <w:fldChar w:fldCharType="end"/>
      </w:r>
      <w:bookmarkEnd w:id="445"/>
      <w:r>
        <w:t xml:space="preserve"> </w:t>
      </w:r>
      <w:r w:rsidRPr="00A71C06">
        <w:t>A profile plot comparing the estimated marginal means for relatedness, controlling for role, between Time 1 and Time 2 for the control and intervention groups</w:t>
      </w:r>
      <w:bookmarkEnd w:id="446"/>
      <w:bookmarkEnd w:id="447"/>
    </w:p>
    <w:p w14:paraId="0B7A6B59" w14:textId="77777777" w:rsidR="00E6060C" w:rsidRPr="00E6060C" w:rsidRDefault="00E6060C" w:rsidP="00E6060C">
      <w:pPr>
        <w:autoSpaceDE w:val="0"/>
        <w:autoSpaceDN w:val="0"/>
        <w:adjustRightInd w:val="0"/>
        <w:spacing w:line="240" w:lineRule="auto"/>
        <w:rPr>
          <w:rFonts w:ascii="Times New Roman" w:eastAsia="Calibri" w:hAnsi="Times New Roman" w:cs="Times New Roman"/>
          <w:sz w:val="24"/>
          <w:szCs w:val="24"/>
        </w:rPr>
      </w:pPr>
    </w:p>
    <w:p w14:paraId="0B840E52" w14:textId="77777777" w:rsidR="00E6060C" w:rsidRPr="00E6060C" w:rsidRDefault="00E6060C" w:rsidP="00E6060C">
      <w:pPr>
        <w:autoSpaceDE w:val="0"/>
        <w:autoSpaceDN w:val="0"/>
        <w:adjustRightInd w:val="0"/>
        <w:spacing w:line="240" w:lineRule="auto"/>
        <w:rPr>
          <w:rFonts w:ascii="Times New Roman" w:eastAsia="Calibri" w:hAnsi="Times New Roman" w:cs="Times New Roman"/>
          <w:sz w:val="24"/>
          <w:szCs w:val="24"/>
        </w:rPr>
      </w:pPr>
    </w:p>
    <w:p w14:paraId="26E31C09" w14:textId="77777777" w:rsidR="00FD533A" w:rsidRDefault="00E6060C" w:rsidP="00FD533A">
      <w:pPr>
        <w:keepNext/>
        <w:autoSpaceDE w:val="0"/>
        <w:autoSpaceDN w:val="0"/>
        <w:adjustRightInd w:val="0"/>
        <w:spacing w:line="240" w:lineRule="auto"/>
      </w:pPr>
      <w:r w:rsidRPr="00E6060C">
        <w:rPr>
          <w:rFonts w:ascii="Times New Roman" w:eastAsia="Calibri" w:hAnsi="Times New Roman" w:cs="Times New Roman"/>
          <w:noProof/>
          <w:sz w:val="24"/>
          <w:szCs w:val="24"/>
          <w:lang w:eastAsia="en-GB"/>
        </w:rPr>
        <w:drawing>
          <wp:inline distT="0" distB="0" distL="0" distR="0" wp14:anchorId="3835FCDE" wp14:editId="0A32AA0B">
            <wp:extent cx="4493412" cy="3597215"/>
            <wp:effectExtent l="0" t="0" r="254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576" cy="3614158"/>
                    </a:xfrm>
                    <a:prstGeom prst="rect">
                      <a:avLst/>
                    </a:prstGeom>
                    <a:noFill/>
                    <a:ln>
                      <a:noFill/>
                    </a:ln>
                  </pic:spPr>
                </pic:pic>
              </a:graphicData>
            </a:graphic>
          </wp:inline>
        </w:drawing>
      </w:r>
    </w:p>
    <w:p w14:paraId="0F7AC02B" w14:textId="77777777" w:rsidR="00356DC7" w:rsidRDefault="00356DC7" w:rsidP="005852AD">
      <w:pPr>
        <w:pStyle w:val="Figurestyle"/>
      </w:pPr>
      <w:bookmarkStart w:id="448" w:name="_Ref453591043"/>
      <w:bookmarkStart w:id="449" w:name="_Toc453238921"/>
    </w:p>
    <w:p w14:paraId="25225957" w14:textId="2891BB76" w:rsidR="00E6060C" w:rsidRPr="00E6060C" w:rsidRDefault="00FD533A" w:rsidP="005852AD">
      <w:pPr>
        <w:pStyle w:val="Figurestyle"/>
        <w:rPr>
          <w:rFonts w:ascii="Times New Roman" w:eastAsia="Calibri" w:hAnsi="Times New Roman" w:cs="Times New Roman"/>
          <w:sz w:val="24"/>
          <w:szCs w:val="24"/>
        </w:rPr>
      </w:pPr>
      <w:bookmarkStart w:id="450" w:name="_Ref458108971"/>
      <w:bookmarkStart w:id="451" w:name="_Toc468286111"/>
      <w:r>
        <w:t xml:space="preserve">Figure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2</w:t>
      </w:r>
      <w:r w:rsidR="00245D68">
        <w:rPr>
          <w:noProof/>
        </w:rPr>
        <w:fldChar w:fldCharType="end"/>
      </w:r>
      <w:bookmarkEnd w:id="448"/>
      <w:bookmarkEnd w:id="450"/>
      <w:r>
        <w:t xml:space="preserve"> </w:t>
      </w:r>
      <w:r w:rsidRPr="00463AE9">
        <w:t>A profile plot comparing the estimated marginal means for competence, controlling for role, between Time 1 and Time 2 for the control and intervention groups</w:t>
      </w:r>
      <w:bookmarkEnd w:id="449"/>
      <w:bookmarkEnd w:id="451"/>
    </w:p>
    <w:p w14:paraId="33FB9513" w14:textId="1A00AB45" w:rsidR="00E6060C" w:rsidRPr="00E6060C" w:rsidRDefault="00E6060C" w:rsidP="00B7614E">
      <w:pPr>
        <w:pStyle w:val="Thesisheading2"/>
      </w:pPr>
      <w:bookmarkStart w:id="452" w:name="_Ref453588905"/>
      <w:bookmarkStart w:id="453" w:name="_Toc468286016"/>
      <w:r w:rsidRPr="00E6060C">
        <w:lastRenderedPageBreak/>
        <w:t>Investigating the effect of the intervention on the complete sample using multilevel modelling techniques</w:t>
      </w:r>
      <w:bookmarkEnd w:id="452"/>
      <w:bookmarkEnd w:id="453"/>
    </w:p>
    <w:p w14:paraId="5592B6F8" w14:textId="77777777" w:rsidR="00E6060C" w:rsidRPr="00E6060C" w:rsidRDefault="00E6060C" w:rsidP="00E6060C">
      <w:pPr>
        <w:spacing w:after="200" w:line="360" w:lineRule="auto"/>
        <w:contextualSpacing/>
        <w:rPr>
          <w:rFonts w:ascii="Calibri" w:eastAsia="Calibri" w:hAnsi="Calibri" w:cs="Times New Roman"/>
        </w:rPr>
      </w:pPr>
    </w:p>
    <w:p w14:paraId="0DC5E955" w14:textId="77777777" w:rsidR="00BC2D9F" w:rsidRDefault="00E6060C" w:rsidP="00BC2D9F">
      <w:pPr>
        <w:spacing w:after="200" w:line="360" w:lineRule="auto"/>
        <w:contextualSpacing/>
        <w:rPr>
          <w:rFonts w:ascii="Calibri" w:eastAsia="Calibri" w:hAnsi="Calibri" w:cs="Times New Roman"/>
        </w:rPr>
      </w:pPr>
      <w:r w:rsidRPr="00E6060C">
        <w:rPr>
          <w:rFonts w:ascii="Calibri" w:eastAsia="Calibri" w:hAnsi="Calibri" w:cs="Times New Roman"/>
        </w:rPr>
        <w:t xml:space="preserve">The sample size of the matched sample was very small, which decreases the robustness of the results. In an attempt to explore the results more fully, it was investigated whether there were any significant mean differences on the research variables between intervention and control groups across time within the entire sample (N=262), using mixed level analysis in SPSS. This procedure uses regression techniques to model data nested at different levels of analysis (e.g. individuals within wards, as in this case) and most commonly adopts the maximum likelihood method of estimation. A particular advantage of multilevel analysis is that it can model both repeated measures data (data obtained from the same person at different time points) and between-subjects data (in this case, data obtained from different individuals at different time points), in the same analysis. Therefore, in terms of this analysis, results can be modelled using the complete sample, involving all those who responded at Time 1 (N=179) and all those who responded at Time 2 (N=83), and thus can include all of the unmatched responses, as well as the 45 matched responses. The larger sample size means that the statistical power of the test at the </w:t>
      </w:r>
      <w:r w:rsidR="00597B3B">
        <w:rPr>
          <w:rFonts w:ascii="Calibri" w:eastAsia="Calibri" w:hAnsi="Calibri" w:cs="Times New Roman"/>
        </w:rPr>
        <w:t>individual-level</w:t>
      </w:r>
      <w:r w:rsidRPr="00E6060C">
        <w:rPr>
          <w:rFonts w:ascii="Calibri" w:eastAsia="Calibri" w:hAnsi="Calibri" w:cs="Times New Roman"/>
        </w:rPr>
        <w:t xml:space="preserve">, the level of interest in this analysis, is greater than that involved in the analysis </w:t>
      </w:r>
      <w:r w:rsidR="00375633">
        <w:rPr>
          <w:rFonts w:ascii="Calibri" w:eastAsia="Calibri" w:hAnsi="Calibri" w:cs="Times New Roman"/>
        </w:rPr>
        <w:t>using purely the matched sample,</w:t>
      </w:r>
      <w:r w:rsidRPr="00E6060C">
        <w:rPr>
          <w:rFonts w:ascii="Calibri" w:eastAsia="Calibri" w:hAnsi="Calibri" w:cs="Times New Roman"/>
        </w:rPr>
        <w:t xml:space="preserve"> and thus the results are likely to be more robust. Moreover, the results will be more representative of the characteristics of all </w:t>
      </w:r>
      <w:r w:rsidR="00345254">
        <w:rPr>
          <w:rFonts w:ascii="Calibri" w:eastAsia="Calibri" w:hAnsi="Calibri" w:cs="Times New Roman"/>
        </w:rPr>
        <w:t xml:space="preserve">of </w:t>
      </w:r>
      <w:r w:rsidRPr="00E6060C">
        <w:rPr>
          <w:rFonts w:ascii="Calibri" w:eastAsia="Calibri" w:hAnsi="Calibri" w:cs="Times New Roman"/>
        </w:rPr>
        <w:t xml:space="preserve">the </w:t>
      </w:r>
      <w:r w:rsidR="00375633">
        <w:rPr>
          <w:rFonts w:ascii="Calibri" w:eastAsia="Calibri" w:hAnsi="Calibri" w:cs="Times New Roman"/>
        </w:rPr>
        <w:t>participants who responded from all</w:t>
      </w:r>
      <w:r w:rsidR="00345254">
        <w:rPr>
          <w:rFonts w:ascii="Calibri" w:eastAsia="Calibri" w:hAnsi="Calibri" w:cs="Times New Roman"/>
        </w:rPr>
        <w:t xml:space="preserve"> of</w:t>
      </w:r>
      <w:r w:rsidR="00375633">
        <w:rPr>
          <w:rFonts w:ascii="Calibri" w:eastAsia="Calibri" w:hAnsi="Calibri" w:cs="Times New Roman"/>
        </w:rPr>
        <w:t xml:space="preserve"> the </w:t>
      </w:r>
      <w:r w:rsidRPr="00E6060C">
        <w:rPr>
          <w:rFonts w:ascii="Calibri" w:eastAsia="Calibri" w:hAnsi="Calibri" w:cs="Times New Roman"/>
        </w:rPr>
        <w:t>wards</w:t>
      </w:r>
      <w:r w:rsidR="00375633">
        <w:rPr>
          <w:rFonts w:ascii="Calibri" w:eastAsia="Calibri" w:hAnsi="Calibri" w:cs="Times New Roman"/>
        </w:rPr>
        <w:t>,</w:t>
      </w:r>
      <w:r w:rsidRPr="00E6060C">
        <w:rPr>
          <w:rFonts w:ascii="Calibri" w:eastAsia="Calibri" w:hAnsi="Calibri" w:cs="Times New Roman"/>
        </w:rPr>
        <w:t xml:space="preserve"> thus allowing greater generaliseability. </w:t>
      </w:r>
      <w:r w:rsidRPr="00E6060C">
        <w:rPr>
          <w:rFonts w:ascii="Calibri" w:eastAsia="Calibri" w:hAnsi="Calibri" w:cs="Times New Roman"/>
          <w:i/>
        </w:rPr>
        <w:t>F-</w:t>
      </w:r>
      <w:r w:rsidRPr="00E6060C">
        <w:rPr>
          <w:rFonts w:ascii="Calibri" w:eastAsia="Calibri" w:hAnsi="Calibri" w:cs="Times New Roman"/>
        </w:rPr>
        <w:t xml:space="preserve">tests to test for significant differences can be computed, as obtained via a traditional repeated measures </w:t>
      </w:r>
      <w:r w:rsidR="00345254">
        <w:rPr>
          <w:rFonts w:ascii="Calibri" w:eastAsia="Calibri" w:hAnsi="Calibri" w:cs="Times New Roman"/>
        </w:rPr>
        <w:t xml:space="preserve">analysis, </w:t>
      </w:r>
      <w:r w:rsidRPr="00E6060C">
        <w:rPr>
          <w:rFonts w:ascii="Calibri" w:eastAsia="Calibri" w:hAnsi="Calibri" w:cs="Times New Roman"/>
        </w:rPr>
        <w:t xml:space="preserve">or </w:t>
      </w:r>
      <w:r w:rsidR="00345254">
        <w:rPr>
          <w:rFonts w:ascii="Calibri" w:eastAsia="Calibri" w:hAnsi="Calibri" w:cs="Times New Roman"/>
        </w:rPr>
        <w:t xml:space="preserve">a </w:t>
      </w:r>
      <w:r w:rsidRPr="00E6060C">
        <w:rPr>
          <w:rFonts w:ascii="Calibri" w:eastAsia="Calibri" w:hAnsi="Calibri" w:cs="Times New Roman"/>
        </w:rPr>
        <w:t xml:space="preserve">simple 2x2 ANOVA, for example. Therefore, by specifying a group*time interaction, this procedure can test whether there are significant differences between control and intervention groups across time using the whole sample. This is the analysis which </w:t>
      </w:r>
      <w:r w:rsidR="00BC2D9F">
        <w:rPr>
          <w:rFonts w:ascii="Calibri" w:eastAsia="Calibri" w:hAnsi="Calibri" w:cs="Times New Roman"/>
        </w:rPr>
        <w:t>is of particular interest here.</w:t>
      </w:r>
    </w:p>
    <w:p w14:paraId="0F910A21" w14:textId="77777777" w:rsidR="00BC2D9F" w:rsidRDefault="00BC2D9F" w:rsidP="00BC2D9F">
      <w:pPr>
        <w:spacing w:after="200" w:line="360" w:lineRule="auto"/>
        <w:contextualSpacing/>
        <w:rPr>
          <w:rFonts w:ascii="Calibri" w:eastAsia="Calibri" w:hAnsi="Calibri" w:cs="Times New Roman"/>
        </w:rPr>
      </w:pPr>
    </w:p>
    <w:p w14:paraId="32998086" w14:textId="172BD955" w:rsidR="00E6060C" w:rsidRPr="00E6060C" w:rsidRDefault="00E6060C" w:rsidP="00BC2D9F">
      <w:pPr>
        <w:spacing w:after="200" w:line="360" w:lineRule="auto"/>
        <w:contextualSpacing/>
        <w:rPr>
          <w:rFonts w:ascii="Calibri" w:eastAsia="Calibri" w:hAnsi="Calibri" w:cs="Times New Roman"/>
        </w:rPr>
      </w:pPr>
      <w:r w:rsidRPr="00E6060C">
        <w:t xml:space="preserve">To determine whether it was necessary to include controls in the multilevel analyses, independent samples </w:t>
      </w:r>
      <w:r w:rsidRPr="008036FE">
        <w:rPr>
          <w:i/>
        </w:rPr>
        <w:t>t</w:t>
      </w:r>
      <w:r w:rsidRPr="00E6060C">
        <w:t xml:space="preserve">-tests were conducted to investigate whether there were any </w:t>
      </w:r>
      <w:r w:rsidR="008036FE">
        <w:t xml:space="preserve">significant </w:t>
      </w:r>
      <w:r w:rsidRPr="00E6060C">
        <w:t xml:space="preserve">differences between control and intervention groups on any of the demographic or research variables at baseline (Time 1, N=179). Results revealed significant differences between groups for ward tenure and hospital tenure (equal variances not assumed, mean difference=1.51, </w:t>
      </w:r>
      <w:r w:rsidRPr="00E6060C">
        <w:rPr>
          <w:i/>
        </w:rPr>
        <w:t>t</w:t>
      </w:r>
      <w:r w:rsidRPr="00E6060C">
        <w:t>=2.31</w:t>
      </w:r>
      <w:r w:rsidRPr="00E6060C">
        <w:rPr>
          <w:i/>
        </w:rPr>
        <w:t xml:space="preserve"> df</w:t>
      </w:r>
      <w:r w:rsidRPr="00E6060C">
        <w:t xml:space="preserve">=89.726, </w:t>
      </w:r>
      <w:r w:rsidRPr="00E6060C">
        <w:rPr>
          <w:i/>
        </w:rPr>
        <w:t>p=</w:t>
      </w:r>
      <w:r w:rsidRPr="00E6060C">
        <w:t xml:space="preserve">.023, 95%-CI, </w:t>
      </w:r>
      <w:r w:rsidRPr="00E6060C">
        <w:rPr>
          <w:i/>
        </w:rPr>
        <w:t>LL</w:t>
      </w:r>
      <w:r w:rsidRPr="00E6060C">
        <w:t xml:space="preserve">=.21, </w:t>
      </w:r>
      <w:r w:rsidRPr="00E6060C">
        <w:rPr>
          <w:i/>
        </w:rPr>
        <w:t>UL</w:t>
      </w:r>
      <w:r w:rsidR="008036FE">
        <w:t>=2.80;</w:t>
      </w:r>
      <w:r w:rsidRPr="00E6060C">
        <w:t xml:space="preserve"> </w:t>
      </w:r>
      <w:r w:rsidR="00F31223">
        <w:t>and</w:t>
      </w:r>
      <w:r w:rsidRPr="00E6060C">
        <w:t xml:space="preserve"> equal variances not assumed, mean difference=2.36, </w:t>
      </w:r>
      <w:r w:rsidRPr="00E6060C">
        <w:rPr>
          <w:i/>
        </w:rPr>
        <w:t>t</w:t>
      </w:r>
      <w:r w:rsidRPr="00E6060C">
        <w:t>=-2.30</w:t>
      </w:r>
      <w:r w:rsidRPr="00E6060C">
        <w:rPr>
          <w:i/>
        </w:rPr>
        <w:t xml:space="preserve"> df</w:t>
      </w:r>
      <w:r w:rsidRPr="00E6060C">
        <w:t xml:space="preserve">=107.95, </w:t>
      </w:r>
      <w:r w:rsidRPr="00E6060C">
        <w:rPr>
          <w:i/>
        </w:rPr>
        <w:t>p=</w:t>
      </w:r>
      <w:r w:rsidRPr="00E6060C">
        <w:t xml:space="preserve">.023, 95%-CI, </w:t>
      </w:r>
      <w:r w:rsidRPr="00E6060C">
        <w:rPr>
          <w:i/>
        </w:rPr>
        <w:t>LL</w:t>
      </w:r>
      <w:r w:rsidRPr="00E6060C">
        <w:t xml:space="preserve">=.33, </w:t>
      </w:r>
      <w:r w:rsidRPr="00E6060C">
        <w:rPr>
          <w:i/>
        </w:rPr>
        <w:t>UL</w:t>
      </w:r>
      <w:r w:rsidRPr="00E6060C">
        <w:t>=4.40, respectively). Inspecti</w:t>
      </w:r>
      <w:r w:rsidR="00B82DC9">
        <w:t>on of the means for each group (</w:t>
      </w:r>
      <w:r w:rsidR="00B82DC9">
        <w:fldChar w:fldCharType="begin"/>
      </w:r>
      <w:r w:rsidR="00B82DC9">
        <w:instrText xml:space="preserve"> REF _Ref458090198 \h </w:instrText>
      </w:r>
      <w:r w:rsidR="00B82DC9">
        <w:fldChar w:fldCharType="separate"/>
      </w:r>
      <w:r w:rsidR="00152F6D">
        <w:t xml:space="preserve">Table </w:t>
      </w:r>
      <w:r w:rsidR="00152F6D">
        <w:rPr>
          <w:noProof/>
        </w:rPr>
        <w:t>8</w:t>
      </w:r>
      <w:r w:rsidR="00152F6D">
        <w:t>.</w:t>
      </w:r>
      <w:r w:rsidR="00152F6D">
        <w:rPr>
          <w:noProof/>
        </w:rPr>
        <w:t>2</w:t>
      </w:r>
      <w:r w:rsidR="00B82DC9">
        <w:fldChar w:fldCharType="end"/>
      </w:r>
      <w:r w:rsidR="00B82DC9">
        <w:t xml:space="preserve">) </w:t>
      </w:r>
      <w:r w:rsidRPr="00E6060C">
        <w:rPr>
          <w:rFonts w:ascii="Calibri" w:eastAsia="Calibri" w:hAnsi="Calibri" w:cs="Times New Roman"/>
        </w:rPr>
        <w:t>suggests that in both cases, those in the control group had worked longer on their wards</w:t>
      </w:r>
      <w:r w:rsidR="008036FE">
        <w:rPr>
          <w:rFonts w:ascii="Calibri" w:eastAsia="Calibri" w:hAnsi="Calibri" w:cs="Times New Roman"/>
        </w:rPr>
        <w:t>,</w:t>
      </w:r>
      <w:r w:rsidRPr="00E6060C">
        <w:rPr>
          <w:rFonts w:ascii="Calibri" w:eastAsia="Calibri" w:hAnsi="Calibri" w:cs="Times New Roman"/>
        </w:rPr>
        <w:t xml:space="preserve"> and in the hospital</w:t>
      </w:r>
      <w:r w:rsidR="008036FE">
        <w:rPr>
          <w:rFonts w:ascii="Calibri" w:eastAsia="Calibri" w:hAnsi="Calibri" w:cs="Times New Roman"/>
        </w:rPr>
        <w:t>,</w:t>
      </w:r>
      <w:r w:rsidRPr="00E6060C">
        <w:rPr>
          <w:rFonts w:ascii="Calibri" w:eastAsia="Calibri" w:hAnsi="Calibri" w:cs="Times New Roman"/>
        </w:rPr>
        <w:t xml:space="preserve"> than those in the intervention group. As ward and hospital tenure are strongly correlated, </w:t>
      </w:r>
      <w:r w:rsidR="008036FE">
        <w:rPr>
          <w:rFonts w:ascii="Calibri" w:eastAsia="Calibri" w:hAnsi="Calibri" w:cs="Times New Roman"/>
        </w:rPr>
        <w:t xml:space="preserve">(Time 1, </w:t>
      </w:r>
      <w:r w:rsidRPr="00E6060C">
        <w:rPr>
          <w:rFonts w:ascii="Calibri" w:eastAsia="Calibri" w:hAnsi="Calibri" w:cs="Times New Roman"/>
          <w:i/>
        </w:rPr>
        <w:t>r=</w:t>
      </w:r>
      <w:r w:rsidRPr="00E6060C">
        <w:rPr>
          <w:rFonts w:ascii="Calibri" w:eastAsia="Calibri" w:hAnsi="Calibri" w:cs="Times New Roman"/>
        </w:rPr>
        <w:t>.61</w:t>
      </w:r>
      <w:r w:rsidR="008036FE">
        <w:rPr>
          <w:rFonts w:ascii="Calibri" w:eastAsia="Calibri" w:hAnsi="Calibri" w:cs="Times New Roman"/>
        </w:rPr>
        <w:t>)</w:t>
      </w:r>
      <w:r w:rsidRPr="00E6060C">
        <w:rPr>
          <w:rFonts w:ascii="Calibri" w:eastAsia="Calibri" w:hAnsi="Calibri" w:cs="Times New Roman"/>
        </w:rPr>
        <w:t xml:space="preserve">, it is not necessary to include both as controls. Indeed, doing so could </w:t>
      </w:r>
      <w:r w:rsidRPr="00E6060C">
        <w:rPr>
          <w:rFonts w:ascii="Calibri" w:eastAsia="Calibri" w:hAnsi="Calibri" w:cs="Times New Roman"/>
        </w:rPr>
        <w:lastRenderedPageBreak/>
        <w:t>cause multicollinearity which could affect the robustness of a mixed level analysis. Therefore, only the variable with the largest mean difference, hospital tenure, was included as a control. No significant differences between groups were observed for any of the other demographic (</w:t>
      </w:r>
      <w:r w:rsidR="00375633">
        <w:rPr>
          <w:rFonts w:ascii="Calibri" w:eastAsia="Calibri" w:hAnsi="Calibri" w:cs="Times New Roman"/>
        </w:rPr>
        <w:fldChar w:fldCharType="begin"/>
      </w:r>
      <w:r w:rsidR="00375633">
        <w:rPr>
          <w:rFonts w:ascii="Calibri" w:eastAsia="Calibri" w:hAnsi="Calibri" w:cs="Times New Roman"/>
        </w:rPr>
        <w:instrText xml:space="preserve"> REF _Ref453591464 \h </w:instrText>
      </w:r>
      <w:r w:rsidR="00375633">
        <w:rPr>
          <w:rFonts w:ascii="Calibri" w:eastAsia="Calibri" w:hAnsi="Calibri" w:cs="Times New Roman"/>
        </w:rPr>
      </w:r>
      <w:r w:rsidR="00375633">
        <w:rPr>
          <w:rFonts w:ascii="Calibri" w:eastAsia="Calibri" w:hAnsi="Calibri" w:cs="Times New Roman"/>
        </w:rPr>
        <w:fldChar w:fldCharType="separate"/>
      </w:r>
      <w:r w:rsidR="00152F6D">
        <w:t xml:space="preserve">Table </w:t>
      </w:r>
      <w:r w:rsidR="00152F6D">
        <w:rPr>
          <w:noProof/>
        </w:rPr>
        <w:t>8</w:t>
      </w:r>
      <w:r w:rsidR="00152F6D">
        <w:t>.</w:t>
      </w:r>
      <w:r w:rsidR="00152F6D">
        <w:rPr>
          <w:noProof/>
        </w:rPr>
        <w:t>19</w:t>
      </w:r>
      <w:r w:rsidR="00375633">
        <w:rPr>
          <w:rFonts w:ascii="Calibri" w:eastAsia="Calibri" w:hAnsi="Calibri" w:cs="Times New Roman"/>
        </w:rPr>
        <w:fldChar w:fldCharType="end"/>
      </w:r>
      <w:r w:rsidRPr="00E6060C">
        <w:rPr>
          <w:rFonts w:ascii="Calibri" w:eastAsia="Calibri" w:hAnsi="Calibri" w:cs="Times New Roman"/>
        </w:rPr>
        <w:t>) or research (</w:t>
      </w:r>
      <w:r w:rsidR="00375633">
        <w:rPr>
          <w:rFonts w:ascii="Calibri" w:eastAsia="Calibri" w:hAnsi="Calibri" w:cs="Times New Roman"/>
        </w:rPr>
        <w:fldChar w:fldCharType="begin"/>
      </w:r>
      <w:r w:rsidR="00375633">
        <w:rPr>
          <w:rFonts w:ascii="Calibri" w:eastAsia="Calibri" w:hAnsi="Calibri" w:cs="Times New Roman"/>
        </w:rPr>
        <w:instrText xml:space="preserve"> REF _Ref453591477 \h </w:instrText>
      </w:r>
      <w:r w:rsidR="00375633">
        <w:rPr>
          <w:rFonts w:ascii="Calibri" w:eastAsia="Calibri" w:hAnsi="Calibri" w:cs="Times New Roman"/>
        </w:rPr>
      </w:r>
      <w:r w:rsidR="00375633">
        <w:rPr>
          <w:rFonts w:ascii="Calibri" w:eastAsia="Calibri" w:hAnsi="Calibri" w:cs="Times New Roman"/>
        </w:rPr>
        <w:fldChar w:fldCharType="separate"/>
      </w:r>
      <w:r w:rsidR="00152F6D">
        <w:t xml:space="preserve">Table </w:t>
      </w:r>
      <w:r w:rsidR="00152F6D">
        <w:rPr>
          <w:noProof/>
        </w:rPr>
        <w:t>8</w:t>
      </w:r>
      <w:r w:rsidR="00152F6D">
        <w:t>.</w:t>
      </w:r>
      <w:r w:rsidR="00152F6D">
        <w:rPr>
          <w:noProof/>
        </w:rPr>
        <w:t>20</w:t>
      </w:r>
      <w:r w:rsidR="00375633">
        <w:rPr>
          <w:rFonts w:ascii="Calibri" w:eastAsia="Calibri" w:hAnsi="Calibri" w:cs="Times New Roman"/>
        </w:rPr>
        <w:fldChar w:fldCharType="end"/>
      </w:r>
      <w:r w:rsidRPr="00E6060C">
        <w:rPr>
          <w:rFonts w:ascii="Calibri" w:eastAsia="Calibri" w:hAnsi="Calibri" w:cs="Times New Roman"/>
        </w:rPr>
        <w:t xml:space="preserve">) variables. </w:t>
      </w:r>
    </w:p>
    <w:p w14:paraId="45E470FE" w14:textId="77777777" w:rsidR="00E6060C" w:rsidRPr="00E6060C" w:rsidRDefault="00E6060C" w:rsidP="00E6060C">
      <w:pPr>
        <w:spacing w:after="200" w:line="360" w:lineRule="auto"/>
        <w:contextualSpacing/>
        <w:rPr>
          <w:rFonts w:ascii="Calibri" w:eastAsia="Calibri" w:hAnsi="Calibri" w:cs="Times New Roman"/>
        </w:rPr>
      </w:pPr>
    </w:p>
    <w:p w14:paraId="7E25CF74" w14:textId="35467B71"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Results of multilevel analysis, adopting the maximum likelihood method of estimation</w:t>
      </w:r>
      <w:r w:rsidR="008036FE">
        <w:rPr>
          <w:rFonts w:ascii="Calibri" w:eastAsia="Calibri" w:hAnsi="Calibri" w:cs="Times New Roman"/>
        </w:rPr>
        <w:t>,</w:t>
      </w:r>
      <w:r w:rsidRPr="00E6060C">
        <w:rPr>
          <w:rFonts w:ascii="Calibri" w:eastAsia="Calibri" w:hAnsi="Calibri" w:cs="Times New Roman"/>
        </w:rPr>
        <w:t xml:space="preserve"> and controlling for hospital tenure, revealed that there was a significant difference between control and intervention groups between Time 1 and Time 2 for high activation unpleasant affect (HAUA; anxiety), </w:t>
      </w:r>
      <w:r w:rsidRPr="00E6060C">
        <w:rPr>
          <w:rFonts w:ascii="Calibri" w:eastAsia="Calibri" w:hAnsi="Calibri" w:cs="Times New Roman"/>
          <w:i/>
        </w:rPr>
        <w:t>F</w:t>
      </w:r>
      <w:r w:rsidRPr="00E6060C">
        <w:rPr>
          <w:rFonts w:ascii="Calibri" w:eastAsia="Calibri" w:hAnsi="Calibri" w:cs="Times New Roman"/>
        </w:rPr>
        <w:t xml:space="preserve">(1, 71.526)=5.564, </w:t>
      </w:r>
      <w:r w:rsidRPr="00E6060C">
        <w:rPr>
          <w:rFonts w:ascii="Calibri" w:eastAsia="Calibri" w:hAnsi="Calibri" w:cs="Times New Roman"/>
          <w:i/>
        </w:rPr>
        <w:t>p</w:t>
      </w:r>
      <w:r w:rsidRPr="00E6060C">
        <w:rPr>
          <w:rFonts w:ascii="Calibri" w:eastAsia="Calibri" w:hAnsi="Calibri" w:cs="Times New Roman"/>
        </w:rPr>
        <w:t xml:space="preserve">=.021. Inspection of the means for each group at both time points reveals that this result was in the expected direction, that is, the intervention group mean increased between Time 1 and </w:t>
      </w:r>
      <w:r w:rsidR="008036FE">
        <w:rPr>
          <w:rFonts w:ascii="Calibri" w:eastAsia="Calibri" w:hAnsi="Calibri" w:cs="Times New Roman"/>
        </w:rPr>
        <w:t>Time 2 (Time 1 Mean</w:t>
      </w:r>
      <w:r w:rsidRPr="00E6060C">
        <w:rPr>
          <w:rFonts w:ascii="Calibri" w:eastAsia="Calibri" w:hAnsi="Calibri" w:cs="Times New Roman"/>
        </w:rPr>
        <w:t>=5.49;</w:t>
      </w:r>
      <w:r w:rsidR="008036FE">
        <w:rPr>
          <w:rFonts w:ascii="Calibri" w:eastAsia="Calibri" w:hAnsi="Calibri" w:cs="Times New Roman"/>
          <w:i/>
        </w:rPr>
        <w:t xml:space="preserve"> </w:t>
      </w:r>
      <w:r w:rsidR="008036FE">
        <w:rPr>
          <w:rFonts w:ascii="Calibri" w:eastAsia="Calibri" w:hAnsi="Calibri" w:cs="Times New Roman"/>
        </w:rPr>
        <w:t>Time 2 Mean</w:t>
      </w:r>
      <w:r w:rsidRPr="00E6060C">
        <w:rPr>
          <w:rFonts w:ascii="Calibri" w:eastAsia="Calibri" w:hAnsi="Calibri" w:cs="Times New Roman"/>
        </w:rPr>
        <w:t>=5.96) indicating less anxiety at Time 2 than at Time 1, whereas the control group mean decreased (Time 1</w:t>
      </w:r>
      <w:r w:rsidR="008036FE">
        <w:rPr>
          <w:rFonts w:ascii="Calibri" w:eastAsia="Calibri" w:hAnsi="Calibri" w:cs="Times New Roman"/>
        </w:rPr>
        <w:t xml:space="preserve"> Mean</w:t>
      </w:r>
      <w:r w:rsidRPr="00E6060C">
        <w:rPr>
          <w:rFonts w:ascii="Calibri" w:eastAsia="Calibri" w:hAnsi="Calibri" w:cs="Times New Roman"/>
        </w:rPr>
        <w:t>=5.44; Time 2</w:t>
      </w:r>
      <w:r w:rsidR="008036FE">
        <w:rPr>
          <w:rFonts w:ascii="Calibri" w:eastAsia="Calibri" w:hAnsi="Calibri" w:cs="Times New Roman"/>
        </w:rPr>
        <w:t xml:space="preserve"> Mean</w:t>
      </w:r>
      <w:r w:rsidRPr="00E6060C">
        <w:rPr>
          <w:rFonts w:ascii="Calibri" w:eastAsia="Calibri" w:hAnsi="Calibri" w:cs="Times New Roman"/>
        </w:rPr>
        <w:t xml:space="preserve">=5.38), indicating greater anxiety at Time 2 than at Time 1 (Figure 5.3). No other significant or borderline significant results were revealed (Table 5.21). These results differ from those revealed by repeated measures ANOVA using only the matched sample (N=45), which found no significant differences between groups across time in terms of these variables, but did find significant differences between groups across time for relatedness, and borderline significant differences between groups across time for competence (see section </w:t>
      </w:r>
      <w:r w:rsidR="00375633">
        <w:rPr>
          <w:rFonts w:ascii="Calibri" w:eastAsia="Calibri" w:hAnsi="Calibri" w:cs="Times New Roman"/>
        </w:rPr>
        <w:fldChar w:fldCharType="begin"/>
      </w:r>
      <w:r w:rsidR="00375633">
        <w:rPr>
          <w:rFonts w:ascii="Calibri" w:eastAsia="Calibri" w:hAnsi="Calibri" w:cs="Times New Roman"/>
        </w:rPr>
        <w:instrText xml:space="preserve"> REF _Ref453591532 \r \h </w:instrText>
      </w:r>
      <w:r w:rsidR="00375633">
        <w:rPr>
          <w:rFonts w:ascii="Calibri" w:eastAsia="Calibri" w:hAnsi="Calibri" w:cs="Times New Roman"/>
        </w:rPr>
      </w:r>
      <w:r w:rsidR="00375633">
        <w:rPr>
          <w:rFonts w:ascii="Calibri" w:eastAsia="Calibri" w:hAnsi="Calibri" w:cs="Times New Roman"/>
        </w:rPr>
        <w:fldChar w:fldCharType="separate"/>
      </w:r>
      <w:r w:rsidR="00152F6D">
        <w:rPr>
          <w:rFonts w:ascii="Calibri" w:eastAsia="Calibri" w:hAnsi="Calibri" w:cs="Times New Roman"/>
        </w:rPr>
        <w:t>8.4</w:t>
      </w:r>
      <w:r w:rsidR="00375633">
        <w:rPr>
          <w:rFonts w:ascii="Calibri" w:eastAsia="Calibri" w:hAnsi="Calibri" w:cs="Times New Roman"/>
        </w:rPr>
        <w:fldChar w:fldCharType="end"/>
      </w:r>
      <w:r w:rsidRPr="00E6060C">
        <w:rPr>
          <w:rFonts w:ascii="Calibri" w:eastAsia="Calibri" w:hAnsi="Calibri" w:cs="Times New Roman"/>
        </w:rPr>
        <w:t>).</w:t>
      </w:r>
    </w:p>
    <w:p w14:paraId="040F3EB8" w14:textId="77777777" w:rsidR="00B82DC9" w:rsidRPr="00E6060C" w:rsidRDefault="00B82DC9" w:rsidP="00E6060C">
      <w:pPr>
        <w:spacing w:after="200" w:line="360" w:lineRule="auto"/>
        <w:contextualSpacing/>
        <w:rPr>
          <w:rFonts w:ascii="Calibri" w:eastAsia="Calibri" w:hAnsi="Calibri" w:cs="Times New Roman"/>
        </w:rPr>
      </w:pPr>
    </w:p>
    <w:p w14:paraId="3FD72108" w14:textId="77777777" w:rsidR="00FD533A" w:rsidRDefault="00E6060C" w:rsidP="00FD533A">
      <w:pPr>
        <w:keepNext/>
        <w:autoSpaceDE w:val="0"/>
        <w:autoSpaceDN w:val="0"/>
        <w:adjustRightInd w:val="0"/>
        <w:spacing w:line="240" w:lineRule="auto"/>
      </w:pPr>
      <w:r w:rsidRPr="00E6060C">
        <w:rPr>
          <w:rFonts w:ascii="Times New Roman" w:eastAsia="Calibri" w:hAnsi="Times New Roman" w:cs="Times New Roman"/>
          <w:noProof/>
          <w:sz w:val="24"/>
          <w:szCs w:val="24"/>
          <w:lang w:eastAsia="en-GB"/>
        </w:rPr>
        <w:drawing>
          <wp:inline distT="0" distB="0" distL="0" distR="0" wp14:anchorId="54B20FDB" wp14:editId="41748E9D">
            <wp:extent cx="3664634" cy="294071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6566" r="6777"/>
                    <a:stretch/>
                  </pic:blipFill>
                  <pic:spPr bwMode="auto">
                    <a:xfrm>
                      <a:off x="0" y="0"/>
                      <a:ext cx="3782581" cy="3035363"/>
                    </a:xfrm>
                    <a:prstGeom prst="rect">
                      <a:avLst/>
                    </a:prstGeom>
                    <a:noFill/>
                    <a:ln>
                      <a:noFill/>
                    </a:ln>
                    <a:extLst>
                      <a:ext uri="{53640926-AAD7-44D8-BBD7-CCE9431645EC}">
                        <a14:shadowObscured xmlns:a14="http://schemas.microsoft.com/office/drawing/2010/main"/>
                      </a:ext>
                    </a:extLst>
                  </pic:spPr>
                </pic:pic>
              </a:graphicData>
            </a:graphic>
          </wp:inline>
        </w:drawing>
      </w:r>
    </w:p>
    <w:p w14:paraId="505073A6" w14:textId="17A29D3A" w:rsidR="00E6060C" w:rsidRPr="00E6060C" w:rsidRDefault="00FD533A" w:rsidP="005852AD">
      <w:pPr>
        <w:pStyle w:val="Figurestyle"/>
        <w:rPr>
          <w:rFonts w:ascii="Calibri" w:eastAsia="Calibri" w:hAnsi="Calibri" w:cs="Times New Roman"/>
        </w:rPr>
        <w:sectPr w:rsidR="00E6060C" w:rsidRPr="00E6060C" w:rsidSect="00E6060C">
          <w:pgSz w:w="11906" w:h="16838"/>
          <w:pgMar w:top="1440" w:right="1440" w:bottom="1440" w:left="1440" w:header="709" w:footer="709" w:gutter="0"/>
          <w:cols w:space="708"/>
          <w:titlePg/>
          <w:docGrid w:linePitch="360"/>
        </w:sectPr>
      </w:pPr>
      <w:bookmarkStart w:id="454" w:name="_Toc453238922"/>
      <w:bookmarkStart w:id="455" w:name="_Toc468286112"/>
      <w:r>
        <w:t xml:space="preserve">Figure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3</w:t>
      </w:r>
      <w:r w:rsidR="00245D68">
        <w:rPr>
          <w:noProof/>
        </w:rPr>
        <w:fldChar w:fldCharType="end"/>
      </w:r>
      <w:r>
        <w:t xml:space="preserve"> </w:t>
      </w:r>
      <w:r w:rsidRPr="001C446F">
        <w:t>A profile plot comparing the estimated marginal means for high activated unpleasant affect (HAUA; anxiety) between Time 1 and Time 2 for the control and intervention groups, controlling for hospital tenure at Time 1 (higher scores=more positive results)</w:t>
      </w:r>
      <w:bookmarkEnd w:id="454"/>
      <w:bookmarkEnd w:id="455"/>
    </w:p>
    <w:p w14:paraId="3EEFA7DF" w14:textId="74EAB197" w:rsidR="00842587" w:rsidRDefault="00842587" w:rsidP="005852AD">
      <w:pPr>
        <w:pStyle w:val="Figurestyle"/>
      </w:pPr>
      <w:bookmarkStart w:id="456" w:name="_Ref453591464"/>
      <w:bookmarkStart w:id="457" w:name="_Toc468286093"/>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19</w:t>
      </w:r>
      <w:r w:rsidR="00245D68">
        <w:rPr>
          <w:noProof/>
        </w:rPr>
        <w:fldChar w:fldCharType="end"/>
      </w:r>
      <w:bookmarkEnd w:id="456"/>
      <w:r>
        <w:t xml:space="preserve"> </w:t>
      </w:r>
      <w:r w:rsidRPr="00AF56E1">
        <w:t>Results of independent samples t-tests between the intervention (N=</w:t>
      </w:r>
      <w:r w:rsidR="00BA0C1B">
        <w:t>115</w:t>
      </w:r>
      <w:r w:rsidRPr="00AF56E1">
        <w:t>) and control (N=</w:t>
      </w:r>
      <w:r w:rsidR="00BA0C1B">
        <w:t>64</w:t>
      </w:r>
      <w:r w:rsidRPr="00AF56E1">
        <w:t>) groups at baseline (Time 1), for all of the demographic variables measured</w:t>
      </w:r>
      <w:bookmarkEnd w:id="457"/>
    </w:p>
    <w:p w14:paraId="2525CA57" w14:textId="77777777" w:rsidR="00842587" w:rsidRDefault="00842587" w:rsidP="005852AD">
      <w:pPr>
        <w:pStyle w:val="Figurestyle"/>
      </w:pPr>
    </w:p>
    <w:tbl>
      <w:tblPr>
        <w:tblW w:w="12328" w:type="dxa"/>
        <w:tblLook w:val="04A0" w:firstRow="1" w:lastRow="0" w:firstColumn="1" w:lastColumn="0" w:noHBand="0" w:noVBand="1"/>
      </w:tblPr>
      <w:tblGrid>
        <w:gridCol w:w="2268"/>
        <w:gridCol w:w="1240"/>
        <w:gridCol w:w="948"/>
        <w:gridCol w:w="944"/>
        <w:gridCol w:w="946"/>
        <w:gridCol w:w="948"/>
        <w:gridCol w:w="944"/>
        <w:gridCol w:w="1251"/>
        <w:gridCol w:w="944"/>
        <w:gridCol w:w="949"/>
        <w:gridCol w:w="946"/>
      </w:tblGrid>
      <w:tr w:rsidR="00E6060C" w:rsidRPr="00E6060C" w14:paraId="432F1E96" w14:textId="77777777" w:rsidTr="005852AD">
        <w:trPr>
          <w:trHeight w:val="290"/>
        </w:trPr>
        <w:tc>
          <w:tcPr>
            <w:tcW w:w="2268" w:type="dxa"/>
            <w:vMerge w:val="restart"/>
            <w:tcBorders>
              <w:top w:val="single" w:sz="4" w:space="0" w:color="auto"/>
              <w:left w:val="nil"/>
              <w:right w:val="nil"/>
            </w:tcBorders>
            <w:shd w:val="clear" w:color="auto" w:fill="auto"/>
            <w:vAlign w:val="center"/>
            <w:hideMark/>
          </w:tcPr>
          <w:p w14:paraId="22742EF6" w14:textId="77777777" w:rsidR="00E6060C" w:rsidRPr="00E6060C" w:rsidRDefault="00E6060C" w:rsidP="00E6060C">
            <w:pPr>
              <w:spacing w:line="240" w:lineRule="auto"/>
              <w:contextualSpacing/>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Variables</w:t>
            </w:r>
          </w:p>
        </w:tc>
        <w:tc>
          <w:tcPr>
            <w:tcW w:w="3132" w:type="dxa"/>
            <w:gridSpan w:val="3"/>
            <w:tcBorders>
              <w:top w:val="single" w:sz="4" w:space="0" w:color="auto"/>
              <w:left w:val="nil"/>
              <w:bottom w:val="single" w:sz="4" w:space="0" w:color="auto"/>
              <w:right w:val="single" w:sz="4" w:space="0" w:color="auto"/>
            </w:tcBorders>
            <w:shd w:val="clear" w:color="auto" w:fill="auto"/>
            <w:vAlign w:val="center"/>
            <w:hideMark/>
          </w:tcPr>
          <w:p w14:paraId="5E3A59F3" w14:textId="77777777" w:rsidR="00E6060C" w:rsidRPr="00E6060C" w:rsidRDefault="00E6060C" w:rsidP="00E6060C">
            <w:pPr>
              <w:spacing w:line="240" w:lineRule="auto"/>
              <w:contextualSpacing/>
              <w:jc w:val="center"/>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Levene's test for equality of variances</w:t>
            </w:r>
            <w:r w:rsidRPr="00E6060C">
              <w:rPr>
                <w:rFonts w:ascii="Calibri" w:eastAsia="Times New Roman" w:hAnsi="Calibri" w:cs="Times New Roman"/>
                <w:b/>
                <w:color w:val="000000"/>
                <w:vertAlign w:val="superscript"/>
                <w:lang w:eastAsia="en-GB"/>
              </w:rPr>
              <w:t>1</w:t>
            </w:r>
          </w:p>
        </w:tc>
        <w:tc>
          <w:tcPr>
            <w:tcW w:w="6928" w:type="dxa"/>
            <w:gridSpan w:val="7"/>
            <w:tcBorders>
              <w:top w:val="single" w:sz="4" w:space="0" w:color="auto"/>
              <w:left w:val="single" w:sz="4" w:space="0" w:color="auto"/>
              <w:bottom w:val="single" w:sz="4" w:space="0" w:color="auto"/>
              <w:right w:val="nil"/>
            </w:tcBorders>
            <w:shd w:val="clear" w:color="auto" w:fill="auto"/>
            <w:vAlign w:val="center"/>
            <w:hideMark/>
          </w:tcPr>
          <w:p w14:paraId="7F999D29"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i/>
                <w:color w:val="000000"/>
                <w:lang w:eastAsia="en-GB"/>
              </w:rPr>
              <w:t>t</w:t>
            </w:r>
            <w:r w:rsidRPr="00E6060C">
              <w:rPr>
                <w:rFonts w:ascii="Calibri" w:eastAsia="Times New Roman" w:hAnsi="Calibri" w:cs="Times New Roman"/>
                <w:b/>
                <w:color w:val="000000"/>
                <w:lang w:eastAsia="en-GB"/>
              </w:rPr>
              <w:t>-test for equality of means</w:t>
            </w:r>
          </w:p>
        </w:tc>
      </w:tr>
      <w:tr w:rsidR="00E6060C" w:rsidRPr="00E6060C" w14:paraId="057EE2F7" w14:textId="77777777" w:rsidTr="005852AD">
        <w:trPr>
          <w:trHeight w:val="860"/>
        </w:trPr>
        <w:tc>
          <w:tcPr>
            <w:tcW w:w="2268" w:type="dxa"/>
            <w:vMerge/>
            <w:tcBorders>
              <w:left w:val="nil"/>
              <w:bottom w:val="nil"/>
              <w:right w:val="nil"/>
            </w:tcBorders>
            <w:shd w:val="clear" w:color="auto" w:fill="auto"/>
            <w:vAlign w:val="center"/>
            <w:hideMark/>
          </w:tcPr>
          <w:p w14:paraId="01B5418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p>
        </w:tc>
        <w:tc>
          <w:tcPr>
            <w:tcW w:w="1240" w:type="dxa"/>
            <w:tcBorders>
              <w:top w:val="nil"/>
              <w:left w:val="nil"/>
              <w:bottom w:val="nil"/>
              <w:right w:val="nil"/>
            </w:tcBorders>
            <w:shd w:val="clear" w:color="auto" w:fill="auto"/>
            <w:vAlign w:val="center"/>
            <w:hideMark/>
          </w:tcPr>
          <w:p w14:paraId="219F9423"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Equal variances assumed?</w:t>
            </w:r>
          </w:p>
        </w:tc>
        <w:tc>
          <w:tcPr>
            <w:tcW w:w="948" w:type="dxa"/>
            <w:tcBorders>
              <w:top w:val="nil"/>
              <w:left w:val="nil"/>
              <w:bottom w:val="nil"/>
              <w:right w:val="nil"/>
            </w:tcBorders>
            <w:shd w:val="clear" w:color="auto" w:fill="auto"/>
            <w:vAlign w:val="center"/>
            <w:hideMark/>
          </w:tcPr>
          <w:p w14:paraId="0202D01F"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F</w:t>
            </w:r>
          </w:p>
        </w:tc>
        <w:tc>
          <w:tcPr>
            <w:tcW w:w="944" w:type="dxa"/>
            <w:tcBorders>
              <w:top w:val="nil"/>
              <w:left w:val="nil"/>
              <w:bottom w:val="nil"/>
              <w:right w:val="single" w:sz="4" w:space="0" w:color="auto"/>
            </w:tcBorders>
            <w:shd w:val="clear" w:color="auto" w:fill="auto"/>
            <w:vAlign w:val="center"/>
            <w:hideMark/>
          </w:tcPr>
          <w:p w14:paraId="40F6F1BB"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946" w:type="dxa"/>
            <w:tcBorders>
              <w:top w:val="nil"/>
              <w:left w:val="nil"/>
              <w:bottom w:val="nil"/>
              <w:right w:val="nil"/>
            </w:tcBorders>
            <w:shd w:val="clear" w:color="auto" w:fill="auto"/>
            <w:vAlign w:val="center"/>
            <w:hideMark/>
          </w:tcPr>
          <w:p w14:paraId="5CA45CD0"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T</w:t>
            </w:r>
          </w:p>
        </w:tc>
        <w:tc>
          <w:tcPr>
            <w:tcW w:w="948" w:type="dxa"/>
            <w:tcBorders>
              <w:top w:val="nil"/>
              <w:left w:val="nil"/>
              <w:bottom w:val="nil"/>
              <w:right w:val="nil"/>
            </w:tcBorders>
            <w:shd w:val="clear" w:color="auto" w:fill="auto"/>
            <w:vAlign w:val="center"/>
            <w:hideMark/>
          </w:tcPr>
          <w:p w14:paraId="28898C27"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df</w:t>
            </w:r>
          </w:p>
        </w:tc>
        <w:tc>
          <w:tcPr>
            <w:tcW w:w="944" w:type="dxa"/>
            <w:tcBorders>
              <w:top w:val="nil"/>
              <w:left w:val="nil"/>
              <w:bottom w:val="nil"/>
              <w:right w:val="nil"/>
            </w:tcBorders>
            <w:shd w:val="clear" w:color="auto" w:fill="auto"/>
            <w:vAlign w:val="center"/>
            <w:hideMark/>
          </w:tcPr>
          <w:p w14:paraId="3FD27FEC"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1251" w:type="dxa"/>
            <w:tcBorders>
              <w:top w:val="nil"/>
              <w:left w:val="nil"/>
              <w:bottom w:val="nil"/>
              <w:right w:val="nil"/>
            </w:tcBorders>
            <w:shd w:val="clear" w:color="auto" w:fill="auto"/>
            <w:vAlign w:val="center"/>
            <w:hideMark/>
          </w:tcPr>
          <w:p w14:paraId="09824CB7"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Mean difference</w:t>
            </w:r>
          </w:p>
        </w:tc>
        <w:tc>
          <w:tcPr>
            <w:tcW w:w="944" w:type="dxa"/>
            <w:tcBorders>
              <w:top w:val="nil"/>
              <w:left w:val="nil"/>
              <w:bottom w:val="nil"/>
              <w:right w:val="nil"/>
            </w:tcBorders>
            <w:shd w:val="clear" w:color="auto" w:fill="auto"/>
            <w:vAlign w:val="center"/>
            <w:hideMark/>
          </w:tcPr>
          <w:p w14:paraId="66C5C2FF"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SE</w:t>
            </w:r>
          </w:p>
        </w:tc>
        <w:tc>
          <w:tcPr>
            <w:tcW w:w="1895" w:type="dxa"/>
            <w:gridSpan w:val="2"/>
            <w:tcBorders>
              <w:top w:val="nil"/>
              <w:left w:val="nil"/>
              <w:bottom w:val="single" w:sz="4" w:space="0" w:color="auto"/>
              <w:right w:val="nil"/>
            </w:tcBorders>
            <w:shd w:val="clear" w:color="auto" w:fill="auto"/>
            <w:vAlign w:val="center"/>
            <w:hideMark/>
          </w:tcPr>
          <w:p w14:paraId="4BD6AB85"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95%-CI</w:t>
            </w:r>
          </w:p>
        </w:tc>
      </w:tr>
      <w:tr w:rsidR="00E6060C" w:rsidRPr="00E6060C" w14:paraId="7849D410" w14:textId="77777777" w:rsidTr="005852AD">
        <w:trPr>
          <w:trHeight w:val="290"/>
        </w:trPr>
        <w:tc>
          <w:tcPr>
            <w:tcW w:w="2268" w:type="dxa"/>
            <w:tcBorders>
              <w:top w:val="nil"/>
              <w:left w:val="nil"/>
              <w:bottom w:val="single" w:sz="4" w:space="0" w:color="auto"/>
              <w:right w:val="nil"/>
            </w:tcBorders>
            <w:shd w:val="clear" w:color="auto" w:fill="auto"/>
            <w:vAlign w:val="center"/>
            <w:hideMark/>
          </w:tcPr>
          <w:p w14:paraId="6FD5C271" w14:textId="77777777" w:rsidR="00E6060C" w:rsidRPr="00E6060C" w:rsidRDefault="00E6060C" w:rsidP="00E6060C">
            <w:pPr>
              <w:spacing w:line="240" w:lineRule="auto"/>
              <w:contextualSpacing/>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 </w:t>
            </w:r>
          </w:p>
        </w:tc>
        <w:tc>
          <w:tcPr>
            <w:tcW w:w="1240" w:type="dxa"/>
            <w:tcBorders>
              <w:top w:val="nil"/>
              <w:left w:val="nil"/>
              <w:bottom w:val="single" w:sz="4" w:space="0" w:color="auto"/>
              <w:right w:val="nil"/>
            </w:tcBorders>
            <w:shd w:val="clear" w:color="auto" w:fill="auto"/>
            <w:vAlign w:val="center"/>
            <w:hideMark/>
          </w:tcPr>
          <w:p w14:paraId="76916966"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948" w:type="dxa"/>
            <w:tcBorders>
              <w:top w:val="nil"/>
              <w:left w:val="nil"/>
              <w:bottom w:val="single" w:sz="4" w:space="0" w:color="auto"/>
              <w:right w:val="nil"/>
            </w:tcBorders>
            <w:shd w:val="clear" w:color="auto" w:fill="auto"/>
            <w:vAlign w:val="center"/>
            <w:hideMark/>
          </w:tcPr>
          <w:p w14:paraId="4385741A"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4" w:type="dxa"/>
            <w:tcBorders>
              <w:top w:val="nil"/>
              <w:left w:val="nil"/>
              <w:bottom w:val="single" w:sz="4" w:space="0" w:color="auto"/>
              <w:right w:val="single" w:sz="4" w:space="0" w:color="auto"/>
            </w:tcBorders>
            <w:shd w:val="clear" w:color="auto" w:fill="auto"/>
            <w:vAlign w:val="center"/>
            <w:hideMark/>
          </w:tcPr>
          <w:p w14:paraId="71C3E1A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6" w:type="dxa"/>
            <w:tcBorders>
              <w:top w:val="nil"/>
              <w:left w:val="nil"/>
              <w:bottom w:val="single" w:sz="4" w:space="0" w:color="auto"/>
              <w:right w:val="nil"/>
            </w:tcBorders>
            <w:shd w:val="clear" w:color="auto" w:fill="auto"/>
            <w:vAlign w:val="center"/>
            <w:hideMark/>
          </w:tcPr>
          <w:p w14:paraId="02B3FC0A"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8" w:type="dxa"/>
            <w:tcBorders>
              <w:top w:val="nil"/>
              <w:left w:val="nil"/>
              <w:bottom w:val="single" w:sz="4" w:space="0" w:color="auto"/>
              <w:right w:val="nil"/>
            </w:tcBorders>
            <w:shd w:val="clear" w:color="auto" w:fill="auto"/>
            <w:vAlign w:val="center"/>
            <w:hideMark/>
          </w:tcPr>
          <w:p w14:paraId="4DD8CC98"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944" w:type="dxa"/>
            <w:tcBorders>
              <w:top w:val="nil"/>
              <w:left w:val="nil"/>
              <w:bottom w:val="single" w:sz="4" w:space="0" w:color="auto"/>
              <w:right w:val="nil"/>
            </w:tcBorders>
            <w:shd w:val="clear" w:color="auto" w:fill="auto"/>
            <w:vAlign w:val="center"/>
            <w:hideMark/>
          </w:tcPr>
          <w:p w14:paraId="112DCF9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 </w:t>
            </w:r>
          </w:p>
        </w:tc>
        <w:tc>
          <w:tcPr>
            <w:tcW w:w="1251" w:type="dxa"/>
            <w:tcBorders>
              <w:top w:val="nil"/>
              <w:left w:val="nil"/>
              <w:bottom w:val="single" w:sz="4" w:space="0" w:color="auto"/>
              <w:right w:val="nil"/>
            </w:tcBorders>
            <w:shd w:val="clear" w:color="auto" w:fill="auto"/>
            <w:vAlign w:val="center"/>
            <w:hideMark/>
          </w:tcPr>
          <w:p w14:paraId="2580D12F"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944" w:type="dxa"/>
            <w:tcBorders>
              <w:top w:val="nil"/>
              <w:left w:val="nil"/>
              <w:bottom w:val="single" w:sz="4" w:space="0" w:color="auto"/>
              <w:right w:val="nil"/>
            </w:tcBorders>
            <w:shd w:val="clear" w:color="auto" w:fill="auto"/>
            <w:vAlign w:val="center"/>
            <w:hideMark/>
          </w:tcPr>
          <w:p w14:paraId="59E5B3F1"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w:t>
            </w:r>
          </w:p>
        </w:tc>
        <w:tc>
          <w:tcPr>
            <w:tcW w:w="949" w:type="dxa"/>
            <w:tcBorders>
              <w:top w:val="nil"/>
              <w:left w:val="nil"/>
              <w:bottom w:val="single" w:sz="4" w:space="0" w:color="auto"/>
              <w:right w:val="nil"/>
            </w:tcBorders>
            <w:shd w:val="clear" w:color="auto" w:fill="auto"/>
            <w:vAlign w:val="center"/>
            <w:hideMark/>
          </w:tcPr>
          <w:p w14:paraId="5C35036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LL</w:t>
            </w:r>
          </w:p>
        </w:tc>
        <w:tc>
          <w:tcPr>
            <w:tcW w:w="946" w:type="dxa"/>
            <w:tcBorders>
              <w:top w:val="nil"/>
              <w:left w:val="nil"/>
              <w:bottom w:val="single" w:sz="4" w:space="0" w:color="auto"/>
              <w:right w:val="nil"/>
            </w:tcBorders>
            <w:shd w:val="clear" w:color="auto" w:fill="auto"/>
            <w:vAlign w:val="center"/>
            <w:hideMark/>
          </w:tcPr>
          <w:p w14:paraId="78D0AB55"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UL</w:t>
            </w:r>
          </w:p>
        </w:tc>
      </w:tr>
      <w:tr w:rsidR="00E6060C" w:rsidRPr="00E6060C" w14:paraId="4E48159A" w14:textId="77777777" w:rsidTr="005852AD">
        <w:trPr>
          <w:trHeight w:val="397"/>
        </w:trPr>
        <w:tc>
          <w:tcPr>
            <w:tcW w:w="2268" w:type="dxa"/>
            <w:tcBorders>
              <w:top w:val="nil"/>
              <w:left w:val="nil"/>
              <w:bottom w:val="nil"/>
              <w:right w:val="nil"/>
            </w:tcBorders>
            <w:shd w:val="clear" w:color="auto" w:fill="auto"/>
            <w:vAlign w:val="center"/>
            <w:hideMark/>
          </w:tcPr>
          <w:p w14:paraId="43595124"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Gender</w:t>
            </w:r>
          </w:p>
        </w:tc>
        <w:tc>
          <w:tcPr>
            <w:tcW w:w="1240" w:type="dxa"/>
            <w:tcBorders>
              <w:top w:val="nil"/>
              <w:left w:val="nil"/>
              <w:bottom w:val="nil"/>
              <w:right w:val="nil"/>
            </w:tcBorders>
            <w:shd w:val="clear" w:color="auto" w:fill="auto"/>
            <w:vAlign w:val="center"/>
          </w:tcPr>
          <w:p w14:paraId="548A982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63FB4A2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c>
          <w:tcPr>
            <w:tcW w:w="944" w:type="dxa"/>
            <w:tcBorders>
              <w:top w:val="nil"/>
              <w:left w:val="nil"/>
              <w:bottom w:val="nil"/>
              <w:right w:val="single" w:sz="4" w:space="0" w:color="auto"/>
            </w:tcBorders>
            <w:shd w:val="clear" w:color="auto" w:fill="auto"/>
            <w:noWrap/>
            <w:vAlign w:val="center"/>
          </w:tcPr>
          <w:p w14:paraId="3A59D44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.568</w:t>
            </w:r>
          </w:p>
        </w:tc>
        <w:tc>
          <w:tcPr>
            <w:tcW w:w="946" w:type="dxa"/>
            <w:tcBorders>
              <w:top w:val="nil"/>
              <w:left w:val="single" w:sz="4" w:space="0" w:color="auto"/>
              <w:bottom w:val="nil"/>
              <w:right w:val="nil"/>
            </w:tcBorders>
            <w:shd w:val="clear" w:color="auto" w:fill="auto"/>
            <w:noWrap/>
            <w:vAlign w:val="center"/>
          </w:tcPr>
          <w:p w14:paraId="233079A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948" w:type="dxa"/>
            <w:tcBorders>
              <w:top w:val="nil"/>
              <w:left w:val="nil"/>
              <w:bottom w:val="nil"/>
              <w:right w:val="nil"/>
            </w:tcBorders>
            <w:shd w:val="clear" w:color="auto" w:fill="auto"/>
            <w:noWrap/>
            <w:vAlign w:val="center"/>
          </w:tcPr>
          <w:p w14:paraId="15B81D2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174.00</w:t>
            </w:r>
          </w:p>
        </w:tc>
        <w:tc>
          <w:tcPr>
            <w:tcW w:w="944" w:type="dxa"/>
            <w:tcBorders>
              <w:top w:val="nil"/>
              <w:left w:val="nil"/>
              <w:bottom w:val="nil"/>
              <w:right w:val="nil"/>
            </w:tcBorders>
            <w:shd w:val="clear" w:color="auto" w:fill="auto"/>
            <w:noWrap/>
            <w:vAlign w:val="center"/>
          </w:tcPr>
          <w:p w14:paraId="5342B24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.774</w:t>
            </w:r>
          </w:p>
        </w:tc>
        <w:tc>
          <w:tcPr>
            <w:tcW w:w="1251" w:type="dxa"/>
            <w:tcBorders>
              <w:top w:val="nil"/>
              <w:left w:val="nil"/>
              <w:bottom w:val="nil"/>
              <w:right w:val="nil"/>
            </w:tcBorders>
            <w:shd w:val="clear" w:color="auto" w:fill="auto"/>
            <w:noWrap/>
            <w:vAlign w:val="center"/>
          </w:tcPr>
          <w:p w14:paraId="40BD996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.01</w:t>
            </w:r>
          </w:p>
        </w:tc>
        <w:tc>
          <w:tcPr>
            <w:tcW w:w="944" w:type="dxa"/>
            <w:tcBorders>
              <w:top w:val="nil"/>
              <w:left w:val="nil"/>
              <w:bottom w:val="nil"/>
              <w:right w:val="nil"/>
            </w:tcBorders>
            <w:shd w:val="clear" w:color="auto" w:fill="auto"/>
            <w:noWrap/>
            <w:vAlign w:val="center"/>
          </w:tcPr>
          <w:p w14:paraId="44B378F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c>
          <w:tcPr>
            <w:tcW w:w="949" w:type="dxa"/>
            <w:tcBorders>
              <w:top w:val="nil"/>
              <w:left w:val="nil"/>
              <w:bottom w:val="nil"/>
              <w:right w:val="nil"/>
            </w:tcBorders>
            <w:shd w:val="clear" w:color="auto" w:fill="auto"/>
            <w:noWrap/>
            <w:vAlign w:val="center"/>
          </w:tcPr>
          <w:p w14:paraId="3435309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946" w:type="dxa"/>
            <w:tcBorders>
              <w:top w:val="nil"/>
              <w:left w:val="nil"/>
              <w:bottom w:val="nil"/>
              <w:right w:val="nil"/>
            </w:tcBorders>
            <w:shd w:val="clear" w:color="auto" w:fill="auto"/>
            <w:noWrap/>
            <w:vAlign w:val="center"/>
          </w:tcPr>
          <w:p w14:paraId="7795F0E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.11</w:t>
            </w:r>
          </w:p>
        </w:tc>
      </w:tr>
      <w:tr w:rsidR="00E6060C" w:rsidRPr="00E6060C" w14:paraId="01366376" w14:textId="77777777" w:rsidTr="005852AD">
        <w:trPr>
          <w:trHeight w:val="397"/>
        </w:trPr>
        <w:tc>
          <w:tcPr>
            <w:tcW w:w="2268" w:type="dxa"/>
            <w:tcBorders>
              <w:top w:val="nil"/>
              <w:left w:val="nil"/>
              <w:bottom w:val="nil"/>
              <w:right w:val="nil"/>
            </w:tcBorders>
            <w:shd w:val="clear" w:color="auto" w:fill="auto"/>
            <w:vAlign w:val="center"/>
            <w:hideMark/>
          </w:tcPr>
          <w:p w14:paraId="3E7191A2"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Age (yrs)</w:t>
            </w:r>
          </w:p>
        </w:tc>
        <w:tc>
          <w:tcPr>
            <w:tcW w:w="1240" w:type="dxa"/>
            <w:tcBorders>
              <w:top w:val="nil"/>
              <w:left w:val="nil"/>
              <w:bottom w:val="nil"/>
              <w:right w:val="nil"/>
            </w:tcBorders>
            <w:shd w:val="clear" w:color="auto" w:fill="auto"/>
            <w:vAlign w:val="center"/>
          </w:tcPr>
          <w:p w14:paraId="25ECC1C7"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06D2C58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.58</w:t>
            </w:r>
          </w:p>
        </w:tc>
        <w:tc>
          <w:tcPr>
            <w:tcW w:w="944" w:type="dxa"/>
            <w:tcBorders>
              <w:top w:val="nil"/>
              <w:left w:val="nil"/>
              <w:bottom w:val="nil"/>
              <w:right w:val="single" w:sz="4" w:space="0" w:color="auto"/>
            </w:tcBorders>
            <w:shd w:val="clear" w:color="auto" w:fill="auto"/>
            <w:noWrap/>
            <w:vAlign w:val="center"/>
          </w:tcPr>
          <w:p w14:paraId="5EF0F53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.446</w:t>
            </w:r>
          </w:p>
        </w:tc>
        <w:tc>
          <w:tcPr>
            <w:tcW w:w="946" w:type="dxa"/>
            <w:tcBorders>
              <w:top w:val="nil"/>
              <w:left w:val="single" w:sz="4" w:space="0" w:color="auto"/>
              <w:bottom w:val="nil"/>
              <w:right w:val="nil"/>
            </w:tcBorders>
            <w:shd w:val="clear" w:color="auto" w:fill="auto"/>
            <w:noWrap/>
            <w:vAlign w:val="center"/>
          </w:tcPr>
          <w:p w14:paraId="5CFCB7D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-1.46</w:t>
            </w:r>
          </w:p>
        </w:tc>
        <w:tc>
          <w:tcPr>
            <w:tcW w:w="948" w:type="dxa"/>
            <w:tcBorders>
              <w:top w:val="nil"/>
              <w:left w:val="nil"/>
              <w:bottom w:val="nil"/>
              <w:right w:val="nil"/>
            </w:tcBorders>
            <w:shd w:val="clear" w:color="auto" w:fill="auto"/>
            <w:noWrap/>
            <w:vAlign w:val="center"/>
          </w:tcPr>
          <w:p w14:paraId="6624AF8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162.00</w:t>
            </w:r>
          </w:p>
        </w:tc>
        <w:tc>
          <w:tcPr>
            <w:tcW w:w="944" w:type="dxa"/>
            <w:tcBorders>
              <w:top w:val="nil"/>
              <w:left w:val="nil"/>
              <w:bottom w:val="nil"/>
              <w:right w:val="nil"/>
            </w:tcBorders>
            <w:shd w:val="clear" w:color="auto" w:fill="auto"/>
            <w:noWrap/>
            <w:vAlign w:val="center"/>
          </w:tcPr>
          <w:p w14:paraId="286ECFB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.145</w:t>
            </w:r>
          </w:p>
        </w:tc>
        <w:tc>
          <w:tcPr>
            <w:tcW w:w="1251" w:type="dxa"/>
            <w:tcBorders>
              <w:top w:val="nil"/>
              <w:left w:val="nil"/>
              <w:bottom w:val="nil"/>
              <w:right w:val="nil"/>
            </w:tcBorders>
            <w:shd w:val="clear" w:color="auto" w:fill="auto"/>
            <w:noWrap/>
            <w:vAlign w:val="center"/>
          </w:tcPr>
          <w:p w14:paraId="3E2495F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-2.67</w:t>
            </w:r>
          </w:p>
        </w:tc>
        <w:tc>
          <w:tcPr>
            <w:tcW w:w="944" w:type="dxa"/>
            <w:tcBorders>
              <w:top w:val="nil"/>
              <w:left w:val="nil"/>
              <w:bottom w:val="nil"/>
              <w:right w:val="nil"/>
            </w:tcBorders>
            <w:shd w:val="clear" w:color="auto" w:fill="auto"/>
            <w:noWrap/>
            <w:vAlign w:val="center"/>
          </w:tcPr>
          <w:p w14:paraId="1C9A452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1.82</w:t>
            </w:r>
          </w:p>
        </w:tc>
        <w:tc>
          <w:tcPr>
            <w:tcW w:w="949" w:type="dxa"/>
            <w:tcBorders>
              <w:top w:val="nil"/>
              <w:left w:val="nil"/>
              <w:bottom w:val="nil"/>
              <w:right w:val="nil"/>
            </w:tcBorders>
            <w:shd w:val="clear" w:color="auto" w:fill="auto"/>
            <w:noWrap/>
            <w:vAlign w:val="center"/>
          </w:tcPr>
          <w:p w14:paraId="655BBEE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-6.27</w:t>
            </w:r>
          </w:p>
        </w:tc>
        <w:tc>
          <w:tcPr>
            <w:tcW w:w="946" w:type="dxa"/>
            <w:tcBorders>
              <w:top w:val="nil"/>
              <w:left w:val="nil"/>
              <w:bottom w:val="nil"/>
              <w:right w:val="nil"/>
            </w:tcBorders>
            <w:shd w:val="clear" w:color="auto" w:fill="auto"/>
            <w:noWrap/>
            <w:vAlign w:val="center"/>
          </w:tcPr>
          <w:p w14:paraId="0BB6DC8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.93</w:t>
            </w:r>
          </w:p>
        </w:tc>
      </w:tr>
      <w:tr w:rsidR="00E6060C" w:rsidRPr="00E6060C" w14:paraId="74ACC4C1" w14:textId="77777777" w:rsidTr="005852AD">
        <w:trPr>
          <w:trHeight w:val="397"/>
        </w:trPr>
        <w:tc>
          <w:tcPr>
            <w:tcW w:w="2268" w:type="dxa"/>
            <w:tcBorders>
              <w:top w:val="nil"/>
              <w:left w:val="nil"/>
              <w:bottom w:val="nil"/>
              <w:right w:val="nil"/>
            </w:tcBorders>
            <w:shd w:val="clear" w:color="auto" w:fill="auto"/>
            <w:vAlign w:val="center"/>
            <w:hideMark/>
          </w:tcPr>
          <w:p w14:paraId="1E925F7D"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Ward tenure (yrs)</w:t>
            </w:r>
          </w:p>
        </w:tc>
        <w:tc>
          <w:tcPr>
            <w:tcW w:w="1240" w:type="dxa"/>
            <w:tcBorders>
              <w:top w:val="nil"/>
              <w:left w:val="nil"/>
              <w:bottom w:val="nil"/>
              <w:right w:val="nil"/>
            </w:tcBorders>
            <w:shd w:val="clear" w:color="auto" w:fill="auto"/>
            <w:vAlign w:val="center"/>
          </w:tcPr>
          <w:p w14:paraId="70660C0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tcPr>
          <w:p w14:paraId="15E8A18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16.17</w:t>
            </w:r>
          </w:p>
        </w:tc>
        <w:tc>
          <w:tcPr>
            <w:tcW w:w="944" w:type="dxa"/>
            <w:tcBorders>
              <w:top w:val="nil"/>
              <w:left w:val="nil"/>
              <w:bottom w:val="nil"/>
              <w:right w:val="single" w:sz="4" w:space="0" w:color="auto"/>
            </w:tcBorders>
            <w:shd w:val="clear" w:color="auto" w:fill="auto"/>
            <w:noWrap/>
            <w:vAlign w:val="center"/>
          </w:tcPr>
          <w:p w14:paraId="1888A73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.000</w:t>
            </w:r>
          </w:p>
        </w:tc>
        <w:tc>
          <w:tcPr>
            <w:tcW w:w="946" w:type="dxa"/>
            <w:tcBorders>
              <w:top w:val="nil"/>
              <w:left w:val="single" w:sz="4" w:space="0" w:color="auto"/>
              <w:bottom w:val="nil"/>
              <w:right w:val="nil"/>
            </w:tcBorders>
            <w:shd w:val="clear" w:color="auto" w:fill="auto"/>
            <w:noWrap/>
            <w:vAlign w:val="center"/>
          </w:tcPr>
          <w:p w14:paraId="4D8371D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2.32</w:t>
            </w:r>
          </w:p>
        </w:tc>
        <w:tc>
          <w:tcPr>
            <w:tcW w:w="948" w:type="dxa"/>
            <w:tcBorders>
              <w:top w:val="nil"/>
              <w:left w:val="nil"/>
              <w:bottom w:val="nil"/>
              <w:right w:val="nil"/>
            </w:tcBorders>
            <w:shd w:val="clear" w:color="auto" w:fill="auto"/>
            <w:noWrap/>
            <w:vAlign w:val="center"/>
          </w:tcPr>
          <w:p w14:paraId="46B26FC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89.73</w:t>
            </w:r>
          </w:p>
        </w:tc>
        <w:tc>
          <w:tcPr>
            <w:tcW w:w="944" w:type="dxa"/>
            <w:tcBorders>
              <w:top w:val="nil"/>
              <w:left w:val="nil"/>
              <w:bottom w:val="nil"/>
              <w:right w:val="nil"/>
            </w:tcBorders>
            <w:shd w:val="clear" w:color="auto" w:fill="auto"/>
            <w:noWrap/>
            <w:vAlign w:val="center"/>
          </w:tcPr>
          <w:p w14:paraId="467669F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.023</w:t>
            </w:r>
          </w:p>
        </w:tc>
        <w:tc>
          <w:tcPr>
            <w:tcW w:w="1251" w:type="dxa"/>
            <w:tcBorders>
              <w:top w:val="nil"/>
              <w:left w:val="nil"/>
              <w:bottom w:val="nil"/>
              <w:right w:val="nil"/>
            </w:tcBorders>
            <w:shd w:val="clear" w:color="auto" w:fill="auto"/>
            <w:noWrap/>
            <w:vAlign w:val="center"/>
          </w:tcPr>
          <w:p w14:paraId="47CB6E8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1.51</w:t>
            </w:r>
          </w:p>
        </w:tc>
        <w:tc>
          <w:tcPr>
            <w:tcW w:w="944" w:type="dxa"/>
            <w:tcBorders>
              <w:top w:val="nil"/>
              <w:left w:val="nil"/>
              <w:bottom w:val="nil"/>
              <w:right w:val="nil"/>
            </w:tcBorders>
            <w:shd w:val="clear" w:color="auto" w:fill="auto"/>
            <w:noWrap/>
            <w:vAlign w:val="center"/>
          </w:tcPr>
          <w:p w14:paraId="625B6C4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.65</w:t>
            </w:r>
          </w:p>
        </w:tc>
        <w:tc>
          <w:tcPr>
            <w:tcW w:w="949" w:type="dxa"/>
            <w:tcBorders>
              <w:top w:val="nil"/>
              <w:left w:val="nil"/>
              <w:bottom w:val="nil"/>
              <w:right w:val="nil"/>
            </w:tcBorders>
            <w:shd w:val="clear" w:color="auto" w:fill="auto"/>
            <w:noWrap/>
            <w:vAlign w:val="center"/>
          </w:tcPr>
          <w:p w14:paraId="6855038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.21</w:t>
            </w:r>
          </w:p>
        </w:tc>
        <w:tc>
          <w:tcPr>
            <w:tcW w:w="946" w:type="dxa"/>
            <w:tcBorders>
              <w:top w:val="nil"/>
              <w:left w:val="nil"/>
              <w:bottom w:val="nil"/>
              <w:right w:val="nil"/>
            </w:tcBorders>
            <w:shd w:val="clear" w:color="auto" w:fill="auto"/>
            <w:noWrap/>
            <w:vAlign w:val="center"/>
          </w:tcPr>
          <w:p w14:paraId="207647C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2.80</w:t>
            </w:r>
          </w:p>
        </w:tc>
      </w:tr>
      <w:tr w:rsidR="00E6060C" w:rsidRPr="00E6060C" w14:paraId="39F1947E" w14:textId="77777777" w:rsidTr="005852AD">
        <w:trPr>
          <w:trHeight w:val="397"/>
        </w:trPr>
        <w:tc>
          <w:tcPr>
            <w:tcW w:w="2268" w:type="dxa"/>
            <w:tcBorders>
              <w:top w:val="nil"/>
              <w:left w:val="nil"/>
              <w:bottom w:val="nil"/>
              <w:right w:val="nil"/>
            </w:tcBorders>
            <w:shd w:val="clear" w:color="auto" w:fill="auto"/>
            <w:vAlign w:val="center"/>
            <w:hideMark/>
          </w:tcPr>
          <w:p w14:paraId="23051F0B"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Hospital tenure (yrs)</w:t>
            </w:r>
          </w:p>
        </w:tc>
        <w:tc>
          <w:tcPr>
            <w:tcW w:w="1240" w:type="dxa"/>
            <w:tcBorders>
              <w:top w:val="nil"/>
              <w:left w:val="nil"/>
              <w:bottom w:val="nil"/>
              <w:right w:val="nil"/>
            </w:tcBorders>
            <w:shd w:val="clear" w:color="auto" w:fill="auto"/>
            <w:vAlign w:val="center"/>
          </w:tcPr>
          <w:p w14:paraId="1684B77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tcPr>
          <w:p w14:paraId="7C7E711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8.47</w:t>
            </w:r>
          </w:p>
        </w:tc>
        <w:tc>
          <w:tcPr>
            <w:tcW w:w="944" w:type="dxa"/>
            <w:tcBorders>
              <w:top w:val="nil"/>
              <w:left w:val="nil"/>
              <w:bottom w:val="nil"/>
              <w:right w:val="single" w:sz="4" w:space="0" w:color="auto"/>
            </w:tcBorders>
            <w:shd w:val="clear" w:color="auto" w:fill="auto"/>
            <w:noWrap/>
            <w:vAlign w:val="center"/>
          </w:tcPr>
          <w:p w14:paraId="19C4A58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.004</w:t>
            </w:r>
          </w:p>
        </w:tc>
        <w:tc>
          <w:tcPr>
            <w:tcW w:w="946" w:type="dxa"/>
            <w:tcBorders>
              <w:top w:val="nil"/>
              <w:left w:val="single" w:sz="4" w:space="0" w:color="auto"/>
              <w:bottom w:val="nil"/>
              <w:right w:val="nil"/>
            </w:tcBorders>
            <w:shd w:val="clear" w:color="auto" w:fill="auto"/>
            <w:noWrap/>
            <w:vAlign w:val="center"/>
          </w:tcPr>
          <w:p w14:paraId="280E9B0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2.30</w:t>
            </w:r>
          </w:p>
        </w:tc>
        <w:tc>
          <w:tcPr>
            <w:tcW w:w="948" w:type="dxa"/>
            <w:tcBorders>
              <w:top w:val="nil"/>
              <w:left w:val="nil"/>
              <w:bottom w:val="nil"/>
              <w:right w:val="nil"/>
            </w:tcBorders>
            <w:shd w:val="clear" w:color="auto" w:fill="auto"/>
            <w:noWrap/>
            <w:vAlign w:val="center"/>
          </w:tcPr>
          <w:p w14:paraId="535E793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107.95</w:t>
            </w:r>
          </w:p>
        </w:tc>
        <w:tc>
          <w:tcPr>
            <w:tcW w:w="944" w:type="dxa"/>
            <w:tcBorders>
              <w:top w:val="nil"/>
              <w:left w:val="nil"/>
              <w:bottom w:val="nil"/>
              <w:right w:val="nil"/>
            </w:tcBorders>
            <w:shd w:val="clear" w:color="auto" w:fill="auto"/>
            <w:noWrap/>
            <w:vAlign w:val="center"/>
          </w:tcPr>
          <w:p w14:paraId="6A5C2D3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.023</w:t>
            </w:r>
          </w:p>
        </w:tc>
        <w:tc>
          <w:tcPr>
            <w:tcW w:w="1251" w:type="dxa"/>
            <w:tcBorders>
              <w:top w:val="nil"/>
              <w:left w:val="nil"/>
              <w:bottom w:val="nil"/>
              <w:right w:val="nil"/>
            </w:tcBorders>
            <w:shd w:val="clear" w:color="auto" w:fill="auto"/>
            <w:noWrap/>
            <w:vAlign w:val="center"/>
          </w:tcPr>
          <w:p w14:paraId="6D4027D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2.36</w:t>
            </w:r>
          </w:p>
        </w:tc>
        <w:tc>
          <w:tcPr>
            <w:tcW w:w="944" w:type="dxa"/>
            <w:tcBorders>
              <w:top w:val="nil"/>
              <w:left w:val="nil"/>
              <w:bottom w:val="nil"/>
              <w:right w:val="nil"/>
            </w:tcBorders>
            <w:shd w:val="clear" w:color="auto" w:fill="auto"/>
            <w:noWrap/>
            <w:vAlign w:val="center"/>
          </w:tcPr>
          <w:p w14:paraId="51465E0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1.03</w:t>
            </w:r>
          </w:p>
        </w:tc>
        <w:tc>
          <w:tcPr>
            <w:tcW w:w="949" w:type="dxa"/>
            <w:tcBorders>
              <w:top w:val="nil"/>
              <w:left w:val="nil"/>
              <w:bottom w:val="nil"/>
              <w:right w:val="nil"/>
            </w:tcBorders>
            <w:shd w:val="clear" w:color="auto" w:fill="auto"/>
            <w:noWrap/>
            <w:vAlign w:val="center"/>
          </w:tcPr>
          <w:p w14:paraId="1391AEB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.33</w:t>
            </w:r>
          </w:p>
        </w:tc>
        <w:tc>
          <w:tcPr>
            <w:tcW w:w="946" w:type="dxa"/>
            <w:tcBorders>
              <w:top w:val="nil"/>
              <w:left w:val="nil"/>
              <w:bottom w:val="nil"/>
              <w:right w:val="nil"/>
            </w:tcBorders>
            <w:shd w:val="clear" w:color="auto" w:fill="auto"/>
            <w:noWrap/>
            <w:vAlign w:val="center"/>
          </w:tcPr>
          <w:p w14:paraId="56E8BEE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4.40</w:t>
            </w:r>
          </w:p>
        </w:tc>
      </w:tr>
      <w:tr w:rsidR="00E6060C" w:rsidRPr="00E6060C" w14:paraId="58F66D55" w14:textId="77777777" w:rsidTr="005852AD">
        <w:trPr>
          <w:trHeight w:val="397"/>
        </w:trPr>
        <w:tc>
          <w:tcPr>
            <w:tcW w:w="2268" w:type="dxa"/>
            <w:tcBorders>
              <w:top w:val="nil"/>
              <w:left w:val="nil"/>
              <w:bottom w:val="nil"/>
              <w:right w:val="nil"/>
            </w:tcBorders>
            <w:shd w:val="clear" w:color="auto" w:fill="auto"/>
            <w:vAlign w:val="center"/>
            <w:hideMark/>
          </w:tcPr>
          <w:p w14:paraId="03DA6C0F"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Role</w:t>
            </w:r>
          </w:p>
        </w:tc>
        <w:tc>
          <w:tcPr>
            <w:tcW w:w="1240" w:type="dxa"/>
            <w:tcBorders>
              <w:top w:val="nil"/>
              <w:left w:val="nil"/>
              <w:bottom w:val="nil"/>
              <w:right w:val="nil"/>
            </w:tcBorders>
            <w:shd w:val="clear" w:color="auto" w:fill="auto"/>
            <w:vAlign w:val="center"/>
          </w:tcPr>
          <w:p w14:paraId="6D703D7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No</w:t>
            </w:r>
          </w:p>
        </w:tc>
        <w:tc>
          <w:tcPr>
            <w:tcW w:w="948" w:type="dxa"/>
            <w:tcBorders>
              <w:top w:val="nil"/>
              <w:left w:val="nil"/>
              <w:bottom w:val="nil"/>
              <w:right w:val="nil"/>
            </w:tcBorders>
            <w:shd w:val="clear" w:color="auto" w:fill="auto"/>
            <w:noWrap/>
            <w:vAlign w:val="center"/>
          </w:tcPr>
          <w:p w14:paraId="05F2B2A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5.18</w:t>
            </w:r>
          </w:p>
        </w:tc>
        <w:tc>
          <w:tcPr>
            <w:tcW w:w="944" w:type="dxa"/>
            <w:tcBorders>
              <w:top w:val="nil"/>
              <w:left w:val="nil"/>
              <w:bottom w:val="nil"/>
              <w:right w:val="single" w:sz="4" w:space="0" w:color="auto"/>
            </w:tcBorders>
            <w:shd w:val="clear" w:color="auto" w:fill="auto"/>
            <w:noWrap/>
            <w:vAlign w:val="center"/>
          </w:tcPr>
          <w:p w14:paraId="4ABD9CB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.024</w:t>
            </w:r>
          </w:p>
        </w:tc>
        <w:tc>
          <w:tcPr>
            <w:tcW w:w="946" w:type="dxa"/>
            <w:tcBorders>
              <w:top w:val="nil"/>
              <w:left w:val="single" w:sz="4" w:space="0" w:color="auto"/>
              <w:bottom w:val="nil"/>
              <w:right w:val="nil"/>
            </w:tcBorders>
            <w:shd w:val="clear" w:color="auto" w:fill="auto"/>
            <w:noWrap/>
            <w:vAlign w:val="center"/>
          </w:tcPr>
          <w:p w14:paraId="6733159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.51</w:t>
            </w:r>
          </w:p>
        </w:tc>
        <w:tc>
          <w:tcPr>
            <w:tcW w:w="948" w:type="dxa"/>
            <w:tcBorders>
              <w:top w:val="nil"/>
              <w:left w:val="nil"/>
              <w:bottom w:val="nil"/>
              <w:right w:val="nil"/>
            </w:tcBorders>
            <w:shd w:val="clear" w:color="auto" w:fill="auto"/>
            <w:noWrap/>
            <w:vAlign w:val="center"/>
          </w:tcPr>
          <w:p w14:paraId="2DCF2EC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107.27</w:t>
            </w:r>
          </w:p>
        </w:tc>
        <w:tc>
          <w:tcPr>
            <w:tcW w:w="944" w:type="dxa"/>
            <w:tcBorders>
              <w:top w:val="nil"/>
              <w:left w:val="nil"/>
              <w:bottom w:val="nil"/>
              <w:right w:val="nil"/>
            </w:tcBorders>
            <w:shd w:val="clear" w:color="auto" w:fill="auto"/>
            <w:noWrap/>
            <w:vAlign w:val="center"/>
          </w:tcPr>
          <w:p w14:paraId="0042264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.613</w:t>
            </w:r>
          </w:p>
        </w:tc>
        <w:tc>
          <w:tcPr>
            <w:tcW w:w="1251" w:type="dxa"/>
            <w:tcBorders>
              <w:top w:val="nil"/>
              <w:left w:val="nil"/>
              <w:bottom w:val="nil"/>
              <w:right w:val="nil"/>
            </w:tcBorders>
            <w:shd w:val="clear" w:color="auto" w:fill="auto"/>
            <w:noWrap/>
            <w:vAlign w:val="center"/>
          </w:tcPr>
          <w:p w14:paraId="04C2CB5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.07</w:t>
            </w:r>
          </w:p>
        </w:tc>
        <w:tc>
          <w:tcPr>
            <w:tcW w:w="944" w:type="dxa"/>
            <w:tcBorders>
              <w:top w:val="nil"/>
              <w:left w:val="nil"/>
              <w:bottom w:val="nil"/>
              <w:right w:val="nil"/>
            </w:tcBorders>
            <w:shd w:val="clear" w:color="auto" w:fill="auto"/>
            <w:noWrap/>
            <w:vAlign w:val="center"/>
          </w:tcPr>
          <w:p w14:paraId="400034E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49" w:type="dxa"/>
            <w:tcBorders>
              <w:top w:val="nil"/>
              <w:left w:val="nil"/>
              <w:bottom w:val="nil"/>
              <w:right w:val="nil"/>
            </w:tcBorders>
            <w:shd w:val="clear" w:color="auto" w:fill="auto"/>
            <w:noWrap/>
            <w:vAlign w:val="center"/>
          </w:tcPr>
          <w:p w14:paraId="62FB72A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-.19</w:t>
            </w:r>
          </w:p>
        </w:tc>
        <w:tc>
          <w:tcPr>
            <w:tcW w:w="946" w:type="dxa"/>
            <w:tcBorders>
              <w:top w:val="nil"/>
              <w:left w:val="nil"/>
              <w:bottom w:val="nil"/>
              <w:right w:val="nil"/>
            </w:tcBorders>
            <w:shd w:val="clear" w:color="auto" w:fill="auto"/>
            <w:noWrap/>
            <w:vAlign w:val="center"/>
          </w:tcPr>
          <w:p w14:paraId="636947D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.32</w:t>
            </w:r>
          </w:p>
        </w:tc>
      </w:tr>
      <w:tr w:rsidR="00E6060C" w:rsidRPr="00E6060C" w14:paraId="506543D8" w14:textId="77777777" w:rsidTr="005852AD">
        <w:trPr>
          <w:trHeight w:val="397"/>
        </w:trPr>
        <w:tc>
          <w:tcPr>
            <w:tcW w:w="2268" w:type="dxa"/>
            <w:tcBorders>
              <w:top w:val="nil"/>
              <w:left w:val="nil"/>
              <w:bottom w:val="nil"/>
              <w:right w:val="nil"/>
            </w:tcBorders>
            <w:shd w:val="clear" w:color="auto" w:fill="auto"/>
            <w:vAlign w:val="center"/>
            <w:hideMark/>
          </w:tcPr>
          <w:p w14:paraId="00CD2861"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Hierarchical level</w:t>
            </w:r>
          </w:p>
        </w:tc>
        <w:tc>
          <w:tcPr>
            <w:tcW w:w="1240" w:type="dxa"/>
            <w:tcBorders>
              <w:top w:val="nil"/>
              <w:left w:val="nil"/>
              <w:bottom w:val="nil"/>
              <w:right w:val="nil"/>
            </w:tcBorders>
            <w:shd w:val="clear" w:color="auto" w:fill="auto"/>
            <w:vAlign w:val="center"/>
          </w:tcPr>
          <w:p w14:paraId="5992C43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6E7D530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.00</w:t>
            </w:r>
          </w:p>
        </w:tc>
        <w:tc>
          <w:tcPr>
            <w:tcW w:w="944" w:type="dxa"/>
            <w:tcBorders>
              <w:top w:val="nil"/>
              <w:left w:val="nil"/>
              <w:bottom w:val="nil"/>
              <w:right w:val="single" w:sz="4" w:space="0" w:color="auto"/>
            </w:tcBorders>
            <w:shd w:val="clear" w:color="auto" w:fill="auto"/>
            <w:noWrap/>
            <w:vAlign w:val="center"/>
          </w:tcPr>
          <w:p w14:paraId="58E841C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.981</w:t>
            </w:r>
          </w:p>
        </w:tc>
        <w:tc>
          <w:tcPr>
            <w:tcW w:w="946" w:type="dxa"/>
            <w:tcBorders>
              <w:top w:val="nil"/>
              <w:left w:val="single" w:sz="4" w:space="0" w:color="auto"/>
              <w:bottom w:val="nil"/>
              <w:right w:val="nil"/>
            </w:tcBorders>
            <w:shd w:val="clear" w:color="auto" w:fill="auto"/>
            <w:noWrap/>
            <w:vAlign w:val="center"/>
          </w:tcPr>
          <w:p w14:paraId="6130A60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.92</w:t>
            </w:r>
          </w:p>
        </w:tc>
        <w:tc>
          <w:tcPr>
            <w:tcW w:w="948" w:type="dxa"/>
            <w:tcBorders>
              <w:top w:val="nil"/>
              <w:left w:val="nil"/>
              <w:bottom w:val="nil"/>
              <w:right w:val="nil"/>
            </w:tcBorders>
            <w:shd w:val="clear" w:color="auto" w:fill="auto"/>
            <w:noWrap/>
            <w:vAlign w:val="center"/>
          </w:tcPr>
          <w:p w14:paraId="225ECEA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173.00</w:t>
            </w:r>
          </w:p>
        </w:tc>
        <w:tc>
          <w:tcPr>
            <w:tcW w:w="944" w:type="dxa"/>
            <w:tcBorders>
              <w:top w:val="nil"/>
              <w:left w:val="nil"/>
              <w:bottom w:val="nil"/>
              <w:right w:val="nil"/>
            </w:tcBorders>
            <w:shd w:val="clear" w:color="auto" w:fill="auto"/>
            <w:noWrap/>
            <w:vAlign w:val="center"/>
          </w:tcPr>
          <w:p w14:paraId="2A2AFAF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.360</w:t>
            </w:r>
          </w:p>
        </w:tc>
        <w:tc>
          <w:tcPr>
            <w:tcW w:w="1251" w:type="dxa"/>
            <w:tcBorders>
              <w:top w:val="nil"/>
              <w:left w:val="nil"/>
              <w:bottom w:val="nil"/>
              <w:right w:val="nil"/>
            </w:tcBorders>
            <w:shd w:val="clear" w:color="auto" w:fill="auto"/>
            <w:noWrap/>
            <w:vAlign w:val="center"/>
          </w:tcPr>
          <w:p w14:paraId="4DEBB4B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.25</w:t>
            </w:r>
          </w:p>
        </w:tc>
        <w:tc>
          <w:tcPr>
            <w:tcW w:w="944" w:type="dxa"/>
            <w:tcBorders>
              <w:top w:val="nil"/>
              <w:left w:val="nil"/>
              <w:bottom w:val="nil"/>
              <w:right w:val="nil"/>
            </w:tcBorders>
            <w:shd w:val="clear" w:color="auto" w:fill="auto"/>
            <w:noWrap/>
            <w:vAlign w:val="center"/>
          </w:tcPr>
          <w:p w14:paraId="667FE30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.27</w:t>
            </w:r>
          </w:p>
        </w:tc>
        <w:tc>
          <w:tcPr>
            <w:tcW w:w="949" w:type="dxa"/>
            <w:tcBorders>
              <w:top w:val="nil"/>
              <w:left w:val="nil"/>
              <w:bottom w:val="nil"/>
              <w:right w:val="nil"/>
            </w:tcBorders>
            <w:shd w:val="clear" w:color="auto" w:fill="auto"/>
            <w:noWrap/>
            <w:vAlign w:val="center"/>
          </w:tcPr>
          <w:p w14:paraId="5334B57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946" w:type="dxa"/>
            <w:tcBorders>
              <w:top w:val="nil"/>
              <w:left w:val="nil"/>
              <w:bottom w:val="nil"/>
              <w:right w:val="nil"/>
            </w:tcBorders>
            <w:shd w:val="clear" w:color="auto" w:fill="auto"/>
            <w:noWrap/>
            <w:vAlign w:val="center"/>
          </w:tcPr>
          <w:p w14:paraId="28228C1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.78</w:t>
            </w:r>
          </w:p>
        </w:tc>
      </w:tr>
      <w:tr w:rsidR="00E6060C" w:rsidRPr="00E6060C" w14:paraId="3F488892" w14:textId="77777777" w:rsidTr="005852AD">
        <w:trPr>
          <w:trHeight w:val="397"/>
        </w:trPr>
        <w:tc>
          <w:tcPr>
            <w:tcW w:w="2268" w:type="dxa"/>
            <w:tcBorders>
              <w:top w:val="nil"/>
              <w:left w:val="nil"/>
              <w:bottom w:val="nil"/>
              <w:right w:val="nil"/>
            </w:tcBorders>
            <w:shd w:val="clear" w:color="auto" w:fill="auto"/>
            <w:vAlign w:val="center"/>
            <w:hideMark/>
          </w:tcPr>
          <w:p w14:paraId="57E8881D"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Time qualified (yrs)</w:t>
            </w:r>
          </w:p>
        </w:tc>
        <w:tc>
          <w:tcPr>
            <w:tcW w:w="1240" w:type="dxa"/>
            <w:tcBorders>
              <w:top w:val="nil"/>
              <w:left w:val="nil"/>
              <w:bottom w:val="nil"/>
              <w:right w:val="nil"/>
            </w:tcBorders>
            <w:shd w:val="clear" w:color="auto" w:fill="auto"/>
            <w:vAlign w:val="center"/>
          </w:tcPr>
          <w:p w14:paraId="0EBAA7C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29C3AF6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.03</w:t>
            </w:r>
          </w:p>
        </w:tc>
        <w:tc>
          <w:tcPr>
            <w:tcW w:w="944" w:type="dxa"/>
            <w:tcBorders>
              <w:top w:val="nil"/>
              <w:left w:val="nil"/>
              <w:bottom w:val="nil"/>
              <w:right w:val="single" w:sz="4" w:space="0" w:color="auto"/>
            </w:tcBorders>
            <w:shd w:val="clear" w:color="auto" w:fill="auto"/>
            <w:noWrap/>
            <w:vAlign w:val="center"/>
          </w:tcPr>
          <w:p w14:paraId="532CACA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.856</w:t>
            </w:r>
          </w:p>
        </w:tc>
        <w:tc>
          <w:tcPr>
            <w:tcW w:w="946" w:type="dxa"/>
            <w:tcBorders>
              <w:top w:val="nil"/>
              <w:left w:val="single" w:sz="4" w:space="0" w:color="auto"/>
              <w:bottom w:val="nil"/>
              <w:right w:val="nil"/>
            </w:tcBorders>
            <w:shd w:val="clear" w:color="auto" w:fill="auto"/>
            <w:noWrap/>
            <w:vAlign w:val="center"/>
          </w:tcPr>
          <w:p w14:paraId="73E953C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w:t>
            </w:r>
          </w:p>
        </w:tc>
        <w:tc>
          <w:tcPr>
            <w:tcW w:w="948" w:type="dxa"/>
            <w:tcBorders>
              <w:top w:val="nil"/>
              <w:left w:val="nil"/>
              <w:bottom w:val="nil"/>
              <w:right w:val="nil"/>
            </w:tcBorders>
            <w:shd w:val="clear" w:color="auto" w:fill="auto"/>
            <w:noWrap/>
            <w:vAlign w:val="center"/>
          </w:tcPr>
          <w:p w14:paraId="593F8E1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91.00</w:t>
            </w:r>
          </w:p>
        </w:tc>
        <w:tc>
          <w:tcPr>
            <w:tcW w:w="944" w:type="dxa"/>
            <w:tcBorders>
              <w:top w:val="nil"/>
              <w:left w:val="nil"/>
              <w:bottom w:val="nil"/>
              <w:right w:val="nil"/>
            </w:tcBorders>
            <w:shd w:val="clear" w:color="auto" w:fill="auto"/>
            <w:noWrap/>
            <w:vAlign w:val="center"/>
          </w:tcPr>
          <w:p w14:paraId="763C284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.867</w:t>
            </w:r>
          </w:p>
        </w:tc>
        <w:tc>
          <w:tcPr>
            <w:tcW w:w="1251" w:type="dxa"/>
            <w:tcBorders>
              <w:top w:val="nil"/>
              <w:left w:val="nil"/>
              <w:bottom w:val="nil"/>
              <w:right w:val="nil"/>
            </w:tcBorders>
            <w:shd w:val="clear" w:color="auto" w:fill="auto"/>
            <w:noWrap/>
            <w:vAlign w:val="center"/>
          </w:tcPr>
          <w:p w14:paraId="7CE2370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c>
          <w:tcPr>
            <w:tcW w:w="944" w:type="dxa"/>
            <w:tcBorders>
              <w:top w:val="nil"/>
              <w:left w:val="nil"/>
              <w:bottom w:val="nil"/>
              <w:right w:val="nil"/>
            </w:tcBorders>
            <w:shd w:val="clear" w:color="auto" w:fill="auto"/>
            <w:noWrap/>
            <w:vAlign w:val="center"/>
          </w:tcPr>
          <w:p w14:paraId="0D65347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949" w:type="dxa"/>
            <w:tcBorders>
              <w:top w:val="nil"/>
              <w:left w:val="nil"/>
              <w:bottom w:val="nil"/>
              <w:right w:val="nil"/>
            </w:tcBorders>
            <w:shd w:val="clear" w:color="auto" w:fill="auto"/>
            <w:noWrap/>
            <w:vAlign w:val="center"/>
          </w:tcPr>
          <w:p w14:paraId="7E99E8D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-.66</w:t>
            </w:r>
          </w:p>
        </w:tc>
        <w:tc>
          <w:tcPr>
            <w:tcW w:w="946" w:type="dxa"/>
            <w:tcBorders>
              <w:top w:val="nil"/>
              <w:left w:val="nil"/>
              <w:bottom w:val="nil"/>
              <w:right w:val="nil"/>
            </w:tcBorders>
            <w:shd w:val="clear" w:color="auto" w:fill="auto"/>
            <w:noWrap/>
            <w:vAlign w:val="center"/>
          </w:tcPr>
          <w:p w14:paraId="7186110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.56</w:t>
            </w:r>
          </w:p>
        </w:tc>
      </w:tr>
      <w:tr w:rsidR="00E6060C" w:rsidRPr="00E6060C" w14:paraId="17D22CA5" w14:textId="77777777" w:rsidTr="005852AD">
        <w:trPr>
          <w:trHeight w:val="397"/>
        </w:trPr>
        <w:tc>
          <w:tcPr>
            <w:tcW w:w="2268" w:type="dxa"/>
            <w:tcBorders>
              <w:top w:val="nil"/>
              <w:left w:val="nil"/>
              <w:bottom w:val="nil"/>
              <w:right w:val="nil"/>
            </w:tcBorders>
            <w:shd w:val="clear" w:color="auto" w:fill="auto"/>
            <w:vAlign w:val="center"/>
            <w:hideMark/>
          </w:tcPr>
          <w:p w14:paraId="5CAC1E15"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Education level</w:t>
            </w:r>
          </w:p>
        </w:tc>
        <w:tc>
          <w:tcPr>
            <w:tcW w:w="1240" w:type="dxa"/>
            <w:tcBorders>
              <w:top w:val="nil"/>
              <w:left w:val="nil"/>
              <w:bottom w:val="nil"/>
              <w:right w:val="nil"/>
            </w:tcBorders>
            <w:shd w:val="clear" w:color="auto" w:fill="auto"/>
            <w:vAlign w:val="center"/>
          </w:tcPr>
          <w:p w14:paraId="520AEBB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0800938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1.28</w:t>
            </w:r>
          </w:p>
        </w:tc>
        <w:tc>
          <w:tcPr>
            <w:tcW w:w="944" w:type="dxa"/>
            <w:tcBorders>
              <w:top w:val="nil"/>
              <w:left w:val="nil"/>
              <w:bottom w:val="nil"/>
              <w:right w:val="single" w:sz="4" w:space="0" w:color="auto"/>
            </w:tcBorders>
            <w:shd w:val="clear" w:color="auto" w:fill="auto"/>
            <w:noWrap/>
            <w:vAlign w:val="center"/>
          </w:tcPr>
          <w:p w14:paraId="1928A50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.260</w:t>
            </w:r>
          </w:p>
        </w:tc>
        <w:tc>
          <w:tcPr>
            <w:tcW w:w="946" w:type="dxa"/>
            <w:tcBorders>
              <w:top w:val="nil"/>
              <w:left w:val="single" w:sz="4" w:space="0" w:color="auto"/>
              <w:bottom w:val="nil"/>
              <w:right w:val="nil"/>
            </w:tcBorders>
            <w:shd w:val="clear" w:color="auto" w:fill="auto"/>
            <w:noWrap/>
            <w:vAlign w:val="center"/>
          </w:tcPr>
          <w:p w14:paraId="474F77C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-.89</w:t>
            </w:r>
          </w:p>
        </w:tc>
        <w:tc>
          <w:tcPr>
            <w:tcW w:w="948" w:type="dxa"/>
            <w:tcBorders>
              <w:top w:val="nil"/>
              <w:left w:val="nil"/>
              <w:bottom w:val="nil"/>
              <w:right w:val="nil"/>
            </w:tcBorders>
            <w:shd w:val="clear" w:color="auto" w:fill="auto"/>
            <w:noWrap/>
            <w:vAlign w:val="center"/>
          </w:tcPr>
          <w:p w14:paraId="4EB2C14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156.00</w:t>
            </w:r>
          </w:p>
        </w:tc>
        <w:tc>
          <w:tcPr>
            <w:tcW w:w="944" w:type="dxa"/>
            <w:tcBorders>
              <w:top w:val="nil"/>
              <w:left w:val="nil"/>
              <w:bottom w:val="nil"/>
              <w:right w:val="nil"/>
            </w:tcBorders>
            <w:shd w:val="clear" w:color="auto" w:fill="auto"/>
            <w:noWrap/>
            <w:vAlign w:val="center"/>
          </w:tcPr>
          <w:p w14:paraId="3AAE365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.375</w:t>
            </w:r>
          </w:p>
        </w:tc>
        <w:tc>
          <w:tcPr>
            <w:tcW w:w="1251" w:type="dxa"/>
            <w:tcBorders>
              <w:top w:val="nil"/>
              <w:left w:val="nil"/>
              <w:bottom w:val="nil"/>
              <w:right w:val="nil"/>
            </w:tcBorders>
            <w:shd w:val="clear" w:color="auto" w:fill="auto"/>
            <w:noWrap/>
            <w:vAlign w:val="center"/>
          </w:tcPr>
          <w:p w14:paraId="48673DC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-.19</w:t>
            </w:r>
          </w:p>
        </w:tc>
        <w:tc>
          <w:tcPr>
            <w:tcW w:w="944" w:type="dxa"/>
            <w:tcBorders>
              <w:top w:val="nil"/>
              <w:left w:val="nil"/>
              <w:bottom w:val="nil"/>
              <w:right w:val="nil"/>
            </w:tcBorders>
            <w:shd w:val="clear" w:color="auto" w:fill="auto"/>
            <w:noWrap/>
            <w:vAlign w:val="center"/>
          </w:tcPr>
          <w:p w14:paraId="3BBA18D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.21</w:t>
            </w:r>
          </w:p>
        </w:tc>
        <w:tc>
          <w:tcPr>
            <w:tcW w:w="949" w:type="dxa"/>
            <w:tcBorders>
              <w:top w:val="nil"/>
              <w:left w:val="nil"/>
              <w:bottom w:val="nil"/>
              <w:right w:val="nil"/>
            </w:tcBorders>
            <w:shd w:val="clear" w:color="auto" w:fill="auto"/>
            <w:noWrap/>
            <w:vAlign w:val="center"/>
          </w:tcPr>
          <w:p w14:paraId="6D58D61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-.61</w:t>
            </w:r>
          </w:p>
        </w:tc>
        <w:tc>
          <w:tcPr>
            <w:tcW w:w="946" w:type="dxa"/>
            <w:tcBorders>
              <w:top w:val="nil"/>
              <w:left w:val="nil"/>
              <w:bottom w:val="nil"/>
              <w:right w:val="nil"/>
            </w:tcBorders>
            <w:shd w:val="clear" w:color="auto" w:fill="auto"/>
            <w:noWrap/>
            <w:vAlign w:val="center"/>
          </w:tcPr>
          <w:p w14:paraId="041AEBB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r>
      <w:tr w:rsidR="00E6060C" w:rsidRPr="00E6060C" w14:paraId="18DE148A" w14:textId="77777777" w:rsidTr="005852AD">
        <w:trPr>
          <w:trHeight w:val="397"/>
        </w:trPr>
        <w:tc>
          <w:tcPr>
            <w:tcW w:w="2268" w:type="dxa"/>
            <w:tcBorders>
              <w:top w:val="nil"/>
              <w:left w:val="nil"/>
              <w:right w:val="nil"/>
            </w:tcBorders>
            <w:shd w:val="clear" w:color="auto" w:fill="auto"/>
            <w:vAlign w:val="center"/>
            <w:hideMark/>
          </w:tcPr>
          <w:p w14:paraId="750762E5"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Manager</w:t>
            </w:r>
          </w:p>
        </w:tc>
        <w:tc>
          <w:tcPr>
            <w:tcW w:w="1240" w:type="dxa"/>
            <w:tcBorders>
              <w:top w:val="nil"/>
              <w:left w:val="nil"/>
              <w:right w:val="nil"/>
            </w:tcBorders>
            <w:shd w:val="clear" w:color="auto" w:fill="auto"/>
            <w:vAlign w:val="center"/>
          </w:tcPr>
          <w:p w14:paraId="3769EAC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right w:val="nil"/>
            </w:tcBorders>
            <w:shd w:val="clear" w:color="auto" w:fill="auto"/>
            <w:noWrap/>
            <w:vAlign w:val="center"/>
          </w:tcPr>
          <w:p w14:paraId="7561547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2.76</w:t>
            </w:r>
          </w:p>
        </w:tc>
        <w:tc>
          <w:tcPr>
            <w:tcW w:w="944" w:type="dxa"/>
            <w:tcBorders>
              <w:top w:val="nil"/>
              <w:left w:val="nil"/>
              <w:right w:val="single" w:sz="4" w:space="0" w:color="auto"/>
            </w:tcBorders>
            <w:shd w:val="clear" w:color="auto" w:fill="auto"/>
            <w:noWrap/>
            <w:vAlign w:val="center"/>
          </w:tcPr>
          <w:p w14:paraId="31F280E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.098</w:t>
            </w:r>
          </w:p>
        </w:tc>
        <w:tc>
          <w:tcPr>
            <w:tcW w:w="946" w:type="dxa"/>
            <w:tcBorders>
              <w:top w:val="nil"/>
              <w:left w:val="single" w:sz="4" w:space="0" w:color="auto"/>
              <w:right w:val="nil"/>
            </w:tcBorders>
            <w:shd w:val="clear" w:color="auto" w:fill="auto"/>
            <w:noWrap/>
            <w:vAlign w:val="center"/>
          </w:tcPr>
          <w:p w14:paraId="3F48A4F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1.01</w:t>
            </w:r>
          </w:p>
        </w:tc>
        <w:tc>
          <w:tcPr>
            <w:tcW w:w="948" w:type="dxa"/>
            <w:tcBorders>
              <w:top w:val="nil"/>
              <w:left w:val="nil"/>
              <w:right w:val="nil"/>
            </w:tcBorders>
            <w:shd w:val="clear" w:color="auto" w:fill="auto"/>
            <w:noWrap/>
            <w:vAlign w:val="center"/>
          </w:tcPr>
          <w:p w14:paraId="60EE742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158.00</w:t>
            </w:r>
          </w:p>
        </w:tc>
        <w:tc>
          <w:tcPr>
            <w:tcW w:w="944" w:type="dxa"/>
            <w:tcBorders>
              <w:top w:val="nil"/>
              <w:left w:val="nil"/>
              <w:right w:val="nil"/>
            </w:tcBorders>
            <w:shd w:val="clear" w:color="auto" w:fill="auto"/>
            <w:noWrap/>
            <w:vAlign w:val="center"/>
          </w:tcPr>
          <w:p w14:paraId="36EAA16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.315</w:t>
            </w:r>
          </w:p>
        </w:tc>
        <w:tc>
          <w:tcPr>
            <w:tcW w:w="1251" w:type="dxa"/>
            <w:tcBorders>
              <w:top w:val="nil"/>
              <w:left w:val="nil"/>
              <w:right w:val="nil"/>
            </w:tcBorders>
            <w:shd w:val="clear" w:color="auto" w:fill="auto"/>
            <w:noWrap/>
            <w:vAlign w:val="center"/>
          </w:tcPr>
          <w:p w14:paraId="623EF72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944" w:type="dxa"/>
            <w:tcBorders>
              <w:top w:val="nil"/>
              <w:left w:val="nil"/>
              <w:right w:val="nil"/>
            </w:tcBorders>
            <w:shd w:val="clear" w:color="auto" w:fill="auto"/>
            <w:noWrap/>
            <w:vAlign w:val="center"/>
          </w:tcPr>
          <w:p w14:paraId="249DAF3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949" w:type="dxa"/>
            <w:tcBorders>
              <w:top w:val="nil"/>
              <w:left w:val="nil"/>
              <w:right w:val="nil"/>
            </w:tcBorders>
            <w:shd w:val="clear" w:color="auto" w:fill="auto"/>
            <w:noWrap/>
            <w:vAlign w:val="center"/>
          </w:tcPr>
          <w:p w14:paraId="50570B4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c>
          <w:tcPr>
            <w:tcW w:w="946" w:type="dxa"/>
            <w:tcBorders>
              <w:top w:val="nil"/>
              <w:left w:val="nil"/>
              <w:right w:val="nil"/>
            </w:tcBorders>
            <w:shd w:val="clear" w:color="auto" w:fill="auto"/>
            <w:noWrap/>
            <w:vAlign w:val="center"/>
          </w:tcPr>
          <w:p w14:paraId="36593F4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r>
      <w:tr w:rsidR="00E6060C" w:rsidRPr="00E6060C" w14:paraId="170E57AC" w14:textId="77777777" w:rsidTr="005852AD">
        <w:trPr>
          <w:trHeight w:val="397"/>
        </w:trPr>
        <w:tc>
          <w:tcPr>
            <w:tcW w:w="2268" w:type="dxa"/>
            <w:tcBorders>
              <w:top w:val="nil"/>
              <w:left w:val="nil"/>
              <w:bottom w:val="single" w:sz="4" w:space="0" w:color="auto"/>
              <w:right w:val="nil"/>
            </w:tcBorders>
            <w:shd w:val="clear" w:color="auto" w:fill="auto"/>
            <w:vAlign w:val="center"/>
            <w:hideMark/>
          </w:tcPr>
          <w:p w14:paraId="1AC6A204"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FT/PT</w:t>
            </w:r>
          </w:p>
        </w:tc>
        <w:tc>
          <w:tcPr>
            <w:tcW w:w="1240" w:type="dxa"/>
            <w:tcBorders>
              <w:top w:val="nil"/>
              <w:left w:val="nil"/>
              <w:bottom w:val="single" w:sz="4" w:space="0" w:color="auto"/>
              <w:right w:val="nil"/>
            </w:tcBorders>
            <w:shd w:val="clear" w:color="auto" w:fill="auto"/>
            <w:vAlign w:val="center"/>
          </w:tcPr>
          <w:p w14:paraId="5142298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single" w:sz="4" w:space="0" w:color="auto"/>
              <w:right w:val="nil"/>
            </w:tcBorders>
            <w:shd w:val="clear" w:color="auto" w:fill="auto"/>
            <w:noWrap/>
            <w:vAlign w:val="center"/>
          </w:tcPr>
          <w:p w14:paraId="7240E59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1.46</w:t>
            </w:r>
          </w:p>
        </w:tc>
        <w:tc>
          <w:tcPr>
            <w:tcW w:w="944" w:type="dxa"/>
            <w:tcBorders>
              <w:top w:val="nil"/>
              <w:left w:val="nil"/>
              <w:bottom w:val="single" w:sz="4" w:space="0" w:color="auto"/>
              <w:right w:val="single" w:sz="4" w:space="0" w:color="auto"/>
            </w:tcBorders>
            <w:shd w:val="clear" w:color="auto" w:fill="auto"/>
            <w:noWrap/>
            <w:vAlign w:val="center"/>
          </w:tcPr>
          <w:p w14:paraId="3EB54DE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.229</w:t>
            </w:r>
          </w:p>
        </w:tc>
        <w:tc>
          <w:tcPr>
            <w:tcW w:w="946" w:type="dxa"/>
            <w:tcBorders>
              <w:top w:val="nil"/>
              <w:left w:val="single" w:sz="4" w:space="0" w:color="auto"/>
              <w:bottom w:val="single" w:sz="4" w:space="0" w:color="auto"/>
              <w:right w:val="nil"/>
            </w:tcBorders>
            <w:shd w:val="clear" w:color="auto" w:fill="auto"/>
            <w:noWrap/>
            <w:vAlign w:val="center"/>
          </w:tcPr>
          <w:p w14:paraId="4C7AE55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.59</w:t>
            </w:r>
          </w:p>
        </w:tc>
        <w:tc>
          <w:tcPr>
            <w:tcW w:w="948" w:type="dxa"/>
            <w:tcBorders>
              <w:top w:val="nil"/>
              <w:left w:val="nil"/>
              <w:bottom w:val="single" w:sz="4" w:space="0" w:color="auto"/>
              <w:right w:val="nil"/>
            </w:tcBorders>
            <w:shd w:val="clear" w:color="auto" w:fill="auto"/>
            <w:noWrap/>
            <w:vAlign w:val="center"/>
          </w:tcPr>
          <w:p w14:paraId="21BD4AE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172.00</w:t>
            </w:r>
          </w:p>
        </w:tc>
        <w:tc>
          <w:tcPr>
            <w:tcW w:w="944" w:type="dxa"/>
            <w:tcBorders>
              <w:top w:val="nil"/>
              <w:left w:val="nil"/>
              <w:bottom w:val="single" w:sz="4" w:space="0" w:color="auto"/>
              <w:right w:val="nil"/>
            </w:tcBorders>
            <w:shd w:val="clear" w:color="auto" w:fill="auto"/>
            <w:noWrap/>
            <w:vAlign w:val="center"/>
          </w:tcPr>
          <w:p w14:paraId="75EFED1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.556</w:t>
            </w:r>
          </w:p>
        </w:tc>
        <w:tc>
          <w:tcPr>
            <w:tcW w:w="1251" w:type="dxa"/>
            <w:tcBorders>
              <w:top w:val="nil"/>
              <w:left w:val="nil"/>
              <w:bottom w:val="single" w:sz="4" w:space="0" w:color="auto"/>
              <w:right w:val="nil"/>
            </w:tcBorders>
            <w:shd w:val="clear" w:color="auto" w:fill="auto"/>
            <w:noWrap/>
            <w:vAlign w:val="center"/>
          </w:tcPr>
          <w:p w14:paraId="10667AE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.04</w:t>
            </w:r>
          </w:p>
        </w:tc>
        <w:tc>
          <w:tcPr>
            <w:tcW w:w="944" w:type="dxa"/>
            <w:tcBorders>
              <w:top w:val="nil"/>
              <w:left w:val="nil"/>
              <w:bottom w:val="single" w:sz="4" w:space="0" w:color="auto"/>
              <w:right w:val="nil"/>
            </w:tcBorders>
            <w:shd w:val="clear" w:color="auto" w:fill="auto"/>
            <w:noWrap/>
            <w:vAlign w:val="center"/>
          </w:tcPr>
          <w:p w14:paraId="4685753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.07</w:t>
            </w:r>
          </w:p>
        </w:tc>
        <w:tc>
          <w:tcPr>
            <w:tcW w:w="949" w:type="dxa"/>
            <w:tcBorders>
              <w:top w:val="nil"/>
              <w:left w:val="nil"/>
              <w:bottom w:val="single" w:sz="4" w:space="0" w:color="auto"/>
              <w:right w:val="nil"/>
            </w:tcBorders>
            <w:shd w:val="clear" w:color="auto" w:fill="auto"/>
            <w:noWrap/>
            <w:vAlign w:val="center"/>
          </w:tcPr>
          <w:p w14:paraId="08EF7B0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w:t>
            </w:r>
          </w:p>
        </w:tc>
        <w:tc>
          <w:tcPr>
            <w:tcW w:w="946" w:type="dxa"/>
            <w:tcBorders>
              <w:top w:val="nil"/>
              <w:left w:val="nil"/>
              <w:bottom w:val="single" w:sz="4" w:space="0" w:color="auto"/>
              <w:right w:val="nil"/>
            </w:tcBorders>
            <w:shd w:val="clear" w:color="auto" w:fill="auto"/>
            <w:noWrap/>
            <w:vAlign w:val="center"/>
          </w:tcPr>
          <w:p w14:paraId="664F9B8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.18</w:t>
            </w:r>
          </w:p>
        </w:tc>
      </w:tr>
    </w:tbl>
    <w:p w14:paraId="1C461BDB"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48A76724"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Where Levene’s test for equality of variances indicates that equal variances between groups cannot be assumed (</w:t>
      </w:r>
      <w:r w:rsidRPr="00E6060C">
        <w:rPr>
          <w:rFonts w:ascii="Calibri" w:eastAsia="Calibri" w:hAnsi="Calibri" w:cs="Times New Roman"/>
          <w:i/>
        </w:rPr>
        <w:t>p</w:t>
      </w:r>
      <w:r w:rsidRPr="00E6060C">
        <w:rPr>
          <w:rFonts w:ascii="Calibri" w:eastAsia="Calibri" w:hAnsi="Calibri" w:cs="Times New Roman"/>
        </w:rPr>
        <w:t xml:space="preserve">&lt;.05),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are </w:t>
      </w:r>
      <w:r w:rsidRPr="00E6060C">
        <w:rPr>
          <w:rFonts w:ascii="Calibri" w:eastAsia="Calibri" w:hAnsi="Calibri" w:cs="Times New Roman"/>
          <w:i/>
        </w:rPr>
        <w:t>not</w:t>
      </w:r>
      <w:r w:rsidRPr="00E6060C">
        <w:rPr>
          <w:rFonts w:ascii="Calibri" w:eastAsia="Calibri" w:hAnsi="Calibri" w:cs="Times New Roman"/>
        </w:rPr>
        <w:t xml:space="preserve"> equal. Conversely, where equal variances </w:t>
      </w:r>
      <w:r w:rsidRPr="00E6060C">
        <w:rPr>
          <w:rFonts w:ascii="Calibri" w:eastAsia="Calibri" w:hAnsi="Calibri" w:cs="Times New Roman"/>
          <w:i/>
        </w:rPr>
        <w:t xml:space="preserve">can </w:t>
      </w:r>
      <w:r w:rsidRPr="00E6060C">
        <w:rPr>
          <w:rFonts w:ascii="Calibri" w:eastAsia="Calibri" w:hAnsi="Calibri" w:cs="Times New Roman"/>
        </w:rPr>
        <w:t>be assumed (</w:t>
      </w:r>
      <w:r w:rsidRPr="00E6060C">
        <w:rPr>
          <w:rFonts w:ascii="Calibri" w:eastAsia="Calibri" w:hAnsi="Calibri" w:cs="Times New Roman"/>
          <w:i/>
        </w:rPr>
        <w:t>p</w:t>
      </w:r>
      <w:r w:rsidRPr="00E6060C">
        <w:rPr>
          <w:rFonts w:ascii="Calibri" w:eastAsia="Calibri" w:hAnsi="Calibri" w:cs="Times New Roman"/>
        </w:rPr>
        <w:t xml:space="preserve">&gt;.05),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w:t>
      </w:r>
      <w:r w:rsidRPr="00E6060C">
        <w:rPr>
          <w:rFonts w:ascii="Calibri" w:eastAsia="Calibri" w:hAnsi="Calibri" w:cs="Times New Roman"/>
          <w:i/>
        </w:rPr>
        <w:t>are</w:t>
      </w:r>
      <w:r w:rsidRPr="00E6060C">
        <w:rPr>
          <w:rFonts w:ascii="Calibri" w:eastAsia="Calibri" w:hAnsi="Calibri" w:cs="Times New Roman"/>
        </w:rPr>
        <w:t xml:space="preserve"> equal.    </w:t>
      </w:r>
    </w:p>
    <w:p w14:paraId="592CADF6" w14:textId="6E2AA3D4" w:rsidR="00E6060C" w:rsidRPr="00E6060C" w:rsidRDefault="00E6060C" w:rsidP="005852AD">
      <w:pPr>
        <w:spacing w:after="200" w:line="240" w:lineRule="auto"/>
        <w:contextualSpacing/>
        <w:rPr>
          <w:rFonts w:ascii="Calibri" w:eastAsia="Calibri" w:hAnsi="Calibri" w:cs="Times New Roman"/>
        </w:rPr>
        <w:sectPr w:rsidR="00E6060C" w:rsidRPr="00E6060C"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i/>
        </w:rPr>
        <w:t>Notes: N</w:t>
      </w:r>
      <w:r w:rsidRPr="00E6060C">
        <w:rPr>
          <w:rFonts w:ascii="Calibri" w:eastAsia="Calibri" w:hAnsi="Calibri" w:cs="Times New Roman"/>
        </w:rPr>
        <w:t>=number of respondents;</w:t>
      </w:r>
      <w:r w:rsidRPr="00E6060C">
        <w:rPr>
          <w:rFonts w:ascii="Calibri" w:eastAsia="Calibri" w:hAnsi="Calibri" w:cs="Times New Roman"/>
          <w:i/>
        </w:rPr>
        <w:t xml:space="preserve"> 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 xml:space="preserve">-value; </w:t>
      </w:r>
      <w:r w:rsidRPr="00E6060C">
        <w:rPr>
          <w:rFonts w:ascii="Calibri" w:eastAsia="Calibri" w:hAnsi="Calibri" w:cs="Times New Roman"/>
          <w:i/>
        </w:rPr>
        <w:t>t</w:t>
      </w:r>
      <w:r w:rsidRPr="00E6060C">
        <w:rPr>
          <w:rFonts w:ascii="Calibri" w:eastAsia="Calibri" w:hAnsi="Calibri" w:cs="Times New Roman"/>
        </w:rPr>
        <w:t>=</w:t>
      </w:r>
      <w:r w:rsidRPr="00E6060C">
        <w:rPr>
          <w:rFonts w:ascii="Calibri" w:eastAsia="Calibri" w:hAnsi="Calibri" w:cs="Times New Roman"/>
          <w:i/>
        </w:rPr>
        <w:t>t</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SE</w:t>
      </w:r>
      <w:r w:rsidRPr="00E6060C">
        <w:rPr>
          <w:rFonts w:ascii="Calibri" w:eastAsia="Calibri" w:hAnsi="Calibri" w:cs="Times New Roman"/>
        </w:rPr>
        <w:t xml:space="preserve">=standard error; 95%-CI=95% confidence level; </w:t>
      </w:r>
      <w:r w:rsidRPr="00E6060C">
        <w:rPr>
          <w:rFonts w:ascii="Calibri" w:eastAsia="Calibri" w:hAnsi="Calibri" w:cs="Times New Roman"/>
          <w:i/>
        </w:rPr>
        <w:t>LL</w:t>
      </w:r>
      <w:r w:rsidRPr="00E6060C">
        <w:rPr>
          <w:rFonts w:ascii="Calibri" w:eastAsia="Calibri" w:hAnsi="Calibri" w:cs="Times New Roman"/>
        </w:rPr>
        <w:t xml:space="preserve">=lower level CI; </w:t>
      </w:r>
      <w:r w:rsidRPr="00E6060C">
        <w:rPr>
          <w:rFonts w:ascii="Calibri" w:eastAsia="Calibri" w:hAnsi="Calibri" w:cs="Times New Roman"/>
          <w:i/>
        </w:rPr>
        <w:t>UL</w:t>
      </w:r>
      <w:r w:rsidRPr="00E6060C">
        <w:rPr>
          <w:rFonts w:ascii="Calibri" w:eastAsia="Calibri" w:hAnsi="Calibri" w:cs="Times New Roman"/>
        </w:rPr>
        <w:t>=upper level CI;</w:t>
      </w:r>
      <w:r w:rsidRPr="00E6060C">
        <w:rPr>
          <w:rFonts w:ascii="Calibri" w:eastAsia="Calibri" w:hAnsi="Calibri" w:cs="Times New Roman"/>
          <w:i/>
        </w:rPr>
        <w:t xml:space="preserve"> </w:t>
      </w:r>
      <w:r w:rsidRPr="00E6060C">
        <w:rPr>
          <w:rFonts w:ascii="Calibri" w:eastAsia="Calibri" w:hAnsi="Calibri" w:cs="Times New Roman"/>
        </w:rPr>
        <w:t>Time qualified=length of time qualified as a nurse; Manager=whether or not the respondents managed employees</w:t>
      </w:r>
      <w:r w:rsidR="008036FE">
        <w:rPr>
          <w:rFonts w:ascii="Calibri" w:eastAsia="Calibri" w:hAnsi="Calibri" w:cs="Times New Roman"/>
        </w:rPr>
        <w:t>; FT/PT=full time/part time</w:t>
      </w:r>
    </w:p>
    <w:p w14:paraId="52D9A4A9" w14:textId="586D3448" w:rsidR="00842587" w:rsidRDefault="00842587" w:rsidP="005852AD">
      <w:pPr>
        <w:pStyle w:val="Figurestyle"/>
      </w:pPr>
      <w:bookmarkStart w:id="458" w:name="_Ref453591477"/>
      <w:bookmarkStart w:id="459" w:name="_Toc468286094"/>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20</w:t>
      </w:r>
      <w:r w:rsidR="00245D68">
        <w:rPr>
          <w:noProof/>
        </w:rPr>
        <w:fldChar w:fldCharType="end"/>
      </w:r>
      <w:bookmarkEnd w:id="458"/>
      <w:r>
        <w:t xml:space="preserve"> </w:t>
      </w:r>
      <w:r w:rsidRPr="0031098D">
        <w:t xml:space="preserve">Results of independent samples </w:t>
      </w:r>
      <w:r w:rsidRPr="008036FE">
        <w:rPr>
          <w:i/>
        </w:rPr>
        <w:t>t</w:t>
      </w:r>
      <w:r w:rsidRPr="0031098D">
        <w:t>-tests between the intervention (N=31) and control (N=14) groups at baseline (Time 1), for all of the measures</w:t>
      </w:r>
      <w:bookmarkEnd w:id="459"/>
    </w:p>
    <w:p w14:paraId="6BBB1876" w14:textId="77777777" w:rsidR="00842587" w:rsidRDefault="00842587" w:rsidP="005852AD">
      <w:pPr>
        <w:pStyle w:val="Figurestyle"/>
      </w:pPr>
    </w:p>
    <w:tbl>
      <w:tblPr>
        <w:tblW w:w="13641" w:type="dxa"/>
        <w:tblLook w:val="04A0" w:firstRow="1" w:lastRow="0" w:firstColumn="1" w:lastColumn="0" w:noHBand="0" w:noVBand="1"/>
      </w:tblPr>
      <w:tblGrid>
        <w:gridCol w:w="3261"/>
        <w:gridCol w:w="1555"/>
        <w:gridCol w:w="948"/>
        <w:gridCol w:w="944"/>
        <w:gridCol w:w="946"/>
        <w:gridCol w:w="948"/>
        <w:gridCol w:w="944"/>
        <w:gridCol w:w="1251"/>
        <w:gridCol w:w="944"/>
        <w:gridCol w:w="949"/>
        <w:gridCol w:w="951"/>
      </w:tblGrid>
      <w:tr w:rsidR="00E6060C" w:rsidRPr="00E6060C" w14:paraId="0942EC52" w14:textId="77777777" w:rsidTr="005852AD">
        <w:trPr>
          <w:trHeight w:val="290"/>
        </w:trPr>
        <w:tc>
          <w:tcPr>
            <w:tcW w:w="3261" w:type="dxa"/>
            <w:vMerge w:val="restart"/>
            <w:tcBorders>
              <w:top w:val="single" w:sz="4" w:space="0" w:color="auto"/>
            </w:tcBorders>
            <w:shd w:val="clear" w:color="auto" w:fill="auto"/>
            <w:vAlign w:val="center"/>
            <w:hideMark/>
          </w:tcPr>
          <w:p w14:paraId="3B961024" w14:textId="77777777" w:rsidR="00E6060C" w:rsidRPr="00E6060C" w:rsidRDefault="00E6060C" w:rsidP="00E6060C">
            <w:pPr>
              <w:spacing w:line="240" w:lineRule="auto"/>
              <w:contextualSpacing/>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Variables</w:t>
            </w:r>
            <w:r w:rsidRPr="00E6060C">
              <w:rPr>
                <w:rFonts w:ascii="Calibri" w:eastAsia="Times New Roman" w:hAnsi="Calibri" w:cs="Times New Roman"/>
                <w:b/>
                <w:color w:val="000000"/>
                <w:vertAlign w:val="superscript"/>
                <w:lang w:eastAsia="en-GB"/>
              </w:rPr>
              <w:t>1</w:t>
            </w:r>
          </w:p>
        </w:tc>
        <w:tc>
          <w:tcPr>
            <w:tcW w:w="3447" w:type="dxa"/>
            <w:gridSpan w:val="3"/>
            <w:tcBorders>
              <w:top w:val="single" w:sz="4" w:space="0" w:color="auto"/>
              <w:bottom w:val="single" w:sz="4" w:space="0" w:color="auto"/>
              <w:right w:val="single" w:sz="4" w:space="0" w:color="auto"/>
            </w:tcBorders>
            <w:shd w:val="clear" w:color="auto" w:fill="auto"/>
            <w:vAlign w:val="center"/>
            <w:hideMark/>
          </w:tcPr>
          <w:p w14:paraId="06F602A2" w14:textId="77777777" w:rsidR="00E6060C" w:rsidRPr="00E6060C" w:rsidRDefault="00E6060C" w:rsidP="00E6060C">
            <w:pPr>
              <w:spacing w:line="240" w:lineRule="auto"/>
              <w:contextualSpacing/>
              <w:jc w:val="center"/>
              <w:rPr>
                <w:rFonts w:ascii="Calibri" w:eastAsia="Times New Roman" w:hAnsi="Calibri" w:cs="Times New Roman"/>
                <w:b/>
                <w:color w:val="000000"/>
                <w:vertAlign w:val="superscript"/>
                <w:lang w:eastAsia="en-GB"/>
              </w:rPr>
            </w:pPr>
            <w:r w:rsidRPr="00E6060C">
              <w:rPr>
                <w:rFonts w:ascii="Calibri" w:eastAsia="Times New Roman" w:hAnsi="Calibri" w:cs="Times New Roman"/>
                <w:b/>
                <w:color w:val="000000"/>
                <w:lang w:eastAsia="en-GB"/>
              </w:rPr>
              <w:t>Levene's test for equality of variances</w:t>
            </w:r>
            <w:r w:rsidRPr="00E6060C">
              <w:rPr>
                <w:rFonts w:ascii="Calibri" w:eastAsia="Times New Roman" w:hAnsi="Calibri" w:cs="Times New Roman"/>
                <w:b/>
                <w:color w:val="000000"/>
                <w:vertAlign w:val="superscript"/>
                <w:lang w:eastAsia="en-GB"/>
              </w:rPr>
              <w:t>2</w:t>
            </w:r>
          </w:p>
        </w:tc>
        <w:tc>
          <w:tcPr>
            <w:tcW w:w="6933" w:type="dxa"/>
            <w:gridSpan w:val="7"/>
            <w:tcBorders>
              <w:top w:val="single" w:sz="4" w:space="0" w:color="auto"/>
              <w:left w:val="single" w:sz="4" w:space="0" w:color="auto"/>
              <w:bottom w:val="single" w:sz="4" w:space="0" w:color="auto"/>
            </w:tcBorders>
            <w:shd w:val="clear" w:color="auto" w:fill="auto"/>
            <w:vAlign w:val="center"/>
            <w:hideMark/>
          </w:tcPr>
          <w:p w14:paraId="26CFB441"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i/>
                <w:color w:val="000000"/>
                <w:lang w:eastAsia="en-GB"/>
              </w:rPr>
              <w:t>t</w:t>
            </w:r>
            <w:r w:rsidRPr="00E6060C">
              <w:rPr>
                <w:rFonts w:ascii="Calibri" w:eastAsia="Times New Roman" w:hAnsi="Calibri" w:cs="Times New Roman"/>
                <w:b/>
                <w:color w:val="000000"/>
                <w:lang w:eastAsia="en-GB"/>
              </w:rPr>
              <w:t>-test for equality of means</w:t>
            </w:r>
          </w:p>
        </w:tc>
      </w:tr>
      <w:tr w:rsidR="00E6060C" w:rsidRPr="00E6060C" w14:paraId="408950EF" w14:textId="77777777" w:rsidTr="005852AD">
        <w:trPr>
          <w:trHeight w:val="860"/>
        </w:trPr>
        <w:tc>
          <w:tcPr>
            <w:tcW w:w="3261" w:type="dxa"/>
            <w:vMerge/>
            <w:tcBorders>
              <w:bottom w:val="single" w:sz="4" w:space="0" w:color="auto"/>
            </w:tcBorders>
            <w:shd w:val="clear" w:color="auto" w:fill="auto"/>
            <w:vAlign w:val="center"/>
            <w:hideMark/>
          </w:tcPr>
          <w:p w14:paraId="6770BCE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p>
        </w:tc>
        <w:tc>
          <w:tcPr>
            <w:tcW w:w="1555" w:type="dxa"/>
            <w:tcBorders>
              <w:top w:val="single" w:sz="4" w:space="0" w:color="auto"/>
              <w:bottom w:val="single" w:sz="4" w:space="0" w:color="auto"/>
            </w:tcBorders>
            <w:shd w:val="clear" w:color="auto" w:fill="auto"/>
            <w:vAlign w:val="center"/>
            <w:hideMark/>
          </w:tcPr>
          <w:p w14:paraId="6B0D1109"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Equal variances assumed?</w:t>
            </w:r>
          </w:p>
        </w:tc>
        <w:tc>
          <w:tcPr>
            <w:tcW w:w="948" w:type="dxa"/>
            <w:tcBorders>
              <w:top w:val="single" w:sz="4" w:space="0" w:color="auto"/>
              <w:bottom w:val="single" w:sz="4" w:space="0" w:color="auto"/>
            </w:tcBorders>
            <w:shd w:val="clear" w:color="auto" w:fill="auto"/>
            <w:vAlign w:val="center"/>
            <w:hideMark/>
          </w:tcPr>
          <w:p w14:paraId="6F537BE8"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F</w:t>
            </w:r>
          </w:p>
        </w:tc>
        <w:tc>
          <w:tcPr>
            <w:tcW w:w="944" w:type="dxa"/>
            <w:tcBorders>
              <w:top w:val="single" w:sz="4" w:space="0" w:color="auto"/>
              <w:bottom w:val="single" w:sz="4" w:space="0" w:color="auto"/>
              <w:right w:val="single" w:sz="4" w:space="0" w:color="auto"/>
            </w:tcBorders>
            <w:shd w:val="clear" w:color="auto" w:fill="auto"/>
            <w:vAlign w:val="center"/>
            <w:hideMark/>
          </w:tcPr>
          <w:p w14:paraId="70C55403"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946" w:type="dxa"/>
            <w:tcBorders>
              <w:top w:val="single" w:sz="4" w:space="0" w:color="auto"/>
              <w:left w:val="single" w:sz="4" w:space="0" w:color="auto"/>
              <w:bottom w:val="single" w:sz="4" w:space="0" w:color="auto"/>
            </w:tcBorders>
            <w:shd w:val="clear" w:color="auto" w:fill="auto"/>
            <w:vAlign w:val="center"/>
            <w:hideMark/>
          </w:tcPr>
          <w:p w14:paraId="5D34E41C" w14:textId="7014A564" w:rsidR="00E6060C" w:rsidRPr="00E6060C" w:rsidRDefault="00375633"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T</w:t>
            </w:r>
          </w:p>
        </w:tc>
        <w:tc>
          <w:tcPr>
            <w:tcW w:w="948" w:type="dxa"/>
            <w:tcBorders>
              <w:top w:val="single" w:sz="4" w:space="0" w:color="auto"/>
              <w:bottom w:val="single" w:sz="4" w:space="0" w:color="auto"/>
            </w:tcBorders>
            <w:shd w:val="clear" w:color="auto" w:fill="auto"/>
            <w:vAlign w:val="center"/>
            <w:hideMark/>
          </w:tcPr>
          <w:p w14:paraId="511FEB1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df</w:t>
            </w:r>
          </w:p>
        </w:tc>
        <w:tc>
          <w:tcPr>
            <w:tcW w:w="944" w:type="dxa"/>
            <w:tcBorders>
              <w:top w:val="single" w:sz="4" w:space="0" w:color="auto"/>
              <w:bottom w:val="single" w:sz="4" w:space="0" w:color="auto"/>
            </w:tcBorders>
            <w:shd w:val="clear" w:color="auto" w:fill="auto"/>
            <w:vAlign w:val="center"/>
            <w:hideMark/>
          </w:tcPr>
          <w:p w14:paraId="508B119F"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p</w:t>
            </w:r>
          </w:p>
        </w:tc>
        <w:tc>
          <w:tcPr>
            <w:tcW w:w="1251" w:type="dxa"/>
            <w:tcBorders>
              <w:top w:val="single" w:sz="4" w:space="0" w:color="auto"/>
              <w:bottom w:val="single" w:sz="4" w:space="0" w:color="auto"/>
            </w:tcBorders>
            <w:shd w:val="clear" w:color="auto" w:fill="auto"/>
            <w:vAlign w:val="center"/>
            <w:hideMark/>
          </w:tcPr>
          <w:p w14:paraId="022FDE0D"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Mean difference</w:t>
            </w:r>
          </w:p>
        </w:tc>
        <w:tc>
          <w:tcPr>
            <w:tcW w:w="944" w:type="dxa"/>
            <w:tcBorders>
              <w:top w:val="single" w:sz="4" w:space="0" w:color="auto"/>
              <w:bottom w:val="single" w:sz="4" w:space="0" w:color="auto"/>
            </w:tcBorders>
            <w:shd w:val="clear" w:color="auto" w:fill="auto"/>
            <w:vAlign w:val="center"/>
            <w:hideMark/>
          </w:tcPr>
          <w:p w14:paraId="016651AC"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SE</w:t>
            </w:r>
          </w:p>
        </w:tc>
        <w:tc>
          <w:tcPr>
            <w:tcW w:w="1900" w:type="dxa"/>
            <w:gridSpan w:val="2"/>
            <w:tcBorders>
              <w:top w:val="single" w:sz="4" w:space="0" w:color="auto"/>
              <w:bottom w:val="single" w:sz="4" w:space="0" w:color="auto"/>
            </w:tcBorders>
            <w:shd w:val="clear" w:color="auto" w:fill="auto"/>
            <w:vAlign w:val="center"/>
            <w:hideMark/>
          </w:tcPr>
          <w:p w14:paraId="4D57E8C3"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95%-CI</w:t>
            </w:r>
          </w:p>
        </w:tc>
      </w:tr>
      <w:tr w:rsidR="00E6060C" w:rsidRPr="00E6060C" w14:paraId="47A756EC" w14:textId="77777777" w:rsidTr="005852AD">
        <w:trPr>
          <w:trHeight w:val="290"/>
        </w:trPr>
        <w:tc>
          <w:tcPr>
            <w:tcW w:w="3261" w:type="dxa"/>
            <w:tcBorders>
              <w:top w:val="single" w:sz="4" w:space="0" w:color="auto"/>
            </w:tcBorders>
            <w:shd w:val="clear" w:color="auto" w:fill="auto"/>
            <w:vAlign w:val="center"/>
          </w:tcPr>
          <w:p w14:paraId="6EF2AE39" w14:textId="77777777" w:rsidR="00E6060C" w:rsidRPr="00E6060C" w:rsidRDefault="00E6060C" w:rsidP="00E6060C">
            <w:pPr>
              <w:spacing w:line="240" w:lineRule="auto"/>
              <w:contextualSpacing/>
              <w:rPr>
                <w:rFonts w:ascii="Calibri" w:eastAsia="Times New Roman" w:hAnsi="Calibri" w:cs="Times New Roman"/>
                <w:b/>
                <w:bCs/>
                <w:color w:val="000000"/>
                <w:lang w:eastAsia="en-GB"/>
              </w:rPr>
            </w:pPr>
          </w:p>
        </w:tc>
        <w:tc>
          <w:tcPr>
            <w:tcW w:w="1555" w:type="dxa"/>
            <w:tcBorders>
              <w:top w:val="single" w:sz="4" w:space="0" w:color="auto"/>
            </w:tcBorders>
            <w:shd w:val="clear" w:color="auto" w:fill="auto"/>
            <w:vAlign w:val="center"/>
          </w:tcPr>
          <w:p w14:paraId="6F12B2E5"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p>
        </w:tc>
        <w:tc>
          <w:tcPr>
            <w:tcW w:w="948" w:type="dxa"/>
            <w:tcBorders>
              <w:top w:val="single" w:sz="4" w:space="0" w:color="auto"/>
            </w:tcBorders>
            <w:shd w:val="clear" w:color="auto" w:fill="auto"/>
            <w:vAlign w:val="center"/>
          </w:tcPr>
          <w:p w14:paraId="3B65F480" w14:textId="77777777" w:rsidR="00E6060C" w:rsidRPr="00E6060C" w:rsidRDefault="00E6060C" w:rsidP="00E6060C">
            <w:pPr>
              <w:spacing w:line="240" w:lineRule="auto"/>
              <w:contextualSpacing/>
              <w:jc w:val="center"/>
              <w:rPr>
                <w:rFonts w:ascii="Calibri" w:eastAsia="Calibri" w:hAnsi="Calibri" w:cs="Times New Roman"/>
                <w:color w:val="000000"/>
              </w:rPr>
            </w:pPr>
          </w:p>
        </w:tc>
        <w:tc>
          <w:tcPr>
            <w:tcW w:w="944" w:type="dxa"/>
            <w:tcBorders>
              <w:top w:val="single" w:sz="4" w:space="0" w:color="auto"/>
              <w:right w:val="single" w:sz="4" w:space="0" w:color="auto"/>
            </w:tcBorders>
            <w:shd w:val="clear" w:color="auto" w:fill="auto"/>
            <w:vAlign w:val="center"/>
          </w:tcPr>
          <w:p w14:paraId="5161AF56" w14:textId="77777777" w:rsidR="00E6060C" w:rsidRPr="00E6060C" w:rsidRDefault="00E6060C" w:rsidP="00E6060C">
            <w:pPr>
              <w:spacing w:line="240" w:lineRule="auto"/>
              <w:contextualSpacing/>
              <w:jc w:val="center"/>
              <w:rPr>
                <w:rFonts w:ascii="Calibri" w:eastAsia="Calibri" w:hAnsi="Calibri" w:cs="Times New Roman"/>
                <w:color w:val="000000"/>
              </w:rPr>
            </w:pPr>
          </w:p>
        </w:tc>
        <w:tc>
          <w:tcPr>
            <w:tcW w:w="946" w:type="dxa"/>
            <w:tcBorders>
              <w:top w:val="single" w:sz="4" w:space="0" w:color="auto"/>
              <w:left w:val="single" w:sz="4" w:space="0" w:color="auto"/>
            </w:tcBorders>
            <w:shd w:val="clear" w:color="auto" w:fill="auto"/>
            <w:vAlign w:val="center"/>
          </w:tcPr>
          <w:p w14:paraId="2B90521B"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p>
        </w:tc>
        <w:tc>
          <w:tcPr>
            <w:tcW w:w="948" w:type="dxa"/>
            <w:tcBorders>
              <w:top w:val="single" w:sz="4" w:space="0" w:color="auto"/>
            </w:tcBorders>
            <w:shd w:val="clear" w:color="auto" w:fill="auto"/>
            <w:vAlign w:val="center"/>
          </w:tcPr>
          <w:p w14:paraId="5AAAA3CF"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p>
        </w:tc>
        <w:tc>
          <w:tcPr>
            <w:tcW w:w="944" w:type="dxa"/>
            <w:tcBorders>
              <w:top w:val="single" w:sz="4" w:space="0" w:color="auto"/>
            </w:tcBorders>
            <w:shd w:val="clear" w:color="auto" w:fill="auto"/>
            <w:vAlign w:val="center"/>
          </w:tcPr>
          <w:p w14:paraId="5F5B1969"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p>
        </w:tc>
        <w:tc>
          <w:tcPr>
            <w:tcW w:w="1251" w:type="dxa"/>
            <w:tcBorders>
              <w:top w:val="single" w:sz="4" w:space="0" w:color="auto"/>
            </w:tcBorders>
            <w:shd w:val="clear" w:color="auto" w:fill="auto"/>
            <w:vAlign w:val="center"/>
          </w:tcPr>
          <w:p w14:paraId="44EAA97C"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p>
        </w:tc>
        <w:tc>
          <w:tcPr>
            <w:tcW w:w="944" w:type="dxa"/>
            <w:tcBorders>
              <w:top w:val="single" w:sz="4" w:space="0" w:color="auto"/>
            </w:tcBorders>
            <w:shd w:val="clear" w:color="auto" w:fill="auto"/>
            <w:vAlign w:val="center"/>
          </w:tcPr>
          <w:p w14:paraId="7974D9CD"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p>
        </w:tc>
        <w:tc>
          <w:tcPr>
            <w:tcW w:w="949" w:type="dxa"/>
            <w:tcBorders>
              <w:top w:val="single" w:sz="4" w:space="0" w:color="auto"/>
              <w:bottom w:val="single" w:sz="4" w:space="0" w:color="auto"/>
            </w:tcBorders>
            <w:shd w:val="clear" w:color="auto" w:fill="auto"/>
            <w:vAlign w:val="center"/>
          </w:tcPr>
          <w:p w14:paraId="12D492EC"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LL</w:t>
            </w:r>
          </w:p>
        </w:tc>
        <w:tc>
          <w:tcPr>
            <w:tcW w:w="951" w:type="dxa"/>
            <w:tcBorders>
              <w:top w:val="single" w:sz="4" w:space="0" w:color="auto"/>
              <w:bottom w:val="single" w:sz="4" w:space="0" w:color="auto"/>
            </w:tcBorders>
            <w:shd w:val="clear" w:color="auto" w:fill="auto"/>
            <w:vAlign w:val="center"/>
          </w:tcPr>
          <w:p w14:paraId="00152E8C"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Times New Roman" w:hAnsi="Calibri" w:cs="Times New Roman"/>
                <w:b/>
                <w:i/>
                <w:iCs/>
                <w:color w:val="000000"/>
                <w:lang w:eastAsia="en-GB"/>
              </w:rPr>
              <w:t>UL</w:t>
            </w:r>
          </w:p>
        </w:tc>
      </w:tr>
      <w:tr w:rsidR="00E6060C" w:rsidRPr="00E6060C" w14:paraId="3606E042" w14:textId="77777777" w:rsidTr="005852AD">
        <w:trPr>
          <w:trHeight w:val="369"/>
        </w:trPr>
        <w:tc>
          <w:tcPr>
            <w:tcW w:w="3261" w:type="dxa"/>
            <w:shd w:val="clear" w:color="auto" w:fill="auto"/>
            <w:vAlign w:val="center"/>
            <w:hideMark/>
          </w:tcPr>
          <w:p w14:paraId="79BE8010" w14:textId="77777777" w:rsidR="00E6060C" w:rsidRPr="00E6060C" w:rsidRDefault="00E6060C" w:rsidP="00E6060C">
            <w:pPr>
              <w:spacing w:line="240" w:lineRule="auto"/>
              <w:contextualSpacing/>
              <w:rPr>
                <w:rFonts w:ascii="Calibri" w:eastAsia="Times New Roman" w:hAnsi="Calibri" w:cs="Times New Roman"/>
                <w:color w:val="000000"/>
                <w:lang w:eastAsia="en-GB"/>
              </w:rPr>
            </w:pPr>
            <w:r w:rsidRPr="00E6060C">
              <w:rPr>
                <w:rFonts w:ascii="Calibri" w:eastAsia="Times New Roman" w:hAnsi="Calibri" w:cs="Times New Roman"/>
                <w:b/>
                <w:bCs/>
                <w:color w:val="000000"/>
                <w:lang w:eastAsia="en-GB"/>
              </w:rPr>
              <w:t>Colleague support</w:t>
            </w:r>
          </w:p>
        </w:tc>
        <w:tc>
          <w:tcPr>
            <w:tcW w:w="1555" w:type="dxa"/>
            <w:shd w:val="clear" w:color="auto" w:fill="auto"/>
            <w:vAlign w:val="center"/>
          </w:tcPr>
          <w:p w14:paraId="1C43D59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vAlign w:val="center"/>
          </w:tcPr>
          <w:p w14:paraId="71667572"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.80</w:t>
            </w:r>
          </w:p>
        </w:tc>
        <w:tc>
          <w:tcPr>
            <w:tcW w:w="944" w:type="dxa"/>
            <w:tcBorders>
              <w:top w:val="nil"/>
              <w:left w:val="nil"/>
              <w:bottom w:val="nil"/>
              <w:right w:val="single" w:sz="4" w:space="0" w:color="auto"/>
            </w:tcBorders>
            <w:shd w:val="clear" w:color="auto" w:fill="auto"/>
            <w:vAlign w:val="center"/>
          </w:tcPr>
          <w:p w14:paraId="02B483F7"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.373</w:t>
            </w:r>
          </w:p>
        </w:tc>
        <w:tc>
          <w:tcPr>
            <w:tcW w:w="946" w:type="dxa"/>
            <w:tcBorders>
              <w:top w:val="nil"/>
              <w:left w:val="single" w:sz="4" w:space="0" w:color="auto"/>
              <w:bottom w:val="nil"/>
              <w:right w:val="nil"/>
            </w:tcBorders>
            <w:shd w:val="clear" w:color="auto" w:fill="auto"/>
            <w:vAlign w:val="center"/>
          </w:tcPr>
          <w:p w14:paraId="62373D6C"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.43</w:t>
            </w:r>
          </w:p>
        </w:tc>
        <w:tc>
          <w:tcPr>
            <w:tcW w:w="948" w:type="dxa"/>
            <w:tcBorders>
              <w:top w:val="nil"/>
              <w:left w:val="nil"/>
              <w:bottom w:val="nil"/>
              <w:right w:val="nil"/>
            </w:tcBorders>
            <w:shd w:val="clear" w:color="auto" w:fill="auto"/>
            <w:vAlign w:val="center"/>
          </w:tcPr>
          <w:p w14:paraId="7C3C35E5"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175.00</w:t>
            </w:r>
          </w:p>
        </w:tc>
        <w:tc>
          <w:tcPr>
            <w:tcW w:w="944" w:type="dxa"/>
            <w:tcBorders>
              <w:top w:val="nil"/>
              <w:left w:val="nil"/>
              <w:bottom w:val="nil"/>
              <w:right w:val="nil"/>
            </w:tcBorders>
            <w:shd w:val="clear" w:color="auto" w:fill="auto"/>
            <w:vAlign w:val="center"/>
          </w:tcPr>
          <w:p w14:paraId="2CEC84FC"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.668</w:t>
            </w:r>
          </w:p>
        </w:tc>
        <w:tc>
          <w:tcPr>
            <w:tcW w:w="1251" w:type="dxa"/>
            <w:tcBorders>
              <w:top w:val="nil"/>
              <w:left w:val="nil"/>
              <w:bottom w:val="nil"/>
              <w:right w:val="nil"/>
            </w:tcBorders>
            <w:shd w:val="clear" w:color="auto" w:fill="auto"/>
            <w:vAlign w:val="center"/>
          </w:tcPr>
          <w:p w14:paraId="08B67584"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Calibri" w:hAnsi="Calibri" w:cs="Times New Roman"/>
                <w:color w:val="000000"/>
              </w:rPr>
              <w:t>.06</w:t>
            </w:r>
          </w:p>
        </w:tc>
        <w:tc>
          <w:tcPr>
            <w:tcW w:w="944" w:type="dxa"/>
            <w:tcBorders>
              <w:top w:val="nil"/>
              <w:left w:val="nil"/>
              <w:bottom w:val="nil"/>
              <w:right w:val="nil"/>
            </w:tcBorders>
            <w:shd w:val="clear" w:color="auto" w:fill="auto"/>
            <w:vAlign w:val="center"/>
          </w:tcPr>
          <w:p w14:paraId="5AC704BF" w14:textId="77777777" w:rsidR="00E6060C" w:rsidRPr="00E6060C" w:rsidRDefault="00E6060C" w:rsidP="00E6060C">
            <w:pPr>
              <w:spacing w:line="240" w:lineRule="auto"/>
              <w:contextualSpacing/>
              <w:jc w:val="center"/>
              <w:rPr>
                <w:rFonts w:ascii="Calibri" w:eastAsia="Times New Roman" w:hAnsi="Calibri" w:cs="Times New Roman"/>
                <w:b/>
                <w:color w:val="000000"/>
                <w:lang w:eastAsia="en-GB"/>
              </w:rPr>
            </w:pPr>
            <w:r w:rsidRPr="00E6060C">
              <w:rPr>
                <w:rFonts w:ascii="Calibri" w:eastAsia="Calibri" w:hAnsi="Calibri" w:cs="Times New Roman"/>
                <w:color w:val="000000"/>
              </w:rPr>
              <w:t>.15</w:t>
            </w:r>
          </w:p>
        </w:tc>
        <w:tc>
          <w:tcPr>
            <w:tcW w:w="949" w:type="dxa"/>
            <w:tcBorders>
              <w:top w:val="nil"/>
              <w:left w:val="nil"/>
              <w:bottom w:val="nil"/>
              <w:right w:val="nil"/>
            </w:tcBorders>
            <w:shd w:val="clear" w:color="auto" w:fill="auto"/>
            <w:vAlign w:val="center"/>
          </w:tcPr>
          <w:p w14:paraId="200DEB48"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-.23</w:t>
            </w:r>
          </w:p>
        </w:tc>
        <w:tc>
          <w:tcPr>
            <w:tcW w:w="951" w:type="dxa"/>
            <w:tcBorders>
              <w:top w:val="nil"/>
              <w:left w:val="nil"/>
              <w:bottom w:val="nil"/>
              <w:right w:val="nil"/>
            </w:tcBorders>
            <w:shd w:val="clear" w:color="auto" w:fill="auto"/>
            <w:vAlign w:val="center"/>
          </w:tcPr>
          <w:p w14:paraId="5107DF1B" w14:textId="77777777" w:rsidR="00E6060C" w:rsidRPr="00E6060C" w:rsidRDefault="00E6060C" w:rsidP="00E6060C">
            <w:pPr>
              <w:spacing w:line="240" w:lineRule="auto"/>
              <w:contextualSpacing/>
              <w:jc w:val="center"/>
              <w:rPr>
                <w:rFonts w:ascii="Calibri" w:eastAsia="Times New Roman" w:hAnsi="Calibri" w:cs="Times New Roman"/>
                <w:b/>
                <w:i/>
                <w:iCs/>
                <w:color w:val="000000"/>
                <w:lang w:eastAsia="en-GB"/>
              </w:rPr>
            </w:pPr>
            <w:r w:rsidRPr="00E6060C">
              <w:rPr>
                <w:rFonts w:ascii="Calibri" w:eastAsia="Calibri" w:hAnsi="Calibri" w:cs="Times New Roman"/>
                <w:color w:val="000000"/>
              </w:rPr>
              <w:t>.35</w:t>
            </w:r>
          </w:p>
        </w:tc>
      </w:tr>
      <w:tr w:rsidR="00E6060C" w:rsidRPr="00E6060C" w14:paraId="02BFDE16" w14:textId="77777777" w:rsidTr="005852AD">
        <w:trPr>
          <w:trHeight w:val="369"/>
        </w:trPr>
        <w:tc>
          <w:tcPr>
            <w:tcW w:w="3261" w:type="dxa"/>
            <w:shd w:val="clear" w:color="auto" w:fill="auto"/>
            <w:vAlign w:val="center"/>
          </w:tcPr>
          <w:p w14:paraId="40D60876"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Influence in decision-making</w:t>
            </w:r>
          </w:p>
        </w:tc>
        <w:tc>
          <w:tcPr>
            <w:tcW w:w="1555" w:type="dxa"/>
            <w:shd w:val="clear" w:color="auto" w:fill="auto"/>
            <w:vAlign w:val="center"/>
          </w:tcPr>
          <w:p w14:paraId="6E0F717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6180602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.50</w:t>
            </w:r>
          </w:p>
        </w:tc>
        <w:tc>
          <w:tcPr>
            <w:tcW w:w="944" w:type="dxa"/>
            <w:tcBorders>
              <w:top w:val="nil"/>
              <w:left w:val="nil"/>
              <w:bottom w:val="nil"/>
              <w:right w:val="single" w:sz="4" w:space="0" w:color="auto"/>
            </w:tcBorders>
            <w:shd w:val="clear" w:color="auto" w:fill="auto"/>
            <w:noWrap/>
            <w:vAlign w:val="center"/>
          </w:tcPr>
          <w:p w14:paraId="14F4CEE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.483</w:t>
            </w:r>
          </w:p>
        </w:tc>
        <w:tc>
          <w:tcPr>
            <w:tcW w:w="946" w:type="dxa"/>
            <w:tcBorders>
              <w:top w:val="nil"/>
              <w:left w:val="single" w:sz="4" w:space="0" w:color="auto"/>
              <w:bottom w:val="nil"/>
              <w:right w:val="nil"/>
            </w:tcBorders>
            <w:shd w:val="clear" w:color="auto" w:fill="auto"/>
            <w:noWrap/>
            <w:vAlign w:val="center"/>
          </w:tcPr>
          <w:p w14:paraId="0EB1F92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948" w:type="dxa"/>
            <w:tcBorders>
              <w:top w:val="nil"/>
              <w:left w:val="nil"/>
              <w:bottom w:val="nil"/>
              <w:right w:val="nil"/>
            </w:tcBorders>
            <w:shd w:val="clear" w:color="auto" w:fill="auto"/>
            <w:noWrap/>
            <w:vAlign w:val="center"/>
          </w:tcPr>
          <w:p w14:paraId="5CB08F2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176.00</w:t>
            </w:r>
          </w:p>
        </w:tc>
        <w:tc>
          <w:tcPr>
            <w:tcW w:w="944" w:type="dxa"/>
            <w:tcBorders>
              <w:top w:val="nil"/>
              <w:left w:val="nil"/>
              <w:bottom w:val="nil"/>
              <w:right w:val="nil"/>
            </w:tcBorders>
            <w:shd w:val="clear" w:color="auto" w:fill="auto"/>
            <w:noWrap/>
            <w:vAlign w:val="center"/>
          </w:tcPr>
          <w:p w14:paraId="7C70D5A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.677</w:t>
            </w:r>
          </w:p>
        </w:tc>
        <w:tc>
          <w:tcPr>
            <w:tcW w:w="1251" w:type="dxa"/>
            <w:tcBorders>
              <w:top w:val="nil"/>
              <w:left w:val="nil"/>
              <w:bottom w:val="nil"/>
              <w:right w:val="nil"/>
            </w:tcBorders>
            <w:shd w:val="clear" w:color="auto" w:fill="auto"/>
            <w:noWrap/>
            <w:vAlign w:val="center"/>
          </w:tcPr>
          <w:p w14:paraId="0FC09B7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-.07</w:t>
            </w:r>
          </w:p>
        </w:tc>
        <w:tc>
          <w:tcPr>
            <w:tcW w:w="944" w:type="dxa"/>
            <w:tcBorders>
              <w:top w:val="nil"/>
              <w:left w:val="nil"/>
              <w:bottom w:val="nil"/>
              <w:right w:val="nil"/>
            </w:tcBorders>
            <w:shd w:val="clear" w:color="auto" w:fill="auto"/>
            <w:noWrap/>
            <w:vAlign w:val="center"/>
          </w:tcPr>
          <w:p w14:paraId="6B19088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949" w:type="dxa"/>
            <w:tcBorders>
              <w:top w:val="nil"/>
              <w:left w:val="nil"/>
              <w:bottom w:val="nil"/>
              <w:right w:val="nil"/>
            </w:tcBorders>
            <w:shd w:val="clear" w:color="auto" w:fill="auto"/>
            <w:noWrap/>
            <w:vAlign w:val="center"/>
          </w:tcPr>
          <w:p w14:paraId="3A6A381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-.37</w:t>
            </w:r>
          </w:p>
        </w:tc>
        <w:tc>
          <w:tcPr>
            <w:tcW w:w="951" w:type="dxa"/>
            <w:tcBorders>
              <w:top w:val="nil"/>
              <w:left w:val="nil"/>
              <w:bottom w:val="nil"/>
              <w:right w:val="nil"/>
            </w:tcBorders>
            <w:shd w:val="clear" w:color="auto" w:fill="auto"/>
            <w:noWrap/>
            <w:vAlign w:val="center"/>
          </w:tcPr>
          <w:p w14:paraId="17F73BD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.24</w:t>
            </w:r>
          </w:p>
        </w:tc>
      </w:tr>
      <w:tr w:rsidR="00E6060C" w:rsidRPr="00E6060C" w14:paraId="09A6D9BC" w14:textId="77777777" w:rsidTr="005852AD">
        <w:trPr>
          <w:trHeight w:val="369"/>
        </w:trPr>
        <w:tc>
          <w:tcPr>
            <w:tcW w:w="3261" w:type="dxa"/>
            <w:shd w:val="clear" w:color="auto" w:fill="auto"/>
            <w:vAlign w:val="center"/>
          </w:tcPr>
          <w:p w14:paraId="15B794D6"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Resources and demands</w:t>
            </w:r>
          </w:p>
        </w:tc>
        <w:tc>
          <w:tcPr>
            <w:tcW w:w="1555" w:type="dxa"/>
            <w:shd w:val="clear" w:color="auto" w:fill="auto"/>
            <w:vAlign w:val="center"/>
          </w:tcPr>
          <w:p w14:paraId="3ED59AF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23A7535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.11</w:t>
            </w:r>
          </w:p>
        </w:tc>
        <w:tc>
          <w:tcPr>
            <w:tcW w:w="944" w:type="dxa"/>
            <w:tcBorders>
              <w:top w:val="nil"/>
              <w:left w:val="nil"/>
              <w:bottom w:val="nil"/>
              <w:right w:val="single" w:sz="4" w:space="0" w:color="auto"/>
            </w:tcBorders>
            <w:shd w:val="clear" w:color="auto" w:fill="auto"/>
            <w:noWrap/>
            <w:vAlign w:val="center"/>
          </w:tcPr>
          <w:p w14:paraId="6536223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.739</w:t>
            </w:r>
          </w:p>
        </w:tc>
        <w:tc>
          <w:tcPr>
            <w:tcW w:w="946" w:type="dxa"/>
            <w:tcBorders>
              <w:top w:val="nil"/>
              <w:left w:val="single" w:sz="4" w:space="0" w:color="auto"/>
              <w:bottom w:val="nil"/>
              <w:right w:val="nil"/>
            </w:tcBorders>
            <w:shd w:val="clear" w:color="auto" w:fill="auto"/>
            <w:noWrap/>
            <w:vAlign w:val="center"/>
          </w:tcPr>
          <w:p w14:paraId="68CBE62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-.45</w:t>
            </w:r>
          </w:p>
        </w:tc>
        <w:tc>
          <w:tcPr>
            <w:tcW w:w="948" w:type="dxa"/>
            <w:tcBorders>
              <w:top w:val="nil"/>
              <w:left w:val="nil"/>
              <w:bottom w:val="nil"/>
              <w:right w:val="nil"/>
            </w:tcBorders>
            <w:shd w:val="clear" w:color="auto" w:fill="auto"/>
            <w:noWrap/>
            <w:vAlign w:val="center"/>
          </w:tcPr>
          <w:p w14:paraId="714A6E1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177.00</w:t>
            </w:r>
          </w:p>
        </w:tc>
        <w:tc>
          <w:tcPr>
            <w:tcW w:w="944" w:type="dxa"/>
            <w:tcBorders>
              <w:top w:val="nil"/>
              <w:left w:val="nil"/>
              <w:bottom w:val="nil"/>
              <w:right w:val="nil"/>
            </w:tcBorders>
            <w:shd w:val="clear" w:color="auto" w:fill="auto"/>
            <w:noWrap/>
            <w:vAlign w:val="center"/>
          </w:tcPr>
          <w:p w14:paraId="4F6F54F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.651</w:t>
            </w:r>
          </w:p>
        </w:tc>
        <w:tc>
          <w:tcPr>
            <w:tcW w:w="1251" w:type="dxa"/>
            <w:tcBorders>
              <w:top w:val="nil"/>
              <w:left w:val="nil"/>
              <w:bottom w:val="nil"/>
              <w:right w:val="nil"/>
            </w:tcBorders>
            <w:shd w:val="clear" w:color="auto" w:fill="auto"/>
            <w:noWrap/>
            <w:vAlign w:val="center"/>
          </w:tcPr>
          <w:p w14:paraId="7D1B0FB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c>
          <w:tcPr>
            <w:tcW w:w="944" w:type="dxa"/>
            <w:tcBorders>
              <w:top w:val="nil"/>
              <w:left w:val="nil"/>
              <w:bottom w:val="nil"/>
              <w:right w:val="nil"/>
            </w:tcBorders>
            <w:shd w:val="clear" w:color="auto" w:fill="auto"/>
            <w:noWrap/>
            <w:vAlign w:val="center"/>
          </w:tcPr>
          <w:p w14:paraId="1237FCF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.11</w:t>
            </w:r>
          </w:p>
        </w:tc>
        <w:tc>
          <w:tcPr>
            <w:tcW w:w="949" w:type="dxa"/>
            <w:tcBorders>
              <w:top w:val="nil"/>
              <w:left w:val="nil"/>
              <w:bottom w:val="nil"/>
              <w:right w:val="nil"/>
            </w:tcBorders>
            <w:shd w:val="clear" w:color="auto" w:fill="auto"/>
            <w:noWrap/>
            <w:vAlign w:val="center"/>
          </w:tcPr>
          <w:p w14:paraId="08EF420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-.28</w:t>
            </w:r>
          </w:p>
        </w:tc>
        <w:tc>
          <w:tcPr>
            <w:tcW w:w="951" w:type="dxa"/>
            <w:tcBorders>
              <w:top w:val="nil"/>
              <w:left w:val="nil"/>
              <w:bottom w:val="nil"/>
              <w:right w:val="nil"/>
            </w:tcBorders>
            <w:shd w:val="clear" w:color="auto" w:fill="auto"/>
            <w:noWrap/>
            <w:vAlign w:val="center"/>
          </w:tcPr>
          <w:p w14:paraId="5DC5D5C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w:t>
            </w:r>
          </w:p>
        </w:tc>
      </w:tr>
      <w:tr w:rsidR="00E6060C" w:rsidRPr="00E6060C" w14:paraId="56689F15" w14:textId="77777777" w:rsidTr="005852AD">
        <w:trPr>
          <w:trHeight w:val="369"/>
        </w:trPr>
        <w:tc>
          <w:tcPr>
            <w:tcW w:w="3261" w:type="dxa"/>
            <w:shd w:val="clear" w:color="auto" w:fill="auto"/>
            <w:vAlign w:val="center"/>
          </w:tcPr>
          <w:p w14:paraId="60FBBBBD"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Autonomy</w:t>
            </w:r>
          </w:p>
        </w:tc>
        <w:tc>
          <w:tcPr>
            <w:tcW w:w="1555" w:type="dxa"/>
            <w:shd w:val="clear" w:color="auto" w:fill="auto"/>
            <w:vAlign w:val="center"/>
          </w:tcPr>
          <w:p w14:paraId="345E359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1D3A222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1.07</w:t>
            </w:r>
          </w:p>
        </w:tc>
        <w:tc>
          <w:tcPr>
            <w:tcW w:w="944" w:type="dxa"/>
            <w:tcBorders>
              <w:top w:val="nil"/>
              <w:left w:val="nil"/>
              <w:bottom w:val="nil"/>
              <w:right w:val="single" w:sz="4" w:space="0" w:color="auto"/>
            </w:tcBorders>
            <w:shd w:val="clear" w:color="auto" w:fill="auto"/>
            <w:noWrap/>
            <w:vAlign w:val="center"/>
          </w:tcPr>
          <w:p w14:paraId="5A3D965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.303</w:t>
            </w:r>
          </w:p>
        </w:tc>
        <w:tc>
          <w:tcPr>
            <w:tcW w:w="946" w:type="dxa"/>
            <w:tcBorders>
              <w:top w:val="nil"/>
              <w:left w:val="single" w:sz="4" w:space="0" w:color="auto"/>
              <w:bottom w:val="nil"/>
              <w:right w:val="nil"/>
            </w:tcBorders>
            <w:shd w:val="clear" w:color="auto" w:fill="auto"/>
            <w:noWrap/>
            <w:vAlign w:val="center"/>
          </w:tcPr>
          <w:p w14:paraId="07BCCBA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-1.29</w:t>
            </w:r>
          </w:p>
        </w:tc>
        <w:tc>
          <w:tcPr>
            <w:tcW w:w="948" w:type="dxa"/>
            <w:tcBorders>
              <w:top w:val="nil"/>
              <w:left w:val="nil"/>
              <w:bottom w:val="nil"/>
              <w:right w:val="nil"/>
            </w:tcBorders>
            <w:shd w:val="clear" w:color="auto" w:fill="auto"/>
            <w:noWrap/>
            <w:vAlign w:val="center"/>
          </w:tcPr>
          <w:p w14:paraId="70DE069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174.00</w:t>
            </w:r>
          </w:p>
        </w:tc>
        <w:tc>
          <w:tcPr>
            <w:tcW w:w="944" w:type="dxa"/>
            <w:tcBorders>
              <w:top w:val="nil"/>
              <w:left w:val="nil"/>
              <w:bottom w:val="nil"/>
              <w:right w:val="nil"/>
            </w:tcBorders>
            <w:shd w:val="clear" w:color="auto" w:fill="auto"/>
            <w:noWrap/>
            <w:vAlign w:val="center"/>
          </w:tcPr>
          <w:p w14:paraId="10B05DF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.198</w:t>
            </w:r>
          </w:p>
        </w:tc>
        <w:tc>
          <w:tcPr>
            <w:tcW w:w="1251" w:type="dxa"/>
            <w:tcBorders>
              <w:top w:val="nil"/>
              <w:left w:val="nil"/>
              <w:bottom w:val="nil"/>
              <w:right w:val="nil"/>
            </w:tcBorders>
            <w:shd w:val="clear" w:color="auto" w:fill="auto"/>
            <w:noWrap/>
            <w:vAlign w:val="center"/>
          </w:tcPr>
          <w:p w14:paraId="5910EDA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944" w:type="dxa"/>
            <w:tcBorders>
              <w:top w:val="nil"/>
              <w:left w:val="nil"/>
              <w:bottom w:val="nil"/>
              <w:right w:val="nil"/>
            </w:tcBorders>
            <w:shd w:val="clear" w:color="auto" w:fill="auto"/>
            <w:noWrap/>
            <w:vAlign w:val="center"/>
          </w:tcPr>
          <w:p w14:paraId="7979BFE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c>
          <w:tcPr>
            <w:tcW w:w="949" w:type="dxa"/>
            <w:tcBorders>
              <w:top w:val="nil"/>
              <w:left w:val="nil"/>
              <w:bottom w:val="nil"/>
              <w:right w:val="nil"/>
            </w:tcBorders>
            <w:shd w:val="clear" w:color="auto" w:fill="auto"/>
            <w:noWrap/>
            <w:vAlign w:val="center"/>
          </w:tcPr>
          <w:p w14:paraId="4EC3455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-.40</w:t>
            </w:r>
          </w:p>
        </w:tc>
        <w:tc>
          <w:tcPr>
            <w:tcW w:w="951" w:type="dxa"/>
            <w:tcBorders>
              <w:top w:val="nil"/>
              <w:left w:val="nil"/>
              <w:bottom w:val="nil"/>
              <w:right w:val="nil"/>
            </w:tcBorders>
            <w:shd w:val="clear" w:color="auto" w:fill="auto"/>
            <w:noWrap/>
            <w:vAlign w:val="center"/>
          </w:tcPr>
          <w:p w14:paraId="3448581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.08</w:t>
            </w:r>
          </w:p>
        </w:tc>
      </w:tr>
      <w:tr w:rsidR="00E6060C" w:rsidRPr="00E6060C" w14:paraId="3339CF9F" w14:textId="77777777" w:rsidTr="005852AD">
        <w:trPr>
          <w:trHeight w:val="369"/>
        </w:trPr>
        <w:tc>
          <w:tcPr>
            <w:tcW w:w="3261" w:type="dxa"/>
            <w:shd w:val="clear" w:color="auto" w:fill="auto"/>
            <w:vAlign w:val="center"/>
          </w:tcPr>
          <w:p w14:paraId="06ABC6F8"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Competence</w:t>
            </w:r>
          </w:p>
        </w:tc>
        <w:tc>
          <w:tcPr>
            <w:tcW w:w="1555" w:type="dxa"/>
            <w:shd w:val="clear" w:color="auto" w:fill="auto"/>
            <w:vAlign w:val="center"/>
          </w:tcPr>
          <w:p w14:paraId="06FCBF8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294BA68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2.10</w:t>
            </w:r>
          </w:p>
        </w:tc>
        <w:tc>
          <w:tcPr>
            <w:tcW w:w="944" w:type="dxa"/>
            <w:tcBorders>
              <w:top w:val="nil"/>
              <w:left w:val="nil"/>
              <w:bottom w:val="nil"/>
              <w:right w:val="single" w:sz="4" w:space="0" w:color="auto"/>
            </w:tcBorders>
            <w:shd w:val="clear" w:color="auto" w:fill="auto"/>
            <w:noWrap/>
            <w:vAlign w:val="center"/>
          </w:tcPr>
          <w:p w14:paraId="5640941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.149</w:t>
            </w:r>
          </w:p>
        </w:tc>
        <w:tc>
          <w:tcPr>
            <w:tcW w:w="946" w:type="dxa"/>
            <w:tcBorders>
              <w:top w:val="nil"/>
              <w:left w:val="single" w:sz="4" w:space="0" w:color="auto"/>
              <w:bottom w:val="nil"/>
              <w:right w:val="nil"/>
            </w:tcBorders>
            <w:shd w:val="clear" w:color="auto" w:fill="auto"/>
            <w:noWrap/>
            <w:vAlign w:val="center"/>
          </w:tcPr>
          <w:p w14:paraId="067ED4C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-1.43</w:t>
            </w:r>
          </w:p>
        </w:tc>
        <w:tc>
          <w:tcPr>
            <w:tcW w:w="948" w:type="dxa"/>
            <w:tcBorders>
              <w:top w:val="nil"/>
              <w:left w:val="nil"/>
              <w:bottom w:val="nil"/>
              <w:right w:val="nil"/>
            </w:tcBorders>
            <w:shd w:val="clear" w:color="auto" w:fill="auto"/>
            <w:noWrap/>
            <w:vAlign w:val="center"/>
          </w:tcPr>
          <w:p w14:paraId="4AB6CC7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173.00</w:t>
            </w:r>
          </w:p>
        </w:tc>
        <w:tc>
          <w:tcPr>
            <w:tcW w:w="944" w:type="dxa"/>
            <w:tcBorders>
              <w:top w:val="nil"/>
              <w:left w:val="nil"/>
              <w:bottom w:val="nil"/>
              <w:right w:val="nil"/>
            </w:tcBorders>
            <w:shd w:val="clear" w:color="auto" w:fill="auto"/>
            <w:noWrap/>
            <w:vAlign w:val="center"/>
          </w:tcPr>
          <w:p w14:paraId="61CF8F3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.156</w:t>
            </w:r>
          </w:p>
        </w:tc>
        <w:tc>
          <w:tcPr>
            <w:tcW w:w="1251" w:type="dxa"/>
            <w:tcBorders>
              <w:top w:val="nil"/>
              <w:left w:val="nil"/>
              <w:bottom w:val="nil"/>
              <w:right w:val="nil"/>
            </w:tcBorders>
            <w:shd w:val="clear" w:color="auto" w:fill="auto"/>
            <w:noWrap/>
            <w:vAlign w:val="center"/>
          </w:tcPr>
          <w:p w14:paraId="72B6B0A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44" w:type="dxa"/>
            <w:tcBorders>
              <w:top w:val="nil"/>
              <w:left w:val="nil"/>
              <w:bottom w:val="nil"/>
              <w:right w:val="nil"/>
            </w:tcBorders>
            <w:shd w:val="clear" w:color="auto" w:fill="auto"/>
            <w:noWrap/>
            <w:vAlign w:val="center"/>
          </w:tcPr>
          <w:p w14:paraId="65A32DC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.09</w:t>
            </w:r>
          </w:p>
        </w:tc>
        <w:tc>
          <w:tcPr>
            <w:tcW w:w="949" w:type="dxa"/>
            <w:tcBorders>
              <w:top w:val="nil"/>
              <w:left w:val="nil"/>
              <w:bottom w:val="nil"/>
              <w:right w:val="nil"/>
            </w:tcBorders>
            <w:shd w:val="clear" w:color="auto" w:fill="auto"/>
            <w:noWrap/>
            <w:vAlign w:val="center"/>
          </w:tcPr>
          <w:p w14:paraId="401F75D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-.31</w:t>
            </w:r>
          </w:p>
        </w:tc>
        <w:tc>
          <w:tcPr>
            <w:tcW w:w="951" w:type="dxa"/>
            <w:tcBorders>
              <w:top w:val="nil"/>
              <w:left w:val="nil"/>
              <w:bottom w:val="nil"/>
              <w:right w:val="nil"/>
            </w:tcBorders>
            <w:shd w:val="clear" w:color="auto" w:fill="auto"/>
            <w:noWrap/>
            <w:vAlign w:val="center"/>
          </w:tcPr>
          <w:p w14:paraId="11F9B24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.05</w:t>
            </w:r>
          </w:p>
        </w:tc>
      </w:tr>
      <w:tr w:rsidR="00E6060C" w:rsidRPr="00E6060C" w14:paraId="51A778BB" w14:textId="77777777" w:rsidTr="005852AD">
        <w:trPr>
          <w:trHeight w:val="369"/>
        </w:trPr>
        <w:tc>
          <w:tcPr>
            <w:tcW w:w="3261" w:type="dxa"/>
            <w:shd w:val="clear" w:color="auto" w:fill="auto"/>
            <w:vAlign w:val="center"/>
          </w:tcPr>
          <w:p w14:paraId="4BDEE193"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Relatedness</w:t>
            </w:r>
          </w:p>
        </w:tc>
        <w:tc>
          <w:tcPr>
            <w:tcW w:w="1555" w:type="dxa"/>
            <w:shd w:val="clear" w:color="auto" w:fill="auto"/>
            <w:vAlign w:val="center"/>
          </w:tcPr>
          <w:p w14:paraId="4080A3F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221DF85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1.68</w:t>
            </w:r>
          </w:p>
        </w:tc>
        <w:tc>
          <w:tcPr>
            <w:tcW w:w="944" w:type="dxa"/>
            <w:tcBorders>
              <w:top w:val="nil"/>
              <w:left w:val="nil"/>
              <w:bottom w:val="nil"/>
              <w:right w:val="single" w:sz="4" w:space="0" w:color="auto"/>
            </w:tcBorders>
            <w:shd w:val="clear" w:color="auto" w:fill="auto"/>
            <w:noWrap/>
            <w:vAlign w:val="center"/>
          </w:tcPr>
          <w:p w14:paraId="72CE013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.197</w:t>
            </w:r>
          </w:p>
        </w:tc>
        <w:tc>
          <w:tcPr>
            <w:tcW w:w="946" w:type="dxa"/>
            <w:tcBorders>
              <w:top w:val="nil"/>
              <w:left w:val="single" w:sz="4" w:space="0" w:color="auto"/>
              <w:bottom w:val="nil"/>
              <w:right w:val="nil"/>
            </w:tcBorders>
            <w:shd w:val="clear" w:color="auto" w:fill="auto"/>
            <w:noWrap/>
            <w:vAlign w:val="center"/>
          </w:tcPr>
          <w:p w14:paraId="6412923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-1.01</w:t>
            </w:r>
          </w:p>
        </w:tc>
        <w:tc>
          <w:tcPr>
            <w:tcW w:w="948" w:type="dxa"/>
            <w:tcBorders>
              <w:top w:val="nil"/>
              <w:left w:val="nil"/>
              <w:bottom w:val="nil"/>
              <w:right w:val="nil"/>
            </w:tcBorders>
            <w:shd w:val="clear" w:color="auto" w:fill="auto"/>
            <w:noWrap/>
            <w:vAlign w:val="center"/>
          </w:tcPr>
          <w:p w14:paraId="3780615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173.00</w:t>
            </w:r>
          </w:p>
        </w:tc>
        <w:tc>
          <w:tcPr>
            <w:tcW w:w="944" w:type="dxa"/>
            <w:tcBorders>
              <w:top w:val="nil"/>
              <w:left w:val="nil"/>
              <w:bottom w:val="nil"/>
              <w:right w:val="nil"/>
            </w:tcBorders>
            <w:shd w:val="clear" w:color="auto" w:fill="auto"/>
            <w:noWrap/>
            <w:vAlign w:val="center"/>
          </w:tcPr>
          <w:p w14:paraId="5323D94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.316</w:t>
            </w:r>
          </w:p>
        </w:tc>
        <w:tc>
          <w:tcPr>
            <w:tcW w:w="1251" w:type="dxa"/>
            <w:tcBorders>
              <w:top w:val="nil"/>
              <w:left w:val="nil"/>
              <w:bottom w:val="nil"/>
              <w:right w:val="nil"/>
            </w:tcBorders>
            <w:shd w:val="clear" w:color="auto" w:fill="auto"/>
            <w:noWrap/>
            <w:vAlign w:val="center"/>
          </w:tcPr>
          <w:p w14:paraId="2153E80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44" w:type="dxa"/>
            <w:tcBorders>
              <w:top w:val="nil"/>
              <w:left w:val="nil"/>
              <w:bottom w:val="nil"/>
              <w:right w:val="nil"/>
            </w:tcBorders>
            <w:shd w:val="clear" w:color="auto" w:fill="auto"/>
            <w:noWrap/>
            <w:vAlign w:val="center"/>
          </w:tcPr>
          <w:p w14:paraId="2AF9A0A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49" w:type="dxa"/>
            <w:tcBorders>
              <w:top w:val="nil"/>
              <w:left w:val="nil"/>
              <w:bottom w:val="nil"/>
              <w:right w:val="nil"/>
            </w:tcBorders>
            <w:shd w:val="clear" w:color="auto" w:fill="auto"/>
            <w:noWrap/>
            <w:vAlign w:val="center"/>
          </w:tcPr>
          <w:p w14:paraId="4594D20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-.38</w:t>
            </w:r>
          </w:p>
        </w:tc>
        <w:tc>
          <w:tcPr>
            <w:tcW w:w="951" w:type="dxa"/>
            <w:tcBorders>
              <w:top w:val="nil"/>
              <w:left w:val="nil"/>
              <w:bottom w:val="nil"/>
              <w:right w:val="nil"/>
            </w:tcBorders>
            <w:shd w:val="clear" w:color="auto" w:fill="auto"/>
            <w:noWrap/>
            <w:vAlign w:val="center"/>
          </w:tcPr>
          <w:p w14:paraId="794B1D1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r>
      <w:tr w:rsidR="00E6060C" w:rsidRPr="00E6060C" w14:paraId="7B6E318E" w14:textId="77777777" w:rsidTr="005852AD">
        <w:trPr>
          <w:trHeight w:val="369"/>
        </w:trPr>
        <w:tc>
          <w:tcPr>
            <w:tcW w:w="3261" w:type="dxa"/>
            <w:shd w:val="clear" w:color="auto" w:fill="auto"/>
            <w:vAlign w:val="center"/>
          </w:tcPr>
          <w:p w14:paraId="20CF9080"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Work engagement</w:t>
            </w:r>
          </w:p>
        </w:tc>
        <w:tc>
          <w:tcPr>
            <w:tcW w:w="1555" w:type="dxa"/>
            <w:shd w:val="clear" w:color="auto" w:fill="auto"/>
            <w:vAlign w:val="center"/>
          </w:tcPr>
          <w:p w14:paraId="55E74DE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25A5454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.73</w:t>
            </w:r>
          </w:p>
        </w:tc>
        <w:tc>
          <w:tcPr>
            <w:tcW w:w="944" w:type="dxa"/>
            <w:tcBorders>
              <w:top w:val="nil"/>
              <w:left w:val="nil"/>
              <w:bottom w:val="nil"/>
              <w:right w:val="single" w:sz="4" w:space="0" w:color="auto"/>
            </w:tcBorders>
            <w:shd w:val="clear" w:color="auto" w:fill="auto"/>
            <w:noWrap/>
            <w:vAlign w:val="center"/>
          </w:tcPr>
          <w:p w14:paraId="505EA56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.393</w:t>
            </w:r>
          </w:p>
        </w:tc>
        <w:tc>
          <w:tcPr>
            <w:tcW w:w="946" w:type="dxa"/>
            <w:tcBorders>
              <w:top w:val="nil"/>
              <w:left w:val="single" w:sz="4" w:space="0" w:color="auto"/>
              <w:bottom w:val="nil"/>
              <w:right w:val="nil"/>
            </w:tcBorders>
            <w:shd w:val="clear" w:color="auto" w:fill="auto"/>
            <w:noWrap/>
            <w:vAlign w:val="center"/>
          </w:tcPr>
          <w:p w14:paraId="59FB611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-.65</w:t>
            </w:r>
          </w:p>
        </w:tc>
        <w:tc>
          <w:tcPr>
            <w:tcW w:w="948" w:type="dxa"/>
            <w:tcBorders>
              <w:top w:val="nil"/>
              <w:left w:val="nil"/>
              <w:bottom w:val="nil"/>
              <w:right w:val="nil"/>
            </w:tcBorders>
            <w:shd w:val="clear" w:color="auto" w:fill="auto"/>
            <w:noWrap/>
            <w:vAlign w:val="center"/>
          </w:tcPr>
          <w:p w14:paraId="1BC97E70"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172.00</w:t>
            </w:r>
          </w:p>
        </w:tc>
        <w:tc>
          <w:tcPr>
            <w:tcW w:w="944" w:type="dxa"/>
            <w:tcBorders>
              <w:top w:val="nil"/>
              <w:left w:val="nil"/>
              <w:bottom w:val="nil"/>
              <w:right w:val="nil"/>
            </w:tcBorders>
            <w:shd w:val="clear" w:color="auto" w:fill="auto"/>
            <w:noWrap/>
            <w:vAlign w:val="center"/>
          </w:tcPr>
          <w:p w14:paraId="1C044D8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.514</w:t>
            </w:r>
          </w:p>
        </w:tc>
        <w:tc>
          <w:tcPr>
            <w:tcW w:w="1251" w:type="dxa"/>
            <w:tcBorders>
              <w:top w:val="nil"/>
              <w:left w:val="nil"/>
              <w:bottom w:val="nil"/>
              <w:right w:val="nil"/>
            </w:tcBorders>
            <w:shd w:val="clear" w:color="auto" w:fill="auto"/>
            <w:noWrap/>
            <w:vAlign w:val="center"/>
          </w:tcPr>
          <w:p w14:paraId="6C20034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-.13</w:t>
            </w:r>
          </w:p>
        </w:tc>
        <w:tc>
          <w:tcPr>
            <w:tcW w:w="944" w:type="dxa"/>
            <w:tcBorders>
              <w:top w:val="nil"/>
              <w:left w:val="nil"/>
              <w:bottom w:val="nil"/>
              <w:right w:val="nil"/>
            </w:tcBorders>
            <w:shd w:val="clear" w:color="auto" w:fill="auto"/>
            <w:noWrap/>
            <w:vAlign w:val="center"/>
          </w:tcPr>
          <w:p w14:paraId="232A613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.20</w:t>
            </w:r>
          </w:p>
        </w:tc>
        <w:tc>
          <w:tcPr>
            <w:tcW w:w="949" w:type="dxa"/>
            <w:tcBorders>
              <w:top w:val="nil"/>
              <w:left w:val="nil"/>
              <w:bottom w:val="nil"/>
              <w:right w:val="nil"/>
            </w:tcBorders>
            <w:shd w:val="clear" w:color="auto" w:fill="auto"/>
            <w:noWrap/>
            <w:vAlign w:val="center"/>
          </w:tcPr>
          <w:p w14:paraId="2BE0F55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-.53</w:t>
            </w:r>
          </w:p>
        </w:tc>
        <w:tc>
          <w:tcPr>
            <w:tcW w:w="951" w:type="dxa"/>
            <w:tcBorders>
              <w:top w:val="nil"/>
              <w:left w:val="nil"/>
              <w:bottom w:val="nil"/>
              <w:right w:val="nil"/>
            </w:tcBorders>
            <w:shd w:val="clear" w:color="auto" w:fill="auto"/>
            <w:noWrap/>
            <w:vAlign w:val="center"/>
          </w:tcPr>
          <w:p w14:paraId="702FF8F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.26</w:t>
            </w:r>
          </w:p>
        </w:tc>
      </w:tr>
      <w:tr w:rsidR="00E6060C" w:rsidRPr="00E6060C" w14:paraId="7EF0495D" w14:textId="77777777" w:rsidTr="005852AD">
        <w:trPr>
          <w:trHeight w:val="369"/>
        </w:trPr>
        <w:tc>
          <w:tcPr>
            <w:tcW w:w="3261" w:type="dxa"/>
            <w:shd w:val="clear" w:color="auto" w:fill="auto"/>
            <w:vAlign w:val="center"/>
          </w:tcPr>
          <w:p w14:paraId="4D70061A"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High activation unpleasant affect</w:t>
            </w:r>
          </w:p>
        </w:tc>
        <w:tc>
          <w:tcPr>
            <w:tcW w:w="1555" w:type="dxa"/>
            <w:shd w:val="clear" w:color="auto" w:fill="auto"/>
            <w:vAlign w:val="center"/>
          </w:tcPr>
          <w:p w14:paraId="5DA6F47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68FDCEC6"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1.24</w:t>
            </w:r>
          </w:p>
        </w:tc>
        <w:tc>
          <w:tcPr>
            <w:tcW w:w="944" w:type="dxa"/>
            <w:tcBorders>
              <w:top w:val="nil"/>
              <w:left w:val="nil"/>
              <w:bottom w:val="nil"/>
              <w:right w:val="single" w:sz="4" w:space="0" w:color="auto"/>
            </w:tcBorders>
            <w:shd w:val="clear" w:color="auto" w:fill="auto"/>
            <w:noWrap/>
            <w:vAlign w:val="center"/>
          </w:tcPr>
          <w:p w14:paraId="6BF275B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.268</w:t>
            </w:r>
          </w:p>
        </w:tc>
        <w:tc>
          <w:tcPr>
            <w:tcW w:w="946" w:type="dxa"/>
            <w:tcBorders>
              <w:top w:val="nil"/>
              <w:left w:val="single" w:sz="4" w:space="0" w:color="auto"/>
              <w:bottom w:val="nil"/>
              <w:right w:val="nil"/>
            </w:tcBorders>
            <w:shd w:val="clear" w:color="auto" w:fill="auto"/>
            <w:noWrap/>
            <w:vAlign w:val="center"/>
          </w:tcPr>
          <w:p w14:paraId="4F99F97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.12</w:t>
            </w:r>
          </w:p>
        </w:tc>
        <w:tc>
          <w:tcPr>
            <w:tcW w:w="948" w:type="dxa"/>
            <w:tcBorders>
              <w:top w:val="nil"/>
              <w:left w:val="nil"/>
              <w:bottom w:val="nil"/>
              <w:right w:val="nil"/>
            </w:tcBorders>
            <w:shd w:val="clear" w:color="auto" w:fill="auto"/>
            <w:noWrap/>
            <w:vAlign w:val="center"/>
          </w:tcPr>
          <w:p w14:paraId="610529B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169.00</w:t>
            </w:r>
          </w:p>
        </w:tc>
        <w:tc>
          <w:tcPr>
            <w:tcW w:w="944" w:type="dxa"/>
            <w:tcBorders>
              <w:top w:val="nil"/>
              <w:left w:val="nil"/>
              <w:bottom w:val="nil"/>
              <w:right w:val="nil"/>
            </w:tcBorders>
            <w:shd w:val="clear" w:color="auto" w:fill="auto"/>
            <w:noWrap/>
            <w:vAlign w:val="center"/>
          </w:tcPr>
          <w:p w14:paraId="1E1E549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.906</w:t>
            </w:r>
          </w:p>
        </w:tc>
        <w:tc>
          <w:tcPr>
            <w:tcW w:w="1251" w:type="dxa"/>
            <w:tcBorders>
              <w:top w:val="nil"/>
              <w:left w:val="nil"/>
              <w:bottom w:val="nil"/>
              <w:right w:val="nil"/>
            </w:tcBorders>
            <w:shd w:val="clear" w:color="auto" w:fill="auto"/>
            <w:noWrap/>
            <w:vAlign w:val="center"/>
          </w:tcPr>
          <w:p w14:paraId="0CA0933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.02</w:t>
            </w:r>
          </w:p>
        </w:tc>
        <w:tc>
          <w:tcPr>
            <w:tcW w:w="944" w:type="dxa"/>
            <w:tcBorders>
              <w:top w:val="nil"/>
              <w:left w:val="nil"/>
              <w:bottom w:val="nil"/>
              <w:right w:val="nil"/>
            </w:tcBorders>
            <w:shd w:val="clear" w:color="auto" w:fill="auto"/>
            <w:noWrap/>
            <w:vAlign w:val="center"/>
          </w:tcPr>
          <w:p w14:paraId="073C040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.18</w:t>
            </w:r>
          </w:p>
        </w:tc>
        <w:tc>
          <w:tcPr>
            <w:tcW w:w="949" w:type="dxa"/>
            <w:tcBorders>
              <w:top w:val="nil"/>
              <w:left w:val="nil"/>
              <w:bottom w:val="nil"/>
              <w:right w:val="nil"/>
            </w:tcBorders>
            <w:shd w:val="clear" w:color="auto" w:fill="auto"/>
            <w:noWrap/>
            <w:vAlign w:val="center"/>
          </w:tcPr>
          <w:p w14:paraId="2472C3E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-.34</w:t>
            </w:r>
          </w:p>
        </w:tc>
        <w:tc>
          <w:tcPr>
            <w:tcW w:w="951" w:type="dxa"/>
            <w:tcBorders>
              <w:top w:val="nil"/>
              <w:left w:val="nil"/>
              <w:bottom w:val="nil"/>
              <w:right w:val="nil"/>
            </w:tcBorders>
            <w:shd w:val="clear" w:color="auto" w:fill="auto"/>
            <w:noWrap/>
            <w:vAlign w:val="center"/>
          </w:tcPr>
          <w:p w14:paraId="61D336F5"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.38</w:t>
            </w:r>
          </w:p>
        </w:tc>
      </w:tr>
      <w:tr w:rsidR="00E6060C" w:rsidRPr="00E6060C" w14:paraId="330809CA" w14:textId="77777777" w:rsidTr="005852AD">
        <w:trPr>
          <w:trHeight w:val="369"/>
        </w:trPr>
        <w:tc>
          <w:tcPr>
            <w:tcW w:w="3261" w:type="dxa"/>
            <w:shd w:val="clear" w:color="auto" w:fill="auto"/>
            <w:vAlign w:val="center"/>
          </w:tcPr>
          <w:p w14:paraId="633B785B"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High activation pleasant affect</w:t>
            </w:r>
          </w:p>
        </w:tc>
        <w:tc>
          <w:tcPr>
            <w:tcW w:w="1555" w:type="dxa"/>
            <w:shd w:val="clear" w:color="auto" w:fill="auto"/>
            <w:vAlign w:val="center"/>
          </w:tcPr>
          <w:p w14:paraId="7B8539C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nil"/>
              <w:right w:val="nil"/>
            </w:tcBorders>
            <w:shd w:val="clear" w:color="auto" w:fill="auto"/>
            <w:noWrap/>
            <w:vAlign w:val="center"/>
          </w:tcPr>
          <w:p w14:paraId="4105CD9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3.45</w:t>
            </w:r>
          </w:p>
        </w:tc>
        <w:tc>
          <w:tcPr>
            <w:tcW w:w="944" w:type="dxa"/>
            <w:tcBorders>
              <w:top w:val="nil"/>
              <w:left w:val="nil"/>
              <w:bottom w:val="nil"/>
              <w:right w:val="single" w:sz="4" w:space="0" w:color="auto"/>
            </w:tcBorders>
            <w:shd w:val="clear" w:color="auto" w:fill="auto"/>
            <w:noWrap/>
            <w:vAlign w:val="center"/>
          </w:tcPr>
          <w:p w14:paraId="16AD45D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.065</w:t>
            </w:r>
          </w:p>
        </w:tc>
        <w:tc>
          <w:tcPr>
            <w:tcW w:w="946" w:type="dxa"/>
            <w:tcBorders>
              <w:top w:val="nil"/>
              <w:left w:val="single" w:sz="4" w:space="0" w:color="auto"/>
              <w:bottom w:val="nil"/>
              <w:right w:val="nil"/>
            </w:tcBorders>
            <w:shd w:val="clear" w:color="auto" w:fill="auto"/>
            <w:noWrap/>
            <w:vAlign w:val="center"/>
          </w:tcPr>
          <w:p w14:paraId="105C3799"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.97</w:t>
            </w:r>
          </w:p>
        </w:tc>
        <w:tc>
          <w:tcPr>
            <w:tcW w:w="948" w:type="dxa"/>
            <w:tcBorders>
              <w:top w:val="nil"/>
              <w:left w:val="nil"/>
              <w:bottom w:val="nil"/>
              <w:right w:val="nil"/>
            </w:tcBorders>
            <w:shd w:val="clear" w:color="auto" w:fill="auto"/>
            <w:noWrap/>
            <w:vAlign w:val="center"/>
          </w:tcPr>
          <w:p w14:paraId="3CCDA5C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167.00</w:t>
            </w:r>
          </w:p>
        </w:tc>
        <w:tc>
          <w:tcPr>
            <w:tcW w:w="944" w:type="dxa"/>
            <w:tcBorders>
              <w:top w:val="nil"/>
              <w:left w:val="nil"/>
              <w:bottom w:val="nil"/>
              <w:right w:val="nil"/>
            </w:tcBorders>
            <w:shd w:val="clear" w:color="auto" w:fill="auto"/>
            <w:noWrap/>
            <w:vAlign w:val="center"/>
          </w:tcPr>
          <w:p w14:paraId="385E6C4F"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.336</w:t>
            </w:r>
          </w:p>
        </w:tc>
        <w:tc>
          <w:tcPr>
            <w:tcW w:w="1251" w:type="dxa"/>
            <w:tcBorders>
              <w:top w:val="nil"/>
              <w:left w:val="nil"/>
              <w:bottom w:val="nil"/>
              <w:right w:val="nil"/>
            </w:tcBorders>
            <w:shd w:val="clear" w:color="auto" w:fill="auto"/>
            <w:noWrap/>
            <w:vAlign w:val="center"/>
          </w:tcPr>
          <w:p w14:paraId="196DED7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.22</w:t>
            </w:r>
          </w:p>
        </w:tc>
        <w:tc>
          <w:tcPr>
            <w:tcW w:w="944" w:type="dxa"/>
            <w:tcBorders>
              <w:top w:val="nil"/>
              <w:left w:val="nil"/>
              <w:bottom w:val="nil"/>
              <w:right w:val="nil"/>
            </w:tcBorders>
            <w:shd w:val="clear" w:color="auto" w:fill="auto"/>
            <w:noWrap/>
            <w:vAlign w:val="center"/>
          </w:tcPr>
          <w:p w14:paraId="293ABA4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949" w:type="dxa"/>
            <w:tcBorders>
              <w:top w:val="nil"/>
              <w:left w:val="nil"/>
              <w:bottom w:val="nil"/>
              <w:right w:val="nil"/>
            </w:tcBorders>
            <w:shd w:val="clear" w:color="auto" w:fill="auto"/>
            <w:noWrap/>
            <w:vAlign w:val="center"/>
          </w:tcPr>
          <w:p w14:paraId="4D081DE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c>
          <w:tcPr>
            <w:tcW w:w="951" w:type="dxa"/>
            <w:tcBorders>
              <w:top w:val="nil"/>
              <w:left w:val="nil"/>
              <w:bottom w:val="nil"/>
              <w:right w:val="nil"/>
            </w:tcBorders>
            <w:shd w:val="clear" w:color="auto" w:fill="auto"/>
            <w:noWrap/>
            <w:vAlign w:val="center"/>
          </w:tcPr>
          <w:p w14:paraId="4B706CB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.67</w:t>
            </w:r>
          </w:p>
        </w:tc>
      </w:tr>
      <w:tr w:rsidR="00E6060C" w:rsidRPr="00E6060C" w14:paraId="11A32D00" w14:textId="77777777" w:rsidTr="005852AD">
        <w:trPr>
          <w:trHeight w:val="369"/>
        </w:trPr>
        <w:tc>
          <w:tcPr>
            <w:tcW w:w="3261" w:type="dxa"/>
            <w:shd w:val="clear" w:color="auto" w:fill="auto"/>
            <w:vAlign w:val="center"/>
          </w:tcPr>
          <w:p w14:paraId="566C6BA4" w14:textId="77777777" w:rsidR="00E6060C" w:rsidRPr="00E6060C" w:rsidRDefault="00E6060C" w:rsidP="00E6060C">
            <w:pPr>
              <w:spacing w:line="240" w:lineRule="auto"/>
              <w:contextualSpacing/>
              <w:rPr>
                <w:rFonts w:ascii="Calibri" w:eastAsia="Times New Roman" w:hAnsi="Calibri" w:cs="Times New Roman"/>
                <w:b/>
                <w:color w:val="000000"/>
                <w:lang w:eastAsia="en-GB"/>
              </w:rPr>
            </w:pPr>
            <w:r w:rsidRPr="00E6060C">
              <w:rPr>
                <w:rFonts w:ascii="Calibri" w:eastAsia="Times New Roman" w:hAnsi="Calibri" w:cs="Times New Roman"/>
                <w:b/>
                <w:bCs/>
                <w:color w:val="000000"/>
                <w:lang w:eastAsia="en-GB"/>
              </w:rPr>
              <w:t>Low activation unpleasant affect</w:t>
            </w:r>
          </w:p>
        </w:tc>
        <w:tc>
          <w:tcPr>
            <w:tcW w:w="1555" w:type="dxa"/>
            <w:shd w:val="clear" w:color="auto" w:fill="auto"/>
            <w:vAlign w:val="center"/>
          </w:tcPr>
          <w:p w14:paraId="186A439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right w:val="nil"/>
            </w:tcBorders>
            <w:shd w:val="clear" w:color="auto" w:fill="auto"/>
            <w:noWrap/>
            <w:vAlign w:val="center"/>
          </w:tcPr>
          <w:p w14:paraId="3FAF45CE"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.66</w:t>
            </w:r>
          </w:p>
        </w:tc>
        <w:tc>
          <w:tcPr>
            <w:tcW w:w="944" w:type="dxa"/>
            <w:tcBorders>
              <w:top w:val="nil"/>
              <w:left w:val="nil"/>
              <w:right w:val="single" w:sz="4" w:space="0" w:color="auto"/>
            </w:tcBorders>
            <w:shd w:val="clear" w:color="auto" w:fill="auto"/>
            <w:noWrap/>
            <w:vAlign w:val="center"/>
          </w:tcPr>
          <w:p w14:paraId="4215BCC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.418</w:t>
            </w:r>
          </w:p>
        </w:tc>
        <w:tc>
          <w:tcPr>
            <w:tcW w:w="946" w:type="dxa"/>
            <w:tcBorders>
              <w:top w:val="nil"/>
              <w:left w:val="single" w:sz="4" w:space="0" w:color="auto"/>
              <w:right w:val="nil"/>
            </w:tcBorders>
            <w:shd w:val="clear" w:color="auto" w:fill="auto"/>
            <w:noWrap/>
            <w:vAlign w:val="center"/>
          </w:tcPr>
          <w:p w14:paraId="56F859C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-.59</w:t>
            </w:r>
          </w:p>
        </w:tc>
        <w:tc>
          <w:tcPr>
            <w:tcW w:w="948" w:type="dxa"/>
            <w:tcBorders>
              <w:top w:val="nil"/>
              <w:left w:val="nil"/>
              <w:right w:val="nil"/>
            </w:tcBorders>
            <w:shd w:val="clear" w:color="auto" w:fill="auto"/>
            <w:noWrap/>
            <w:vAlign w:val="center"/>
          </w:tcPr>
          <w:p w14:paraId="1098798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165.00</w:t>
            </w:r>
          </w:p>
        </w:tc>
        <w:tc>
          <w:tcPr>
            <w:tcW w:w="944" w:type="dxa"/>
            <w:tcBorders>
              <w:top w:val="nil"/>
              <w:left w:val="nil"/>
              <w:right w:val="nil"/>
            </w:tcBorders>
            <w:shd w:val="clear" w:color="auto" w:fill="auto"/>
            <w:noWrap/>
            <w:vAlign w:val="center"/>
          </w:tcPr>
          <w:p w14:paraId="447A711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.554</w:t>
            </w:r>
          </w:p>
        </w:tc>
        <w:tc>
          <w:tcPr>
            <w:tcW w:w="1251" w:type="dxa"/>
            <w:tcBorders>
              <w:top w:val="nil"/>
              <w:left w:val="nil"/>
              <w:right w:val="nil"/>
            </w:tcBorders>
            <w:shd w:val="clear" w:color="auto" w:fill="auto"/>
            <w:noWrap/>
            <w:vAlign w:val="center"/>
          </w:tcPr>
          <w:p w14:paraId="2851DC78"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-.10</w:t>
            </w:r>
          </w:p>
        </w:tc>
        <w:tc>
          <w:tcPr>
            <w:tcW w:w="944" w:type="dxa"/>
            <w:tcBorders>
              <w:top w:val="nil"/>
              <w:left w:val="nil"/>
              <w:right w:val="nil"/>
            </w:tcBorders>
            <w:shd w:val="clear" w:color="auto" w:fill="auto"/>
            <w:noWrap/>
            <w:vAlign w:val="center"/>
          </w:tcPr>
          <w:p w14:paraId="6783C24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w:t>
            </w:r>
          </w:p>
        </w:tc>
        <w:tc>
          <w:tcPr>
            <w:tcW w:w="949" w:type="dxa"/>
            <w:tcBorders>
              <w:top w:val="nil"/>
              <w:left w:val="nil"/>
              <w:right w:val="nil"/>
            </w:tcBorders>
            <w:shd w:val="clear" w:color="auto" w:fill="auto"/>
            <w:noWrap/>
            <w:vAlign w:val="center"/>
          </w:tcPr>
          <w:p w14:paraId="44C02F9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-.42</w:t>
            </w:r>
          </w:p>
        </w:tc>
        <w:tc>
          <w:tcPr>
            <w:tcW w:w="951" w:type="dxa"/>
            <w:tcBorders>
              <w:top w:val="nil"/>
              <w:left w:val="nil"/>
              <w:right w:val="nil"/>
            </w:tcBorders>
            <w:shd w:val="clear" w:color="auto" w:fill="auto"/>
            <w:noWrap/>
            <w:vAlign w:val="center"/>
          </w:tcPr>
          <w:p w14:paraId="1BEDECD3"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.23</w:t>
            </w:r>
          </w:p>
        </w:tc>
      </w:tr>
      <w:tr w:rsidR="00E6060C" w:rsidRPr="00E6060C" w14:paraId="7B3E662C" w14:textId="77777777" w:rsidTr="005852AD">
        <w:trPr>
          <w:trHeight w:val="369"/>
        </w:trPr>
        <w:tc>
          <w:tcPr>
            <w:tcW w:w="3261" w:type="dxa"/>
            <w:tcBorders>
              <w:bottom w:val="single" w:sz="4" w:space="0" w:color="auto"/>
            </w:tcBorders>
            <w:shd w:val="clear" w:color="auto" w:fill="auto"/>
            <w:vAlign w:val="center"/>
          </w:tcPr>
          <w:p w14:paraId="3C022461" w14:textId="77777777" w:rsidR="00E6060C" w:rsidRPr="00E6060C" w:rsidRDefault="00E6060C" w:rsidP="00E6060C">
            <w:pPr>
              <w:spacing w:line="240" w:lineRule="auto"/>
              <w:contextualSpacing/>
              <w:rPr>
                <w:rFonts w:ascii="Calibri" w:eastAsia="Times New Roman" w:hAnsi="Calibri" w:cs="Times New Roman"/>
                <w:b/>
                <w:bCs/>
                <w:color w:val="000000"/>
                <w:lang w:eastAsia="en-GB"/>
              </w:rPr>
            </w:pPr>
            <w:r w:rsidRPr="00E6060C">
              <w:rPr>
                <w:rFonts w:ascii="Calibri" w:eastAsia="Times New Roman" w:hAnsi="Calibri" w:cs="Times New Roman"/>
                <w:b/>
                <w:bCs/>
                <w:color w:val="000000"/>
                <w:lang w:eastAsia="en-GB"/>
              </w:rPr>
              <w:t>Low activation pleasant affect</w:t>
            </w:r>
          </w:p>
        </w:tc>
        <w:tc>
          <w:tcPr>
            <w:tcW w:w="1555" w:type="dxa"/>
            <w:tcBorders>
              <w:bottom w:val="single" w:sz="4" w:space="0" w:color="auto"/>
            </w:tcBorders>
            <w:shd w:val="clear" w:color="auto" w:fill="auto"/>
            <w:vAlign w:val="center"/>
          </w:tcPr>
          <w:p w14:paraId="393A6CBD"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Yes</w:t>
            </w:r>
          </w:p>
        </w:tc>
        <w:tc>
          <w:tcPr>
            <w:tcW w:w="948" w:type="dxa"/>
            <w:tcBorders>
              <w:top w:val="nil"/>
              <w:left w:val="nil"/>
              <w:bottom w:val="single" w:sz="4" w:space="0" w:color="auto"/>
              <w:right w:val="nil"/>
            </w:tcBorders>
            <w:shd w:val="clear" w:color="auto" w:fill="auto"/>
            <w:noWrap/>
            <w:vAlign w:val="center"/>
          </w:tcPr>
          <w:p w14:paraId="116A5DC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.76</w:t>
            </w:r>
          </w:p>
        </w:tc>
        <w:tc>
          <w:tcPr>
            <w:tcW w:w="944" w:type="dxa"/>
            <w:tcBorders>
              <w:top w:val="nil"/>
              <w:left w:val="nil"/>
              <w:bottom w:val="single" w:sz="4" w:space="0" w:color="auto"/>
              <w:right w:val="single" w:sz="4" w:space="0" w:color="auto"/>
            </w:tcBorders>
            <w:shd w:val="clear" w:color="auto" w:fill="auto"/>
            <w:noWrap/>
            <w:vAlign w:val="center"/>
          </w:tcPr>
          <w:p w14:paraId="389CBAA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.384</w:t>
            </w:r>
          </w:p>
        </w:tc>
        <w:tc>
          <w:tcPr>
            <w:tcW w:w="946" w:type="dxa"/>
            <w:tcBorders>
              <w:top w:val="nil"/>
              <w:left w:val="single" w:sz="4" w:space="0" w:color="auto"/>
              <w:bottom w:val="single" w:sz="4" w:space="0" w:color="auto"/>
              <w:right w:val="nil"/>
            </w:tcBorders>
            <w:shd w:val="clear" w:color="auto" w:fill="auto"/>
            <w:noWrap/>
            <w:vAlign w:val="center"/>
          </w:tcPr>
          <w:p w14:paraId="6FB1F30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-.29</w:t>
            </w:r>
          </w:p>
        </w:tc>
        <w:tc>
          <w:tcPr>
            <w:tcW w:w="948" w:type="dxa"/>
            <w:tcBorders>
              <w:top w:val="nil"/>
              <w:left w:val="nil"/>
              <w:bottom w:val="single" w:sz="4" w:space="0" w:color="auto"/>
              <w:right w:val="nil"/>
            </w:tcBorders>
            <w:shd w:val="clear" w:color="auto" w:fill="auto"/>
            <w:noWrap/>
            <w:vAlign w:val="center"/>
          </w:tcPr>
          <w:p w14:paraId="18C4791B"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167.00</w:t>
            </w:r>
          </w:p>
        </w:tc>
        <w:tc>
          <w:tcPr>
            <w:tcW w:w="944" w:type="dxa"/>
            <w:tcBorders>
              <w:top w:val="nil"/>
              <w:left w:val="nil"/>
              <w:bottom w:val="single" w:sz="4" w:space="0" w:color="auto"/>
              <w:right w:val="nil"/>
            </w:tcBorders>
            <w:shd w:val="clear" w:color="auto" w:fill="auto"/>
            <w:noWrap/>
            <w:vAlign w:val="center"/>
          </w:tcPr>
          <w:p w14:paraId="4466D182"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.776</w:t>
            </w:r>
          </w:p>
        </w:tc>
        <w:tc>
          <w:tcPr>
            <w:tcW w:w="1251" w:type="dxa"/>
            <w:tcBorders>
              <w:top w:val="nil"/>
              <w:left w:val="nil"/>
              <w:bottom w:val="single" w:sz="4" w:space="0" w:color="auto"/>
              <w:right w:val="nil"/>
            </w:tcBorders>
            <w:shd w:val="clear" w:color="auto" w:fill="auto"/>
            <w:noWrap/>
            <w:vAlign w:val="center"/>
          </w:tcPr>
          <w:p w14:paraId="378033C1"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-.06</w:t>
            </w:r>
          </w:p>
        </w:tc>
        <w:tc>
          <w:tcPr>
            <w:tcW w:w="944" w:type="dxa"/>
            <w:tcBorders>
              <w:top w:val="nil"/>
              <w:left w:val="nil"/>
              <w:bottom w:val="single" w:sz="4" w:space="0" w:color="auto"/>
              <w:right w:val="nil"/>
            </w:tcBorders>
            <w:shd w:val="clear" w:color="auto" w:fill="auto"/>
            <w:noWrap/>
            <w:vAlign w:val="center"/>
          </w:tcPr>
          <w:p w14:paraId="4C4E508C"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.21</w:t>
            </w:r>
          </w:p>
        </w:tc>
        <w:tc>
          <w:tcPr>
            <w:tcW w:w="949" w:type="dxa"/>
            <w:tcBorders>
              <w:top w:val="nil"/>
              <w:left w:val="nil"/>
              <w:bottom w:val="single" w:sz="4" w:space="0" w:color="auto"/>
              <w:right w:val="nil"/>
            </w:tcBorders>
            <w:shd w:val="clear" w:color="auto" w:fill="auto"/>
            <w:noWrap/>
            <w:vAlign w:val="center"/>
          </w:tcPr>
          <w:p w14:paraId="7374F81A"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-.48</w:t>
            </w:r>
          </w:p>
        </w:tc>
        <w:tc>
          <w:tcPr>
            <w:tcW w:w="951" w:type="dxa"/>
            <w:tcBorders>
              <w:top w:val="nil"/>
              <w:left w:val="nil"/>
              <w:bottom w:val="single" w:sz="4" w:space="0" w:color="auto"/>
              <w:right w:val="nil"/>
            </w:tcBorders>
            <w:shd w:val="clear" w:color="auto" w:fill="auto"/>
            <w:noWrap/>
            <w:vAlign w:val="center"/>
          </w:tcPr>
          <w:p w14:paraId="695EF734" w14:textId="77777777" w:rsidR="00E6060C" w:rsidRPr="00E6060C" w:rsidRDefault="00E6060C" w:rsidP="00E6060C">
            <w:pPr>
              <w:spacing w:line="240" w:lineRule="auto"/>
              <w:contextualSpacing/>
              <w:jc w:val="center"/>
              <w:rPr>
                <w:rFonts w:ascii="Calibri" w:eastAsia="Times New Roman" w:hAnsi="Calibri" w:cs="Times New Roman"/>
                <w:color w:val="000000"/>
                <w:lang w:eastAsia="en-GB"/>
              </w:rPr>
            </w:pPr>
            <w:r w:rsidRPr="00E6060C">
              <w:rPr>
                <w:rFonts w:ascii="Calibri" w:eastAsia="Calibri" w:hAnsi="Calibri" w:cs="Times New Roman"/>
                <w:color w:val="000000"/>
              </w:rPr>
              <w:t>.36</w:t>
            </w:r>
          </w:p>
        </w:tc>
      </w:tr>
    </w:tbl>
    <w:p w14:paraId="23E28F7C"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45A7584C"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The variables colleague support, influence in decision-making, resources, and demands, were scored on a scale of 1 to 5. All other variables were scored on scale of 1 to 7. For all scales, higher scores indicate better results.</w:t>
      </w:r>
    </w:p>
    <w:p w14:paraId="3FF323B1"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2</w:t>
      </w:r>
      <w:r w:rsidRPr="00E6060C">
        <w:rPr>
          <w:rFonts w:ascii="Calibri" w:eastAsia="Calibri" w:hAnsi="Calibri" w:cs="Times New Roman"/>
        </w:rPr>
        <w:t>Where Levene’s test for equality of variances indicates that equal variances between groups cannot be assumed (</w:t>
      </w:r>
      <w:r w:rsidRPr="00E6060C">
        <w:rPr>
          <w:rFonts w:ascii="Calibri" w:eastAsia="Calibri" w:hAnsi="Calibri" w:cs="Times New Roman"/>
          <w:i/>
        </w:rPr>
        <w:t>p</w:t>
      </w:r>
      <w:r w:rsidRPr="00E6060C">
        <w:rPr>
          <w:rFonts w:ascii="Calibri" w:eastAsia="Calibri" w:hAnsi="Calibri" w:cs="Times New Roman"/>
        </w:rPr>
        <w:t xml:space="preserve">&lt;.05),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are </w:t>
      </w:r>
      <w:r w:rsidRPr="00E6060C">
        <w:rPr>
          <w:rFonts w:ascii="Calibri" w:eastAsia="Calibri" w:hAnsi="Calibri" w:cs="Times New Roman"/>
          <w:i/>
        </w:rPr>
        <w:t>not</w:t>
      </w:r>
      <w:r w:rsidRPr="00E6060C">
        <w:rPr>
          <w:rFonts w:ascii="Calibri" w:eastAsia="Calibri" w:hAnsi="Calibri" w:cs="Times New Roman"/>
        </w:rPr>
        <w:t xml:space="preserve"> equal. Conversely, where equal variances </w:t>
      </w:r>
      <w:r w:rsidRPr="00E6060C">
        <w:rPr>
          <w:rFonts w:ascii="Calibri" w:eastAsia="Calibri" w:hAnsi="Calibri" w:cs="Times New Roman"/>
          <w:i/>
        </w:rPr>
        <w:t xml:space="preserve">can </w:t>
      </w:r>
      <w:r w:rsidRPr="00E6060C">
        <w:rPr>
          <w:rFonts w:ascii="Calibri" w:eastAsia="Calibri" w:hAnsi="Calibri" w:cs="Times New Roman"/>
        </w:rPr>
        <w:t>be assumed (</w:t>
      </w:r>
      <w:r w:rsidRPr="00E6060C">
        <w:rPr>
          <w:rFonts w:ascii="Calibri" w:eastAsia="Calibri" w:hAnsi="Calibri" w:cs="Times New Roman"/>
          <w:i/>
        </w:rPr>
        <w:t>p</w:t>
      </w:r>
      <w:r w:rsidRPr="00E6060C">
        <w:rPr>
          <w:rFonts w:ascii="Calibri" w:eastAsia="Calibri" w:hAnsi="Calibri" w:cs="Times New Roman"/>
        </w:rPr>
        <w:t xml:space="preserve">&gt;.05), the results reported for the corresponding independent samples </w:t>
      </w:r>
      <w:r w:rsidRPr="00E6060C">
        <w:rPr>
          <w:rFonts w:ascii="Calibri" w:eastAsia="Calibri" w:hAnsi="Calibri" w:cs="Times New Roman"/>
          <w:i/>
        </w:rPr>
        <w:t>t</w:t>
      </w:r>
      <w:r w:rsidRPr="00E6060C">
        <w:rPr>
          <w:rFonts w:ascii="Calibri" w:eastAsia="Calibri" w:hAnsi="Calibri" w:cs="Times New Roman"/>
        </w:rPr>
        <w:t xml:space="preserve">-test are those which assume that variances </w:t>
      </w:r>
      <w:r w:rsidRPr="00E6060C">
        <w:rPr>
          <w:rFonts w:ascii="Calibri" w:eastAsia="Calibri" w:hAnsi="Calibri" w:cs="Times New Roman"/>
          <w:i/>
        </w:rPr>
        <w:t>are</w:t>
      </w:r>
      <w:r w:rsidRPr="00E6060C">
        <w:rPr>
          <w:rFonts w:ascii="Calibri" w:eastAsia="Calibri" w:hAnsi="Calibri" w:cs="Times New Roman"/>
        </w:rPr>
        <w:t xml:space="preserve"> equal. </w:t>
      </w:r>
    </w:p>
    <w:p w14:paraId="4AB4F00E" w14:textId="7AAD3476" w:rsidR="00842587" w:rsidRDefault="00E6060C" w:rsidP="005852AD">
      <w:pPr>
        <w:spacing w:after="200" w:line="276" w:lineRule="auto"/>
        <w:rPr>
          <w:rFonts w:ascii="Calibri" w:eastAsia="Calibri" w:hAnsi="Calibri" w:cs="Times New Roman"/>
        </w:rPr>
        <w:sectPr w:rsidR="00842587" w:rsidSect="00E6060C">
          <w:pgSz w:w="16838" w:h="11906" w:orient="landscape"/>
          <w:pgMar w:top="1440" w:right="1440" w:bottom="1440" w:left="1440" w:header="709" w:footer="709" w:gutter="0"/>
          <w:cols w:space="708"/>
          <w:titlePg/>
          <w:docGrid w:linePitch="360"/>
        </w:sectPr>
      </w:pPr>
      <w:r w:rsidRPr="00E6060C">
        <w:rPr>
          <w:rFonts w:ascii="Calibri" w:eastAsia="Calibri" w:hAnsi="Calibri" w:cs="Times New Roman"/>
          <w:i/>
        </w:rPr>
        <w:t>Notes: 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 xml:space="preserve">-value; </w:t>
      </w:r>
      <w:r w:rsidRPr="00E6060C">
        <w:rPr>
          <w:rFonts w:ascii="Calibri" w:eastAsia="Calibri" w:hAnsi="Calibri" w:cs="Times New Roman"/>
          <w:i/>
        </w:rPr>
        <w:t>t</w:t>
      </w:r>
      <w:r w:rsidRPr="00E6060C">
        <w:rPr>
          <w:rFonts w:ascii="Calibri" w:eastAsia="Calibri" w:hAnsi="Calibri" w:cs="Times New Roman"/>
        </w:rPr>
        <w:t>=</w:t>
      </w:r>
      <w:r w:rsidRPr="00E6060C">
        <w:rPr>
          <w:rFonts w:ascii="Calibri" w:eastAsia="Calibri" w:hAnsi="Calibri" w:cs="Times New Roman"/>
          <w:i/>
        </w:rPr>
        <w:t>t</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SE</w:t>
      </w:r>
      <w:r w:rsidRPr="00E6060C">
        <w:rPr>
          <w:rFonts w:ascii="Calibri" w:eastAsia="Calibri" w:hAnsi="Calibri" w:cs="Times New Roman"/>
        </w:rPr>
        <w:t xml:space="preserve">=standard error; 95%-CI=95% confidence level; </w:t>
      </w:r>
      <w:r w:rsidRPr="00E6060C">
        <w:rPr>
          <w:rFonts w:ascii="Calibri" w:eastAsia="Calibri" w:hAnsi="Calibri" w:cs="Times New Roman"/>
          <w:i/>
        </w:rPr>
        <w:t>LL</w:t>
      </w:r>
      <w:r w:rsidRPr="00E6060C">
        <w:rPr>
          <w:rFonts w:ascii="Calibri" w:eastAsia="Calibri" w:hAnsi="Calibri" w:cs="Times New Roman"/>
        </w:rPr>
        <w:t xml:space="preserve">=lower level CI; </w:t>
      </w:r>
      <w:r w:rsidRPr="00E6060C">
        <w:rPr>
          <w:rFonts w:ascii="Calibri" w:eastAsia="Calibri" w:hAnsi="Calibri" w:cs="Times New Roman"/>
          <w:i/>
        </w:rPr>
        <w:t>UL</w:t>
      </w:r>
      <w:r w:rsidRPr="00E6060C">
        <w:rPr>
          <w:rFonts w:ascii="Calibri" w:eastAsia="Calibri" w:hAnsi="Calibri" w:cs="Times New Roman"/>
        </w:rPr>
        <w:t>=upper level CI</w:t>
      </w:r>
    </w:p>
    <w:p w14:paraId="0EBCD841" w14:textId="0E1886D3" w:rsidR="00842587" w:rsidRPr="00842587" w:rsidRDefault="00842587" w:rsidP="00842587">
      <w:pPr>
        <w:spacing w:after="200" w:line="276" w:lineRule="auto"/>
        <w:rPr>
          <w:rFonts w:ascii="Calibri" w:eastAsia="Calibri" w:hAnsi="Calibri" w:cs="Times New Roman"/>
        </w:rPr>
      </w:pPr>
      <w:bookmarkStart w:id="460" w:name="_Toc468286095"/>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21</w:t>
      </w:r>
      <w:r w:rsidR="00245D68">
        <w:rPr>
          <w:noProof/>
        </w:rPr>
        <w:fldChar w:fldCharType="end"/>
      </w:r>
      <w:r>
        <w:t xml:space="preserve"> </w:t>
      </w:r>
      <w:r w:rsidRPr="008553F6">
        <w:t>Results of mixed level analyses in SPSS to test for significant differences between control (N=179) and intervention (N=83) groups on the research variables between Time 1 and</w:t>
      </w:r>
      <w:r w:rsidR="008036FE">
        <w:t xml:space="preserve"> Time</w:t>
      </w:r>
      <w:r w:rsidRPr="008553F6">
        <w:t xml:space="preserve"> 2, controlling for hospital tenure</w:t>
      </w:r>
      <w:bookmarkEnd w:id="460"/>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94"/>
        <w:gridCol w:w="1190"/>
        <w:gridCol w:w="851"/>
        <w:gridCol w:w="1263"/>
      </w:tblGrid>
      <w:tr w:rsidR="00E6060C" w:rsidRPr="00E6060C" w14:paraId="55AB4C24" w14:textId="77777777" w:rsidTr="00E6060C">
        <w:trPr>
          <w:trHeight w:val="241"/>
        </w:trPr>
        <w:tc>
          <w:tcPr>
            <w:tcW w:w="3256" w:type="dxa"/>
            <w:tcBorders>
              <w:top w:val="single" w:sz="4" w:space="0" w:color="auto"/>
              <w:bottom w:val="single" w:sz="4" w:space="0" w:color="auto"/>
            </w:tcBorders>
            <w:shd w:val="clear" w:color="auto" w:fill="auto"/>
            <w:vAlign w:val="center"/>
          </w:tcPr>
          <w:p w14:paraId="7BD1DECA" w14:textId="77777777" w:rsidR="00E6060C" w:rsidRPr="00E6060C" w:rsidRDefault="00E6060C" w:rsidP="00E6060C">
            <w:pPr>
              <w:rPr>
                <w:rFonts w:ascii="Calibri" w:eastAsia="Times New Roman" w:hAnsi="Calibri" w:cs="Times New Roman"/>
                <w:b/>
                <w:bCs/>
                <w:color w:val="000000"/>
                <w:lang w:eastAsia="en-GB"/>
              </w:rPr>
            </w:pPr>
            <w:r w:rsidRPr="00E6060C">
              <w:rPr>
                <w:rFonts w:ascii="Calibri" w:eastAsia="Calibri" w:hAnsi="Calibri" w:cs="Times New Roman"/>
                <w:b/>
              </w:rPr>
              <w:t>Variables</w:t>
            </w:r>
          </w:p>
        </w:tc>
        <w:tc>
          <w:tcPr>
            <w:tcW w:w="794" w:type="dxa"/>
            <w:tcBorders>
              <w:top w:val="single" w:sz="4" w:space="0" w:color="auto"/>
              <w:bottom w:val="single" w:sz="4" w:space="0" w:color="auto"/>
            </w:tcBorders>
          </w:tcPr>
          <w:p w14:paraId="3D5CD422"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F</w:t>
            </w:r>
          </w:p>
        </w:tc>
        <w:tc>
          <w:tcPr>
            <w:tcW w:w="1190" w:type="dxa"/>
            <w:tcBorders>
              <w:top w:val="single" w:sz="4" w:space="0" w:color="auto"/>
              <w:bottom w:val="single" w:sz="4" w:space="0" w:color="auto"/>
            </w:tcBorders>
          </w:tcPr>
          <w:p w14:paraId="2D42F3CB"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df</w:t>
            </w:r>
          </w:p>
        </w:tc>
        <w:tc>
          <w:tcPr>
            <w:tcW w:w="851" w:type="dxa"/>
            <w:tcBorders>
              <w:top w:val="single" w:sz="4" w:space="0" w:color="auto"/>
              <w:bottom w:val="single" w:sz="4" w:space="0" w:color="auto"/>
            </w:tcBorders>
          </w:tcPr>
          <w:p w14:paraId="7C8F8B9C" w14:textId="77777777" w:rsidR="00E6060C" w:rsidRPr="00E6060C" w:rsidRDefault="00E6060C" w:rsidP="00E6060C">
            <w:pPr>
              <w:jc w:val="center"/>
              <w:rPr>
                <w:rFonts w:ascii="Calibri" w:eastAsia="Calibri" w:hAnsi="Calibri" w:cs="Times New Roman"/>
                <w:b/>
                <w:i/>
              </w:rPr>
            </w:pPr>
            <w:r w:rsidRPr="00E6060C">
              <w:rPr>
                <w:rFonts w:ascii="Calibri" w:eastAsia="Calibri" w:hAnsi="Calibri" w:cs="Times New Roman"/>
                <w:b/>
                <w:i/>
              </w:rPr>
              <w:t>p</w:t>
            </w:r>
          </w:p>
        </w:tc>
        <w:tc>
          <w:tcPr>
            <w:tcW w:w="1263" w:type="dxa"/>
            <w:tcBorders>
              <w:top w:val="single" w:sz="4" w:space="0" w:color="auto"/>
              <w:bottom w:val="single" w:sz="4" w:space="0" w:color="auto"/>
            </w:tcBorders>
          </w:tcPr>
          <w:p w14:paraId="29EBC9D9"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Direction</w:t>
            </w:r>
          </w:p>
        </w:tc>
      </w:tr>
      <w:tr w:rsidR="00E6060C" w:rsidRPr="00E6060C" w14:paraId="2B73D38B" w14:textId="77777777" w:rsidTr="00E6060C">
        <w:trPr>
          <w:trHeight w:val="516"/>
        </w:trPr>
        <w:tc>
          <w:tcPr>
            <w:tcW w:w="3256" w:type="dxa"/>
            <w:tcBorders>
              <w:top w:val="single" w:sz="4" w:space="0" w:color="auto"/>
            </w:tcBorders>
            <w:shd w:val="clear" w:color="auto" w:fill="auto"/>
            <w:vAlign w:val="center"/>
          </w:tcPr>
          <w:p w14:paraId="2794F7C4"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Colleague support</w:t>
            </w:r>
          </w:p>
        </w:tc>
        <w:tc>
          <w:tcPr>
            <w:tcW w:w="794" w:type="dxa"/>
            <w:tcBorders>
              <w:top w:val="single" w:sz="4" w:space="0" w:color="auto"/>
            </w:tcBorders>
            <w:vAlign w:val="center"/>
          </w:tcPr>
          <w:p w14:paraId="18F1E94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1.973</w:t>
            </w:r>
          </w:p>
        </w:tc>
        <w:tc>
          <w:tcPr>
            <w:tcW w:w="1190" w:type="dxa"/>
            <w:tcBorders>
              <w:top w:val="single" w:sz="4" w:space="0" w:color="auto"/>
            </w:tcBorders>
            <w:vAlign w:val="center"/>
          </w:tcPr>
          <w:p w14:paraId="138E2E4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1, 120.536</w:t>
            </w:r>
          </w:p>
        </w:tc>
        <w:tc>
          <w:tcPr>
            <w:tcW w:w="851" w:type="dxa"/>
            <w:tcBorders>
              <w:top w:val="single" w:sz="4" w:space="0" w:color="auto"/>
            </w:tcBorders>
            <w:vAlign w:val="center"/>
          </w:tcPr>
          <w:p w14:paraId="5092B84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.163</w:t>
            </w:r>
          </w:p>
        </w:tc>
        <w:tc>
          <w:tcPr>
            <w:tcW w:w="1263" w:type="dxa"/>
            <w:tcBorders>
              <w:top w:val="single" w:sz="4" w:space="0" w:color="auto"/>
            </w:tcBorders>
            <w:vAlign w:val="center"/>
          </w:tcPr>
          <w:p w14:paraId="27B37A9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792CC376" w14:textId="77777777" w:rsidTr="00E6060C">
        <w:trPr>
          <w:trHeight w:val="516"/>
        </w:trPr>
        <w:tc>
          <w:tcPr>
            <w:tcW w:w="3256" w:type="dxa"/>
            <w:shd w:val="clear" w:color="auto" w:fill="auto"/>
            <w:vAlign w:val="center"/>
          </w:tcPr>
          <w:p w14:paraId="158754AA"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Influence in decision-making</w:t>
            </w:r>
          </w:p>
        </w:tc>
        <w:tc>
          <w:tcPr>
            <w:tcW w:w="794" w:type="dxa"/>
            <w:vAlign w:val="center"/>
          </w:tcPr>
          <w:p w14:paraId="03C7B71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.681</w:t>
            </w:r>
          </w:p>
        </w:tc>
        <w:tc>
          <w:tcPr>
            <w:tcW w:w="1190" w:type="dxa"/>
            <w:vAlign w:val="center"/>
          </w:tcPr>
          <w:p w14:paraId="1FC7526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1, 86,901</w:t>
            </w:r>
          </w:p>
        </w:tc>
        <w:tc>
          <w:tcPr>
            <w:tcW w:w="851" w:type="dxa"/>
            <w:vAlign w:val="center"/>
          </w:tcPr>
          <w:p w14:paraId="3CB0447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.411</w:t>
            </w:r>
          </w:p>
        </w:tc>
        <w:tc>
          <w:tcPr>
            <w:tcW w:w="1263" w:type="dxa"/>
            <w:vAlign w:val="center"/>
          </w:tcPr>
          <w:p w14:paraId="513F019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080C0EEE" w14:textId="77777777" w:rsidTr="00E6060C">
        <w:trPr>
          <w:trHeight w:val="499"/>
        </w:trPr>
        <w:tc>
          <w:tcPr>
            <w:tcW w:w="3256" w:type="dxa"/>
            <w:shd w:val="clear" w:color="auto" w:fill="auto"/>
            <w:vAlign w:val="center"/>
          </w:tcPr>
          <w:p w14:paraId="45537C41"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Resources and demands</w:t>
            </w:r>
          </w:p>
        </w:tc>
        <w:tc>
          <w:tcPr>
            <w:tcW w:w="794" w:type="dxa"/>
            <w:vAlign w:val="center"/>
          </w:tcPr>
          <w:p w14:paraId="2ED2A32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1.753</w:t>
            </w:r>
          </w:p>
        </w:tc>
        <w:tc>
          <w:tcPr>
            <w:tcW w:w="1190" w:type="dxa"/>
            <w:vAlign w:val="center"/>
          </w:tcPr>
          <w:p w14:paraId="61C9EB5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1, 125.660</w:t>
            </w:r>
          </w:p>
        </w:tc>
        <w:tc>
          <w:tcPr>
            <w:tcW w:w="851" w:type="dxa"/>
            <w:vAlign w:val="center"/>
          </w:tcPr>
          <w:p w14:paraId="1A55DF6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.188</w:t>
            </w:r>
          </w:p>
        </w:tc>
        <w:tc>
          <w:tcPr>
            <w:tcW w:w="1263" w:type="dxa"/>
            <w:vAlign w:val="center"/>
          </w:tcPr>
          <w:p w14:paraId="6B67CC0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26A8504C" w14:textId="77777777" w:rsidTr="00E6060C">
        <w:trPr>
          <w:trHeight w:val="516"/>
        </w:trPr>
        <w:tc>
          <w:tcPr>
            <w:tcW w:w="3256" w:type="dxa"/>
            <w:shd w:val="clear" w:color="auto" w:fill="auto"/>
            <w:vAlign w:val="center"/>
          </w:tcPr>
          <w:p w14:paraId="51A56BD8"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Autonomy</w:t>
            </w:r>
          </w:p>
        </w:tc>
        <w:tc>
          <w:tcPr>
            <w:tcW w:w="794" w:type="dxa"/>
            <w:vAlign w:val="center"/>
          </w:tcPr>
          <w:p w14:paraId="52271DD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.003</w:t>
            </w:r>
          </w:p>
        </w:tc>
        <w:tc>
          <w:tcPr>
            <w:tcW w:w="1190" w:type="dxa"/>
            <w:vAlign w:val="center"/>
          </w:tcPr>
          <w:p w14:paraId="41B0181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1, 98,911</w:t>
            </w:r>
          </w:p>
        </w:tc>
        <w:tc>
          <w:tcPr>
            <w:tcW w:w="851" w:type="dxa"/>
            <w:vAlign w:val="center"/>
          </w:tcPr>
          <w:p w14:paraId="1B9A296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.957</w:t>
            </w:r>
          </w:p>
        </w:tc>
        <w:tc>
          <w:tcPr>
            <w:tcW w:w="1263" w:type="dxa"/>
            <w:vAlign w:val="center"/>
          </w:tcPr>
          <w:p w14:paraId="0432A9C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4C2CD684" w14:textId="77777777" w:rsidTr="00E6060C">
        <w:trPr>
          <w:trHeight w:val="516"/>
        </w:trPr>
        <w:tc>
          <w:tcPr>
            <w:tcW w:w="3256" w:type="dxa"/>
            <w:shd w:val="clear" w:color="auto" w:fill="auto"/>
            <w:vAlign w:val="center"/>
          </w:tcPr>
          <w:p w14:paraId="221D4A01"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Competence</w:t>
            </w:r>
          </w:p>
        </w:tc>
        <w:tc>
          <w:tcPr>
            <w:tcW w:w="794" w:type="dxa"/>
            <w:vAlign w:val="center"/>
          </w:tcPr>
          <w:p w14:paraId="58ACCC6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.540</w:t>
            </w:r>
          </w:p>
        </w:tc>
        <w:tc>
          <w:tcPr>
            <w:tcW w:w="1190" w:type="dxa"/>
            <w:vAlign w:val="center"/>
          </w:tcPr>
          <w:p w14:paraId="782A3C3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1, 154.780</w:t>
            </w:r>
          </w:p>
        </w:tc>
        <w:tc>
          <w:tcPr>
            <w:tcW w:w="851" w:type="dxa"/>
            <w:vAlign w:val="center"/>
          </w:tcPr>
          <w:p w14:paraId="07542D8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.463</w:t>
            </w:r>
          </w:p>
        </w:tc>
        <w:tc>
          <w:tcPr>
            <w:tcW w:w="1263" w:type="dxa"/>
            <w:vAlign w:val="center"/>
          </w:tcPr>
          <w:p w14:paraId="43631BC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57E49B39" w14:textId="77777777" w:rsidTr="00E6060C">
        <w:trPr>
          <w:trHeight w:val="499"/>
        </w:trPr>
        <w:tc>
          <w:tcPr>
            <w:tcW w:w="3256" w:type="dxa"/>
            <w:shd w:val="clear" w:color="auto" w:fill="auto"/>
            <w:vAlign w:val="center"/>
          </w:tcPr>
          <w:p w14:paraId="6F2E5526"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Relatedness</w:t>
            </w:r>
          </w:p>
        </w:tc>
        <w:tc>
          <w:tcPr>
            <w:tcW w:w="794" w:type="dxa"/>
            <w:vAlign w:val="center"/>
          </w:tcPr>
          <w:p w14:paraId="5F8592C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.730</w:t>
            </w:r>
          </w:p>
        </w:tc>
        <w:tc>
          <w:tcPr>
            <w:tcW w:w="1190" w:type="dxa"/>
            <w:vAlign w:val="center"/>
          </w:tcPr>
          <w:p w14:paraId="225CE5C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1, 92.587</w:t>
            </w:r>
          </w:p>
        </w:tc>
        <w:tc>
          <w:tcPr>
            <w:tcW w:w="851" w:type="dxa"/>
            <w:vAlign w:val="center"/>
          </w:tcPr>
          <w:p w14:paraId="60E835C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.395</w:t>
            </w:r>
          </w:p>
        </w:tc>
        <w:tc>
          <w:tcPr>
            <w:tcW w:w="1263" w:type="dxa"/>
            <w:vAlign w:val="center"/>
          </w:tcPr>
          <w:p w14:paraId="4763BA0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1D26120C" w14:textId="77777777" w:rsidTr="00E6060C">
        <w:trPr>
          <w:trHeight w:val="516"/>
        </w:trPr>
        <w:tc>
          <w:tcPr>
            <w:tcW w:w="3256" w:type="dxa"/>
            <w:shd w:val="clear" w:color="auto" w:fill="auto"/>
            <w:vAlign w:val="center"/>
          </w:tcPr>
          <w:p w14:paraId="7823BD22"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Work engagement</w:t>
            </w:r>
          </w:p>
        </w:tc>
        <w:tc>
          <w:tcPr>
            <w:tcW w:w="794" w:type="dxa"/>
            <w:vAlign w:val="center"/>
          </w:tcPr>
          <w:p w14:paraId="0E1BC2F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.631</w:t>
            </w:r>
          </w:p>
        </w:tc>
        <w:tc>
          <w:tcPr>
            <w:tcW w:w="1190" w:type="dxa"/>
            <w:vAlign w:val="center"/>
          </w:tcPr>
          <w:p w14:paraId="5A13D3F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1, 89.710</w:t>
            </w:r>
          </w:p>
        </w:tc>
        <w:tc>
          <w:tcPr>
            <w:tcW w:w="851" w:type="dxa"/>
            <w:vAlign w:val="center"/>
          </w:tcPr>
          <w:p w14:paraId="45B6F70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.429</w:t>
            </w:r>
          </w:p>
        </w:tc>
        <w:tc>
          <w:tcPr>
            <w:tcW w:w="1263" w:type="dxa"/>
            <w:vAlign w:val="center"/>
          </w:tcPr>
          <w:p w14:paraId="172FBB0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1D96AC26" w14:textId="77777777" w:rsidTr="00E6060C">
        <w:trPr>
          <w:trHeight w:val="516"/>
        </w:trPr>
        <w:tc>
          <w:tcPr>
            <w:tcW w:w="3256" w:type="dxa"/>
            <w:shd w:val="clear" w:color="auto" w:fill="auto"/>
            <w:vAlign w:val="center"/>
          </w:tcPr>
          <w:p w14:paraId="588F136D"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High activation unpleasant affect</w:t>
            </w:r>
          </w:p>
        </w:tc>
        <w:tc>
          <w:tcPr>
            <w:tcW w:w="794" w:type="dxa"/>
            <w:vAlign w:val="center"/>
          </w:tcPr>
          <w:p w14:paraId="03E917D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5.564</w:t>
            </w:r>
          </w:p>
        </w:tc>
        <w:tc>
          <w:tcPr>
            <w:tcW w:w="1190" w:type="dxa"/>
            <w:vAlign w:val="center"/>
          </w:tcPr>
          <w:p w14:paraId="204535E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1, 71.526</w:t>
            </w:r>
          </w:p>
        </w:tc>
        <w:tc>
          <w:tcPr>
            <w:tcW w:w="851" w:type="dxa"/>
            <w:vAlign w:val="center"/>
          </w:tcPr>
          <w:p w14:paraId="1A31B6B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.021*</w:t>
            </w:r>
          </w:p>
        </w:tc>
        <w:tc>
          <w:tcPr>
            <w:tcW w:w="1263" w:type="dxa"/>
            <w:vAlign w:val="center"/>
          </w:tcPr>
          <w:p w14:paraId="003C1FA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Expected</w:t>
            </w:r>
            <w:r w:rsidRPr="00E6060C">
              <w:rPr>
                <w:rFonts w:ascii="Calibri" w:eastAsia="Calibri" w:hAnsi="Calibri" w:cs="Times New Roman"/>
                <w:vertAlign w:val="superscript"/>
              </w:rPr>
              <w:t>1</w:t>
            </w:r>
          </w:p>
        </w:tc>
      </w:tr>
      <w:tr w:rsidR="00E6060C" w:rsidRPr="00E6060C" w14:paraId="69C15AC7" w14:textId="77777777" w:rsidTr="00E6060C">
        <w:trPr>
          <w:trHeight w:val="499"/>
        </w:trPr>
        <w:tc>
          <w:tcPr>
            <w:tcW w:w="3256" w:type="dxa"/>
            <w:shd w:val="clear" w:color="auto" w:fill="auto"/>
            <w:vAlign w:val="center"/>
          </w:tcPr>
          <w:p w14:paraId="3856F1EB"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High activation pleasant affect</w:t>
            </w:r>
          </w:p>
        </w:tc>
        <w:tc>
          <w:tcPr>
            <w:tcW w:w="794" w:type="dxa"/>
            <w:vAlign w:val="center"/>
          </w:tcPr>
          <w:p w14:paraId="7A8B8A80"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1.850</w:t>
            </w:r>
          </w:p>
        </w:tc>
        <w:tc>
          <w:tcPr>
            <w:tcW w:w="1190" w:type="dxa"/>
            <w:vAlign w:val="center"/>
          </w:tcPr>
          <w:p w14:paraId="564D514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1, 91.706</w:t>
            </w:r>
          </w:p>
        </w:tc>
        <w:tc>
          <w:tcPr>
            <w:tcW w:w="851" w:type="dxa"/>
            <w:vAlign w:val="center"/>
          </w:tcPr>
          <w:p w14:paraId="6F34DA1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.177</w:t>
            </w:r>
          </w:p>
        </w:tc>
        <w:tc>
          <w:tcPr>
            <w:tcW w:w="1263" w:type="dxa"/>
            <w:vAlign w:val="center"/>
          </w:tcPr>
          <w:p w14:paraId="599FFD3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79ED4658" w14:textId="77777777" w:rsidTr="00E6060C">
        <w:trPr>
          <w:trHeight w:val="516"/>
        </w:trPr>
        <w:tc>
          <w:tcPr>
            <w:tcW w:w="3256" w:type="dxa"/>
            <w:shd w:val="clear" w:color="auto" w:fill="auto"/>
            <w:vAlign w:val="center"/>
          </w:tcPr>
          <w:p w14:paraId="39C4688C" w14:textId="77777777" w:rsidR="00E6060C" w:rsidRPr="00E6060C" w:rsidRDefault="00E6060C" w:rsidP="00E6060C">
            <w:pPr>
              <w:rPr>
                <w:rFonts w:ascii="Calibri" w:eastAsia="Calibri" w:hAnsi="Calibri" w:cs="Times New Roman"/>
              </w:rPr>
            </w:pPr>
            <w:r w:rsidRPr="00E6060C">
              <w:rPr>
                <w:rFonts w:ascii="Calibri" w:eastAsia="Times New Roman" w:hAnsi="Calibri" w:cs="Times New Roman"/>
                <w:bCs/>
                <w:color w:val="000000"/>
                <w:lang w:eastAsia="en-GB"/>
              </w:rPr>
              <w:t>Low activation unpleasant affect</w:t>
            </w:r>
          </w:p>
        </w:tc>
        <w:tc>
          <w:tcPr>
            <w:tcW w:w="794" w:type="dxa"/>
            <w:vAlign w:val="center"/>
          </w:tcPr>
          <w:p w14:paraId="3EEB9E0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.015</w:t>
            </w:r>
          </w:p>
        </w:tc>
        <w:tc>
          <w:tcPr>
            <w:tcW w:w="1190" w:type="dxa"/>
            <w:vAlign w:val="center"/>
          </w:tcPr>
          <w:p w14:paraId="701B0E5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1, 85.323</w:t>
            </w:r>
          </w:p>
        </w:tc>
        <w:tc>
          <w:tcPr>
            <w:tcW w:w="851" w:type="dxa"/>
            <w:vAlign w:val="center"/>
          </w:tcPr>
          <w:p w14:paraId="59032E7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.903</w:t>
            </w:r>
          </w:p>
        </w:tc>
        <w:tc>
          <w:tcPr>
            <w:tcW w:w="1263" w:type="dxa"/>
            <w:vAlign w:val="center"/>
          </w:tcPr>
          <w:p w14:paraId="6A19C6D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r w:rsidR="00E6060C" w:rsidRPr="00E6060C" w14:paraId="63993FA8" w14:textId="77777777" w:rsidTr="00E6060C">
        <w:trPr>
          <w:trHeight w:val="499"/>
        </w:trPr>
        <w:tc>
          <w:tcPr>
            <w:tcW w:w="3256" w:type="dxa"/>
            <w:tcBorders>
              <w:bottom w:val="single" w:sz="4" w:space="0" w:color="auto"/>
            </w:tcBorders>
            <w:shd w:val="clear" w:color="auto" w:fill="auto"/>
            <w:vAlign w:val="center"/>
          </w:tcPr>
          <w:p w14:paraId="1EB098EE" w14:textId="77777777" w:rsidR="00E6060C" w:rsidRPr="00E6060C" w:rsidRDefault="00E6060C" w:rsidP="00E6060C">
            <w:pPr>
              <w:rPr>
                <w:rFonts w:ascii="Calibri" w:eastAsia="Times New Roman" w:hAnsi="Calibri" w:cs="Times New Roman"/>
                <w:bCs/>
                <w:color w:val="000000"/>
                <w:lang w:eastAsia="en-GB"/>
              </w:rPr>
            </w:pPr>
            <w:r w:rsidRPr="00E6060C">
              <w:rPr>
                <w:rFonts w:ascii="Calibri" w:eastAsia="Times New Roman" w:hAnsi="Calibri" w:cs="Times New Roman"/>
                <w:bCs/>
                <w:color w:val="000000"/>
                <w:lang w:eastAsia="en-GB"/>
              </w:rPr>
              <w:t>Low activation pleasant affect</w:t>
            </w:r>
          </w:p>
        </w:tc>
        <w:tc>
          <w:tcPr>
            <w:tcW w:w="794" w:type="dxa"/>
            <w:tcBorders>
              <w:bottom w:val="single" w:sz="4" w:space="0" w:color="auto"/>
            </w:tcBorders>
            <w:vAlign w:val="center"/>
          </w:tcPr>
          <w:p w14:paraId="77E798C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.988</w:t>
            </w:r>
          </w:p>
        </w:tc>
        <w:tc>
          <w:tcPr>
            <w:tcW w:w="1190" w:type="dxa"/>
            <w:tcBorders>
              <w:bottom w:val="single" w:sz="4" w:space="0" w:color="auto"/>
            </w:tcBorders>
            <w:vAlign w:val="center"/>
          </w:tcPr>
          <w:p w14:paraId="0ADD24F3"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1, 83.347</w:t>
            </w:r>
          </w:p>
        </w:tc>
        <w:tc>
          <w:tcPr>
            <w:tcW w:w="851" w:type="dxa"/>
            <w:tcBorders>
              <w:bottom w:val="single" w:sz="4" w:space="0" w:color="auto"/>
            </w:tcBorders>
            <w:vAlign w:val="center"/>
          </w:tcPr>
          <w:p w14:paraId="60DF2E2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.323</w:t>
            </w:r>
          </w:p>
        </w:tc>
        <w:tc>
          <w:tcPr>
            <w:tcW w:w="1263" w:type="dxa"/>
            <w:tcBorders>
              <w:bottom w:val="single" w:sz="4" w:space="0" w:color="auto"/>
            </w:tcBorders>
            <w:vAlign w:val="center"/>
          </w:tcPr>
          <w:p w14:paraId="6CFA90F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w:t>
            </w:r>
          </w:p>
        </w:tc>
      </w:tr>
    </w:tbl>
    <w:p w14:paraId="092BF2B7"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rPr>
        <w:t>*Significant at the .05 level</w:t>
      </w:r>
    </w:p>
    <w:p w14:paraId="760B126C"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vertAlign w:val="superscript"/>
        </w:rPr>
        <w:t>1</w:t>
      </w:r>
      <w:r w:rsidRPr="00E6060C">
        <w:rPr>
          <w:rFonts w:ascii="Calibri" w:eastAsia="Calibri" w:hAnsi="Calibri" w:cs="Times New Roman"/>
        </w:rPr>
        <w:t xml:space="preserve">Expected=in this case, this means that the intervention group mean increases and </w:t>
      </w:r>
    </w:p>
    <w:p w14:paraId="21CE9F10"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rPr>
        <w:t>the control group mean decreases</w:t>
      </w:r>
    </w:p>
    <w:p w14:paraId="0EB8FCF6" w14:textId="2948EBBE" w:rsidR="00E6060C" w:rsidRDefault="00E6060C" w:rsidP="00E6060C">
      <w:pPr>
        <w:spacing w:after="200" w:line="276" w:lineRule="auto"/>
        <w:rPr>
          <w:rFonts w:ascii="Calibri" w:eastAsia="Calibri" w:hAnsi="Calibri" w:cs="Times New Roman"/>
        </w:rPr>
      </w:pPr>
      <w:r w:rsidRPr="00E6060C">
        <w:rPr>
          <w:rFonts w:ascii="Calibri" w:eastAsia="Calibri" w:hAnsi="Calibri" w:cs="Times New Roman"/>
          <w:i/>
        </w:rPr>
        <w:t>Notes: F</w:t>
      </w:r>
      <w:r w:rsidRPr="00E6060C">
        <w:rPr>
          <w:rFonts w:ascii="Calibri" w:eastAsia="Calibri" w:hAnsi="Calibri" w:cs="Times New Roman"/>
        </w:rPr>
        <w:t>=</w:t>
      </w:r>
      <w:r w:rsidRPr="00E6060C">
        <w:rPr>
          <w:rFonts w:ascii="Calibri" w:eastAsia="Calibri" w:hAnsi="Calibri" w:cs="Times New Roman"/>
          <w:i/>
        </w:rPr>
        <w:t>f</w:t>
      </w:r>
      <w:r w:rsidRPr="00E6060C">
        <w:rPr>
          <w:rFonts w:ascii="Calibri" w:eastAsia="Calibri" w:hAnsi="Calibri" w:cs="Times New Roman"/>
        </w:rPr>
        <w:t xml:space="preserve">-test; </w:t>
      </w:r>
      <w:r w:rsidRPr="00E6060C">
        <w:rPr>
          <w:rFonts w:ascii="Calibri" w:eastAsia="Calibri" w:hAnsi="Calibri" w:cs="Times New Roman"/>
          <w:i/>
        </w:rPr>
        <w:t>df</w:t>
      </w:r>
      <w:r w:rsidRPr="00E6060C">
        <w:rPr>
          <w:rFonts w:ascii="Calibri" w:eastAsia="Calibri" w:hAnsi="Calibri" w:cs="Times New Roman"/>
        </w:rPr>
        <w:t xml:space="preserve">=degrees of freedom; </w:t>
      </w:r>
      <w:r w:rsidRPr="00E6060C">
        <w:rPr>
          <w:rFonts w:ascii="Calibri" w:eastAsia="Calibri" w:hAnsi="Calibri" w:cs="Times New Roman"/>
          <w:i/>
        </w:rPr>
        <w:t>p</w:t>
      </w:r>
      <w:r w:rsidRPr="00E6060C">
        <w:rPr>
          <w:rFonts w:ascii="Calibri" w:eastAsia="Calibri" w:hAnsi="Calibri" w:cs="Times New Roman"/>
        </w:rPr>
        <w:t>=</w:t>
      </w:r>
      <w:r w:rsidRPr="00E6060C">
        <w:rPr>
          <w:rFonts w:ascii="Calibri" w:eastAsia="Calibri" w:hAnsi="Calibri" w:cs="Times New Roman"/>
          <w:i/>
        </w:rPr>
        <w:t>p</w:t>
      </w:r>
      <w:r w:rsidRPr="00E6060C">
        <w:rPr>
          <w:rFonts w:ascii="Calibri" w:eastAsia="Calibri" w:hAnsi="Calibri" w:cs="Times New Roman"/>
        </w:rPr>
        <w:t>-value</w:t>
      </w:r>
    </w:p>
    <w:p w14:paraId="6D889AA2" w14:textId="0D7C0E16" w:rsidR="007803A3" w:rsidRDefault="007803A3">
      <w:pPr>
        <w:spacing w:after="160"/>
        <w:rPr>
          <w:rFonts w:ascii="Calibri" w:eastAsia="Calibri" w:hAnsi="Calibri" w:cs="Times New Roman"/>
        </w:rPr>
      </w:pPr>
    </w:p>
    <w:p w14:paraId="32D9F174" w14:textId="40F8E36E" w:rsidR="00E6060C" w:rsidRPr="00E6060C" w:rsidRDefault="007A253F" w:rsidP="00824339">
      <w:pPr>
        <w:pStyle w:val="Thesisheading2"/>
      </w:pPr>
      <w:bookmarkStart w:id="461" w:name="_Ref453588986"/>
      <w:bookmarkStart w:id="462" w:name="_Ref453589270"/>
      <w:bookmarkStart w:id="463" w:name="_Toc468286017"/>
      <w:r>
        <w:t>I</w:t>
      </w:r>
      <w:r w:rsidR="00E6060C" w:rsidRPr="00E6060C">
        <w:t>nvestigating the results of the evaluation questions</w:t>
      </w:r>
      <w:bookmarkEnd w:id="461"/>
      <w:bookmarkEnd w:id="462"/>
      <w:bookmarkEnd w:id="463"/>
    </w:p>
    <w:p w14:paraId="6E10B9FE" w14:textId="77777777" w:rsidR="00E6060C" w:rsidRPr="00E6060C" w:rsidRDefault="00E6060C" w:rsidP="00506770">
      <w:pPr>
        <w:spacing w:line="360" w:lineRule="auto"/>
        <w:contextualSpacing/>
      </w:pPr>
    </w:p>
    <w:p w14:paraId="12BC30B9" w14:textId="76180BB4" w:rsidR="00E6060C" w:rsidRPr="00B82DC9" w:rsidRDefault="00E6060C" w:rsidP="00B82DC9">
      <w:pPr>
        <w:spacing w:after="200" w:line="360" w:lineRule="auto"/>
        <w:contextualSpacing/>
        <w:rPr>
          <w:rFonts w:ascii="Calibri" w:eastAsia="Calibri" w:hAnsi="Calibri" w:cs="Times New Roman"/>
        </w:rPr>
      </w:pPr>
      <w:r w:rsidRPr="00E6060C">
        <w:rPr>
          <w:rFonts w:ascii="Calibri" w:eastAsia="Calibri" w:hAnsi="Calibri" w:cs="Times New Roman"/>
        </w:rPr>
        <w:t>At Time 2, nursing staff on the intervention wards were asked a number of evaluation ques</w:t>
      </w:r>
      <w:r w:rsidR="008E3E7D">
        <w:rPr>
          <w:rFonts w:ascii="Calibri" w:eastAsia="Calibri" w:hAnsi="Calibri" w:cs="Times New Roman"/>
        </w:rPr>
        <w:t xml:space="preserve">tions (see </w:t>
      </w:r>
      <w:r w:rsidR="00375633">
        <w:rPr>
          <w:rFonts w:ascii="Calibri" w:eastAsia="Calibri" w:hAnsi="Calibri" w:cs="Times New Roman"/>
        </w:rPr>
        <w:t>Method, Chapter 7</w:t>
      </w:r>
      <w:r w:rsidRPr="00E6060C">
        <w:rPr>
          <w:rFonts w:ascii="Calibri" w:eastAsia="Calibri" w:hAnsi="Calibri" w:cs="Times New Roman"/>
        </w:rPr>
        <w:t xml:space="preserve">, section </w:t>
      </w:r>
      <w:r w:rsidR="00375633">
        <w:rPr>
          <w:rFonts w:ascii="Calibri" w:eastAsia="Calibri" w:hAnsi="Calibri" w:cs="Times New Roman"/>
        </w:rPr>
        <w:fldChar w:fldCharType="begin"/>
      </w:r>
      <w:r w:rsidR="00375633">
        <w:rPr>
          <w:rFonts w:ascii="Calibri" w:eastAsia="Calibri" w:hAnsi="Calibri" w:cs="Times New Roman"/>
        </w:rPr>
        <w:instrText xml:space="preserve"> REF _Ref453591581 \r \h </w:instrText>
      </w:r>
      <w:r w:rsidR="00B82DC9">
        <w:rPr>
          <w:rFonts w:ascii="Calibri" w:eastAsia="Calibri" w:hAnsi="Calibri" w:cs="Times New Roman"/>
        </w:rPr>
        <w:instrText xml:space="preserve"> \* MERGEFORMAT </w:instrText>
      </w:r>
      <w:r w:rsidR="00375633">
        <w:rPr>
          <w:rFonts w:ascii="Calibri" w:eastAsia="Calibri" w:hAnsi="Calibri" w:cs="Times New Roman"/>
        </w:rPr>
      </w:r>
      <w:r w:rsidR="00375633">
        <w:rPr>
          <w:rFonts w:ascii="Calibri" w:eastAsia="Calibri" w:hAnsi="Calibri" w:cs="Times New Roman"/>
        </w:rPr>
        <w:fldChar w:fldCharType="separate"/>
      </w:r>
      <w:r w:rsidR="00152F6D">
        <w:rPr>
          <w:rFonts w:ascii="Calibri" w:eastAsia="Calibri" w:hAnsi="Calibri" w:cs="Times New Roman"/>
        </w:rPr>
        <w:t>7.7.2</w:t>
      </w:r>
      <w:r w:rsidR="00375633">
        <w:rPr>
          <w:rFonts w:ascii="Calibri" w:eastAsia="Calibri" w:hAnsi="Calibri" w:cs="Times New Roman"/>
        </w:rPr>
        <w:fldChar w:fldCharType="end"/>
      </w:r>
      <w:r w:rsidRPr="00E6060C">
        <w:rPr>
          <w:rFonts w:ascii="Calibri" w:eastAsia="Calibri" w:hAnsi="Calibri" w:cs="Times New Roman"/>
        </w:rPr>
        <w:t>). The intention of these was to gain some insight into the impact of the intervention on the intervention wards</w:t>
      </w:r>
      <w:r w:rsidRPr="00375633">
        <w:rPr>
          <w:rFonts w:ascii="Calibri" w:eastAsia="Calibri" w:hAnsi="Calibri" w:cs="Times New Roman"/>
        </w:rPr>
        <w:t xml:space="preserve">. As stated in </w:t>
      </w:r>
      <w:r w:rsidR="00375633">
        <w:rPr>
          <w:rFonts w:ascii="Calibri" w:eastAsia="Calibri" w:hAnsi="Calibri" w:cs="Times New Roman"/>
        </w:rPr>
        <w:t>s</w:t>
      </w:r>
      <w:r w:rsidRPr="00375633">
        <w:rPr>
          <w:rFonts w:ascii="Calibri" w:eastAsia="Calibri" w:hAnsi="Calibri" w:cs="Times New Roman"/>
        </w:rPr>
        <w:t xml:space="preserve">ection </w:t>
      </w:r>
      <w:r w:rsidR="00375633">
        <w:rPr>
          <w:rFonts w:ascii="Calibri" w:eastAsia="Calibri" w:hAnsi="Calibri" w:cs="Times New Roman"/>
        </w:rPr>
        <w:fldChar w:fldCharType="begin"/>
      </w:r>
      <w:r w:rsidR="00375633">
        <w:rPr>
          <w:rFonts w:ascii="Calibri" w:eastAsia="Calibri" w:hAnsi="Calibri" w:cs="Times New Roman"/>
        </w:rPr>
        <w:instrText xml:space="preserve"> REF _Ref453591615 \r \h </w:instrText>
      </w:r>
      <w:r w:rsidR="00B82DC9">
        <w:rPr>
          <w:rFonts w:ascii="Calibri" w:eastAsia="Calibri" w:hAnsi="Calibri" w:cs="Times New Roman"/>
        </w:rPr>
        <w:instrText xml:space="preserve"> \* MERGEFORMAT </w:instrText>
      </w:r>
      <w:r w:rsidR="00375633">
        <w:rPr>
          <w:rFonts w:ascii="Calibri" w:eastAsia="Calibri" w:hAnsi="Calibri" w:cs="Times New Roman"/>
        </w:rPr>
      </w:r>
      <w:r w:rsidR="00375633">
        <w:rPr>
          <w:rFonts w:ascii="Calibri" w:eastAsia="Calibri" w:hAnsi="Calibri" w:cs="Times New Roman"/>
        </w:rPr>
        <w:fldChar w:fldCharType="separate"/>
      </w:r>
      <w:r w:rsidR="00152F6D">
        <w:rPr>
          <w:rFonts w:ascii="Calibri" w:eastAsia="Calibri" w:hAnsi="Calibri" w:cs="Times New Roman"/>
        </w:rPr>
        <w:t>7.7.2</w:t>
      </w:r>
      <w:r w:rsidR="00375633">
        <w:rPr>
          <w:rFonts w:ascii="Calibri" w:eastAsia="Calibri" w:hAnsi="Calibri" w:cs="Times New Roman"/>
        </w:rPr>
        <w:fldChar w:fldCharType="end"/>
      </w:r>
      <w:r w:rsidRPr="00375633">
        <w:rPr>
          <w:rFonts w:ascii="Calibri" w:eastAsia="Calibri" w:hAnsi="Calibri" w:cs="Times New Roman"/>
        </w:rPr>
        <w:t>, it was not possible to negotiate the administration of a detailed process evaluation due to the length of the questionnaire which would have been necessary, and which would have required a large amount of staff time to complete, and the resources required to administer a separate questionnaire. The results of the questions which were completed are presented in</w:t>
      </w:r>
      <w:r w:rsidR="00DA5DF8">
        <w:rPr>
          <w:rFonts w:ascii="Calibri" w:eastAsia="Calibri" w:hAnsi="Calibri" w:cs="Times New Roman"/>
        </w:rPr>
        <w:t xml:space="preserve"> </w:t>
      </w:r>
      <w:r w:rsidR="00B82DC9">
        <w:rPr>
          <w:rFonts w:ascii="Calibri" w:eastAsia="Calibri" w:hAnsi="Calibri" w:cs="Times New Roman"/>
        </w:rPr>
        <w:fldChar w:fldCharType="begin"/>
      </w:r>
      <w:r w:rsidR="00B82DC9">
        <w:rPr>
          <w:rFonts w:ascii="Calibri" w:eastAsia="Calibri" w:hAnsi="Calibri" w:cs="Times New Roman"/>
        </w:rPr>
        <w:instrText xml:space="preserve"> REF _Ref458090851 \h </w:instrText>
      </w:r>
      <w:r w:rsidR="00B82DC9">
        <w:rPr>
          <w:rFonts w:ascii="Calibri" w:eastAsia="Calibri" w:hAnsi="Calibri" w:cs="Times New Roman"/>
        </w:rPr>
      </w:r>
      <w:r w:rsidR="00B82DC9">
        <w:rPr>
          <w:rFonts w:ascii="Calibri" w:eastAsia="Calibri" w:hAnsi="Calibri" w:cs="Times New Roman"/>
        </w:rPr>
        <w:fldChar w:fldCharType="separate"/>
      </w:r>
      <w:r w:rsidR="00152F6D">
        <w:t xml:space="preserve">Table </w:t>
      </w:r>
      <w:r w:rsidR="00152F6D">
        <w:rPr>
          <w:noProof/>
        </w:rPr>
        <w:t>8</w:t>
      </w:r>
      <w:r w:rsidR="00152F6D">
        <w:t>.</w:t>
      </w:r>
      <w:r w:rsidR="00152F6D">
        <w:rPr>
          <w:noProof/>
        </w:rPr>
        <w:t>22</w:t>
      </w:r>
      <w:r w:rsidR="00B82DC9">
        <w:rPr>
          <w:rFonts w:ascii="Calibri" w:eastAsia="Calibri" w:hAnsi="Calibri" w:cs="Times New Roman"/>
        </w:rPr>
        <w:fldChar w:fldCharType="end"/>
      </w:r>
      <w:r w:rsidR="00B82DC9">
        <w:rPr>
          <w:rFonts w:ascii="Calibri" w:eastAsia="Calibri" w:hAnsi="Calibri" w:cs="Times New Roman"/>
        </w:rPr>
        <w:t xml:space="preserve"> </w:t>
      </w:r>
      <w:r w:rsidRPr="00375633">
        <w:rPr>
          <w:rFonts w:ascii="Calibri" w:eastAsia="Calibri" w:hAnsi="Calibri" w:cs="Times New Roman"/>
        </w:rPr>
        <w:t>and</w:t>
      </w:r>
      <w:r w:rsidR="00A447F6">
        <w:rPr>
          <w:rFonts w:ascii="Calibri" w:eastAsia="Calibri" w:hAnsi="Calibri" w:cs="Times New Roman"/>
        </w:rPr>
        <w:t xml:space="preserve"> </w:t>
      </w:r>
      <w:r w:rsidR="00B82DC9">
        <w:rPr>
          <w:rFonts w:ascii="Calibri" w:eastAsia="Calibri" w:hAnsi="Calibri" w:cs="Times New Roman"/>
        </w:rPr>
        <w:fldChar w:fldCharType="begin"/>
      </w:r>
      <w:r w:rsidR="00B82DC9">
        <w:rPr>
          <w:rFonts w:ascii="Calibri" w:eastAsia="Calibri" w:hAnsi="Calibri" w:cs="Times New Roman"/>
        </w:rPr>
        <w:instrText xml:space="preserve"> REF _Ref453591680 \h </w:instrText>
      </w:r>
      <w:r w:rsidR="00B82DC9">
        <w:rPr>
          <w:rFonts w:ascii="Calibri" w:eastAsia="Calibri" w:hAnsi="Calibri" w:cs="Times New Roman"/>
        </w:rPr>
      </w:r>
      <w:r w:rsidR="00B82DC9">
        <w:rPr>
          <w:rFonts w:ascii="Calibri" w:eastAsia="Calibri" w:hAnsi="Calibri" w:cs="Times New Roman"/>
        </w:rPr>
        <w:fldChar w:fldCharType="separate"/>
      </w:r>
      <w:r w:rsidR="00152F6D">
        <w:t xml:space="preserve">Table </w:t>
      </w:r>
      <w:r w:rsidR="00152F6D">
        <w:rPr>
          <w:noProof/>
        </w:rPr>
        <w:t>8</w:t>
      </w:r>
      <w:r w:rsidR="00152F6D">
        <w:t>.</w:t>
      </w:r>
      <w:r w:rsidR="00152F6D">
        <w:rPr>
          <w:noProof/>
        </w:rPr>
        <w:t>23</w:t>
      </w:r>
      <w:r w:rsidR="00B82DC9">
        <w:rPr>
          <w:rFonts w:ascii="Calibri" w:eastAsia="Calibri" w:hAnsi="Calibri" w:cs="Times New Roman"/>
        </w:rPr>
        <w:fldChar w:fldCharType="end"/>
      </w:r>
      <w:r w:rsidR="00B82DC9">
        <w:rPr>
          <w:rFonts w:ascii="Calibri" w:eastAsia="Calibri" w:hAnsi="Calibri" w:cs="Times New Roman"/>
        </w:rPr>
        <w:t>.</w:t>
      </w:r>
      <w:r w:rsidRPr="00375633">
        <w:rPr>
          <w:rFonts w:ascii="Calibri" w:eastAsia="Calibri" w:hAnsi="Calibri" w:cs="Times New Roman"/>
        </w:rPr>
        <w:t xml:space="preserve"> </w:t>
      </w:r>
      <w:r w:rsidR="00B82DC9">
        <w:rPr>
          <w:rFonts w:ascii="Calibri" w:eastAsia="Calibri" w:hAnsi="Calibri" w:cs="Times New Roman"/>
        </w:rPr>
        <w:fldChar w:fldCharType="begin"/>
      </w:r>
      <w:r w:rsidR="00B82DC9">
        <w:rPr>
          <w:rFonts w:ascii="Calibri" w:eastAsia="Calibri" w:hAnsi="Calibri" w:cs="Times New Roman"/>
        </w:rPr>
        <w:instrText xml:space="preserve"> REF _Ref458090851 \h </w:instrText>
      </w:r>
      <w:r w:rsidR="00B82DC9">
        <w:rPr>
          <w:rFonts w:ascii="Calibri" w:eastAsia="Calibri" w:hAnsi="Calibri" w:cs="Times New Roman"/>
        </w:rPr>
      </w:r>
      <w:r w:rsidR="00B82DC9">
        <w:rPr>
          <w:rFonts w:ascii="Calibri" w:eastAsia="Calibri" w:hAnsi="Calibri" w:cs="Times New Roman"/>
        </w:rPr>
        <w:fldChar w:fldCharType="separate"/>
      </w:r>
      <w:r w:rsidR="00152F6D">
        <w:t xml:space="preserve">Table </w:t>
      </w:r>
      <w:r w:rsidR="00152F6D">
        <w:rPr>
          <w:noProof/>
        </w:rPr>
        <w:t>8</w:t>
      </w:r>
      <w:r w:rsidR="00152F6D">
        <w:t>.</w:t>
      </w:r>
      <w:r w:rsidR="00152F6D">
        <w:rPr>
          <w:noProof/>
        </w:rPr>
        <w:t>22</w:t>
      </w:r>
      <w:r w:rsidR="00B82DC9">
        <w:rPr>
          <w:rFonts w:ascii="Calibri" w:eastAsia="Calibri" w:hAnsi="Calibri" w:cs="Times New Roman"/>
        </w:rPr>
        <w:fldChar w:fldCharType="end"/>
      </w:r>
      <w:r w:rsidR="00B82DC9">
        <w:rPr>
          <w:rFonts w:ascii="Calibri" w:eastAsia="Calibri" w:hAnsi="Calibri" w:cs="Times New Roman"/>
        </w:rPr>
        <w:t xml:space="preserve"> </w:t>
      </w:r>
      <w:r w:rsidRPr="00375633">
        <w:rPr>
          <w:rFonts w:ascii="Calibri" w:eastAsia="Calibri" w:hAnsi="Calibri" w:cs="Times New Roman"/>
        </w:rPr>
        <w:t>displays the percentage of respondents</w:t>
      </w:r>
      <w:r w:rsidRPr="00E6060C">
        <w:rPr>
          <w:rFonts w:ascii="Calibri" w:eastAsia="Calibri" w:hAnsi="Calibri" w:cs="Times New Roman"/>
        </w:rPr>
        <w:t xml:space="preserve"> who responded ‘yes’ or ‘no’ to each question requiring a ‘yes’ or ‘no’ response and </w:t>
      </w:r>
      <w:r w:rsidR="00B82DC9">
        <w:rPr>
          <w:rFonts w:ascii="Calibri" w:eastAsia="Calibri" w:hAnsi="Calibri" w:cs="Times New Roman"/>
        </w:rPr>
        <w:fldChar w:fldCharType="begin"/>
      </w:r>
      <w:r w:rsidR="00B82DC9">
        <w:rPr>
          <w:rFonts w:ascii="Calibri" w:eastAsia="Calibri" w:hAnsi="Calibri" w:cs="Times New Roman"/>
        </w:rPr>
        <w:instrText xml:space="preserve"> REF _Ref453591680 \h </w:instrText>
      </w:r>
      <w:r w:rsidR="00B82DC9">
        <w:rPr>
          <w:rFonts w:ascii="Calibri" w:eastAsia="Calibri" w:hAnsi="Calibri" w:cs="Times New Roman"/>
        </w:rPr>
      </w:r>
      <w:r w:rsidR="00B82DC9">
        <w:rPr>
          <w:rFonts w:ascii="Calibri" w:eastAsia="Calibri" w:hAnsi="Calibri" w:cs="Times New Roman"/>
        </w:rPr>
        <w:fldChar w:fldCharType="separate"/>
      </w:r>
      <w:r w:rsidR="00152F6D">
        <w:t xml:space="preserve">Table </w:t>
      </w:r>
      <w:r w:rsidR="00152F6D">
        <w:rPr>
          <w:noProof/>
        </w:rPr>
        <w:t>8</w:t>
      </w:r>
      <w:r w:rsidR="00152F6D">
        <w:t>.</w:t>
      </w:r>
      <w:r w:rsidR="00152F6D">
        <w:rPr>
          <w:noProof/>
        </w:rPr>
        <w:t>23</w:t>
      </w:r>
      <w:r w:rsidR="00B82DC9">
        <w:rPr>
          <w:rFonts w:ascii="Calibri" w:eastAsia="Calibri" w:hAnsi="Calibri" w:cs="Times New Roman"/>
        </w:rPr>
        <w:fldChar w:fldCharType="end"/>
      </w:r>
      <w:r w:rsidR="00B82DC9">
        <w:rPr>
          <w:rFonts w:ascii="Calibri" w:eastAsia="Calibri" w:hAnsi="Calibri" w:cs="Times New Roman"/>
        </w:rPr>
        <w:t xml:space="preserve"> </w:t>
      </w:r>
      <w:r w:rsidRPr="00E6060C">
        <w:rPr>
          <w:rFonts w:ascii="Calibri" w:eastAsia="Calibri" w:hAnsi="Calibri" w:cs="Times New Roman"/>
        </w:rPr>
        <w:t xml:space="preserve">displays the extent to which respondents agreed or disagreed with a number of other questions. A very small number of people responded to each question (~10-35), hence it is not known whether the views of these few are representative of all </w:t>
      </w:r>
      <w:r w:rsidR="008E3E7D">
        <w:rPr>
          <w:rFonts w:ascii="Calibri" w:eastAsia="Calibri" w:hAnsi="Calibri" w:cs="Times New Roman"/>
        </w:rPr>
        <w:t xml:space="preserve">of </w:t>
      </w:r>
      <w:r w:rsidRPr="00E6060C">
        <w:rPr>
          <w:rFonts w:ascii="Calibri" w:eastAsia="Calibri" w:hAnsi="Calibri" w:cs="Times New Roman"/>
        </w:rPr>
        <w:t xml:space="preserve">the nursing staff </w:t>
      </w:r>
      <w:r w:rsidRPr="00E6060C">
        <w:rPr>
          <w:rFonts w:ascii="Calibri" w:eastAsia="Calibri" w:hAnsi="Calibri" w:cs="Times New Roman"/>
        </w:rPr>
        <w:lastRenderedPageBreak/>
        <w:t>working on the intervention wards. However, it is worth noting that the majority of those that responded were aware of the intervention project (85.4% of the 41 who responded, Table 8.22), and felt that the project had resulted in positive changes in the way care was delivered on their ward (57.1% of the 35 who responded). A good number stated that they had taken an active part in the project (40.6% of the 32</w:t>
      </w:r>
      <w:r w:rsidR="00B82DC9">
        <w:rPr>
          <w:rFonts w:ascii="Calibri" w:eastAsia="Calibri" w:hAnsi="Calibri" w:cs="Times New Roman"/>
        </w:rPr>
        <w:t xml:space="preserve"> who responded to this question</w:t>
      </w:r>
      <w:r w:rsidRPr="00E6060C">
        <w:rPr>
          <w:rFonts w:ascii="Calibri" w:eastAsia="Calibri" w:hAnsi="Calibri" w:cs="Times New Roman"/>
        </w:rPr>
        <w:t xml:space="preserve"> </w:t>
      </w:r>
      <w:r w:rsidR="00B82DC9">
        <w:rPr>
          <w:rFonts w:ascii="Calibri" w:eastAsia="Calibri" w:hAnsi="Calibri" w:cs="Times New Roman"/>
        </w:rPr>
        <w:fldChar w:fldCharType="begin"/>
      </w:r>
      <w:r w:rsidR="00B82DC9">
        <w:rPr>
          <w:rFonts w:ascii="Calibri" w:eastAsia="Calibri" w:hAnsi="Calibri" w:cs="Times New Roman"/>
        </w:rPr>
        <w:instrText xml:space="preserve"> REF _Ref458090851 \h </w:instrText>
      </w:r>
      <w:r w:rsidR="00B82DC9">
        <w:rPr>
          <w:rFonts w:ascii="Calibri" w:eastAsia="Calibri" w:hAnsi="Calibri" w:cs="Times New Roman"/>
        </w:rPr>
      </w:r>
      <w:r w:rsidR="00B82DC9">
        <w:rPr>
          <w:rFonts w:ascii="Calibri" w:eastAsia="Calibri" w:hAnsi="Calibri" w:cs="Times New Roman"/>
        </w:rPr>
        <w:fldChar w:fldCharType="separate"/>
      </w:r>
      <w:r w:rsidR="00152F6D">
        <w:t xml:space="preserve">Table </w:t>
      </w:r>
      <w:r w:rsidR="00152F6D">
        <w:rPr>
          <w:noProof/>
        </w:rPr>
        <w:t>8</w:t>
      </w:r>
      <w:r w:rsidR="00152F6D">
        <w:t>.</w:t>
      </w:r>
      <w:r w:rsidR="00152F6D">
        <w:rPr>
          <w:noProof/>
        </w:rPr>
        <w:t>22</w:t>
      </w:r>
      <w:r w:rsidR="00B82DC9">
        <w:rPr>
          <w:rFonts w:ascii="Calibri" w:eastAsia="Calibri" w:hAnsi="Calibri" w:cs="Times New Roman"/>
        </w:rPr>
        <w:fldChar w:fldCharType="end"/>
      </w:r>
      <w:r w:rsidR="00B82DC9">
        <w:rPr>
          <w:rFonts w:ascii="Calibri" w:eastAsia="Calibri" w:hAnsi="Calibri" w:cs="Times New Roman"/>
        </w:rPr>
        <w:t>)</w:t>
      </w:r>
      <w:r w:rsidRPr="00E6060C">
        <w:rPr>
          <w:rFonts w:ascii="Calibri" w:eastAsia="Calibri" w:hAnsi="Calibri" w:cs="Times New Roman"/>
        </w:rPr>
        <w:t xml:space="preserve">. Most commonly, respondents reported talking to others about the project (90.9% of the 11 who responded) and taking part in project workshops (88.9% of 9 who responded). </w:t>
      </w:r>
    </w:p>
    <w:p w14:paraId="58A5EEF7" w14:textId="77777777" w:rsidR="00E6060C" w:rsidRPr="00E6060C" w:rsidRDefault="00E6060C" w:rsidP="00DA5DF8">
      <w:pPr>
        <w:spacing w:after="200" w:line="360" w:lineRule="auto"/>
        <w:contextualSpacing/>
        <w:rPr>
          <w:rFonts w:ascii="Calibri" w:eastAsia="Calibri" w:hAnsi="Calibri" w:cs="Times New Roman"/>
        </w:rPr>
      </w:pPr>
    </w:p>
    <w:p w14:paraId="7CE1E41E" w14:textId="214E1D76" w:rsidR="00B82DC9" w:rsidRPr="00B82DC9" w:rsidRDefault="00E6060C" w:rsidP="00B82DC9">
      <w:pPr>
        <w:spacing w:after="200" w:line="360" w:lineRule="auto"/>
        <w:contextualSpacing/>
        <w:rPr>
          <w:rFonts w:ascii="Calibri" w:eastAsia="Calibri" w:hAnsi="Calibri" w:cs="Times New Roman"/>
        </w:rPr>
      </w:pPr>
      <w:r w:rsidRPr="00E6060C">
        <w:rPr>
          <w:rFonts w:ascii="Calibri" w:eastAsia="Calibri" w:hAnsi="Calibri" w:cs="Times New Roman"/>
        </w:rPr>
        <w:t>Furthermore, 46.2% of those that responded agreed that the ability of their team to identify areas for improvement, and the opportunity to hear about new ways of working, had improved on their ward as a result of the project (</w:t>
      </w:r>
      <w:r w:rsidR="00C9686B">
        <w:rPr>
          <w:rFonts w:ascii="Calibri" w:eastAsia="Calibri" w:hAnsi="Calibri" w:cs="Times New Roman"/>
        </w:rPr>
        <w:fldChar w:fldCharType="begin"/>
      </w:r>
      <w:r w:rsidR="00C9686B">
        <w:rPr>
          <w:rFonts w:ascii="Calibri" w:eastAsia="Calibri" w:hAnsi="Calibri" w:cs="Times New Roman"/>
        </w:rPr>
        <w:instrText xml:space="preserve"> REF _Ref453591680 \h </w:instrText>
      </w:r>
      <w:r w:rsidR="00C9686B">
        <w:rPr>
          <w:rFonts w:ascii="Calibri" w:eastAsia="Calibri" w:hAnsi="Calibri" w:cs="Times New Roman"/>
        </w:rPr>
      </w:r>
      <w:r w:rsidR="00C9686B">
        <w:rPr>
          <w:rFonts w:ascii="Calibri" w:eastAsia="Calibri" w:hAnsi="Calibri" w:cs="Times New Roman"/>
        </w:rPr>
        <w:fldChar w:fldCharType="separate"/>
      </w:r>
      <w:r w:rsidR="00152F6D">
        <w:t xml:space="preserve">Table </w:t>
      </w:r>
      <w:r w:rsidR="00152F6D">
        <w:rPr>
          <w:noProof/>
        </w:rPr>
        <w:t>8</w:t>
      </w:r>
      <w:r w:rsidR="00152F6D">
        <w:t>.</w:t>
      </w:r>
      <w:r w:rsidR="00152F6D">
        <w:rPr>
          <w:noProof/>
        </w:rPr>
        <w:t>23</w:t>
      </w:r>
      <w:r w:rsidR="00C9686B">
        <w:rPr>
          <w:rFonts w:ascii="Calibri" w:eastAsia="Calibri" w:hAnsi="Calibri" w:cs="Times New Roman"/>
        </w:rPr>
        <w:fldChar w:fldCharType="end"/>
      </w:r>
      <w:r w:rsidRPr="00E6060C">
        <w:rPr>
          <w:rFonts w:ascii="Calibri" w:eastAsia="Calibri" w:hAnsi="Calibri" w:cs="Times New Roman"/>
        </w:rPr>
        <w:t>). 35.9% agreed that there was an improvement in their ideas being heard, 25% agreed that patients’ experience of care had improved, and 26.3% felt that staff morale had improved. Taken together, these results indicate that the staff that took part in the intervention did so in a number of different ways, and that those who were aware of the project, including those who actively took part in it, generally felt that it resulted in a positive impact on the intervention wards.</w:t>
      </w:r>
      <w:bookmarkStart w:id="464" w:name="_Ref453591657"/>
      <w:r w:rsidR="00B82DC9">
        <w:rPr>
          <w:rFonts w:ascii="Calibri" w:eastAsia="Calibri" w:hAnsi="Calibri" w:cs="Times New Roman"/>
        </w:rPr>
        <w:br w:type="page"/>
      </w:r>
    </w:p>
    <w:p w14:paraId="46E9B82D" w14:textId="5C6E2AB6" w:rsidR="00824339" w:rsidRDefault="00824339" w:rsidP="005852AD">
      <w:pPr>
        <w:pStyle w:val="Figurestyle"/>
      </w:pPr>
      <w:bookmarkStart w:id="465" w:name="_Ref458090851"/>
      <w:bookmarkStart w:id="466" w:name="_Toc468286096"/>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22</w:t>
      </w:r>
      <w:r w:rsidR="00245D68">
        <w:rPr>
          <w:noProof/>
        </w:rPr>
        <w:fldChar w:fldCharType="end"/>
      </w:r>
      <w:bookmarkEnd w:id="464"/>
      <w:bookmarkEnd w:id="465"/>
      <w:r>
        <w:t xml:space="preserve"> </w:t>
      </w:r>
      <w:r w:rsidRPr="00CE563C">
        <w:t>Percentage of respondents who responded ‘yes’ or ‘no’ to each of the intervention evaluation questions requiring a ‘yes’ or ‘no’ response</w:t>
      </w:r>
      <w:bookmarkEnd w:id="466"/>
    </w:p>
    <w:p w14:paraId="5DA58A77" w14:textId="77777777" w:rsidR="00824339" w:rsidRDefault="00824339" w:rsidP="005852AD">
      <w:pPr>
        <w:pStyle w:val="Figurestyle"/>
      </w:pPr>
    </w:p>
    <w:tbl>
      <w:tblPr>
        <w:tblStyle w:val="TableGrid5"/>
        <w:tblW w:w="92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5772"/>
        <w:gridCol w:w="834"/>
        <w:gridCol w:w="1071"/>
        <w:gridCol w:w="984"/>
      </w:tblGrid>
      <w:tr w:rsidR="00E6060C" w:rsidRPr="00E6060C" w14:paraId="107BA248" w14:textId="77777777" w:rsidTr="00E6060C">
        <w:trPr>
          <w:trHeight w:val="508"/>
        </w:trPr>
        <w:tc>
          <w:tcPr>
            <w:tcW w:w="611" w:type="dxa"/>
            <w:tcBorders>
              <w:bottom w:val="nil"/>
            </w:tcBorders>
          </w:tcPr>
          <w:p w14:paraId="1AA9F615" w14:textId="77777777" w:rsidR="00E6060C" w:rsidRPr="00E6060C" w:rsidRDefault="00E6060C" w:rsidP="00E6060C">
            <w:pPr>
              <w:spacing w:line="360" w:lineRule="auto"/>
              <w:contextualSpacing/>
              <w:rPr>
                <w:rFonts w:ascii="Calibri" w:eastAsia="Calibri" w:hAnsi="Calibri" w:cs="Times New Roman"/>
                <w:b/>
              </w:rPr>
            </w:pPr>
            <w:r w:rsidRPr="00E6060C">
              <w:rPr>
                <w:rFonts w:ascii="Calibri" w:eastAsia="Calibri" w:hAnsi="Calibri" w:cs="Times New Roman"/>
                <w:b/>
              </w:rPr>
              <w:t>No.</w:t>
            </w:r>
          </w:p>
        </w:tc>
        <w:tc>
          <w:tcPr>
            <w:tcW w:w="5772" w:type="dxa"/>
            <w:tcBorders>
              <w:bottom w:val="nil"/>
            </w:tcBorders>
          </w:tcPr>
          <w:p w14:paraId="05523B3B" w14:textId="77777777" w:rsidR="00E6060C" w:rsidRPr="00E6060C" w:rsidRDefault="00E6060C" w:rsidP="00E6060C">
            <w:pPr>
              <w:spacing w:line="360" w:lineRule="auto"/>
              <w:contextualSpacing/>
              <w:rPr>
                <w:rFonts w:ascii="Calibri" w:eastAsia="Calibri" w:hAnsi="Calibri" w:cs="Times New Roman"/>
                <w:b/>
              </w:rPr>
            </w:pPr>
            <w:r w:rsidRPr="00E6060C">
              <w:rPr>
                <w:rFonts w:ascii="Calibri" w:eastAsia="Calibri" w:hAnsi="Calibri" w:cs="Times New Roman"/>
                <w:b/>
              </w:rPr>
              <w:t>Evaluation question</w:t>
            </w:r>
          </w:p>
        </w:tc>
        <w:tc>
          <w:tcPr>
            <w:tcW w:w="834" w:type="dxa"/>
            <w:tcBorders>
              <w:bottom w:val="nil"/>
            </w:tcBorders>
          </w:tcPr>
          <w:p w14:paraId="3EB6F15E" w14:textId="77777777" w:rsidR="00E6060C" w:rsidRPr="00E6060C" w:rsidRDefault="00E6060C" w:rsidP="00E6060C">
            <w:pPr>
              <w:spacing w:line="360" w:lineRule="auto"/>
              <w:contextualSpacing/>
              <w:jc w:val="center"/>
              <w:rPr>
                <w:rFonts w:ascii="Calibri" w:eastAsia="Calibri" w:hAnsi="Calibri" w:cs="Times New Roman"/>
                <w:b/>
              </w:rPr>
            </w:pPr>
            <w:r w:rsidRPr="00E6060C">
              <w:rPr>
                <w:rFonts w:ascii="Calibri" w:eastAsia="Calibri" w:hAnsi="Calibri" w:cs="Times New Roman"/>
                <w:b/>
              </w:rPr>
              <w:t>N</w:t>
            </w:r>
          </w:p>
        </w:tc>
        <w:tc>
          <w:tcPr>
            <w:tcW w:w="2055" w:type="dxa"/>
            <w:gridSpan w:val="2"/>
            <w:tcBorders>
              <w:top w:val="single" w:sz="4" w:space="0" w:color="auto"/>
              <w:bottom w:val="single" w:sz="4" w:space="0" w:color="auto"/>
            </w:tcBorders>
          </w:tcPr>
          <w:p w14:paraId="0B568010" w14:textId="77777777" w:rsidR="00E6060C" w:rsidRPr="00E6060C" w:rsidRDefault="00E6060C" w:rsidP="00E6060C">
            <w:pPr>
              <w:spacing w:line="360" w:lineRule="auto"/>
              <w:contextualSpacing/>
              <w:jc w:val="center"/>
              <w:rPr>
                <w:rFonts w:ascii="Calibri" w:eastAsia="Calibri" w:hAnsi="Calibri" w:cs="Times New Roman"/>
                <w:b/>
              </w:rPr>
            </w:pPr>
            <w:r w:rsidRPr="00E6060C">
              <w:rPr>
                <w:rFonts w:ascii="Calibri" w:eastAsia="Calibri" w:hAnsi="Calibri" w:cs="Times New Roman"/>
                <w:b/>
              </w:rPr>
              <w:t>Response option</w:t>
            </w:r>
          </w:p>
        </w:tc>
      </w:tr>
      <w:tr w:rsidR="00E6060C" w:rsidRPr="00E6060C" w14:paraId="04E98337" w14:textId="77777777" w:rsidTr="00E6060C">
        <w:trPr>
          <w:trHeight w:val="508"/>
        </w:trPr>
        <w:tc>
          <w:tcPr>
            <w:tcW w:w="611" w:type="dxa"/>
            <w:tcBorders>
              <w:top w:val="nil"/>
              <w:bottom w:val="single" w:sz="4" w:space="0" w:color="auto"/>
            </w:tcBorders>
          </w:tcPr>
          <w:p w14:paraId="720D6E08" w14:textId="77777777" w:rsidR="00E6060C" w:rsidRPr="00E6060C" w:rsidRDefault="00E6060C" w:rsidP="00E6060C">
            <w:pPr>
              <w:spacing w:line="360" w:lineRule="auto"/>
              <w:contextualSpacing/>
              <w:rPr>
                <w:rFonts w:ascii="Calibri" w:eastAsia="Calibri" w:hAnsi="Calibri" w:cs="Times New Roman"/>
                <w:b/>
              </w:rPr>
            </w:pPr>
          </w:p>
        </w:tc>
        <w:tc>
          <w:tcPr>
            <w:tcW w:w="5772" w:type="dxa"/>
            <w:tcBorders>
              <w:top w:val="nil"/>
              <w:bottom w:val="single" w:sz="4" w:space="0" w:color="auto"/>
            </w:tcBorders>
          </w:tcPr>
          <w:p w14:paraId="08432CDC" w14:textId="77777777" w:rsidR="00E6060C" w:rsidRPr="00E6060C" w:rsidRDefault="00E6060C" w:rsidP="00E6060C">
            <w:pPr>
              <w:spacing w:line="360" w:lineRule="auto"/>
              <w:contextualSpacing/>
              <w:rPr>
                <w:rFonts w:ascii="Calibri" w:eastAsia="Calibri" w:hAnsi="Calibri" w:cs="Times New Roman"/>
                <w:b/>
              </w:rPr>
            </w:pPr>
          </w:p>
        </w:tc>
        <w:tc>
          <w:tcPr>
            <w:tcW w:w="834" w:type="dxa"/>
            <w:tcBorders>
              <w:top w:val="nil"/>
              <w:bottom w:val="single" w:sz="4" w:space="0" w:color="auto"/>
            </w:tcBorders>
          </w:tcPr>
          <w:p w14:paraId="141CA275" w14:textId="77777777" w:rsidR="00E6060C" w:rsidRPr="00E6060C" w:rsidRDefault="00E6060C" w:rsidP="00E6060C">
            <w:pPr>
              <w:spacing w:line="360" w:lineRule="auto"/>
              <w:contextualSpacing/>
              <w:jc w:val="center"/>
              <w:rPr>
                <w:rFonts w:ascii="Calibri" w:eastAsia="Calibri" w:hAnsi="Calibri" w:cs="Times New Roman"/>
                <w:b/>
              </w:rPr>
            </w:pPr>
          </w:p>
        </w:tc>
        <w:tc>
          <w:tcPr>
            <w:tcW w:w="1071" w:type="dxa"/>
            <w:tcBorders>
              <w:top w:val="single" w:sz="4" w:space="0" w:color="auto"/>
              <w:bottom w:val="single" w:sz="4" w:space="0" w:color="auto"/>
            </w:tcBorders>
          </w:tcPr>
          <w:p w14:paraId="29910E44" w14:textId="77777777" w:rsidR="00E6060C" w:rsidRPr="00E6060C" w:rsidRDefault="00E6060C" w:rsidP="00E6060C">
            <w:pPr>
              <w:spacing w:line="360" w:lineRule="auto"/>
              <w:contextualSpacing/>
              <w:jc w:val="center"/>
              <w:rPr>
                <w:rFonts w:ascii="Calibri" w:eastAsia="Calibri" w:hAnsi="Calibri" w:cs="Times New Roman"/>
                <w:b/>
              </w:rPr>
            </w:pPr>
            <w:r w:rsidRPr="00E6060C">
              <w:rPr>
                <w:rFonts w:ascii="Calibri" w:eastAsia="Calibri" w:hAnsi="Calibri" w:cs="Times New Roman"/>
                <w:b/>
              </w:rPr>
              <w:t>Yes</w:t>
            </w:r>
          </w:p>
        </w:tc>
        <w:tc>
          <w:tcPr>
            <w:tcW w:w="984" w:type="dxa"/>
            <w:tcBorders>
              <w:top w:val="single" w:sz="4" w:space="0" w:color="auto"/>
              <w:bottom w:val="single" w:sz="4" w:space="0" w:color="auto"/>
            </w:tcBorders>
          </w:tcPr>
          <w:p w14:paraId="3CDCFD2D" w14:textId="77777777" w:rsidR="00E6060C" w:rsidRPr="00E6060C" w:rsidRDefault="00E6060C" w:rsidP="00E6060C">
            <w:pPr>
              <w:spacing w:line="360" w:lineRule="auto"/>
              <w:contextualSpacing/>
              <w:jc w:val="center"/>
              <w:rPr>
                <w:rFonts w:ascii="Calibri" w:eastAsia="Calibri" w:hAnsi="Calibri" w:cs="Times New Roman"/>
                <w:b/>
              </w:rPr>
            </w:pPr>
            <w:r w:rsidRPr="00E6060C">
              <w:rPr>
                <w:rFonts w:ascii="Calibri" w:eastAsia="Calibri" w:hAnsi="Calibri" w:cs="Times New Roman"/>
                <w:b/>
              </w:rPr>
              <w:t>No</w:t>
            </w:r>
          </w:p>
        </w:tc>
      </w:tr>
      <w:tr w:rsidR="00E6060C" w:rsidRPr="00E6060C" w14:paraId="38BDA9D8" w14:textId="77777777" w:rsidTr="00E6060C">
        <w:trPr>
          <w:trHeight w:val="677"/>
        </w:trPr>
        <w:tc>
          <w:tcPr>
            <w:tcW w:w="611" w:type="dxa"/>
            <w:tcBorders>
              <w:top w:val="single" w:sz="4" w:space="0" w:color="auto"/>
            </w:tcBorders>
          </w:tcPr>
          <w:p w14:paraId="0D5B7C9F"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1</w:t>
            </w:r>
          </w:p>
        </w:tc>
        <w:tc>
          <w:tcPr>
            <w:tcW w:w="5772" w:type="dxa"/>
            <w:tcBorders>
              <w:top w:val="single" w:sz="4" w:space="0" w:color="auto"/>
            </w:tcBorders>
          </w:tcPr>
          <w:p w14:paraId="09C8969D"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Were you aware of the EnRich project before filling in this questionnaire?</w:t>
            </w:r>
          </w:p>
        </w:tc>
        <w:tc>
          <w:tcPr>
            <w:tcW w:w="834" w:type="dxa"/>
            <w:tcBorders>
              <w:top w:val="single" w:sz="4" w:space="0" w:color="auto"/>
            </w:tcBorders>
            <w:vAlign w:val="center"/>
          </w:tcPr>
          <w:p w14:paraId="6F46B703"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41</w:t>
            </w:r>
          </w:p>
        </w:tc>
        <w:tc>
          <w:tcPr>
            <w:tcW w:w="1071" w:type="dxa"/>
            <w:tcBorders>
              <w:top w:val="single" w:sz="4" w:space="0" w:color="auto"/>
            </w:tcBorders>
            <w:vAlign w:val="center"/>
          </w:tcPr>
          <w:p w14:paraId="06E7CDDA"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85.4%</w:t>
            </w:r>
          </w:p>
        </w:tc>
        <w:tc>
          <w:tcPr>
            <w:tcW w:w="984" w:type="dxa"/>
            <w:tcBorders>
              <w:top w:val="single" w:sz="4" w:space="0" w:color="auto"/>
            </w:tcBorders>
            <w:vAlign w:val="center"/>
          </w:tcPr>
          <w:p w14:paraId="05D0DD1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14.6%</w:t>
            </w:r>
          </w:p>
        </w:tc>
      </w:tr>
      <w:tr w:rsidR="00E6060C" w:rsidRPr="00E6060C" w14:paraId="450894FB" w14:textId="77777777" w:rsidTr="00E6060C">
        <w:trPr>
          <w:trHeight w:val="531"/>
        </w:trPr>
        <w:tc>
          <w:tcPr>
            <w:tcW w:w="611" w:type="dxa"/>
          </w:tcPr>
          <w:p w14:paraId="5F29A70C"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w:t>
            </w:r>
          </w:p>
        </w:tc>
        <w:tc>
          <w:tcPr>
            <w:tcW w:w="5772" w:type="dxa"/>
          </w:tcPr>
          <w:p w14:paraId="5BFA608F"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Have you taken an active part in the EnRICH project?</w:t>
            </w:r>
          </w:p>
        </w:tc>
        <w:tc>
          <w:tcPr>
            <w:tcW w:w="834" w:type="dxa"/>
            <w:vAlign w:val="center"/>
          </w:tcPr>
          <w:p w14:paraId="2F5728B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32</w:t>
            </w:r>
          </w:p>
        </w:tc>
        <w:tc>
          <w:tcPr>
            <w:tcW w:w="1071" w:type="dxa"/>
            <w:vAlign w:val="center"/>
          </w:tcPr>
          <w:p w14:paraId="3DC0C081"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40.6%</w:t>
            </w:r>
          </w:p>
        </w:tc>
        <w:tc>
          <w:tcPr>
            <w:tcW w:w="984" w:type="dxa"/>
            <w:vAlign w:val="center"/>
          </w:tcPr>
          <w:p w14:paraId="26A5E32A"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59.4%</w:t>
            </w:r>
          </w:p>
        </w:tc>
      </w:tr>
      <w:tr w:rsidR="00E6060C" w:rsidRPr="00E6060C" w14:paraId="35A75250" w14:textId="77777777" w:rsidTr="00E6060C">
        <w:trPr>
          <w:trHeight w:val="508"/>
        </w:trPr>
        <w:tc>
          <w:tcPr>
            <w:tcW w:w="611" w:type="dxa"/>
          </w:tcPr>
          <w:p w14:paraId="75482909"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2.1</w:t>
            </w:r>
          </w:p>
        </w:tc>
        <w:tc>
          <w:tcPr>
            <w:tcW w:w="5772" w:type="dxa"/>
          </w:tcPr>
          <w:p w14:paraId="6C5B45E3"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way(s)?...attended project workshops</w:t>
            </w:r>
          </w:p>
        </w:tc>
        <w:tc>
          <w:tcPr>
            <w:tcW w:w="834" w:type="dxa"/>
            <w:vAlign w:val="center"/>
          </w:tcPr>
          <w:p w14:paraId="04950CF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w:t>
            </w:r>
          </w:p>
        </w:tc>
        <w:tc>
          <w:tcPr>
            <w:tcW w:w="1071" w:type="dxa"/>
            <w:vAlign w:val="center"/>
          </w:tcPr>
          <w:p w14:paraId="651FA1D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88.9%</w:t>
            </w:r>
          </w:p>
        </w:tc>
        <w:tc>
          <w:tcPr>
            <w:tcW w:w="984" w:type="dxa"/>
            <w:vAlign w:val="center"/>
          </w:tcPr>
          <w:p w14:paraId="0991B3B1"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11.1%</w:t>
            </w:r>
          </w:p>
        </w:tc>
      </w:tr>
      <w:tr w:rsidR="00E6060C" w:rsidRPr="00E6060C" w14:paraId="7BB76A10" w14:textId="77777777" w:rsidTr="00E6060C">
        <w:trPr>
          <w:trHeight w:val="701"/>
        </w:trPr>
        <w:tc>
          <w:tcPr>
            <w:tcW w:w="611" w:type="dxa"/>
          </w:tcPr>
          <w:p w14:paraId="6F0D85B3"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2.2</w:t>
            </w:r>
          </w:p>
        </w:tc>
        <w:tc>
          <w:tcPr>
            <w:tcW w:w="5772" w:type="dxa"/>
          </w:tcPr>
          <w:p w14:paraId="74CF1E88"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way(s)?...led the implementation of change on your ward</w:t>
            </w:r>
          </w:p>
        </w:tc>
        <w:tc>
          <w:tcPr>
            <w:tcW w:w="834" w:type="dxa"/>
            <w:vAlign w:val="center"/>
          </w:tcPr>
          <w:p w14:paraId="48D3470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w:t>
            </w:r>
          </w:p>
        </w:tc>
        <w:tc>
          <w:tcPr>
            <w:tcW w:w="1071" w:type="dxa"/>
            <w:vAlign w:val="center"/>
          </w:tcPr>
          <w:p w14:paraId="6C57FE73"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60%</w:t>
            </w:r>
          </w:p>
        </w:tc>
        <w:tc>
          <w:tcPr>
            <w:tcW w:w="984" w:type="dxa"/>
            <w:vAlign w:val="center"/>
          </w:tcPr>
          <w:p w14:paraId="06C9831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40%</w:t>
            </w:r>
          </w:p>
        </w:tc>
      </w:tr>
      <w:tr w:rsidR="00E6060C" w:rsidRPr="00E6060C" w14:paraId="316D7CC3" w14:textId="77777777" w:rsidTr="00E6060C">
        <w:trPr>
          <w:trHeight w:val="701"/>
        </w:trPr>
        <w:tc>
          <w:tcPr>
            <w:tcW w:w="611" w:type="dxa"/>
          </w:tcPr>
          <w:p w14:paraId="466CDE0D"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2.3</w:t>
            </w:r>
          </w:p>
        </w:tc>
        <w:tc>
          <w:tcPr>
            <w:tcW w:w="5772" w:type="dxa"/>
          </w:tcPr>
          <w:p w14:paraId="598F6479"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way(s)?...tried to implement the changes encouraged by the project</w:t>
            </w:r>
          </w:p>
        </w:tc>
        <w:tc>
          <w:tcPr>
            <w:tcW w:w="834" w:type="dxa"/>
            <w:vAlign w:val="center"/>
          </w:tcPr>
          <w:p w14:paraId="6D0E684C"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w:t>
            </w:r>
          </w:p>
        </w:tc>
        <w:tc>
          <w:tcPr>
            <w:tcW w:w="1071" w:type="dxa"/>
            <w:vAlign w:val="center"/>
          </w:tcPr>
          <w:p w14:paraId="5CC40C7D"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80%</w:t>
            </w:r>
          </w:p>
        </w:tc>
        <w:tc>
          <w:tcPr>
            <w:tcW w:w="984" w:type="dxa"/>
            <w:vAlign w:val="center"/>
          </w:tcPr>
          <w:p w14:paraId="6820125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20%</w:t>
            </w:r>
          </w:p>
        </w:tc>
      </w:tr>
      <w:tr w:rsidR="00E6060C" w:rsidRPr="00E6060C" w14:paraId="391247BE" w14:textId="77777777" w:rsidTr="00E6060C">
        <w:trPr>
          <w:trHeight w:val="508"/>
        </w:trPr>
        <w:tc>
          <w:tcPr>
            <w:tcW w:w="611" w:type="dxa"/>
          </w:tcPr>
          <w:p w14:paraId="50580BCC"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2.4</w:t>
            </w:r>
          </w:p>
        </w:tc>
        <w:tc>
          <w:tcPr>
            <w:tcW w:w="5772" w:type="dxa"/>
          </w:tcPr>
          <w:p w14:paraId="5CC96B79"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way(s)?...talked to others about the project</w:t>
            </w:r>
          </w:p>
        </w:tc>
        <w:tc>
          <w:tcPr>
            <w:tcW w:w="834" w:type="dxa"/>
            <w:vAlign w:val="center"/>
          </w:tcPr>
          <w:p w14:paraId="362CDD0B"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11</w:t>
            </w:r>
          </w:p>
        </w:tc>
        <w:tc>
          <w:tcPr>
            <w:tcW w:w="1071" w:type="dxa"/>
            <w:vAlign w:val="center"/>
          </w:tcPr>
          <w:p w14:paraId="7228D1E6"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90.9%</w:t>
            </w:r>
          </w:p>
        </w:tc>
        <w:tc>
          <w:tcPr>
            <w:tcW w:w="984" w:type="dxa"/>
            <w:vAlign w:val="center"/>
          </w:tcPr>
          <w:p w14:paraId="23095BC5"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9.1%</w:t>
            </w:r>
          </w:p>
        </w:tc>
      </w:tr>
      <w:tr w:rsidR="00E6060C" w:rsidRPr="00E6060C" w14:paraId="5E8900B3" w14:textId="77777777" w:rsidTr="00E6060C">
        <w:trPr>
          <w:trHeight w:val="701"/>
        </w:trPr>
        <w:tc>
          <w:tcPr>
            <w:tcW w:w="611" w:type="dxa"/>
          </w:tcPr>
          <w:p w14:paraId="0D572030"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2.5</w:t>
            </w:r>
          </w:p>
        </w:tc>
        <w:tc>
          <w:tcPr>
            <w:tcW w:w="5772" w:type="dxa"/>
          </w:tcPr>
          <w:p w14:paraId="627A94F2"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way(s)?...encouraged others to take part in the project</w:t>
            </w:r>
          </w:p>
        </w:tc>
        <w:tc>
          <w:tcPr>
            <w:tcW w:w="834" w:type="dxa"/>
            <w:vAlign w:val="center"/>
          </w:tcPr>
          <w:p w14:paraId="13B0FB02"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w:t>
            </w:r>
          </w:p>
        </w:tc>
        <w:tc>
          <w:tcPr>
            <w:tcW w:w="1071" w:type="dxa"/>
            <w:vAlign w:val="center"/>
          </w:tcPr>
          <w:p w14:paraId="079A2F35"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90%</w:t>
            </w:r>
          </w:p>
        </w:tc>
        <w:tc>
          <w:tcPr>
            <w:tcW w:w="984" w:type="dxa"/>
            <w:vAlign w:val="center"/>
          </w:tcPr>
          <w:p w14:paraId="4111AF9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w:t>
            </w:r>
          </w:p>
        </w:tc>
      </w:tr>
      <w:tr w:rsidR="00E6060C" w:rsidRPr="00E6060C" w14:paraId="02ED3401" w14:textId="77777777" w:rsidTr="00E6060C">
        <w:trPr>
          <w:trHeight w:val="701"/>
        </w:trPr>
        <w:tc>
          <w:tcPr>
            <w:tcW w:w="611" w:type="dxa"/>
          </w:tcPr>
          <w:p w14:paraId="48ECC79E"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2.6a</w:t>
            </w:r>
          </w:p>
        </w:tc>
        <w:tc>
          <w:tcPr>
            <w:tcW w:w="5772" w:type="dxa"/>
          </w:tcPr>
          <w:p w14:paraId="3EB2C427"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way(s)?...other: spoke with a member of the EnRICH team</w:t>
            </w:r>
          </w:p>
        </w:tc>
        <w:tc>
          <w:tcPr>
            <w:tcW w:w="834" w:type="dxa"/>
            <w:vAlign w:val="center"/>
          </w:tcPr>
          <w:p w14:paraId="6B1BD825"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w:t>
            </w:r>
          </w:p>
        </w:tc>
        <w:tc>
          <w:tcPr>
            <w:tcW w:w="1071" w:type="dxa"/>
            <w:vAlign w:val="center"/>
          </w:tcPr>
          <w:p w14:paraId="263FE453"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100%</w:t>
            </w:r>
          </w:p>
        </w:tc>
        <w:tc>
          <w:tcPr>
            <w:tcW w:w="984" w:type="dxa"/>
            <w:vAlign w:val="center"/>
          </w:tcPr>
          <w:p w14:paraId="7C2718BE"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w:t>
            </w:r>
          </w:p>
        </w:tc>
      </w:tr>
      <w:tr w:rsidR="00E6060C" w:rsidRPr="00E6060C" w14:paraId="36A4CABF" w14:textId="77777777" w:rsidTr="00E6060C">
        <w:trPr>
          <w:trHeight w:val="508"/>
        </w:trPr>
        <w:tc>
          <w:tcPr>
            <w:tcW w:w="611" w:type="dxa"/>
          </w:tcPr>
          <w:p w14:paraId="60F0AAF5"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2.6b</w:t>
            </w:r>
          </w:p>
        </w:tc>
        <w:tc>
          <w:tcPr>
            <w:tcW w:w="5772" w:type="dxa"/>
          </w:tcPr>
          <w:p w14:paraId="0BDB5360"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If yes, in what way(s)?...other: helped create ward posters</w:t>
            </w:r>
          </w:p>
        </w:tc>
        <w:tc>
          <w:tcPr>
            <w:tcW w:w="834" w:type="dxa"/>
            <w:vAlign w:val="center"/>
          </w:tcPr>
          <w:p w14:paraId="781A303C"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w:t>
            </w:r>
          </w:p>
        </w:tc>
        <w:tc>
          <w:tcPr>
            <w:tcW w:w="1071" w:type="dxa"/>
            <w:vAlign w:val="center"/>
          </w:tcPr>
          <w:p w14:paraId="1FB96E0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100%</w:t>
            </w:r>
          </w:p>
        </w:tc>
        <w:tc>
          <w:tcPr>
            <w:tcW w:w="984" w:type="dxa"/>
            <w:vAlign w:val="center"/>
          </w:tcPr>
          <w:p w14:paraId="27BDC7C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0%</w:t>
            </w:r>
          </w:p>
        </w:tc>
      </w:tr>
      <w:tr w:rsidR="00E6060C" w:rsidRPr="00E6060C" w14:paraId="5F889F59" w14:textId="77777777" w:rsidTr="00E6060C">
        <w:trPr>
          <w:trHeight w:val="701"/>
        </w:trPr>
        <w:tc>
          <w:tcPr>
            <w:tcW w:w="611" w:type="dxa"/>
          </w:tcPr>
          <w:p w14:paraId="6B02CB7D" w14:textId="77777777"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3</w:t>
            </w:r>
          </w:p>
        </w:tc>
        <w:tc>
          <w:tcPr>
            <w:tcW w:w="5772" w:type="dxa"/>
          </w:tcPr>
          <w:p w14:paraId="65456CE6" w14:textId="77777777" w:rsidR="00E6060C" w:rsidRPr="00E6060C" w:rsidRDefault="00E6060C" w:rsidP="00E6060C">
            <w:pPr>
              <w:contextualSpacing/>
              <w:rPr>
                <w:rFonts w:ascii="Calibri" w:eastAsia="Calibri" w:hAnsi="Calibri" w:cs="Times New Roman"/>
              </w:rPr>
            </w:pPr>
            <w:r w:rsidRPr="00E6060C">
              <w:rPr>
                <w:rFonts w:ascii="Calibri" w:eastAsia="Calibri" w:hAnsi="Calibri" w:cs="Times New Roman"/>
              </w:rPr>
              <w:t>Do you think that the EnRICH project resulted in changes in the way care is delivered on your ward?</w:t>
            </w:r>
          </w:p>
        </w:tc>
        <w:tc>
          <w:tcPr>
            <w:tcW w:w="834" w:type="dxa"/>
            <w:vAlign w:val="center"/>
          </w:tcPr>
          <w:p w14:paraId="336FA26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35</w:t>
            </w:r>
          </w:p>
        </w:tc>
        <w:tc>
          <w:tcPr>
            <w:tcW w:w="1071" w:type="dxa"/>
            <w:vAlign w:val="center"/>
          </w:tcPr>
          <w:p w14:paraId="5CB50927"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57.1%</w:t>
            </w:r>
          </w:p>
        </w:tc>
        <w:tc>
          <w:tcPr>
            <w:tcW w:w="984" w:type="dxa"/>
            <w:vAlign w:val="center"/>
          </w:tcPr>
          <w:p w14:paraId="282CF390" w14:textId="77777777" w:rsidR="00E6060C" w:rsidRPr="00E6060C" w:rsidRDefault="00E6060C" w:rsidP="00E6060C">
            <w:pPr>
              <w:spacing w:line="360" w:lineRule="auto"/>
              <w:contextualSpacing/>
              <w:jc w:val="center"/>
              <w:rPr>
                <w:rFonts w:ascii="Calibri" w:eastAsia="Calibri" w:hAnsi="Calibri" w:cs="Times New Roman"/>
              </w:rPr>
            </w:pPr>
            <w:r w:rsidRPr="00E6060C">
              <w:rPr>
                <w:rFonts w:ascii="Calibri" w:eastAsia="Calibri" w:hAnsi="Calibri" w:cs="Times New Roman"/>
              </w:rPr>
              <w:t>42.9%</w:t>
            </w:r>
          </w:p>
        </w:tc>
      </w:tr>
    </w:tbl>
    <w:p w14:paraId="1755F07A" w14:textId="251952BD" w:rsidR="00B82DC9"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Notes: </w:t>
      </w:r>
      <w:r w:rsidRPr="00E6060C">
        <w:rPr>
          <w:rFonts w:ascii="Calibri" w:eastAsia="Calibri" w:hAnsi="Calibri" w:cs="Times New Roman"/>
        </w:rPr>
        <w:t>N=number of respondents who responded to each question; EnRICH was the name given to the project by the wider project team and was the name by which the project was known by nursing staff throughout the intervention</w:t>
      </w:r>
      <w:r w:rsidR="00B82DC9">
        <w:rPr>
          <w:rFonts w:ascii="Calibri" w:eastAsia="Calibri" w:hAnsi="Calibri" w:cs="Times New Roman"/>
        </w:rPr>
        <w:br w:type="page"/>
      </w:r>
    </w:p>
    <w:p w14:paraId="030A93AE" w14:textId="706D4100" w:rsidR="00824339" w:rsidRDefault="00824339" w:rsidP="00824339">
      <w:pPr>
        <w:spacing w:after="200" w:line="276" w:lineRule="auto"/>
      </w:pPr>
      <w:bookmarkStart w:id="467" w:name="_Ref453591680"/>
      <w:bookmarkStart w:id="468" w:name="_Toc468286097"/>
      <w:r>
        <w:lastRenderedPageBreak/>
        <w:t xml:space="preserve">Table </w:t>
      </w:r>
      <w:r w:rsidR="00245D68">
        <w:fldChar w:fldCharType="begin"/>
      </w:r>
      <w:r w:rsidR="00245D68">
        <w:instrText xml:space="preserve"> STYLEREF 1 \s </w:instrText>
      </w:r>
      <w:r w:rsidR="00245D68">
        <w:fldChar w:fldCharType="separate"/>
      </w:r>
      <w:r w:rsidR="00152F6D">
        <w:rPr>
          <w:noProof/>
        </w:rPr>
        <w:t>8</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23</w:t>
      </w:r>
      <w:r w:rsidR="00245D68">
        <w:rPr>
          <w:noProof/>
        </w:rPr>
        <w:fldChar w:fldCharType="end"/>
      </w:r>
      <w:bookmarkEnd w:id="467"/>
      <w:r>
        <w:t xml:space="preserve"> </w:t>
      </w:r>
      <w:r w:rsidRPr="00E02EFA">
        <w:t>Extent to which respondents agreed or disagreed with five evaluation questions, expressed as percentages (%)</w:t>
      </w:r>
      <w:bookmarkEnd w:id="468"/>
    </w:p>
    <w:p w14:paraId="6BF06B5B" w14:textId="77777777" w:rsidR="00824339" w:rsidRDefault="00824339" w:rsidP="00824339">
      <w:pPr>
        <w:spacing w:after="200" w:line="276" w:lineRule="auto"/>
      </w:pPr>
    </w:p>
    <w:tbl>
      <w:tblPr>
        <w:tblStyle w:val="TableGrid5"/>
        <w:tblW w:w="95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507"/>
        <w:gridCol w:w="584"/>
        <w:gridCol w:w="1233"/>
        <w:gridCol w:w="1239"/>
        <w:gridCol w:w="1232"/>
        <w:gridCol w:w="1158"/>
        <w:gridCol w:w="1004"/>
      </w:tblGrid>
      <w:tr w:rsidR="00E6060C" w:rsidRPr="00E6060C" w14:paraId="4C1CAC8B" w14:textId="77777777" w:rsidTr="00E6060C">
        <w:trPr>
          <w:trHeight w:val="342"/>
        </w:trPr>
        <w:tc>
          <w:tcPr>
            <w:tcW w:w="554" w:type="dxa"/>
            <w:tcBorders>
              <w:bottom w:val="nil"/>
            </w:tcBorders>
          </w:tcPr>
          <w:p w14:paraId="775E1428"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 xml:space="preserve">No. </w:t>
            </w:r>
          </w:p>
        </w:tc>
        <w:tc>
          <w:tcPr>
            <w:tcW w:w="2507" w:type="dxa"/>
            <w:tcBorders>
              <w:bottom w:val="nil"/>
            </w:tcBorders>
          </w:tcPr>
          <w:p w14:paraId="6F384055" w14:textId="77777777" w:rsidR="00E6060C" w:rsidRPr="00E6060C" w:rsidRDefault="00E6060C" w:rsidP="00E6060C">
            <w:pPr>
              <w:rPr>
                <w:rFonts w:ascii="Calibri" w:eastAsia="Calibri" w:hAnsi="Calibri" w:cs="Times New Roman"/>
                <w:b/>
              </w:rPr>
            </w:pPr>
            <w:r w:rsidRPr="00E6060C">
              <w:rPr>
                <w:rFonts w:ascii="Calibri" w:eastAsia="Calibri" w:hAnsi="Calibri" w:cs="Times New Roman"/>
                <w:b/>
              </w:rPr>
              <w:t>Evaluation question:</w:t>
            </w:r>
          </w:p>
        </w:tc>
        <w:tc>
          <w:tcPr>
            <w:tcW w:w="584" w:type="dxa"/>
            <w:tcBorders>
              <w:bottom w:val="nil"/>
            </w:tcBorders>
          </w:tcPr>
          <w:p w14:paraId="5C08FC2E"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w:t>
            </w:r>
          </w:p>
        </w:tc>
        <w:tc>
          <w:tcPr>
            <w:tcW w:w="5866" w:type="dxa"/>
            <w:gridSpan w:val="5"/>
            <w:tcBorders>
              <w:top w:val="single" w:sz="4" w:space="0" w:color="auto"/>
              <w:bottom w:val="single" w:sz="4" w:space="0" w:color="auto"/>
            </w:tcBorders>
          </w:tcPr>
          <w:p w14:paraId="5FBF61ED"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Response options</w:t>
            </w:r>
          </w:p>
        </w:tc>
      </w:tr>
      <w:tr w:rsidR="00E6060C" w:rsidRPr="00E6060C" w14:paraId="5DCB6BDC" w14:textId="77777777" w:rsidTr="00824339">
        <w:trPr>
          <w:trHeight w:val="1734"/>
        </w:trPr>
        <w:tc>
          <w:tcPr>
            <w:tcW w:w="554" w:type="dxa"/>
            <w:tcBorders>
              <w:top w:val="nil"/>
              <w:bottom w:val="single" w:sz="4" w:space="0" w:color="auto"/>
            </w:tcBorders>
          </w:tcPr>
          <w:p w14:paraId="03143C79" w14:textId="77777777" w:rsidR="00E6060C" w:rsidRPr="00E6060C" w:rsidRDefault="00E6060C" w:rsidP="00E6060C">
            <w:pPr>
              <w:rPr>
                <w:rFonts w:ascii="Calibri" w:eastAsia="Calibri" w:hAnsi="Calibri" w:cs="Times New Roman"/>
              </w:rPr>
            </w:pPr>
          </w:p>
        </w:tc>
        <w:tc>
          <w:tcPr>
            <w:tcW w:w="2507" w:type="dxa"/>
            <w:tcBorders>
              <w:top w:val="nil"/>
              <w:bottom w:val="single" w:sz="4" w:space="0" w:color="auto"/>
            </w:tcBorders>
          </w:tcPr>
          <w:p w14:paraId="3A60979E" w14:textId="77777777" w:rsidR="00E6060C" w:rsidRPr="00E6060C" w:rsidRDefault="00E6060C" w:rsidP="00E6060C">
            <w:pPr>
              <w:rPr>
                <w:rFonts w:ascii="Calibri" w:eastAsia="Calibri" w:hAnsi="Calibri" w:cs="Times New Roman"/>
              </w:rPr>
            </w:pPr>
            <w:r w:rsidRPr="00E6060C">
              <w:rPr>
                <w:rFonts w:ascii="Calibri" w:eastAsia="Times New Roman" w:hAnsi="Calibri" w:cs="Arial"/>
                <w:b/>
                <w:bCs/>
                <w:lang w:val="en-US"/>
              </w:rPr>
              <w:t xml:space="preserve">‘Do you feel that the following things have improved on your ward </w:t>
            </w:r>
            <w:r w:rsidRPr="00E6060C">
              <w:rPr>
                <w:rFonts w:ascii="Calibri" w:eastAsia="Times New Roman" w:hAnsi="Calibri" w:cs="Arial"/>
                <w:b/>
                <w:bCs/>
                <w:u w:val="single"/>
                <w:lang w:val="en-US"/>
              </w:rPr>
              <w:t>due to the EnRICH project</w:t>
            </w:r>
            <w:r w:rsidRPr="00E6060C">
              <w:rPr>
                <w:rFonts w:ascii="Calibri" w:eastAsia="Times New Roman" w:hAnsi="Calibri" w:cs="Arial"/>
                <w:b/>
                <w:lang w:val="en-US"/>
              </w:rPr>
              <w:t>?’</w:t>
            </w:r>
          </w:p>
        </w:tc>
        <w:tc>
          <w:tcPr>
            <w:tcW w:w="584" w:type="dxa"/>
            <w:tcBorders>
              <w:top w:val="nil"/>
              <w:bottom w:val="single" w:sz="4" w:space="0" w:color="auto"/>
            </w:tcBorders>
          </w:tcPr>
          <w:p w14:paraId="26A561F1" w14:textId="77777777" w:rsidR="00E6060C" w:rsidRPr="00E6060C" w:rsidRDefault="00E6060C" w:rsidP="00E6060C">
            <w:pPr>
              <w:rPr>
                <w:rFonts w:ascii="Calibri" w:eastAsia="Calibri" w:hAnsi="Calibri" w:cs="Times New Roman"/>
              </w:rPr>
            </w:pPr>
          </w:p>
        </w:tc>
        <w:tc>
          <w:tcPr>
            <w:tcW w:w="1233" w:type="dxa"/>
            <w:tcBorders>
              <w:top w:val="single" w:sz="4" w:space="0" w:color="auto"/>
              <w:bottom w:val="single" w:sz="4" w:space="0" w:color="auto"/>
            </w:tcBorders>
          </w:tcPr>
          <w:p w14:paraId="31AB275A"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Strongly disagree</w:t>
            </w:r>
          </w:p>
        </w:tc>
        <w:tc>
          <w:tcPr>
            <w:tcW w:w="1239" w:type="dxa"/>
            <w:tcBorders>
              <w:top w:val="single" w:sz="4" w:space="0" w:color="auto"/>
              <w:bottom w:val="single" w:sz="4" w:space="0" w:color="auto"/>
            </w:tcBorders>
          </w:tcPr>
          <w:p w14:paraId="0E118882"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Disagree</w:t>
            </w:r>
          </w:p>
        </w:tc>
        <w:tc>
          <w:tcPr>
            <w:tcW w:w="1232" w:type="dxa"/>
            <w:tcBorders>
              <w:top w:val="single" w:sz="4" w:space="0" w:color="auto"/>
              <w:bottom w:val="single" w:sz="4" w:space="0" w:color="auto"/>
            </w:tcBorders>
          </w:tcPr>
          <w:p w14:paraId="51AE8A6A"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Neither agree nor disagree</w:t>
            </w:r>
          </w:p>
        </w:tc>
        <w:tc>
          <w:tcPr>
            <w:tcW w:w="1158" w:type="dxa"/>
            <w:tcBorders>
              <w:top w:val="single" w:sz="4" w:space="0" w:color="auto"/>
              <w:bottom w:val="single" w:sz="4" w:space="0" w:color="auto"/>
            </w:tcBorders>
          </w:tcPr>
          <w:p w14:paraId="3000DE46"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Agree</w:t>
            </w:r>
          </w:p>
        </w:tc>
        <w:tc>
          <w:tcPr>
            <w:tcW w:w="1004" w:type="dxa"/>
            <w:tcBorders>
              <w:top w:val="single" w:sz="4" w:space="0" w:color="auto"/>
              <w:bottom w:val="single" w:sz="4" w:space="0" w:color="auto"/>
            </w:tcBorders>
          </w:tcPr>
          <w:p w14:paraId="2C5BEE22" w14:textId="77777777" w:rsidR="00E6060C" w:rsidRPr="00E6060C" w:rsidRDefault="00E6060C" w:rsidP="00E6060C">
            <w:pPr>
              <w:jc w:val="center"/>
              <w:rPr>
                <w:rFonts w:ascii="Calibri" w:eastAsia="Calibri" w:hAnsi="Calibri" w:cs="Times New Roman"/>
                <w:b/>
              </w:rPr>
            </w:pPr>
            <w:r w:rsidRPr="00E6060C">
              <w:rPr>
                <w:rFonts w:ascii="Calibri" w:eastAsia="Calibri" w:hAnsi="Calibri" w:cs="Times New Roman"/>
                <w:b/>
              </w:rPr>
              <w:t>Strongly agree</w:t>
            </w:r>
          </w:p>
        </w:tc>
      </w:tr>
      <w:tr w:rsidR="00E6060C" w:rsidRPr="00E6060C" w14:paraId="6DA0B2CD" w14:textId="77777777" w:rsidTr="00824339">
        <w:trPr>
          <w:trHeight w:val="684"/>
        </w:trPr>
        <w:tc>
          <w:tcPr>
            <w:tcW w:w="554" w:type="dxa"/>
            <w:tcBorders>
              <w:top w:val="single" w:sz="4" w:space="0" w:color="auto"/>
            </w:tcBorders>
          </w:tcPr>
          <w:p w14:paraId="5FF5CB22"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4.1</w:t>
            </w:r>
          </w:p>
        </w:tc>
        <w:tc>
          <w:tcPr>
            <w:tcW w:w="2507" w:type="dxa"/>
            <w:tcBorders>
              <w:top w:val="single" w:sz="4" w:space="0" w:color="auto"/>
            </w:tcBorders>
          </w:tcPr>
          <w:p w14:paraId="737ECCFC"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The patients’ experience of care</w:t>
            </w:r>
          </w:p>
        </w:tc>
        <w:tc>
          <w:tcPr>
            <w:tcW w:w="584" w:type="dxa"/>
            <w:tcBorders>
              <w:top w:val="single" w:sz="4" w:space="0" w:color="auto"/>
            </w:tcBorders>
            <w:vAlign w:val="center"/>
          </w:tcPr>
          <w:p w14:paraId="628AE67E"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40</w:t>
            </w:r>
          </w:p>
        </w:tc>
        <w:tc>
          <w:tcPr>
            <w:tcW w:w="1233" w:type="dxa"/>
            <w:tcBorders>
              <w:top w:val="single" w:sz="4" w:space="0" w:color="auto"/>
            </w:tcBorders>
            <w:vAlign w:val="center"/>
          </w:tcPr>
          <w:p w14:paraId="05B94EDC"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7.5%</w:t>
            </w:r>
          </w:p>
        </w:tc>
        <w:tc>
          <w:tcPr>
            <w:tcW w:w="1239" w:type="dxa"/>
            <w:tcBorders>
              <w:top w:val="single" w:sz="4" w:space="0" w:color="auto"/>
            </w:tcBorders>
            <w:vAlign w:val="center"/>
          </w:tcPr>
          <w:p w14:paraId="311314A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w:t>
            </w:r>
          </w:p>
        </w:tc>
        <w:tc>
          <w:tcPr>
            <w:tcW w:w="1232" w:type="dxa"/>
            <w:tcBorders>
              <w:top w:val="single" w:sz="4" w:space="0" w:color="auto"/>
            </w:tcBorders>
            <w:vAlign w:val="center"/>
          </w:tcPr>
          <w:p w14:paraId="440C367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55%</w:t>
            </w:r>
          </w:p>
        </w:tc>
        <w:tc>
          <w:tcPr>
            <w:tcW w:w="1158" w:type="dxa"/>
            <w:tcBorders>
              <w:top w:val="single" w:sz="4" w:space="0" w:color="auto"/>
            </w:tcBorders>
            <w:vAlign w:val="center"/>
          </w:tcPr>
          <w:p w14:paraId="239341D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25%</w:t>
            </w:r>
          </w:p>
        </w:tc>
        <w:tc>
          <w:tcPr>
            <w:tcW w:w="1004" w:type="dxa"/>
            <w:tcBorders>
              <w:top w:val="single" w:sz="4" w:space="0" w:color="auto"/>
            </w:tcBorders>
            <w:vAlign w:val="center"/>
          </w:tcPr>
          <w:p w14:paraId="635276B4"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7.5%</w:t>
            </w:r>
          </w:p>
        </w:tc>
      </w:tr>
      <w:tr w:rsidR="00E6060C" w:rsidRPr="00E6060C" w14:paraId="187CDF48" w14:textId="77777777" w:rsidTr="00824339">
        <w:trPr>
          <w:trHeight w:val="366"/>
        </w:trPr>
        <w:tc>
          <w:tcPr>
            <w:tcW w:w="554" w:type="dxa"/>
          </w:tcPr>
          <w:p w14:paraId="48F85364"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4.2</w:t>
            </w:r>
          </w:p>
        </w:tc>
        <w:tc>
          <w:tcPr>
            <w:tcW w:w="2507" w:type="dxa"/>
          </w:tcPr>
          <w:p w14:paraId="79A3F2F9" w14:textId="77777777" w:rsidR="00E6060C" w:rsidRPr="00E6060C" w:rsidRDefault="00E6060C" w:rsidP="00E6060C">
            <w:pPr>
              <w:rPr>
                <w:rFonts w:ascii="Calibri" w:eastAsia="Calibri" w:hAnsi="Calibri" w:cs="Times New Roman"/>
              </w:rPr>
            </w:pPr>
            <w:r w:rsidRPr="00E6060C">
              <w:rPr>
                <w:rFonts w:ascii="Calibri" w:eastAsia="Times New Roman" w:hAnsi="Calibri" w:cs="Arial"/>
              </w:rPr>
              <w:t>Staff morale</w:t>
            </w:r>
          </w:p>
        </w:tc>
        <w:tc>
          <w:tcPr>
            <w:tcW w:w="584" w:type="dxa"/>
            <w:vAlign w:val="center"/>
          </w:tcPr>
          <w:p w14:paraId="21AD3DE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38</w:t>
            </w:r>
          </w:p>
        </w:tc>
        <w:tc>
          <w:tcPr>
            <w:tcW w:w="1233" w:type="dxa"/>
            <w:vAlign w:val="center"/>
          </w:tcPr>
          <w:p w14:paraId="0E2BD1A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w:t>
            </w:r>
          </w:p>
        </w:tc>
        <w:tc>
          <w:tcPr>
            <w:tcW w:w="1239" w:type="dxa"/>
            <w:vAlign w:val="center"/>
          </w:tcPr>
          <w:p w14:paraId="4216E99B"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7.9%</w:t>
            </w:r>
          </w:p>
        </w:tc>
        <w:tc>
          <w:tcPr>
            <w:tcW w:w="1232" w:type="dxa"/>
            <w:vAlign w:val="center"/>
          </w:tcPr>
          <w:p w14:paraId="040CB56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55.3%</w:t>
            </w:r>
          </w:p>
        </w:tc>
        <w:tc>
          <w:tcPr>
            <w:tcW w:w="1158" w:type="dxa"/>
            <w:vAlign w:val="center"/>
          </w:tcPr>
          <w:p w14:paraId="7697FEF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26.3%</w:t>
            </w:r>
          </w:p>
        </w:tc>
        <w:tc>
          <w:tcPr>
            <w:tcW w:w="1004" w:type="dxa"/>
            <w:vAlign w:val="center"/>
          </w:tcPr>
          <w:p w14:paraId="401C4B2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w:t>
            </w:r>
          </w:p>
        </w:tc>
      </w:tr>
      <w:tr w:rsidR="00E6060C" w:rsidRPr="00E6060C" w14:paraId="36A22A75" w14:textId="77777777" w:rsidTr="00824339">
        <w:trPr>
          <w:trHeight w:val="1049"/>
        </w:trPr>
        <w:tc>
          <w:tcPr>
            <w:tcW w:w="554" w:type="dxa"/>
          </w:tcPr>
          <w:p w14:paraId="098E9025"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4.3</w:t>
            </w:r>
          </w:p>
        </w:tc>
        <w:tc>
          <w:tcPr>
            <w:tcW w:w="2507" w:type="dxa"/>
          </w:tcPr>
          <w:p w14:paraId="3D3C9DC1" w14:textId="77777777" w:rsidR="00E6060C" w:rsidRPr="00E6060C" w:rsidRDefault="00E6060C" w:rsidP="00E6060C">
            <w:pPr>
              <w:rPr>
                <w:rFonts w:ascii="Calibri" w:eastAsia="Calibri" w:hAnsi="Calibri" w:cs="Times New Roman"/>
              </w:rPr>
            </w:pPr>
            <w:r w:rsidRPr="00E6060C">
              <w:rPr>
                <w:rFonts w:ascii="Calibri" w:eastAsia="Times New Roman" w:hAnsi="Calibri" w:cs="Arial"/>
              </w:rPr>
              <w:t>The ability of the team to identify areas for improvement</w:t>
            </w:r>
          </w:p>
        </w:tc>
        <w:tc>
          <w:tcPr>
            <w:tcW w:w="584" w:type="dxa"/>
            <w:vAlign w:val="center"/>
          </w:tcPr>
          <w:p w14:paraId="597CC56F"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39</w:t>
            </w:r>
          </w:p>
        </w:tc>
        <w:tc>
          <w:tcPr>
            <w:tcW w:w="1233" w:type="dxa"/>
            <w:vAlign w:val="center"/>
          </w:tcPr>
          <w:p w14:paraId="22AF28B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5.1%</w:t>
            </w:r>
          </w:p>
        </w:tc>
        <w:tc>
          <w:tcPr>
            <w:tcW w:w="1239" w:type="dxa"/>
            <w:vAlign w:val="center"/>
          </w:tcPr>
          <w:p w14:paraId="34BAA657"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5.1%</w:t>
            </w:r>
          </w:p>
        </w:tc>
        <w:tc>
          <w:tcPr>
            <w:tcW w:w="1232" w:type="dxa"/>
            <w:vAlign w:val="center"/>
          </w:tcPr>
          <w:p w14:paraId="778C1C9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41%</w:t>
            </w:r>
          </w:p>
        </w:tc>
        <w:tc>
          <w:tcPr>
            <w:tcW w:w="1158" w:type="dxa"/>
            <w:vAlign w:val="center"/>
          </w:tcPr>
          <w:p w14:paraId="5532980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46.2%</w:t>
            </w:r>
          </w:p>
        </w:tc>
        <w:tc>
          <w:tcPr>
            <w:tcW w:w="1004" w:type="dxa"/>
            <w:vAlign w:val="center"/>
          </w:tcPr>
          <w:p w14:paraId="10FF8BC8"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w:t>
            </w:r>
          </w:p>
        </w:tc>
      </w:tr>
      <w:tr w:rsidR="00E6060C" w:rsidRPr="00E6060C" w14:paraId="5ED210CB" w14:textId="77777777" w:rsidTr="00824339">
        <w:trPr>
          <w:trHeight w:val="1049"/>
        </w:trPr>
        <w:tc>
          <w:tcPr>
            <w:tcW w:w="554" w:type="dxa"/>
          </w:tcPr>
          <w:p w14:paraId="0643AA31"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4.4</w:t>
            </w:r>
          </w:p>
        </w:tc>
        <w:tc>
          <w:tcPr>
            <w:tcW w:w="2507" w:type="dxa"/>
          </w:tcPr>
          <w:p w14:paraId="6CE4CB8D" w14:textId="77777777" w:rsidR="00E6060C" w:rsidRPr="00E6060C" w:rsidRDefault="00E6060C" w:rsidP="00E6060C">
            <w:pPr>
              <w:rPr>
                <w:rFonts w:ascii="Calibri" w:eastAsia="Calibri" w:hAnsi="Calibri" w:cs="Times New Roman"/>
              </w:rPr>
            </w:pPr>
            <w:r w:rsidRPr="00E6060C">
              <w:rPr>
                <w:rFonts w:ascii="Calibri" w:eastAsia="Times New Roman" w:hAnsi="Calibri" w:cs="Arial"/>
              </w:rPr>
              <w:t>The opportunity to hear about new ways of working</w:t>
            </w:r>
          </w:p>
        </w:tc>
        <w:tc>
          <w:tcPr>
            <w:tcW w:w="584" w:type="dxa"/>
            <w:vAlign w:val="center"/>
          </w:tcPr>
          <w:p w14:paraId="2061D17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39</w:t>
            </w:r>
          </w:p>
        </w:tc>
        <w:tc>
          <w:tcPr>
            <w:tcW w:w="1233" w:type="dxa"/>
            <w:vAlign w:val="center"/>
          </w:tcPr>
          <w:p w14:paraId="63ACA13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5.1%</w:t>
            </w:r>
          </w:p>
        </w:tc>
        <w:tc>
          <w:tcPr>
            <w:tcW w:w="1239" w:type="dxa"/>
            <w:vAlign w:val="center"/>
          </w:tcPr>
          <w:p w14:paraId="70B1613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5.1%</w:t>
            </w:r>
          </w:p>
        </w:tc>
        <w:tc>
          <w:tcPr>
            <w:tcW w:w="1232" w:type="dxa"/>
            <w:vAlign w:val="center"/>
          </w:tcPr>
          <w:p w14:paraId="5FEA8711"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41%</w:t>
            </w:r>
          </w:p>
        </w:tc>
        <w:tc>
          <w:tcPr>
            <w:tcW w:w="1158" w:type="dxa"/>
            <w:vAlign w:val="center"/>
          </w:tcPr>
          <w:p w14:paraId="434C712A"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46.2%</w:t>
            </w:r>
          </w:p>
        </w:tc>
        <w:tc>
          <w:tcPr>
            <w:tcW w:w="1004" w:type="dxa"/>
            <w:vAlign w:val="center"/>
          </w:tcPr>
          <w:p w14:paraId="669E37D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w:t>
            </w:r>
          </w:p>
        </w:tc>
      </w:tr>
      <w:tr w:rsidR="00E6060C" w:rsidRPr="00E6060C" w14:paraId="055D5791" w14:textId="77777777" w:rsidTr="00824339">
        <w:trPr>
          <w:trHeight w:val="684"/>
        </w:trPr>
        <w:tc>
          <w:tcPr>
            <w:tcW w:w="554" w:type="dxa"/>
          </w:tcPr>
          <w:p w14:paraId="3BDB3116" w14:textId="77777777" w:rsidR="00E6060C" w:rsidRPr="00E6060C" w:rsidRDefault="00E6060C" w:rsidP="00E6060C">
            <w:pPr>
              <w:rPr>
                <w:rFonts w:ascii="Calibri" w:eastAsia="Calibri" w:hAnsi="Calibri" w:cs="Times New Roman"/>
              </w:rPr>
            </w:pPr>
            <w:r w:rsidRPr="00E6060C">
              <w:rPr>
                <w:rFonts w:ascii="Calibri" w:eastAsia="Calibri" w:hAnsi="Calibri" w:cs="Times New Roman"/>
              </w:rPr>
              <w:t>4.5</w:t>
            </w:r>
          </w:p>
        </w:tc>
        <w:tc>
          <w:tcPr>
            <w:tcW w:w="2507" w:type="dxa"/>
          </w:tcPr>
          <w:p w14:paraId="62F6DDB3" w14:textId="77777777" w:rsidR="00E6060C" w:rsidRPr="00E6060C" w:rsidRDefault="00E6060C" w:rsidP="00E6060C">
            <w:pPr>
              <w:rPr>
                <w:rFonts w:ascii="Calibri" w:eastAsia="Calibri" w:hAnsi="Calibri" w:cs="Times New Roman"/>
              </w:rPr>
            </w:pPr>
            <w:r w:rsidRPr="00E6060C">
              <w:rPr>
                <w:rFonts w:ascii="Calibri" w:eastAsia="Times New Roman" w:hAnsi="Calibri" w:cs="Arial"/>
              </w:rPr>
              <w:t>Feeling that your ideas are heard</w:t>
            </w:r>
          </w:p>
        </w:tc>
        <w:tc>
          <w:tcPr>
            <w:tcW w:w="584" w:type="dxa"/>
            <w:vAlign w:val="center"/>
          </w:tcPr>
          <w:p w14:paraId="33A40B86"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39</w:t>
            </w:r>
          </w:p>
        </w:tc>
        <w:tc>
          <w:tcPr>
            <w:tcW w:w="1233" w:type="dxa"/>
            <w:vAlign w:val="center"/>
          </w:tcPr>
          <w:p w14:paraId="375AD1F2"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7.7%</w:t>
            </w:r>
          </w:p>
        </w:tc>
        <w:tc>
          <w:tcPr>
            <w:tcW w:w="1239" w:type="dxa"/>
            <w:vAlign w:val="center"/>
          </w:tcPr>
          <w:p w14:paraId="3235089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10.3%</w:t>
            </w:r>
          </w:p>
        </w:tc>
        <w:tc>
          <w:tcPr>
            <w:tcW w:w="1232" w:type="dxa"/>
            <w:vAlign w:val="center"/>
          </w:tcPr>
          <w:p w14:paraId="37970389"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43.6%</w:t>
            </w:r>
          </w:p>
        </w:tc>
        <w:tc>
          <w:tcPr>
            <w:tcW w:w="1158" w:type="dxa"/>
            <w:vAlign w:val="center"/>
          </w:tcPr>
          <w:p w14:paraId="376F7C95"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35.9%</w:t>
            </w:r>
          </w:p>
        </w:tc>
        <w:tc>
          <w:tcPr>
            <w:tcW w:w="1004" w:type="dxa"/>
            <w:vAlign w:val="center"/>
          </w:tcPr>
          <w:p w14:paraId="4B0B237D" w14:textId="77777777" w:rsidR="00E6060C" w:rsidRPr="00E6060C" w:rsidRDefault="00E6060C" w:rsidP="00E6060C">
            <w:pPr>
              <w:jc w:val="center"/>
              <w:rPr>
                <w:rFonts w:ascii="Calibri" w:eastAsia="Calibri" w:hAnsi="Calibri" w:cs="Times New Roman"/>
              </w:rPr>
            </w:pPr>
            <w:r w:rsidRPr="00E6060C">
              <w:rPr>
                <w:rFonts w:ascii="Calibri" w:eastAsia="Calibri" w:hAnsi="Calibri" w:cs="Times New Roman"/>
              </w:rPr>
              <w:t>2.6%</w:t>
            </w:r>
          </w:p>
        </w:tc>
      </w:tr>
    </w:tbl>
    <w:p w14:paraId="68F51164" w14:textId="77777777" w:rsidR="00E6060C" w:rsidRPr="00E6060C" w:rsidRDefault="00E6060C" w:rsidP="00E6060C">
      <w:pPr>
        <w:spacing w:after="200" w:line="240" w:lineRule="auto"/>
        <w:contextualSpacing/>
        <w:rPr>
          <w:rFonts w:ascii="Calibri" w:eastAsia="Calibri" w:hAnsi="Calibri" w:cs="Times New Roman"/>
        </w:rPr>
      </w:pPr>
      <w:r w:rsidRPr="00E6060C">
        <w:rPr>
          <w:rFonts w:ascii="Calibri" w:eastAsia="Calibri" w:hAnsi="Calibri" w:cs="Times New Roman"/>
          <w:i/>
        </w:rPr>
        <w:t xml:space="preserve">Note: </w:t>
      </w:r>
      <w:r w:rsidRPr="00E6060C">
        <w:rPr>
          <w:rFonts w:ascii="Calibri" w:eastAsia="Calibri" w:hAnsi="Calibri" w:cs="Times New Roman"/>
        </w:rPr>
        <w:t>N=number of respondents who responded to each question; EnRICH was the name given to the project by the wider project team and was the name by which the project was known by nursing staff throughout the intervention</w:t>
      </w:r>
    </w:p>
    <w:p w14:paraId="1F550778" w14:textId="77777777" w:rsidR="00E6060C" w:rsidRPr="00E6060C" w:rsidRDefault="00E6060C" w:rsidP="00E6060C">
      <w:pPr>
        <w:spacing w:after="200" w:line="276" w:lineRule="auto"/>
        <w:rPr>
          <w:rFonts w:ascii="Calibri" w:eastAsia="Calibri" w:hAnsi="Calibri" w:cs="Times New Roman"/>
        </w:rPr>
      </w:pPr>
    </w:p>
    <w:p w14:paraId="1C0C57AB" w14:textId="367785BE" w:rsidR="00E6060C" w:rsidRPr="00E6060C" w:rsidRDefault="00E6060C" w:rsidP="00B7614E">
      <w:pPr>
        <w:pStyle w:val="Thesisheading2"/>
      </w:pPr>
      <w:bookmarkStart w:id="469" w:name="_Toc468286018"/>
      <w:r w:rsidRPr="00E6060C">
        <w:t>Summary</w:t>
      </w:r>
      <w:bookmarkEnd w:id="469"/>
    </w:p>
    <w:p w14:paraId="208C0321" w14:textId="77777777" w:rsidR="00E6060C" w:rsidRPr="00E6060C" w:rsidRDefault="00E6060C" w:rsidP="00E6060C">
      <w:pPr>
        <w:spacing w:after="200" w:line="276" w:lineRule="auto"/>
        <w:rPr>
          <w:rFonts w:ascii="Calibri" w:eastAsia="Calibri" w:hAnsi="Calibri" w:cs="Times New Roman"/>
        </w:rPr>
      </w:pPr>
    </w:p>
    <w:p w14:paraId="3660D1D2" w14:textId="5119511B"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first aim of the intervention study with nursing staff on acute elderly wards in the NHS was to evaluate the effectiveness of this intervention for increasing work engagement and </w:t>
      </w:r>
      <w:r w:rsidR="001D6140">
        <w:rPr>
          <w:rFonts w:ascii="Calibri" w:eastAsia="Calibri" w:hAnsi="Calibri" w:cs="Times New Roman"/>
        </w:rPr>
        <w:t>well-being</w:t>
      </w:r>
      <w:r w:rsidRPr="00E6060C">
        <w:rPr>
          <w:rFonts w:ascii="Calibri" w:eastAsia="Calibri" w:hAnsi="Calibri" w:cs="Times New Roman"/>
        </w:rPr>
        <w:t>. Data was collected from 179 people at Time 1, and 83 people at Time 2. Forty-five people responded at both Time 1 and Time 2. The vast majority of the sample were female</w:t>
      </w:r>
      <w:r w:rsidR="008E3E7D">
        <w:rPr>
          <w:rFonts w:ascii="Calibri" w:eastAsia="Calibri" w:hAnsi="Calibri" w:cs="Times New Roman"/>
        </w:rPr>
        <w:t>,</w:t>
      </w:r>
      <w:r w:rsidRPr="00E6060C">
        <w:rPr>
          <w:rFonts w:ascii="Calibri" w:eastAsia="Calibri" w:hAnsi="Calibri" w:cs="Times New Roman"/>
        </w:rPr>
        <w:t xml:space="preserve"> with an average age around 38 years, and were mostly healthcare workers or nurses and had worked in the hospital for over 5 years. Results of repeated measures ANOVA, based on this matched sample, revealed that there was a significant difference between intervention and control groups pre- and post- intervention for the work-related basic need, relatedness, when </w:t>
      </w:r>
      <w:r w:rsidR="008E3E7D">
        <w:rPr>
          <w:rFonts w:ascii="Calibri" w:eastAsia="Calibri" w:hAnsi="Calibri" w:cs="Times New Roman"/>
        </w:rPr>
        <w:t xml:space="preserve">controlling for </w:t>
      </w:r>
      <w:r w:rsidRPr="00E6060C">
        <w:rPr>
          <w:rFonts w:ascii="Calibri" w:eastAsia="Calibri" w:hAnsi="Calibri" w:cs="Times New Roman"/>
        </w:rPr>
        <w:t>role</w:t>
      </w:r>
      <w:r w:rsidR="008E3E7D">
        <w:rPr>
          <w:rFonts w:ascii="Calibri" w:eastAsia="Calibri" w:hAnsi="Calibri" w:cs="Times New Roman"/>
        </w:rPr>
        <w:t>.</w:t>
      </w:r>
      <w:r w:rsidRPr="00E6060C">
        <w:rPr>
          <w:rFonts w:ascii="Calibri" w:eastAsia="Calibri" w:hAnsi="Calibri" w:cs="Times New Roman"/>
        </w:rPr>
        <w:t xml:space="preserve"> There was a borderline significant difference for competence. However, these results were not in the expected direction, with an increase in relatedness being observed for the control group</w:t>
      </w:r>
      <w:r w:rsidR="008E3E7D">
        <w:rPr>
          <w:rFonts w:ascii="Calibri" w:eastAsia="Calibri" w:hAnsi="Calibri" w:cs="Times New Roman"/>
        </w:rPr>
        <w:t>,</w:t>
      </w:r>
      <w:r w:rsidRPr="00E6060C">
        <w:rPr>
          <w:rFonts w:ascii="Calibri" w:eastAsia="Calibri" w:hAnsi="Calibri" w:cs="Times New Roman"/>
        </w:rPr>
        <w:t xml:space="preserve"> and a decrease being observed for the intervention group</w:t>
      </w:r>
      <w:r w:rsidR="008E3E7D">
        <w:rPr>
          <w:rFonts w:ascii="Calibri" w:eastAsia="Calibri" w:hAnsi="Calibri" w:cs="Times New Roman"/>
        </w:rPr>
        <w:t>,</w:t>
      </w:r>
      <w:r w:rsidRPr="00E6060C">
        <w:rPr>
          <w:rFonts w:ascii="Calibri" w:eastAsia="Calibri" w:hAnsi="Calibri" w:cs="Times New Roman"/>
        </w:rPr>
        <w:t xml:space="preserve"> in both cases. These results indicate that neither work engagement nor </w:t>
      </w:r>
      <w:r w:rsidR="001D6140">
        <w:rPr>
          <w:rFonts w:ascii="Calibri" w:eastAsia="Calibri" w:hAnsi="Calibri" w:cs="Times New Roman"/>
        </w:rPr>
        <w:t>well-</w:t>
      </w:r>
      <w:r w:rsidR="001D6140">
        <w:rPr>
          <w:rFonts w:ascii="Calibri" w:eastAsia="Calibri" w:hAnsi="Calibri" w:cs="Times New Roman"/>
        </w:rPr>
        <w:lastRenderedPageBreak/>
        <w:t>being</w:t>
      </w:r>
      <w:r w:rsidRPr="00E6060C">
        <w:rPr>
          <w:rFonts w:ascii="Calibri" w:eastAsia="Calibri" w:hAnsi="Calibri" w:cs="Times New Roman"/>
        </w:rPr>
        <w:t xml:space="preserve"> increased as a result of the intervention, and thus that the first aim of the intervention was not fulfilled. </w:t>
      </w:r>
    </w:p>
    <w:p w14:paraId="3B5E2E0C" w14:textId="77777777" w:rsidR="00E6060C" w:rsidRPr="00E6060C" w:rsidRDefault="00E6060C" w:rsidP="00E6060C">
      <w:pPr>
        <w:spacing w:after="200" w:line="360" w:lineRule="auto"/>
        <w:contextualSpacing/>
        <w:rPr>
          <w:rFonts w:ascii="Calibri" w:eastAsia="Calibri" w:hAnsi="Calibri" w:cs="Times New Roman"/>
        </w:rPr>
      </w:pPr>
    </w:p>
    <w:p w14:paraId="27194426" w14:textId="3CC13AE5" w:rsidR="00E6060C" w:rsidRPr="00E6060C" w:rsidRDefault="00E6060C" w:rsidP="00DC1E1C">
      <w:pPr>
        <w:spacing w:after="200" w:line="360" w:lineRule="auto"/>
        <w:contextualSpacing/>
        <w:rPr>
          <w:rFonts w:ascii="Calibri" w:eastAsia="Calibri" w:hAnsi="Calibri" w:cs="Times New Roman"/>
        </w:rPr>
      </w:pPr>
      <w:r w:rsidRPr="00E6060C">
        <w:rPr>
          <w:rFonts w:ascii="Calibri" w:eastAsia="Calibri" w:hAnsi="Calibri" w:cs="Times New Roman"/>
        </w:rPr>
        <w:t xml:space="preserve">Multilevel modelling using the combined, larger, unmatched sample (N=217) was also employed to investigate the results more fully. This revealed that there was a significant difference in the expected direction between control and intervention groups across time for high activation unpleasant affect (HAUA; reflecting anxiety). Thus, the mean on this variable for those in the intervention group increased between Time 1 and Time 2, indicating less anxiety, whereas the mean for those in the control group decreased, indicating greater anxiety. These results differ from those obtained via repeated measures ANOVA using the restricted, matched sample, and suggest that </w:t>
      </w:r>
      <w:r w:rsidR="001D6140">
        <w:rPr>
          <w:rFonts w:ascii="Calibri" w:eastAsia="Calibri" w:hAnsi="Calibri" w:cs="Times New Roman"/>
        </w:rPr>
        <w:t>well-being</w:t>
      </w:r>
      <w:r w:rsidRPr="00E6060C">
        <w:rPr>
          <w:rFonts w:ascii="Calibri" w:eastAsia="Calibri" w:hAnsi="Calibri" w:cs="Times New Roman"/>
        </w:rPr>
        <w:t>, in terms of anxiety, improved over the course of the intervention. No effects were observed for work engagemen</w:t>
      </w:r>
      <w:r w:rsidR="00C9686B">
        <w:rPr>
          <w:rFonts w:ascii="Calibri" w:eastAsia="Calibri" w:hAnsi="Calibri" w:cs="Times New Roman"/>
        </w:rPr>
        <w:t xml:space="preserve">t. </w:t>
      </w:r>
      <w:r w:rsidR="005707E0">
        <w:rPr>
          <w:rFonts w:ascii="Calibri" w:eastAsia="Calibri" w:hAnsi="Calibri" w:cs="Times New Roman"/>
        </w:rPr>
        <w:t>Taken together, t</w:t>
      </w:r>
      <w:r w:rsidR="00307C3F">
        <w:rPr>
          <w:rFonts w:ascii="Calibri" w:eastAsia="Calibri" w:hAnsi="Calibri" w:cs="Times New Roman"/>
        </w:rPr>
        <w:t xml:space="preserve">hese results fulfil Aim 1, </w:t>
      </w:r>
      <w:r w:rsidRPr="00E6060C">
        <w:rPr>
          <w:rFonts w:ascii="Calibri" w:eastAsia="Calibri" w:hAnsi="Calibri" w:cs="Times New Roman"/>
        </w:rPr>
        <w:t xml:space="preserve">to investigate the effectiveness of a participatory action research (PAR) intervention on work engagement and </w:t>
      </w:r>
      <w:r w:rsidR="001D6140">
        <w:rPr>
          <w:rFonts w:ascii="Calibri" w:eastAsia="Calibri" w:hAnsi="Calibri" w:cs="Times New Roman"/>
        </w:rPr>
        <w:t>well-being</w:t>
      </w:r>
      <w:r w:rsidRPr="00E6060C">
        <w:rPr>
          <w:rFonts w:ascii="Calibri" w:eastAsia="Calibri" w:hAnsi="Calibri" w:cs="Times New Roman"/>
        </w:rPr>
        <w:t xml:space="preserve">, </w:t>
      </w:r>
      <w:r w:rsidR="00307C3F">
        <w:rPr>
          <w:rFonts w:ascii="Calibri" w:eastAsia="Calibri" w:hAnsi="Calibri" w:cs="Times New Roman"/>
        </w:rPr>
        <w:t>and suggest that well-being may increase as a result of the intervention</w:t>
      </w:r>
      <w:r w:rsidRPr="00E6060C">
        <w:rPr>
          <w:rFonts w:ascii="Calibri" w:eastAsia="Calibri" w:hAnsi="Calibri" w:cs="Times New Roman"/>
        </w:rPr>
        <w:t xml:space="preserve"> as one indicator of </w:t>
      </w:r>
      <w:r w:rsidR="001D6140">
        <w:rPr>
          <w:rFonts w:ascii="Calibri" w:eastAsia="Calibri" w:hAnsi="Calibri" w:cs="Times New Roman"/>
        </w:rPr>
        <w:t>well-being</w:t>
      </w:r>
      <w:r w:rsidRPr="00E6060C">
        <w:rPr>
          <w:rFonts w:ascii="Calibri" w:eastAsia="Calibri" w:hAnsi="Calibri" w:cs="Times New Roman"/>
        </w:rPr>
        <w:t xml:space="preserve">, anxiety, was reduced following </w:t>
      </w:r>
      <w:r w:rsidR="00307C3F">
        <w:rPr>
          <w:rFonts w:ascii="Calibri" w:eastAsia="Calibri" w:hAnsi="Calibri" w:cs="Times New Roman"/>
        </w:rPr>
        <w:t>its implementation</w:t>
      </w:r>
      <w:r w:rsidRPr="00E6060C">
        <w:rPr>
          <w:rFonts w:ascii="Calibri" w:eastAsia="Calibri" w:hAnsi="Calibri" w:cs="Times New Roman"/>
        </w:rPr>
        <w:t>. The results, including the discrepancies between them, limitations of the study, and implications for future research and</w:t>
      </w:r>
      <w:r w:rsidR="00D66CC0">
        <w:rPr>
          <w:rFonts w:ascii="Calibri" w:eastAsia="Calibri" w:hAnsi="Calibri" w:cs="Times New Roman"/>
        </w:rPr>
        <w:t xml:space="preserve"> practice, are discussed</w:t>
      </w:r>
      <w:r w:rsidRPr="00E6060C">
        <w:rPr>
          <w:rFonts w:ascii="Calibri" w:eastAsia="Calibri" w:hAnsi="Calibri" w:cs="Times New Roman"/>
        </w:rPr>
        <w:t xml:space="preserve"> in Chapter 10.</w:t>
      </w:r>
    </w:p>
    <w:p w14:paraId="3141DCD7" w14:textId="3FFA63C2" w:rsidR="00E06405" w:rsidRDefault="00E06405" w:rsidP="00BB0757">
      <w:bookmarkStart w:id="470" w:name="_Toc441484407"/>
    </w:p>
    <w:p w14:paraId="7E310260" w14:textId="740A4D1D" w:rsidR="00E06405" w:rsidRDefault="00E06405" w:rsidP="00BB0757">
      <w:pPr>
        <w:spacing w:line="360" w:lineRule="auto"/>
        <w:contextualSpacing/>
      </w:pPr>
      <w:r>
        <w:t xml:space="preserve">The results from this study are presented </w:t>
      </w:r>
      <w:r w:rsidR="00DC1E1C">
        <w:t>in Chapter</w:t>
      </w:r>
      <w:r w:rsidR="00CC6E2E">
        <w:t xml:space="preserve"> 10</w:t>
      </w:r>
      <w:r w:rsidR="00DC1E1C">
        <w:t>, and discussed in combination with the results from the mediation analyses</w:t>
      </w:r>
      <w:r w:rsidR="00CC6E2E">
        <w:t xml:space="preserve"> which investigate</w:t>
      </w:r>
      <w:r w:rsidR="00DC1E1C">
        <w:t xml:space="preserve"> the underlying premise of JD-R theory, that work-related needs are able to mediate between job resources and work engagement (Chapter 9). </w:t>
      </w:r>
      <w:r w:rsidR="00CC6E2E">
        <w:t xml:space="preserve">Drawing on relevant literature, general conclusions are drawn about the utility of participative interventions, and of </w:t>
      </w:r>
      <w:r w:rsidR="00FD1D68">
        <w:t xml:space="preserve">this </w:t>
      </w:r>
      <w:r w:rsidR="00CC6E2E">
        <w:t>particular intervention. The discussion concludes with a consideration of the theoretical, research and practical implications of this study</w:t>
      </w:r>
      <w:r w:rsidR="00FD1D68">
        <w:t>, as well as limitations</w:t>
      </w:r>
      <w:r w:rsidR="00CC6E2E">
        <w:t>.</w:t>
      </w:r>
      <w:r w:rsidR="00FD1D68">
        <w:t xml:space="preserve"> </w:t>
      </w:r>
    </w:p>
    <w:p w14:paraId="7DB29B66" w14:textId="77777777" w:rsidR="00E06405" w:rsidRDefault="00E06405" w:rsidP="00BB0757">
      <w:pPr>
        <w:sectPr w:rsidR="00E06405" w:rsidSect="00E6060C">
          <w:footerReference w:type="default" r:id="rId42"/>
          <w:pgSz w:w="11906" w:h="16838"/>
          <w:pgMar w:top="1440" w:right="1440" w:bottom="1440" w:left="1440" w:header="709" w:footer="709" w:gutter="0"/>
          <w:cols w:space="708"/>
          <w:titlePg/>
          <w:docGrid w:linePitch="360"/>
        </w:sectPr>
      </w:pPr>
    </w:p>
    <w:p w14:paraId="290C4F83" w14:textId="1F48AC59" w:rsidR="00E6060C" w:rsidRPr="0097511D" w:rsidRDefault="00E6060C" w:rsidP="0097511D">
      <w:pPr>
        <w:pStyle w:val="Heading1"/>
        <w:ind w:hanging="290"/>
      </w:pPr>
      <w:bookmarkStart w:id="471" w:name="_Toc468286019"/>
      <w:r w:rsidRPr="0097511D">
        <w:lastRenderedPageBreak/>
        <w:t>Investigation of the mediation relationships between job resources, work-related basic needs, and work engagement</w:t>
      </w:r>
      <w:bookmarkEnd w:id="470"/>
      <w:bookmarkEnd w:id="471"/>
    </w:p>
    <w:p w14:paraId="58530BE3" w14:textId="77777777" w:rsidR="00E6060C" w:rsidRPr="00E6060C" w:rsidRDefault="00E6060C" w:rsidP="007A253F">
      <w:pPr>
        <w:spacing w:after="200" w:line="360" w:lineRule="auto"/>
        <w:contextualSpacing/>
        <w:rPr>
          <w:rFonts w:ascii="Calibri" w:eastAsia="Calibri" w:hAnsi="Calibri" w:cs="Times New Roman"/>
          <w:b/>
        </w:rPr>
      </w:pPr>
    </w:p>
    <w:p w14:paraId="04FBDF42" w14:textId="135A9B1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second aim of the intervention study to increase work engagement in nursing staff on acute elderly wards in the NHS was to investigate whether the three basic work-related needs, autonomy, competence and relatedness, mediate between the predictors, social support, influence in decision-making, resources and demands, and the outcome, work engagement. The literature suggests that </w:t>
      </w:r>
      <w:r w:rsidR="00C17CB1">
        <w:rPr>
          <w:rFonts w:ascii="Calibri" w:eastAsia="Calibri" w:hAnsi="Calibri" w:cs="Times New Roman"/>
        </w:rPr>
        <w:t>Self-Determination Theory</w:t>
      </w:r>
      <w:r w:rsidRPr="00E6060C">
        <w:rPr>
          <w:rFonts w:ascii="Calibri" w:eastAsia="Calibri" w:hAnsi="Calibri" w:cs="Times New Roman"/>
        </w:rPr>
        <w:t xml:space="preserve">, in which these three needs are grounded, underlies engagement theory (e.g. Deci et al. 2001; Meyer &amp; Gagne, 2008; Schaufeli </w:t>
      </w:r>
      <w:r w:rsidR="00395453">
        <w:rPr>
          <w:rFonts w:ascii="Calibri" w:eastAsia="Calibri" w:hAnsi="Calibri" w:cs="Times New Roman"/>
        </w:rPr>
        <w:t>et al.</w:t>
      </w:r>
      <w:r w:rsidR="0086017B">
        <w:rPr>
          <w:rFonts w:ascii="Calibri" w:eastAsia="Calibri" w:hAnsi="Calibri" w:cs="Times New Roman"/>
        </w:rPr>
        <w:t>, 2002) and the Job Resources-D</w:t>
      </w:r>
      <w:r w:rsidRPr="00E6060C">
        <w:rPr>
          <w:rFonts w:ascii="Calibri" w:eastAsia="Calibri" w:hAnsi="Calibri" w:cs="Times New Roman"/>
        </w:rPr>
        <w:t>emands model of engagement (</w:t>
      </w:r>
      <w:r w:rsidR="0086017B">
        <w:rPr>
          <w:rFonts w:ascii="Calibri" w:eastAsia="Calibri" w:hAnsi="Calibri" w:cs="Times New Roman"/>
        </w:rPr>
        <w:t>JD-R; Bakker &amp; Demerouti, 2007;2008)</w:t>
      </w:r>
      <w:r w:rsidRPr="00E6060C">
        <w:rPr>
          <w:rFonts w:ascii="Calibri" w:eastAsia="Calibri" w:hAnsi="Calibri" w:cs="Times New Roman"/>
        </w:rPr>
        <w:t xml:space="preserve">. It is thus expected that these three needs will mediate between resources in the work environment, such as those measured here, and positive outcomes such as </w:t>
      </w:r>
      <w:r w:rsidR="001D6140">
        <w:rPr>
          <w:rFonts w:ascii="Calibri" w:eastAsia="Calibri" w:hAnsi="Calibri" w:cs="Times New Roman"/>
        </w:rPr>
        <w:t>well-being</w:t>
      </w:r>
      <w:r w:rsidRPr="00E6060C">
        <w:rPr>
          <w:rFonts w:ascii="Calibri" w:eastAsia="Calibri" w:hAnsi="Calibri" w:cs="Times New Roman"/>
        </w:rPr>
        <w:t xml:space="preserve"> (see Chapter 2</w:t>
      </w:r>
      <w:r w:rsidR="00F31223">
        <w:rPr>
          <w:rFonts w:ascii="Calibri" w:eastAsia="Calibri" w:hAnsi="Calibri" w:cs="Times New Roman"/>
        </w:rPr>
        <w:t xml:space="preserve"> and </w:t>
      </w:r>
      <w:r w:rsidR="00C9686B">
        <w:rPr>
          <w:rFonts w:ascii="Calibri" w:eastAsia="Calibri" w:hAnsi="Calibri" w:cs="Times New Roman"/>
        </w:rPr>
        <w:t xml:space="preserve">Chapter 4, section </w:t>
      </w:r>
      <w:r w:rsidR="00C9686B">
        <w:rPr>
          <w:rFonts w:ascii="Calibri" w:eastAsia="Calibri" w:hAnsi="Calibri" w:cs="Times New Roman"/>
        </w:rPr>
        <w:fldChar w:fldCharType="begin"/>
      </w:r>
      <w:r w:rsidR="00C9686B">
        <w:rPr>
          <w:rFonts w:ascii="Calibri" w:eastAsia="Calibri" w:hAnsi="Calibri" w:cs="Times New Roman"/>
        </w:rPr>
        <w:instrText xml:space="preserve"> REF _Ref453591865 \r \h </w:instrText>
      </w:r>
      <w:r w:rsidR="00C9686B">
        <w:rPr>
          <w:rFonts w:ascii="Calibri" w:eastAsia="Calibri" w:hAnsi="Calibri" w:cs="Times New Roman"/>
        </w:rPr>
      </w:r>
      <w:r w:rsidR="00C9686B">
        <w:rPr>
          <w:rFonts w:ascii="Calibri" w:eastAsia="Calibri" w:hAnsi="Calibri" w:cs="Times New Roman"/>
        </w:rPr>
        <w:fldChar w:fldCharType="separate"/>
      </w:r>
      <w:r w:rsidR="00152F6D">
        <w:rPr>
          <w:rFonts w:ascii="Calibri" w:eastAsia="Calibri" w:hAnsi="Calibri" w:cs="Times New Roman"/>
        </w:rPr>
        <w:t>4.3</w:t>
      </w:r>
      <w:r w:rsidR="00C9686B">
        <w:rPr>
          <w:rFonts w:ascii="Calibri" w:eastAsia="Calibri" w:hAnsi="Calibri" w:cs="Times New Roman"/>
        </w:rPr>
        <w:fldChar w:fldCharType="end"/>
      </w:r>
      <w:r w:rsidR="0086017B">
        <w:rPr>
          <w:rFonts w:ascii="Calibri" w:eastAsia="Calibri" w:hAnsi="Calibri" w:cs="Times New Roman"/>
        </w:rPr>
        <w:t>,</w:t>
      </w:r>
      <w:r w:rsidRPr="00E6060C">
        <w:rPr>
          <w:rFonts w:ascii="Calibri" w:eastAsia="Calibri" w:hAnsi="Calibri" w:cs="Times New Roman"/>
        </w:rPr>
        <w:t xml:space="preserve"> for a deeper discussion). Some empirical, as well as theoretical, evidence exists to support these relationships, however, these previous studies have relied on cross-sectional samples (e.g. Deci </w:t>
      </w:r>
      <w:r w:rsidR="00395453">
        <w:rPr>
          <w:rFonts w:ascii="Calibri" w:eastAsia="Calibri" w:hAnsi="Calibri" w:cs="Times New Roman"/>
        </w:rPr>
        <w:t>et al.</w:t>
      </w:r>
      <w:r w:rsidRPr="00E6060C">
        <w:rPr>
          <w:rFonts w:ascii="Calibri" w:eastAsia="Calibri" w:hAnsi="Calibri" w:cs="Times New Roman"/>
        </w:rPr>
        <w:t>, 2001; Van den Broeck</w:t>
      </w:r>
      <w:r w:rsidR="00AF46EE">
        <w:rPr>
          <w:rFonts w:ascii="Calibri" w:eastAsia="Calibri" w:hAnsi="Calibri" w:cs="Times New Roman"/>
        </w:rPr>
        <w:t xml:space="preserve"> et al., 2008</w:t>
      </w:r>
      <w:r w:rsidRPr="00E6060C">
        <w:rPr>
          <w:rFonts w:ascii="Calibri" w:eastAsia="Calibri" w:hAnsi="Calibri" w:cs="Times New Roman"/>
        </w:rPr>
        <w:t xml:space="preserve">) which can only be used to infer associations between variables, but cannot infer causality. The current study was designed to overcome this shortcoming by allowing the testing of longitudinal relationships by measuring the variables at two time points. As a reminder, the following </w:t>
      </w:r>
      <w:r w:rsidR="00C831D9">
        <w:rPr>
          <w:rFonts w:ascii="Calibri" w:eastAsia="Calibri" w:hAnsi="Calibri" w:cs="Times New Roman"/>
        </w:rPr>
        <w:t>hypotheses</w:t>
      </w:r>
      <w:r w:rsidRPr="00E6060C">
        <w:rPr>
          <w:rFonts w:ascii="Calibri" w:eastAsia="Calibri" w:hAnsi="Calibri" w:cs="Times New Roman"/>
        </w:rPr>
        <w:t xml:space="preserve"> are tested in this study:</w:t>
      </w:r>
    </w:p>
    <w:p w14:paraId="4DB087A5" w14:textId="77777777" w:rsidR="00E6060C" w:rsidRPr="00E6060C" w:rsidRDefault="00E6060C" w:rsidP="00E6060C">
      <w:pPr>
        <w:spacing w:after="200" w:line="360" w:lineRule="auto"/>
        <w:contextualSpacing/>
        <w:rPr>
          <w:rFonts w:ascii="Calibri" w:eastAsia="Calibri" w:hAnsi="Calibri" w:cs="Times New Roman"/>
        </w:rPr>
      </w:pPr>
    </w:p>
    <w:p w14:paraId="0850A647" w14:textId="77777777" w:rsidR="00E6060C" w:rsidRPr="00E6060C" w:rsidRDefault="00E6060C" w:rsidP="00E6060C">
      <w:pPr>
        <w:spacing w:before="200" w:line="360" w:lineRule="auto"/>
        <w:ind w:left="360"/>
        <w:rPr>
          <w:rFonts w:ascii="Calibri" w:eastAsia="Calibri" w:hAnsi="Calibri" w:cs="Times New Roman"/>
        </w:rPr>
      </w:pPr>
      <w:r w:rsidRPr="00E6060C">
        <w:rPr>
          <w:rFonts w:ascii="Calibri" w:eastAsia="Calibri" w:hAnsi="Calibri" w:cs="Times New Roman"/>
        </w:rPr>
        <w:t>2. a) Autonomy will mediate the relationship between social support and work engagement</w:t>
      </w:r>
    </w:p>
    <w:p w14:paraId="1907A366"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b) Autonomy will mediate the relationship between influence in decision-making and work engagement</w:t>
      </w:r>
    </w:p>
    <w:p w14:paraId="55143CF8"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c) Autonomy will mediate the relationship between resources and demands and work engagement</w:t>
      </w:r>
    </w:p>
    <w:p w14:paraId="0473E9C9"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d) Competence will mediate the relationship between social support and work engagement</w:t>
      </w:r>
    </w:p>
    <w:p w14:paraId="6DDC88E0"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e) Competence will mediate the relationship between influence in decision-making and work engagement</w:t>
      </w:r>
    </w:p>
    <w:p w14:paraId="407BF6CE"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f) Competence will mediate the relationship between resources and demands and work engagement</w:t>
      </w:r>
    </w:p>
    <w:p w14:paraId="6EB8195F"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g) Relatedness will mediate the relationship between social support and work engagement</w:t>
      </w:r>
    </w:p>
    <w:p w14:paraId="27B237DE"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h) Relatedness will mediate the relationship between influence in decision-making and work engagement</w:t>
      </w:r>
    </w:p>
    <w:p w14:paraId="7B15F7EB" w14:textId="77777777" w:rsidR="00E6060C" w:rsidRPr="00E6060C" w:rsidRDefault="00E6060C" w:rsidP="00E6060C">
      <w:pPr>
        <w:spacing w:before="200" w:line="360" w:lineRule="auto"/>
        <w:ind w:left="360"/>
        <w:contextualSpacing/>
        <w:rPr>
          <w:rFonts w:ascii="Calibri" w:eastAsia="Calibri" w:hAnsi="Calibri" w:cs="Times New Roman"/>
        </w:rPr>
      </w:pPr>
      <w:r w:rsidRPr="00E6060C">
        <w:rPr>
          <w:rFonts w:ascii="Calibri" w:eastAsia="Calibri" w:hAnsi="Calibri" w:cs="Times New Roman"/>
        </w:rPr>
        <w:t>2. i) Relatedness will mediate the relationship between resources and demands and work engagement</w:t>
      </w:r>
    </w:p>
    <w:p w14:paraId="45098A27" w14:textId="4863CFB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lastRenderedPageBreak/>
        <w:t>This chapter will proceed by exploring descriptive statistics of the research variables pertaining to the dataset (section</w:t>
      </w:r>
      <w:r w:rsidR="008366A1">
        <w:rPr>
          <w:rFonts w:ascii="Calibri" w:eastAsia="Calibri" w:hAnsi="Calibri" w:cs="Times New Roman"/>
        </w:rPr>
        <w:t xml:space="preserve"> </w:t>
      </w:r>
      <w:r w:rsidR="008366A1">
        <w:rPr>
          <w:rFonts w:ascii="Calibri" w:eastAsia="Calibri" w:hAnsi="Calibri" w:cs="Times New Roman"/>
        </w:rPr>
        <w:fldChar w:fldCharType="begin"/>
      </w:r>
      <w:r w:rsidR="008366A1">
        <w:rPr>
          <w:rFonts w:ascii="Calibri" w:eastAsia="Calibri" w:hAnsi="Calibri" w:cs="Times New Roman"/>
        </w:rPr>
        <w:instrText xml:space="preserve"> REF _Ref453592109 \r \h </w:instrText>
      </w:r>
      <w:r w:rsidR="008366A1">
        <w:rPr>
          <w:rFonts w:ascii="Calibri" w:eastAsia="Calibri" w:hAnsi="Calibri" w:cs="Times New Roman"/>
        </w:rPr>
      </w:r>
      <w:r w:rsidR="008366A1">
        <w:rPr>
          <w:rFonts w:ascii="Calibri" w:eastAsia="Calibri" w:hAnsi="Calibri" w:cs="Times New Roman"/>
        </w:rPr>
        <w:fldChar w:fldCharType="separate"/>
      </w:r>
      <w:r w:rsidR="00152F6D">
        <w:rPr>
          <w:rFonts w:ascii="Calibri" w:eastAsia="Calibri" w:hAnsi="Calibri" w:cs="Times New Roman"/>
        </w:rPr>
        <w:t>9.1</w:t>
      </w:r>
      <w:r w:rsidR="008366A1">
        <w:rPr>
          <w:rFonts w:ascii="Calibri" w:eastAsia="Calibri" w:hAnsi="Calibri" w:cs="Times New Roman"/>
        </w:rPr>
        <w:fldChar w:fldCharType="end"/>
      </w:r>
      <w:r w:rsidRPr="00E6060C">
        <w:rPr>
          <w:rFonts w:ascii="Calibri" w:eastAsia="Calibri" w:hAnsi="Calibri" w:cs="Times New Roman"/>
        </w:rPr>
        <w:t xml:space="preserve">), </w:t>
      </w:r>
      <w:r w:rsidR="008366A1">
        <w:rPr>
          <w:rFonts w:ascii="Calibri" w:eastAsia="Calibri" w:hAnsi="Calibri" w:cs="Times New Roman"/>
        </w:rPr>
        <w:t xml:space="preserve">and </w:t>
      </w:r>
      <w:r w:rsidR="0086017B">
        <w:rPr>
          <w:rFonts w:ascii="Calibri" w:eastAsia="Calibri" w:hAnsi="Calibri" w:cs="Times New Roman"/>
        </w:rPr>
        <w:t xml:space="preserve">will </w:t>
      </w:r>
      <w:r w:rsidRPr="00E6060C">
        <w:rPr>
          <w:rFonts w:ascii="Calibri" w:eastAsia="Calibri" w:hAnsi="Calibri" w:cs="Times New Roman"/>
        </w:rPr>
        <w:t xml:space="preserve">then present the results of mediation analyses (section </w:t>
      </w:r>
      <w:r w:rsidR="008366A1">
        <w:rPr>
          <w:rFonts w:ascii="Calibri" w:eastAsia="Calibri" w:hAnsi="Calibri" w:cs="Times New Roman"/>
        </w:rPr>
        <w:fldChar w:fldCharType="begin"/>
      </w:r>
      <w:r w:rsidR="008366A1">
        <w:rPr>
          <w:rFonts w:ascii="Calibri" w:eastAsia="Calibri" w:hAnsi="Calibri" w:cs="Times New Roman"/>
        </w:rPr>
        <w:instrText xml:space="preserve"> REF _Ref453592149 \r \h </w:instrText>
      </w:r>
      <w:r w:rsidR="008366A1">
        <w:rPr>
          <w:rFonts w:ascii="Calibri" w:eastAsia="Calibri" w:hAnsi="Calibri" w:cs="Times New Roman"/>
        </w:rPr>
      </w:r>
      <w:r w:rsidR="008366A1">
        <w:rPr>
          <w:rFonts w:ascii="Calibri" w:eastAsia="Calibri" w:hAnsi="Calibri" w:cs="Times New Roman"/>
        </w:rPr>
        <w:fldChar w:fldCharType="separate"/>
      </w:r>
      <w:r w:rsidR="00152F6D">
        <w:rPr>
          <w:rFonts w:ascii="Calibri" w:eastAsia="Calibri" w:hAnsi="Calibri" w:cs="Times New Roman"/>
        </w:rPr>
        <w:t>9.2</w:t>
      </w:r>
      <w:r w:rsidR="008366A1">
        <w:rPr>
          <w:rFonts w:ascii="Calibri" w:eastAsia="Calibri" w:hAnsi="Calibri" w:cs="Times New Roman"/>
        </w:rPr>
        <w:fldChar w:fldCharType="end"/>
      </w:r>
      <w:r w:rsidRPr="00E6060C">
        <w:rPr>
          <w:rFonts w:ascii="Calibri" w:eastAsia="Calibri" w:hAnsi="Calibri" w:cs="Times New Roman"/>
        </w:rPr>
        <w:t>)</w:t>
      </w:r>
      <w:r w:rsidR="0086017B">
        <w:rPr>
          <w:rFonts w:ascii="Calibri" w:eastAsia="Calibri" w:hAnsi="Calibri" w:cs="Times New Roman"/>
        </w:rPr>
        <w:t xml:space="preserve">, and </w:t>
      </w:r>
      <w:r w:rsidRPr="00E6060C">
        <w:rPr>
          <w:rFonts w:ascii="Calibri" w:eastAsia="Calibri" w:hAnsi="Calibri" w:cs="Times New Roman"/>
        </w:rPr>
        <w:t>conclud</w:t>
      </w:r>
      <w:r w:rsidR="0086017B">
        <w:rPr>
          <w:rFonts w:ascii="Calibri" w:eastAsia="Calibri" w:hAnsi="Calibri" w:cs="Times New Roman"/>
        </w:rPr>
        <w:t>e</w:t>
      </w:r>
      <w:r w:rsidRPr="00E6060C">
        <w:rPr>
          <w:rFonts w:ascii="Calibri" w:eastAsia="Calibri" w:hAnsi="Calibri" w:cs="Times New Roman"/>
        </w:rPr>
        <w:t xml:space="preserve"> with a summary of the results (section </w:t>
      </w:r>
      <w:r w:rsidR="008366A1">
        <w:rPr>
          <w:rFonts w:ascii="Calibri" w:eastAsia="Calibri" w:hAnsi="Calibri" w:cs="Times New Roman"/>
        </w:rPr>
        <w:fldChar w:fldCharType="begin"/>
      </w:r>
      <w:r w:rsidR="008366A1">
        <w:rPr>
          <w:rFonts w:ascii="Calibri" w:eastAsia="Calibri" w:hAnsi="Calibri" w:cs="Times New Roman"/>
        </w:rPr>
        <w:instrText xml:space="preserve"> REF _Ref453592170 \r \h </w:instrText>
      </w:r>
      <w:r w:rsidR="008366A1">
        <w:rPr>
          <w:rFonts w:ascii="Calibri" w:eastAsia="Calibri" w:hAnsi="Calibri" w:cs="Times New Roman"/>
        </w:rPr>
      </w:r>
      <w:r w:rsidR="008366A1">
        <w:rPr>
          <w:rFonts w:ascii="Calibri" w:eastAsia="Calibri" w:hAnsi="Calibri" w:cs="Times New Roman"/>
        </w:rPr>
        <w:fldChar w:fldCharType="separate"/>
      </w:r>
      <w:r w:rsidR="00152F6D">
        <w:rPr>
          <w:rFonts w:ascii="Calibri" w:eastAsia="Calibri" w:hAnsi="Calibri" w:cs="Times New Roman"/>
        </w:rPr>
        <w:t>9.3</w:t>
      </w:r>
      <w:r w:rsidR="008366A1">
        <w:rPr>
          <w:rFonts w:ascii="Calibri" w:eastAsia="Calibri" w:hAnsi="Calibri" w:cs="Times New Roman"/>
        </w:rPr>
        <w:fldChar w:fldCharType="end"/>
      </w:r>
      <w:r w:rsidRPr="00E6060C">
        <w:rPr>
          <w:rFonts w:ascii="Calibri" w:eastAsia="Calibri" w:hAnsi="Calibri" w:cs="Times New Roman"/>
        </w:rPr>
        <w:t xml:space="preserve">). </w:t>
      </w:r>
    </w:p>
    <w:p w14:paraId="1A05C7F2" w14:textId="77777777" w:rsidR="00E6060C" w:rsidRPr="00E6060C" w:rsidRDefault="00E6060C" w:rsidP="00E6060C">
      <w:pPr>
        <w:spacing w:after="200" w:line="360" w:lineRule="auto"/>
        <w:contextualSpacing/>
        <w:rPr>
          <w:rFonts w:ascii="Calibri" w:eastAsia="Calibri" w:hAnsi="Calibri" w:cs="Times New Roman"/>
        </w:rPr>
      </w:pPr>
    </w:p>
    <w:p w14:paraId="6AD45738" w14:textId="347DC22C" w:rsidR="00E6060C" w:rsidRPr="00E6060C" w:rsidRDefault="00E6060C" w:rsidP="00B7614E">
      <w:pPr>
        <w:pStyle w:val="Thesisheading2"/>
      </w:pPr>
      <w:bookmarkStart w:id="472" w:name="_Toc441484408"/>
      <w:bookmarkStart w:id="473" w:name="_Ref453592109"/>
      <w:bookmarkStart w:id="474" w:name="_Toc468286020"/>
      <w:r w:rsidRPr="00E6060C">
        <w:t>Descriptive statistics and bivariate correlations of the research variables</w:t>
      </w:r>
      <w:bookmarkEnd w:id="472"/>
      <w:bookmarkEnd w:id="473"/>
      <w:bookmarkEnd w:id="474"/>
    </w:p>
    <w:p w14:paraId="6F22E40B" w14:textId="77777777" w:rsidR="00E6060C" w:rsidRPr="00E6060C" w:rsidRDefault="00E6060C" w:rsidP="00E6060C">
      <w:pPr>
        <w:spacing w:after="200" w:line="360" w:lineRule="auto"/>
        <w:contextualSpacing/>
        <w:rPr>
          <w:rFonts w:ascii="Calibri" w:eastAsia="Calibri" w:hAnsi="Calibri" w:cs="Times New Roman"/>
          <w:b/>
        </w:rPr>
      </w:pPr>
    </w:p>
    <w:p w14:paraId="28937EFF" w14:textId="04F58CD2" w:rsidR="00E6060C" w:rsidRPr="00E6060C" w:rsidRDefault="00E6060C" w:rsidP="0086017B">
      <w:pPr>
        <w:spacing w:before="240" w:after="200" w:line="360" w:lineRule="auto"/>
        <w:contextualSpacing/>
        <w:rPr>
          <w:rFonts w:ascii="Calibri" w:eastAsia="Calibri" w:hAnsi="Calibri" w:cs="Times New Roman"/>
        </w:rPr>
      </w:pPr>
      <w:r w:rsidRPr="00E6060C">
        <w:rPr>
          <w:rFonts w:ascii="Calibri" w:eastAsia="Calibri" w:hAnsi="Calibri" w:cs="Times New Roman"/>
        </w:rPr>
        <w:t>To investigate the distribution of the variables involved in the following mediation analyses, descriptive statistics were computed (</w:t>
      </w:r>
      <w:r w:rsidR="008366A1">
        <w:rPr>
          <w:rFonts w:ascii="Calibri" w:eastAsia="Calibri" w:hAnsi="Calibri" w:cs="Times New Roman"/>
        </w:rPr>
        <w:fldChar w:fldCharType="begin"/>
      </w:r>
      <w:r w:rsidR="008366A1">
        <w:rPr>
          <w:rFonts w:ascii="Calibri" w:eastAsia="Calibri" w:hAnsi="Calibri" w:cs="Times New Roman"/>
        </w:rPr>
        <w:instrText xml:space="preserve"> REF _Ref453592031 \h </w:instrText>
      </w:r>
      <w:r w:rsidR="008366A1">
        <w:rPr>
          <w:rFonts w:ascii="Calibri" w:eastAsia="Calibri" w:hAnsi="Calibri" w:cs="Times New Roman"/>
        </w:rPr>
      </w:r>
      <w:r w:rsidR="008366A1">
        <w:rPr>
          <w:rFonts w:ascii="Calibri" w:eastAsia="Calibri" w:hAnsi="Calibri" w:cs="Times New Roman"/>
        </w:rPr>
        <w:fldChar w:fldCharType="separate"/>
      </w:r>
      <w:r w:rsidR="00152F6D">
        <w:t xml:space="preserve">Table </w:t>
      </w:r>
      <w:r w:rsidR="00152F6D">
        <w:rPr>
          <w:noProof/>
        </w:rPr>
        <w:t>9</w:t>
      </w:r>
      <w:r w:rsidR="00152F6D">
        <w:t>.</w:t>
      </w:r>
      <w:r w:rsidR="00152F6D">
        <w:rPr>
          <w:noProof/>
        </w:rPr>
        <w:t>1</w:t>
      </w:r>
      <w:r w:rsidR="008366A1">
        <w:rPr>
          <w:rFonts w:ascii="Calibri" w:eastAsia="Calibri" w:hAnsi="Calibri" w:cs="Times New Roman"/>
        </w:rPr>
        <w:fldChar w:fldCharType="end"/>
      </w:r>
      <w:r w:rsidRPr="00E6060C">
        <w:rPr>
          <w:rFonts w:ascii="Calibri" w:eastAsia="Calibri" w:hAnsi="Calibri" w:cs="Times New Roman"/>
        </w:rPr>
        <w:t>). These revealed that the largest mean for those variables measured on a scale of 1-5 was for colleague support (</w:t>
      </w:r>
      <w:r w:rsidR="0086017B">
        <w:rPr>
          <w:rFonts w:ascii="Calibri" w:eastAsia="Calibri" w:hAnsi="Calibri" w:cs="Times New Roman"/>
        </w:rPr>
        <w:t>Mean=</w:t>
      </w:r>
      <w:r w:rsidRPr="00E6060C">
        <w:rPr>
          <w:rFonts w:ascii="Calibri" w:eastAsia="Calibri" w:hAnsi="Calibri" w:cs="Times New Roman"/>
        </w:rPr>
        <w:t xml:space="preserve">.62, </w:t>
      </w:r>
      <w:r w:rsidRPr="00E6060C">
        <w:rPr>
          <w:rFonts w:ascii="Calibri" w:eastAsia="Calibri" w:hAnsi="Calibri" w:cs="Times New Roman"/>
          <w:i/>
        </w:rPr>
        <w:t>SD=</w:t>
      </w:r>
      <w:r w:rsidRPr="00E6060C">
        <w:rPr>
          <w:rFonts w:ascii="Calibri" w:eastAsia="Calibri" w:hAnsi="Calibri" w:cs="Times New Roman"/>
        </w:rPr>
        <w:t>.96), and the smallest was for resources and demands (</w:t>
      </w:r>
      <w:r w:rsidR="0086017B">
        <w:rPr>
          <w:rFonts w:ascii="Calibri" w:eastAsia="Calibri" w:hAnsi="Calibri" w:cs="Times New Roman"/>
        </w:rPr>
        <w:t>Mean</w:t>
      </w:r>
      <w:r w:rsidRPr="00E6060C">
        <w:rPr>
          <w:rFonts w:ascii="Calibri" w:eastAsia="Calibri" w:hAnsi="Calibri" w:cs="Times New Roman"/>
        </w:rPr>
        <w:t xml:space="preserve">=2.86, </w:t>
      </w:r>
      <w:r w:rsidRPr="00E6060C">
        <w:rPr>
          <w:rFonts w:ascii="Calibri" w:eastAsia="Calibri" w:hAnsi="Calibri" w:cs="Times New Roman"/>
          <w:i/>
        </w:rPr>
        <w:t>SD=</w:t>
      </w:r>
      <w:r w:rsidRPr="00E6060C">
        <w:rPr>
          <w:rFonts w:ascii="Calibri" w:eastAsia="Calibri" w:hAnsi="Calibri" w:cs="Times New Roman"/>
        </w:rPr>
        <w:t>.72)</w:t>
      </w:r>
      <w:r w:rsidR="008366A1">
        <w:rPr>
          <w:rFonts w:ascii="Calibri" w:eastAsia="Calibri" w:hAnsi="Calibri" w:cs="Times New Roman"/>
        </w:rPr>
        <w:t xml:space="preserve">. </w:t>
      </w:r>
      <w:r w:rsidRPr="00E6060C">
        <w:rPr>
          <w:rFonts w:ascii="Calibri" w:eastAsia="Calibri" w:hAnsi="Calibri" w:cs="Times New Roman"/>
        </w:rPr>
        <w:t>The largest mean for those variables measured on a scale of 1-7 was for dedication (</w:t>
      </w:r>
      <w:r w:rsidR="0086017B">
        <w:rPr>
          <w:rFonts w:ascii="Calibri" w:eastAsia="Calibri" w:hAnsi="Calibri" w:cs="Times New Roman"/>
        </w:rPr>
        <w:t>Mean</w:t>
      </w:r>
      <w:r w:rsidRPr="00E6060C">
        <w:rPr>
          <w:rFonts w:ascii="Calibri" w:eastAsia="Calibri" w:hAnsi="Calibri" w:cs="Times New Roman"/>
        </w:rPr>
        <w:t xml:space="preserve">=5.81, </w:t>
      </w:r>
      <w:r w:rsidRPr="00E6060C">
        <w:rPr>
          <w:rFonts w:ascii="Calibri" w:eastAsia="Calibri" w:hAnsi="Calibri" w:cs="Times New Roman"/>
          <w:i/>
        </w:rPr>
        <w:t>SD=</w:t>
      </w:r>
      <w:r w:rsidRPr="00E6060C">
        <w:rPr>
          <w:rFonts w:ascii="Calibri" w:eastAsia="Calibri" w:hAnsi="Calibri" w:cs="Times New Roman"/>
        </w:rPr>
        <w:t>1.28), and the smallest was for autonomy (</w:t>
      </w:r>
      <w:r w:rsidR="0086017B">
        <w:rPr>
          <w:rFonts w:ascii="Calibri" w:eastAsia="Calibri" w:hAnsi="Calibri" w:cs="Times New Roman"/>
        </w:rPr>
        <w:t>Mean</w:t>
      </w:r>
      <w:r w:rsidRPr="00E6060C">
        <w:rPr>
          <w:rFonts w:ascii="Calibri" w:eastAsia="Calibri" w:hAnsi="Calibri" w:cs="Times New Roman"/>
        </w:rPr>
        <w:t xml:space="preserve">=3.87, </w:t>
      </w:r>
      <w:r w:rsidRPr="00E6060C">
        <w:rPr>
          <w:rFonts w:ascii="Calibri" w:eastAsia="Calibri" w:hAnsi="Calibri" w:cs="Times New Roman"/>
          <w:i/>
        </w:rPr>
        <w:t>SD=</w:t>
      </w:r>
      <w:r w:rsidRPr="00E6060C">
        <w:rPr>
          <w:rFonts w:ascii="Calibri" w:eastAsia="Calibri" w:hAnsi="Calibri" w:cs="Times New Roman"/>
        </w:rPr>
        <w:t>.80). None of the variable means differed dramatically from their medians, indicating normal distributions. The largest difference was</w:t>
      </w:r>
      <w:r w:rsidR="0086017B">
        <w:rPr>
          <w:rFonts w:ascii="Calibri" w:eastAsia="Calibri" w:hAnsi="Calibri" w:cs="Times New Roman"/>
        </w:rPr>
        <w:t xml:space="preserve"> observed for colleague support</w:t>
      </w:r>
      <w:r w:rsidRPr="00E6060C">
        <w:rPr>
          <w:rFonts w:ascii="Calibri" w:eastAsia="Calibri" w:hAnsi="Calibri" w:cs="Times New Roman"/>
        </w:rPr>
        <w:t xml:space="preserve"> </w:t>
      </w:r>
      <w:r w:rsidR="0086017B">
        <w:rPr>
          <w:rFonts w:ascii="Calibri" w:eastAsia="Calibri" w:hAnsi="Calibri" w:cs="Times New Roman"/>
        </w:rPr>
        <w:t>(Mean</w:t>
      </w:r>
      <w:r w:rsidRPr="00E6060C">
        <w:rPr>
          <w:rFonts w:ascii="Calibri" w:eastAsia="Calibri" w:hAnsi="Calibri" w:cs="Times New Roman"/>
        </w:rPr>
        <w:t xml:space="preserve">=3.62, </w:t>
      </w:r>
      <w:r w:rsidRPr="00E6060C">
        <w:rPr>
          <w:rFonts w:ascii="Calibri" w:eastAsia="Calibri" w:hAnsi="Calibri" w:cs="Times New Roman"/>
          <w:i/>
        </w:rPr>
        <w:t>Median</w:t>
      </w:r>
      <w:r w:rsidRPr="00E6060C">
        <w:rPr>
          <w:rFonts w:ascii="Calibri" w:eastAsia="Calibri" w:hAnsi="Calibri" w:cs="Times New Roman"/>
        </w:rPr>
        <w:t>=4.00</w:t>
      </w:r>
      <w:r w:rsidR="0086017B">
        <w:rPr>
          <w:rFonts w:ascii="Calibri" w:eastAsia="Calibri" w:hAnsi="Calibri" w:cs="Times New Roman"/>
        </w:rPr>
        <w:t>)</w:t>
      </w:r>
      <w:r w:rsidRPr="00E6060C">
        <w:rPr>
          <w:rFonts w:ascii="Calibri" w:eastAsia="Calibri" w:hAnsi="Calibri" w:cs="Times New Roman"/>
        </w:rPr>
        <w:t>, and there was no diffe</w:t>
      </w:r>
      <w:r w:rsidR="0086017B">
        <w:rPr>
          <w:rFonts w:ascii="Calibri" w:eastAsia="Calibri" w:hAnsi="Calibri" w:cs="Times New Roman"/>
        </w:rPr>
        <w:t>rence for resources and demands</w:t>
      </w:r>
      <w:r w:rsidRPr="00E6060C">
        <w:rPr>
          <w:rFonts w:ascii="Calibri" w:eastAsia="Calibri" w:hAnsi="Calibri" w:cs="Times New Roman"/>
        </w:rPr>
        <w:t xml:space="preserve"> </w:t>
      </w:r>
      <w:r w:rsidR="0086017B">
        <w:rPr>
          <w:rFonts w:ascii="Calibri" w:eastAsia="Calibri" w:hAnsi="Calibri" w:cs="Times New Roman"/>
        </w:rPr>
        <w:t>Mean</w:t>
      </w:r>
      <w:r w:rsidRPr="00E6060C">
        <w:rPr>
          <w:rFonts w:ascii="Calibri" w:eastAsia="Calibri" w:hAnsi="Calibri" w:cs="Times New Roman"/>
        </w:rPr>
        <w:t xml:space="preserve">=2.86, </w:t>
      </w:r>
      <w:r w:rsidRPr="00E6060C">
        <w:rPr>
          <w:rFonts w:ascii="Calibri" w:eastAsia="Calibri" w:hAnsi="Calibri" w:cs="Times New Roman"/>
          <w:i/>
        </w:rPr>
        <w:t>Median</w:t>
      </w:r>
      <w:r w:rsidRPr="00E6060C">
        <w:rPr>
          <w:rFonts w:ascii="Calibri" w:eastAsia="Calibri" w:hAnsi="Calibri" w:cs="Times New Roman"/>
        </w:rPr>
        <w:t xml:space="preserve">=2.86. </w:t>
      </w:r>
    </w:p>
    <w:p w14:paraId="3D7BBFFF" w14:textId="77777777" w:rsidR="00E6060C" w:rsidRPr="00E6060C" w:rsidRDefault="00E6060C" w:rsidP="00E6060C">
      <w:pPr>
        <w:spacing w:after="200" w:line="360" w:lineRule="auto"/>
        <w:contextualSpacing/>
        <w:rPr>
          <w:rFonts w:ascii="Calibri" w:eastAsia="Calibri" w:hAnsi="Calibri" w:cs="Times New Roman"/>
        </w:rPr>
      </w:pPr>
    </w:p>
    <w:p w14:paraId="4F817ECA" w14:textId="331C41A9"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presence of normal distributions was supported by the skewness and kurtosis statistics, which largely remained within +/- 1. In terms of skewness, only dedication exceeded -1 (-1.26), indicating a slightly negatively skewed distribution, however, in terms of kurtosis, five variables exceeded +/-1 (autonomy</w:t>
      </w:r>
      <w:r w:rsidR="0086017B">
        <w:rPr>
          <w:rFonts w:ascii="Calibri" w:eastAsia="Calibri" w:hAnsi="Calibri" w:cs="Times New Roman"/>
        </w:rPr>
        <w:t>,</w:t>
      </w:r>
      <w:r w:rsidRPr="00E6060C">
        <w:rPr>
          <w:rFonts w:ascii="Calibri" w:eastAsia="Calibri" w:hAnsi="Calibri" w:cs="Times New Roman"/>
        </w:rPr>
        <w:t xml:space="preserve"> competence, belonging, dedic</w:t>
      </w:r>
      <w:r w:rsidR="0086017B">
        <w:rPr>
          <w:rFonts w:ascii="Calibri" w:eastAsia="Calibri" w:hAnsi="Calibri" w:cs="Times New Roman"/>
        </w:rPr>
        <w:t>ation, work-related basic needs;</w:t>
      </w:r>
      <w:r w:rsidRPr="00E6060C">
        <w:rPr>
          <w:rFonts w:ascii="Calibri" w:eastAsia="Calibri" w:hAnsi="Calibri" w:cs="Times New Roman"/>
        </w:rPr>
        <w:t xml:space="preserve"> see Table 9.1). Two of these values were above +/-2, indicating con</w:t>
      </w:r>
      <w:r w:rsidR="0086017B">
        <w:rPr>
          <w:rFonts w:ascii="Calibri" w:eastAsia="Calibri" w:hAnsi="Calibri" w:cs="Times New Roman"/>
        </w:rPr>
        <w:t>siderable kurtosis (competence=</w:t>
      </w:r>
      <w:r w:rsidRPr="00E6060C">
        <w:rPr>
          <w:rFonts w:ascii="Calibri" w:eastAsia="Calibri" w:hAnsi="Calibri" w:cs="Times New Roman"/>
        </w:rPr>
        <w:t>3.67</w:t>
      </w:r>
      <w:r w:rsidR="00F31223">
        <w:rPr>
          <w:rFonts w:ascii="Calibri" w:eastAsia="Calibri" w:hAnsi="Calibri" w:cs="Times New Roman"/>
        </w:rPr>
        <w:t>; and</w:t>
      </w:r>
      <w:r w:rsidR="0086017B">
        <w:rPr>
          <w:rFonts w:ascii="Calibri" w:eastAsia="Calibri" w:hAnsi="Calibri" w:cs="Times New Roman"/>
        </w:rPr>
        <w:t xml:space="preserve"> work-related basic needs=</w:t>
      </w:r>
      <w:r w:rsidRPr="00E6060C">
        <w:rPr>
          <w:rFonts w:ascii="Calibri" w:eastAsia="Calibri" w:hAnsi="Calibri" w:cs="Times New Roman"/>
        </w:rPr>
        <w:t xml:space="preserve">2.67).  These results suggest that the distributions of competence and work-related basic needs deviated noticeably from the normal distribution. </w:t>
      </w:r>
    </w:p>
    <w:p w14:paraId="35E9ED77" w14:textId="77777777" w:rsidR="00E6060C" w:rsidRPr="00E6060C" w:rsidRDefault="00E6060C" w:rsidP="00E6060C">
      <w:pPr>
        <w:spacing w:after="200" w:line="360" w:lineRule="auto"/>
        <w:contextualSpacing/>
        <w:rPr>
          <w:rFonts w:ascii="Calibri" w:eastAsia="Calibri" w:hAnsi="Calibri" w:cs="Times New Roman"/>
        </w:rPr>
      </w:pPr>
    </w:p>
    <w:p w14:paraId="6A47BF27" w14:textId="7B10BA03"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To check the assumption of non-multicollinearity required for regression analyses, bivariate correlations between all of the research variables were computed (see </w:t>
      </w:r>
      <w:r w:rsidR="008366A1">
        <w:rPr>
          <w:rFonts w:ascii="Calibri" w:eastAsia="Calibri" w:hAnsi="Calibri" w:cs="Times New Roman"/>
        </w:rPr>
        <w:t xml:space="preserve">Chapter 8, </w:t>
      </w:r>
      <w:r w:rsidR="008366A1">
        <w:rPr>
          <w:rFonts w:ascii="Calibri" w:eastAsia="Calibri" w:hAnsi="Calibri" w:cs="Times New Roman"/>
        </w:rPr>
        <w:fldChar w:fldCharType="begin"/>
      </w:r>
      <w:r w:rsidR="008366A1">
        <w:rPr>
          <w:rFonts w:ascii="Calibri" w:eastAsia="Calibri" w:hAnsi="Calibri" w:cs="Times New Roman"/>
        </w:rPr>
        <w:instrText xml:space="preserve"> REF _Ref453590157 \h </w:instrText>
      </w:r>
      <w:r w:rsidR="008366A1">
        <w:rPr>
          <w:rFonts w:ascii="Calibri" w:eastAsia="Calibri" w:hAnsi="Calibri" w:cs="Times New Roman"/>
        </w:rPr>
      </w:r>
      <w:r w:rsidR="008366A1">
        <w:rPr>
          <w:rFonts w:ascii="Calibri" w:eastAsia="Calibri" w:hAnsi="Calibri" w:cs="Times New Roman"/>
        </w:rPr>
        <w:fldChar w:fldCharType="separate"/>
      </w:r>
      <w:r w:rsidR="00152F6D">
        <w:t xml:space="preserve">Table </w:t>
      </w:r>
      <w:r w:rsidR="00152F6D">
        <w:rPr>
          <w:noProof/>
        </w:rPr>
        <w:t>8</w:t>
      </w:r>
      <w:r w:rsidR="00152F6D">
        <w:t>.</w:t>
      </w:r>
      <w:r w:rsidR="00152F6D">
        <w:rPr>
          <w:noProof/>
        </w:rPr>
        <w:t>7</w:t>
      </w:r>
      <w:r w:rsidR="008366A1">
        <w:rPr>
          <w:rFonts w:ascii="Calibri" w:eastAsia="Calibri" w:hAnsi="Calibri" w:cs="Times New Roman"/>
        </w:rPr>
        <w:fldChar w:fldCharType="end"/>
      </w:r>
      <w:r w:rsidRPr="00E6060C">
        <w:rPr>
          <w:rFonts w:ascii="Calibri" w:eastAsia="Calibri" w:hAnsi="Calibri" w:cs="Times New Roman"/>
        </w:rPr>
        <w:t xml:space="preserve">). The largest correlation was between work engagement and autonomy, </w:t>
      </w:r>
      <w:r w:rsidRPr="00E6060C">
        <w:rPr>
          <w:rFonts w:ascii="Calibri" w:eastAsia="Calibri" w:hAnsi="Calibri" w:cs="Times New Roman"/>
          <w:i/>
        </w:rPr>
        <w:t>r</w:t>
      </w:r>
      <w:r w:rsidRPr="00E6060C">
        <w:rPr>
          <w:rFonts w:ascii="Calibri" w:eastAsia="Calibri" w:hAnsi="Calibri" w:cs="Times New Roman"/>
        </w:rPr>
        <w:t xml:space="preserve">=.50, and the lowest correlation was between competence and influence in decision-making, </w:t>
      </w:r>
      <w:r w:rsidRPr="00E6060C">
        <w:rPr>
          <w:rFonts w:ascii="Calibri" w:eastAsia="Calibri" w:hAnsi="Calibri" w:cs="Times New Roman"/>
          <w:i/>
        </w:rPr>
        <w:t>r</w:t>
      </w:r>
      <w:r w:rsidRPr="00E6060C">
        <w:rPr>
          <w:rFonts w:ascii="Calibri" w:eastAsia="Calibri" w:hAnsi="Calibri" w:cs="Times New Roman"/>
        </w:rPr>
        <w:t>=.20. None of the correlations were considered high enough to violate the assumption of non-multicollinearity.</w:t>
      </w:r>
    </w:p>
    <w:p w14:paraId="5D7D1B99" w14:textId="77777777" w:rsidR="00E6060C" w:rsidRPr="00E6060C" w:rsidRDefault="00E6060C" w:rsidP="00E6060C">
      <w:pPr>
        <w:spacing w:after="200" w:line="360" w:lineRule="auto"/>
        <w:contextualSpacing/>
        <w:rPr>
          <w:rFonts w:ascii="Calibri" w:eastAsia="Calibri" w:hAnsi="Calibri" w:cs="Times New Roman"/>
        </w:rPr>
        <w:sectPr w:rsidR="00E6060C" w:rsidRPr="00E6060C" w:rsidSect="00E6060C">
          <w:pgSz w:w="11906" w:h="16838"/>
          <w:pgMar w:top="1440" w:right="1440" w:bottom="1440" w:left="1440" w:header="709" w:footer="709" w:gutter="0"/>
          <w:cols w:space="708"/>
          <w:titlePg/>
          <w:docGrid w:linePitch="360"/>
        </w:sectPr>
      </w:pPr>
    </w:p>
    <w:p w14:paraId="05CA8799" w14:textId="4BA6328F" w:rsidR="00824339" w:rsidRDefault="00824339" w:rsidP="005852AD">
      <w:pPr>
        <w:pStyle w:val="Figurestyle"/>
      </w:pPr>
      <w:bookmarkStart w:id="475" w:name="_Ref453592031"/>
      <w:bookmarkStart w:id="476" w:name="_Toc468286098"/>
      <w:r>
        <w:lastRenderedPageBreak/>
        <w:t xml:space="preserve">Table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F256F4">
        <w:t>.</w:t>
      </w:r>
      <w:r w:rsidR="00245D68">
        <w:fldChar w:fldCharType="begin"/>
      </w:r>
      <w:r w:rsidR="00245D68">
        <w:instrText xml:space="preserve"> SEQ Ta</w:instrText>
      </w:r>
      <w:r w:rsidR="00245D68">
        <w:instrText xml:space="preserve">ble \* ARABIC \s 1 </w:instrText>
      </w:r>
      <w:r w:rsidR="00245D68">
        <w:fldChar w:fldCharType="separate"/>
      </w:r>
      <w:r w:rsidR="00152F6D">
        <w:rPr>
          <w:noProof/>
        </w:rPr>
        <w:t>1</w:t>
      </w:r>
      <w:r w:rsidR="00245D68">
        <w:rPr>
          <w:noProof/>
        </w:rPr>
        <w:fldChar w:fldCharType="end"/>
      </w:r>
      <w:bookmarkEnd w:id="475"/>
      <w:r>
        <w:t xml:space="preserve"> </w:t>
      </w:r>
      <w:r w:rsidRPr="00C16F0F">
        <w:t>Descriptive statistics for all of the variables investigated via confirmatory factor analyses, discriminant analyses, and mediation analyses, based on the unmatched Time 1 / Time 2 sample (N=217)</w:t>
      </w:r>
      <w:bookmarkEnd w:id="476"/>
    </w:p>
    <w:p w14:paraId="52BFC312" w14:textId="77777777" w:rsidR="00824339" w:rsidRDefault="00824339" w:rsidP="005852AD">
      <w:pPr>
        <w:pStyle w:val="Figurestyle"/>
      </w:pPr>
    </w:p>
    <w:tbl>
      <w:tblPr>
        <w:tblW w:w="13922" w:type="dxa"/>
        <w:tblLayout w:type="fixed"/>
        <w:tblLook w:val="04A0" w:firstRow="1" w:lastRow="0" w:firstColumn="1" w:lastColumn="0" w:noHBand="0" w:noVBand="1"/>
      </w:tblPr>
      <w:tblGrid>
        <w:gridCol w:w="2531"/>
        <w:gridCol w:w="904"/>
        <w:gridCol w:w="1264"/>
        <w:gridCol w:w="1264"/>
        <w:gridCol w:w="1264"/>
        <w:gridCol w:w="1294"/>
        <w:gridCol w:w="1295"/>
        <w:gridCol w:w="1295"/>
        <w:gridCol w:w="1516"/>
        <w:gridCol w:w="1295"/>
      </w:tblGrid>
      <w:tr w:rsidR="00E6060C" w:rsidRPr="00E6060C" w14:paraId="331F4005" w14:textId="77777777" w:rsidTr="00E6060C">
        <w:trPr>
          <w:trHeight w:val="341"/>
        </w:trPr>
        <w:tc>
          <w:tcPr>
            <w:tcW w:w="2531" w:type="dxa"/>
            <w:tcBorders>
              <w:top w:val="single" w:sz="4" w:space="0" w:color="auto"/>
              <w:bottom w:val="single" w:sz="4" w:space="0" w:color="auto"/>
            </w:tcBorders>
            <w:shd w:val="clear" w:color="auto" w:fill="auto"/>
            <w:noWrap/>
            <w:vAlign w:val="center"/>
            <w:hideMark/>
          </w:tcPr>
          <w:p w14:paraId="343EEBD3" w14:textId="77777777" w:rsidR="00E6060C" w:rsidRPr="00E6060C" w:rsidRDefault="00E6060C" w:rsidP="00E6060C">
            <w:pPr>
              <w:spacing w:line="240" w:lineRule="auto"/>
              <w:jc w:val="center"/>
              <w:rPr>
                <w:rFonts w:ascii="Calibri" w:eastAsia="Times New Roman" w:hAnsi="Calibri" w:cs="Times New Roman"/>
                <w:b/>
                <w:color w:val="000000"/>
                <w:lang w:eastAsia="en-GB"/>
              </w:rPr>
            </w:pPr>
          </w:p>
        </w:tc>
        <w:tc>
          <w:tcPr>
            <w:tcW w:w="904" w:type="dxa"/>
            <w:tcBorders>
              <w:top w:val="single" w:sz="4" w:space="0" w:color="auto"/>
              <w:bottom w:val="single" w:sz="4" w:space="0" w:color="auto"/>
            </w:tcBorders>
            <w:shd w:val="clear" w:color="auto" w:fill="auto"/>
            <w:noWrap/>
            <w:vAlign w:val="center"/>
            <w:hideMark/>
          </w:tcPr>
          <w:p w14:paraId="6CE9C67B"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N</w:t>
            </w:r>
          </w:p>
        </w:tc>
        <w:tc>
          <w:tcPr>
            <w:tcW w:w="1264" w:type="dxa"/>
            <w:tcBorders>
              <w:top w:val="single" w:sz="4" w:space="0" w:color="auto"/>
              <w:bottom w:val="single" w:sz="4" w:space="0" w:color="auto"/>
            </w:tcBorders>
            <w:shd w:val="clear" w:color="auto" w:fill="auto"/>
            <w:noWrap/>
            <w:vAlign w:val="center"/>
            <w:hideMark/>
          </w:tcPr>
          <w:p w14:paraId="5F704BCD"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Mean</w:t>
            </w:r>
          </w:p>
        </w:tc>
        <w:tc>
          <w:tcPr>
            <w:tcW w:w="1264" w:type="dxa"/>
            <w:tcBorders>
              <w:top w:val="single" w:sz="4" w:space="0" w:color="auto"/>
              <w:bottom w:val="single" w:sz="4" w:space="0" w:color="auto"/>
            </w:tcBorders>
            <w:shd w:val="clear" w:color="auto" w:fill="auto"/>
            <w:noWrap/>
            <w:vAlign w:val="center"/>
            <w:hideMark/>
          </w:tcPr>
          <w:p w14:paraId="7218DFB2"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SD</w:t>
            </w:r>
          </w:p>
        </w:tc>
        <w:tc>
          <w:tcPr>
            <w:tcW w:w="1264" w:type="dxa"/>
            <w:tcBorders>
              <w:top w:val="single" w:sz="4" w:space="0" w:color="auto"/>
              <w:bottom w:val="single" w:sz="4" w:space="0" w:color="auto"/>
            </w:tcBorders>
            <w:shd w:val="clear" w:color="auto" w:fill="auto"/>
            <w:noWrap/>
            <w:vAlign w:val="center"/>
            <w:hideMark/>
          </w:tcPr>
          <w:p w14:paraId="3F4AA2E7"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SE</w:t>
            </w:r>
          </w:p>
        </w:tc>
        <w:tc>
          <w:tcPr>
            <w:tcW w:w="1294" w:type="dxa"/>
            <w:tcBorders>
              <w:top w:val="single" w:sz="4" w:space="0" w:color="auto"/>
              <w:bottom w:val="single" w:sz="4" w:space="0" w:color="auto"/>
            </w:tcBorders>
            <w:shd w:val="clear" w:color="auto" w:fill="auto"/>
            <w:noWrap/>
            <w:vAlign w:val="center"/>
            <w:hideMark/>
          </w:tcPr>
          <w:p w14:paraId="2D585FD8"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Median</w:t>
            </w:r>
          </w:p>
        </w:tc>
        <w:tc>
          <w:tcPr>
            <w:tcW w:w="1295" w:type="dxa"/>
            <w:tcBorders>
              <w:top w:val="single" w:sz="4" w:space="0" w:color="auto"/>
              <w:bottom w:val="single" w:sz="4" w:space="0" w:color="auto"/>
            </w:tcBorders>
            <w:shd w:val="clear" w:color="auto" w:fill="auto"/>
            <w:noWrap/>
            <w:vAlign w:val="center"/>
            <w:hideMark/>
          </w:tcPr>
          <w:p w14:paraId="3261B8D6"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Min</w:t>
            </w:r>
          </w:p>
        </w:tc>
        <w:tc>
          <w:tcPr>
            <w:tcW w:w="1295" w:type="dxa"/>
            <w:tcBorders>
              <w:top w:val="single" w:sz="4" w:space="0" w:color="auto"/>
              <w:bottom w:val="single" w:sz="4" w:space="0" w:color="auto"/>
            </w:tcBorders>
            <w:shd w:val="clear" w:color="auto" w:fill="auto"/>
            <w:noWrap/>
            <w:vAlign w:val="center"/>
            <w:hideMark/>
          </w:tcPr>
          <w:p w14:paraId="69FCBBA3"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Max</w:t>
            </w:r>
          </w:p>
        </w:tc>
        <w:tc>
          <w:tcPr>
            <w:tcW w:w="1516" w:type="dxa"/>
            <w:tcBorders>
              <w:top w:val="single" w:sz="4" w:space="0" w:color="auto"/>
              <w:bottom w:val="single" w:sz="4" w:space="0" w:color="auto"/>
            </w:tcBorders>
            <w:shd w:val="clear" w:color="auto" w:fill="auto"/>
            <w:noWrap/>
            <w:vAlign w:val="center"/>
            <w:hideMark/>
          </w:tcPr>
          <w:p w14:paraId="1FB74A83"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Skewness</w:t>
            </w:r>
          </w:p>
        </w:tc>
        <w:tc>
          <w:tcPr>
            <w:tcW w:w="1295" w:type="dxa"/>
            <w:tcBorders>
              <w:top w:val="single" w:sz="4" w:space="0" w:color="auto"/>
              <w:bottom w:val="single" w:sz="4" w:space="0" w:color="auto"/>
            </w:tcBorders>
            <w:shd w:val="clear" w:color="auto" w:fill="auto"/>
            <w:noWrap/>
            <w:vAlign w:val="center"/>
            <w:hideMark/>
          </w:tcPr>
          <w:p w14:paraId="55B24573" w14:textId="77777777" w:rsidR="00E6060C" w:rsidRPr="00E6060C" w:rsidRDefault="00E6060C" w:rsidP="00E6060C">
            <w:pPr>
              <w:spacing w:line="240" w:lineRule="auto"/>
              <w:jc w:val="center"/>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Kurtosis</w:t>
            </w:r>
          </w:p>
        </w:tc>
      </w:tr>
      <w:tr w:rsidR="00E6060C" w:rsidRPr="00E6060C" w14:paraId="0AFF0106" w14:textId="77777777" w:rsidTr="00E6060C">
        <w:trPr>
          <w:trHeight w:val="295"/>
        </w:trPr>
        <w:tc>
          <w:tcPr>
            <w:tcW w:w="2531" w:type="dxa"/>
            <w:tcBorders>
              <w:top w:val="single" w:sz="4" w:space="0" w:color="auto"/>
              <w:bottom w:val="single" w:sz="4" w:space="0" w:color="auto"/>
            </w:tcBorders>
            <w:shd w:val="clear" w:color="auto" w:fill="auto"/>
            <w:noWrap/>
            <w:vAlign w:val="bottom"/>
            <w:hideMark/>
          </w:tcPr>
          <w:p w14:paraId="50E7C13A" w14:textId="77777777" w:rsidR="00E6060C" w:rsidRPr="00E6060C" w:rsidRDefault="00E6060C" w:rsidP="00E6060C">
            <w:pPr>
              <w:spacing w:line="240" w:lineRule="auto"/>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 </w:t>
            </w:r>
          </w:p>
        </w:tc>
        <w:tc>
          <w:tcPr>
            <w:tcW w:w="904" w:type="dxa"/>
            <w:tcBorders>
              <w:top w:val="single" w:sz="4" w:space="0" w:color="auto"/>
              <w:bottom w:val="single" w:sz="4" w:space="0" w:color="auto"/>
            </w:tcBorders>
            <w:shd w:val="clear" w:color="auto" w:fill="auto"/>
            <w:noWrap/>
            <w:vAlign w:val="center"/>
            <w:hideMark/>
          </w:tcPr>
          <w:p w14:paraId="65ECBDDD"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64" w:type="dxa"/>
            <w:tcBorders>
              <w:top w:val="single" w:sz="4" w:space="0" w:color="auto"/>
              <w:bottom w:val="single" w:sz="4" w:space="0" w:color="auto"/>
            </w:tcBorders>
            <w:shd w:val="clear" w:color="auto" w:fill="auto"/>
            <w:noWrap/>
            <w:vAlign w:val="center"/>
            <w:hideMark/>
          </w:tcPr>
          <w:p w14:paraId="463CA16D"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64" w:type="dxa"/>
            <w:tcBorders>
              <w:top w:val="single" w:sz="4" w:space="0" w:color="auto"/>
              <w:bottom w:val="single" w:sz="4" w:space="0" w:color="auto"/>
            </w:tcBorders>
            <w:shd w:val="clear" w:color="auto" w:fill="auto"/>
            <w:noWrap/>
            <w:vAlign w:val="center"/>
            <w:hideMark/>
          </w:tcPr>
          <w:p w14:paraId="1F0999C8"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64" w:type="dxa"/>
            <w:tcBorders>
              <w:top w:val="single" w:sz="4" w:space="0" w:color="auto"/>
              <w:bottom w:val="single" w:sz="4" w:space="0" w:color="auto"/>
            </w:tcBorders>
            <w:shd w:val="clear" w:color="auto" w:fill="auto"/>
            <w:noWrap/>
            <w:vAlign w:val="center"/>
            <w:hideMark/>
          </w:tcPr>
          <w:p w14:paraId="4E5D5690"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94" w:type="dxa"/>
            <w:tcBorders>
              <w:top w:val="single" w:sz="4" w:space="0" w:color="auto"/>
              <w:bottom w:val="single" w:sz="4" w:space="0" w:color="auto"/>
            </w:tcBorders>
            <w:shd w:val="clear" w:color="auto" w:fill="auto"/>
            <w:noWrap/>
            <w:vAlign w:val="center"/>
            <w:hideMark/>
          </w:tcPr>
          <w:p w14:paraId="6DCEA209"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95" w:type="dxa"/>
            <w:tcBorders>
              <w:top w:val="single" w:sz="4" w:space="0" w:color="auto"/>
              <w:bottom w:val="single" w:sz="4" w:space="0" w:color="auto"/>
            </w:tcBorders>
            <w:shd w:val="clear" w:color="auto" w:fill="auto"/>
            <w:noWrap/>
            <w:vAlign w:val="center"/>
            <w:hideMark/>
          </w:tcPr>
          <w:p w14:paraId="2B2B174D"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95" w:type="dxa"/>
            <w:tcBorders>
              <w:top w:val="single" w:sz="4" w:space="0" w:color="auto"/>
              <w:bottom w:val="single" w:sz="4" w:space="0" w:color="auto"/>
            </w:tcBorders>
            <w:shd w:val="clear" w:color="auto" w:fill="auto"/>
            <w:noWrap/>
            <w:vAlign w:val="center"/>
            <w:hideMark/>
          </w:tcPr>
          <w:p w14:paraId="2F29AB55"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516" w:type="dxa"/>
            <w:tcBorders>
              <w:top w:val="single" w:sz="4" w:space="0" w:color="auto"/>
              <w:bottom w:val="single" w:sz="4" w:space="0" w:color="auto"/>
            </w:tcBorders>
            <w:shd w:val="clear" w:color="auto" w:fill="auto"/>
            <w:noWrap/>
            <w:vAlign w:val="center"/>
            <w:hideMark/>
          </w:tcPr>
          <w:p w14:paraId="6C9EA4DB"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c>
          <w:tcPr>
            <w:tcW w:w="1295" w:type="dxa"/>
            <w:tcBorders>
              <w:top w:val="single" w:sz="4" w:space="0" w:color="auto"/>
              <w:bottom w:val="single" w:sz="4" w:space="0" w:color="auto"/>
            </w:tcBorders>
            <w:shd w:val="clear" w:color="auto" w:fill="auto"/>
            <w:noWrap/>
            <w:vAlign w:val="center"/>
            <w:hideMark/>
          </w:tcPr>
          <w:p w14:paraId="1D27629E" w14:textId="77777777" w:rsidR="00E6060C" w:rsidRPr="00E6060C" w:rsidRDefault="00E6060C" w:rsidP="00E6060C">
            <w:pPr>
              <w:spacing w:line="240" w:lineRule="auto"/>
              <w:jc w:val="center"/>
              <w:rPr>
                <w:rFonts w:ascii="Calibri" w:eastAsia="Times New Roman" w:hAnsi="Calibri" w:cs="Times New Roman"/>
                <w:color w:val="000000"/>
                <w:lang w:eastAsia="en-GB"/>
              </w:rPr>
            </w:pPr>
          </w:p>
        </w:tc>
      </w:tr>
      <w:tr w:rsidR="00E6060C" w:rsidRPr="00E6060C" w14:paraId="1A5B278B" w14:textId="77777777" w:rsidTr="00E6060C">
        <w:trPr>
          <w:trHeight w:val="295"/>
        </w:trPr>
        <w:tc>
          <w:tcPr>
            <w:tcW w:w="2531" w:type="dxa"/>
            <w:tcBorders>
              <w:top w:val="single" w:sz="4" w:space="0" w:color="auto"/>
            </w:tcBorders>
            <w:shd w:val="clear" w:color="auto" w:fill="auto"/>
            <w:noWrap/>
            <w:vAlign w:val="bottom"/>
            <w:hideMark/>
          </w:tcPr>
          <w:p w14:paraId="73D6EA70"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Colleague support</w:t>
            </w:r>
          </w:p>
        </w:tc>
        <w:tc>
          <w:tcPr>
            <w:tcW w:w="904" w:type="dxa"/>
            <w:tcBorders>
              <w:top w:val="single" w:sz="4" w:space="0" w:color="auto"/>
            </w:tcBorders>
            <w:shd w:val="clear" w:color="auto" w:fill="auto"/>
            <w:noWrap/>
            <w:vAlign w:val="center"/>
            <w:hideMark/>
          </w:tcPr>
          <w:p w14:paraId="16ECD1C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215</w:t>
            </w:r>
          </w:p>
        </w:tc>
        <w:tc>
          <w:tcPr>
            <w:tcW w:w="1264" w:type="dxa"/>
            <w:tcBorders>
              <w:top w:val="single" w:sz="4" w:space="0" w:color="auto"/>
            </w:tcBorders>
            <w:shd w:val="clear" w:color="auto" w:fill="auto"/>
            <w:noWrap/>
            <w:vAlign w:val="center"/>
            <w:hideMark/>
          </w:tcPr>
          <w:p w14:paraId="1638D2A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3.62</w:t>
            </w:r>
          </w:p>
        </w:tc>
        <w:tc>
          <w:tcPr>
            <w:tcW w:w="1264" w:type="dxa"/>
            <w:tcBorders>
              <w:top w:val="single" w:sz="4" w:space="0" w:color="auto"/>
            </w:tcBorders>
            <w:shd w:val="clear" w:color="auto" w:fill="auto"/>
            <w:noWrap/>
            <w:vAlign w:val="center"/>
            <w:hideMark/>
          </w:tcPr>
          <w:p w14:paraId="1CF71BB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.96</w:t>
            </w:r>
          </w:p>
        </w:tc>
        <w:tc>
          <w:tcPr>
            <w:tcW w:w="1264" w:type="dxa"/>
            <w:tcBorders>
              <w:top w:val="single" w:sz="4" w:space="0" w:color="auto"/>
            </w:tcBorders>
            <w:shd w:val="clear" w:color="auto" w:fill="auto"/>
            <w:noWrap/>
            <w:vAlign w:val="center"/>
            <w:hideMark/>
          </w:tcPr>
          <w:p w14:paraId="4EEE8E9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.07</w:t>
            </w:r>
          </w:p>
        </w:tc>
        <w:tc>
          <w:tcPr>
            <w:tcW w:w="1294" w:type="dxa"/>
            <w:tcBorders>
              <w:top w:val="single" w:sz="4" w:space="0" w:color="auto"/>
            </w:tcBorders>
            <w:shd w:val="clear" w:color="auto" w:fill="auto"/>
            <w:noWrap/>
            <w:vAlign w:val="center"/>
            <w:hideMark/>
          </w:tcPr>
          <w:p w14:paraId="30E164F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295" w:type="dxa"/>
            <w:tcBorders>
              <w:top w:val="single" w:sz="4" w:space="0" w:color="auto"/>
            </w:tcBorders>
            <w:shd w:val="clear" w:color="auto" w:fill="auto"/>
            <w:noWrap/>
            <w:vAlign w:val="center"/>
            <w:hideMark/>
          </w:tcPr>
          <w:p w14:paraId="51EC1CD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1.33</w:t>
            </w:r>
          </w:p>
        </w:tc>
        <w:tc>
          <w:tcPr>
            <w:tcW w:w="1295" w:type="dxa"/>
            <w:tcBorders>
              <w:top w:val="single" w:sz="4" w:space="0" w:color="auto"/>
            </w:tcBorders>
            <w:shd w:val="clear" w:color="auto" w:fill="auto"/>
            <w:noWrap/>
            <w:vAlign w:val="center"/>
            <w:hideMark/>
          </w:tcPr>
          <w:p w14:paraId="6A1B69A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tcBorders>
              <w:top w:val="single" w:sz="4" w:space="0" w:color="auto"/>
            </w:tcBorders>
            <w:shd w:val="clear" w:color="auto" w:fill="auto"/>
            <w:noWrap/>
            <w:vAlign w:val="center"/>
            <w:hideMark/>
          </w:tcPr>
          <w:p w14:paraId="38B0133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w:t>
            </w:r>
          </w:p>
        </w:tc>
        <w:tc>
          <w:tcPr>
            <w:tcW w:w="1295" w:type="dxa"/>
            <w:tcBorders>
              <w:top w:val="single" w:sz="4" w:space="0" w:color="auto"/>
            </w:tcBorders>
            <w:shd w:val="clear" w:color="auto" w:fill="auto"/>
            <w:noWrap/>
            <w:vAlign w:val="center"/>
            <w:hideMark/>
          </w:tcPr>
          <w:p w14:paraId="55DD002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-.46</w:t>
            </w:r>
          </w:p>
        </w:tc>
      </w:tr>
      <w:tr w:rsidR="00E6060C" w:rsidRPr="00E6060C" w14:paraId="1C1B0039" w14:textId="77777777" w:rsidTr="00E6060C">
        <w:trPr>
          <w:trHeight w:val="295"/>
        </w:trPr>
        <w:tc>
          <w:tcPr>
            <w:tcW w:w="2531" w:type="dxa"/>
            <w:shd w:val="clear" w:color="auto" w:fill="auto"/>
            <w:noWrap/>
            <w:vAlign w:val="bottom"/>
            <w:hideMark/>
          </w:tcPr>
          <w:p w14:paraId="3608B765"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Individual* influence in decision-making*</w:t>
            </w:r>
          </w:p>
        </w:tc>
        <w:tc>
          <w:tcPr>
            <w:tcW w:w="904" w:type="dxa"/>
            <w:shd w:val="clear" w:color="auto" w:fill="auto"/>
            <w:noWrap/>
            <w:vAlign w:val="center"/>
            <w:hideMark/>
          </w:tcPr>
          <w:p w14:paraId="0770648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216</w:t>
            </w:r>
          </w:p>
        </w:tc>
        <w:tc>
          <w:tcPr>
            <w:tcW w:w="1264" w:type="dxa"/>
            <w:shd w:val="clear" w:color="auto" w:fill="auto"/>
            <w:noWrap/>
            <w:vAlign w:val="center"/>
            <w:hideMark/>
          </w:tcPr>
          <w:p w14:paraId="7DCC4EE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2.87</w:t>
            </w:r>
          </w:p>
        </w:tc>
        <w:tc>
          <w:tcPr>
            <w:tcW w:w="1264" w:type="dxa"/>
            <w:shd w:val="clear" w:color="auto" w:fill="auto"/>
            <w:noWrap/>
            <w:vAlign w:val="center"/>
            <w:hideMark/>
          </w:tcPr>
          <w:p w14:paraId="21FCBE6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64" w:type="dxa"/>
            <w:shd w:val="clear" w:color="auto" w:fill="auto"/>
            <w:noWrap/>
            <w:vAlign w:val="center"/>
            <w:hideMark/>
          </w:tcPr>
          <w:p w14:paraId="78223DD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.07</w:t>
            </w:r>
          </w:p>
        </w:tc>
        <w:tc>
          <w:tcPr>
            <w:tcW w:w="1294" w:type="dxa"/>
            <w:shd w:val="clear" w:color="auto" w:fill="auto"/>
            <w:noWrap/>
            <w:vAlign w:val="center"/>
            <w:hideMark/>
          </w:tcPr>
          <w:p w14:paraId="54AACC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3.00</w:t>
            </w:r>
          </w:p>
        </w:tc>
        <w:tc>
          <w:tcPr>
            <w:tcW w:w="1295" w:type="dxa"/>
            <w:shd w:val="clear" w:color="auto" w:fill="auto"/>
            <w:noWrap/>
            <w:vAlign w:val="center"/>
            <w:hideMark/>
          </w:tcPr>
          <w:p w14:paraId="378285B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25509D3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20AD0C3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w:t>
            </w:r>
          </w:p>
        </w:tc>
        <w:tc>
          <w:tcPr>
            <w:tcW w:w="1295" w:type="dxa"/>
            <w:shd w:val="clear" w:color="auto" w:fill="auto"/>
            <w:noWrap/>
            <w:vAlign w:val="center"/>
            <w:hideMark/>
          </w:tcPr>
          <w:p w14:paraId="29BB939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-.58</w:t>
            </w:r>
          </w:p>
        </w:tc>
      </w:tr>
      <w:tr w:rsidR="00E6060C" w:rsidRPr="00E6060C" w14:paraId="6AED0CD4" w14:textId="77777777" w:rsidTr="00E6060C">
        <w:trPr>
          <w:trHeight w:val="295"/>
        </w:trPr>
        <w:tc>
          <w:tcPr>
            <w:tcW w:w="2531" w:type="dxa"/>
            <w:shd w:val="clear" w:color="auto" w:fill="auto"/>
            <w:noWrap/>
            <w:vAlign w:val="bottom"/>
            <w:hideMark/>
          </w:tcPr>
          <w:p w14:paraId="52E44CCB"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Resources*</w:t>
            </w:r>
          </w:p>
        </w:tc>
        <w:tc>
          <w:tcPr>
            <w:tcW w:w="904" w:type="dxa"/>
            <w:shd w:val="clear" w:color="auto" w:fill="auto"/>
            <w:noWrap/>
            <w:vAlign w:val="center"/>
            <w:hideMark/>
          </w:tcPr>
          <w:p w14:paraId="1B62E98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217</w:t>
            </w:r>
          </w:p>
        </w:tc>
        <w:tc>
          <w:tcPr>
            <w:tcW w:w="1264" w:type="dxa"/>
            <w:shd w:val="clear" w:color="auto" w:fill="auto"/>
            <w:noWrap/>
            <w:vAlign w:val="center"/>
            <w:hideMark/>
          </w:tcPr>
          <w:p w14:paraId="3CA5BB7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2.61</w:t>
            </w:r>
          </w:p>
        </w:tc>
        <w:tc>
          <w:tcPr>
            <w:tcW w:w="1264" w:type="dxa"/>
            <w:shd w:val="clear" w:color="auto" w:fill="auto"/>
            <w:noWrap/>
            <w:vAlign w:val="center"/>
            <w:hideMark/>
          </w:tcPr>
          <w:p w14:paraId="3D15420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.88</w:t>
            </w:r>
          </w:p>
        </w:tc>
        <w:tc>
          <w:tcPr>
            <w:tcW w:w="1264" w:type="dxa"/>
            <w:shd w:val="clear" w:color="auto" w:fill="auto"/>
            <w:noWrap/>
            <w:vAlign w:val="center"/>
            <w:hideMark/>
          </w:tcPr>
          <w:p w14:paraId="7394090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1294" w:type="dxa"/>
            <w:shd w:val="clear" w:color="auto" w:fill="auto"/>
            <w:noWrap/>
            <w:vAlign w:val="center"/>
            <w:hideMark/>
          </w:tcPr>
          <w:p w14:paraId="112B014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2.67</w:t>
            </w:r>
          </w:p>
        </w:tc>
        <w:tc>
          <w:tcPr>
            <w:tcW w:w="1295" w:type="dxa"/>
            <w:shd w:val="clear" w:color="auto" w:fill="auto"/>
            <w:noWrap/>
            <w:vAlign w:val="center"/>
            <w:hideMark/>
          </w:tcPr>
          <w:p w14:paraId="39DCA90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614D602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706DFC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c>
          <w:tcPr>
            <w:tcW w:w="1295" w:type="dxa"/>
            <w:shd w:val="clear" w:color="auto" w:fill="auto"/>
            <w:noWrap/>
            <w:vAlign w:val="center"/>
            <w:hideMark/>
          </w:tcPr>
          <w:p w14:paraId="467AAA8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-.49</w:t>
            </w:r>
          </w:p>
        </w:tc>
      </w:tr>
      <w:tr w:rsidR="00E6060C" w:rsidRPr="00E6060C" w14:paraId="12E64FA6" w14:textId="77777777" w:rsidTr="00E6060C">
        <w:trPr>
          <w:trHeight w:val="295"/>
        </w:trPr>
        <w:tc>
          <w:tcPr>
            <w:tcW w:w="2531" w:type="dxa"/>
            <w:shd w:val="clear" w:color="auto" w:fill="auto"/>
            <w:noWrap/>
            <w:vAlign w:val="bottom"/>
            <w:hideMark/>
          </w:tcPr>
          <w:p w14:paraId="231210A9"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Demands*</w:t>
            </w:r>
          </w:p>
        </w:tc>
        <w:tc>
          <w:tcPr>
            <w:tcW w:w="904" w:type="dxa"/>
            <w:shd w:val="clear" w:color="auto" w:fill="auto"/>
            <w:noWrap/>
            <w:vAlign w:val="center"/>
            <w:hideMark/>
          </w:tcPr>
          <w:p w14:paraId="0715EFC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217</w:t>
            </w:r>
          </w:p>
        </w:tc>
        <w:tc>
          <w:tcPr>
            <w:tcW w:w="1264" w:type="dxa"/>
            <w:shd w:val="clear" w:color="auto" w:fill="auto"/>
            <w:noWrap/>
            <w:vAlign w:val="center"/>
            <w:hideMark/>
          </w:tcPr>
          <w:p w14:paraId="6F9B4FB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3.18</w:t>
            </w:r>
          </w:p>
        </w:tc>
        <w:tc>
          <w:tcPr>
            <w:tcW w:w="1264" w:type="dxa"/>
            <w:shd w:val="clear" w:color="auto" w:fill="auto"/>
            <w:noWrap/>
            <w:vAlign w:val="center"/>
            <w:hideMark/>
          </w:tcPr>
          <w:p w14:paraId="344F38A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.77</w:t>
            </w:r>
          </w:p>
        </w:tc>
        <w:tc>
          <w:tcPr>
            <w:tcW w:w="1264" w:type="dxa"/>
            <w:shd w:val="clear" w:color="auto" w:fill="auto"/>
            <w:noWrap/>
            <w:vAlign w:val="center"/>
            <w:hideMark/>
          </w:tcPr>
          <w:p w14:paraId="5E3DA9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.05</w:t>
            </w:r>
          </w:p>
        </w:tc>
        <w:tc>
          <w:tcPr>
            <w:tcW w:w="1294" w:type="dxa"/>
            <w:shd w:val="clear" w:color="auto" w:fill="auto"/>
            <w:noWrap/>
            <w:vAlign w:val="center"/>
            <w:hideMark/>
          </w:tcPr>
          <w:p w14:paraId="7E96A22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3.33</w:t>
            </w:r>
          </w:p>
        </w:tc>
        <w:tc>
          <w:tcPr>
            <w:tcW w:w="1295" w:type="dxa"/>
            <w:shd w:val="clear" w:color="auto" w:fill="auto"/>
            <w:noWrap/>
            <w:vAlign w:val="center"/>
            <w:hideMark/>
          </w:tcPr>
          <w:p w14:paraId="73D6D44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139AB79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3181987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-.43</w:t>
            </w:r>
          </w:p>
        </w:tc>
        <w:tc>
          <w:tcPr>
            <w:tcW w:w="1295" w:type="dxa"/>
            <w:shd w:val="clear" w:color="auto" w:fill="auto"/>
            <w:noWrap/>
            <w:vAlign w:val="center"/>
            <w:hideMark/>
          </w:tcPr>
          <w:p w14:paraId="53C3A03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w:t>
            </w:r>
          </w:p>
        </w:tc>
      </w:tr>
      <w:tr w:rsidR="00E6060C" w:rsidRPr="00E6060C" w14:paraId="5FAF5CC7" w14:textId="77777777" w:rsidTr="00E6060C">
        <w:trPr>
          <w:trHeight w:val="295"/>
        </w:trPr>
        <w:tc>
          <w:tcPr>
            <w:tcW w:w="2531" w:type="dxa"/>
            <w:shd w:val="clear" w:color="auto" w:fill="auto"/>
            <w:noWrap/>
            <w:vAlign w:val="bottom"/>
            <w:hideMark/>
          </w:tcPr>
          <w:p w14:paraId="288A5BD6"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Resources and demands*</w:t>
            </w:r>
          </w:p>
        </w:tc>
        <w:tc>
          <w:tcPr>
            <w:tcW w:w="904" w:type="dxa"/>
            <w:shd w:val="clear" w:color="auto" w:fill="auto"/>
            <w:noWrap/>
            <w:vAlign w:val="center"/>
            <w:hideMark/>
          </w:tcPr>
          <w:p w14:paraId="5EF1F3F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217</w:t>
            </w:r>
          </w:p>
        </w:tc>
        <w:tc>
          <w:tcPr>
            <w:tcW w:w="1264" w:type="dxa"/>
            <w:shd w:val="clear" w:color="auto" w:fill="auto"/>
            <w:noWrap/>
            <w:vAlign w:val="center"/>
            <w:hideMark/>
          </w:tcPr>
          <w:p w14:paraId="032A032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2.86</w:t>
            </w:r>
          </w:p>
        </w:tc>
        <w:tc>
          <w:tcPr>
            <w:tcW w:w="1264" w:type="dxa"/>
            <w:shd w:val="clear" w:color="auto" w:fill="auto"/>
            <w:noWrap/>
            <w:vAlign w:val="center"/>
            <w:hideMark/>
          </w:tcPr>
          <w:p w14:paraId="7DC8E67B"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.72</w:t>
            </w:r>
          </w:p>
        </w:tc>
        <w:tc>
          <w:tcPr>
            <w:tcW w:w="1264" w:type="dxa"/>
            <w:shd w:val="clear" w:color="auto" w:fill="auto"/>
            <w:noWrap/>
            <w:vAlign w:val="center"/>
            <w:hideMark/>
          </w:tcPr>
          <w:p w14:paraId="1F3EF6A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.05</w:t>
            </w:r>
          </w:p>
        </w:tc>
        <w:tc>
          <w:tcPr>
            <w:tcW w:w="1294" w:type="dxa"/>
            <w:shd w:val="clear" w:color="auto" w:fill="auto"/>
            <w:noWrap/>
            <w:vAlign w:val="center"/>
            <w:hideMark/>
          </w:tcPr>
          <w:p w14:paraId="4D89E3F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2.86</w:t>
            </w:r>
          </w:p>
        </w:tc>
        <w:tc>
          <w:tcPr>
            <w:tcW w:w="1295" w:type="dxa"/>
            <w:shd w:val="clear" w:color="auto" w:fill="auto"/>
            <w:noWrap/>
            <w:vAlign w:val="center"/>
            <w:hideMark/>
          </w:tcPr>
          <w:p w14:paraId="3DFAB5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560BE98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220AC3D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1295" w:type="dxa"/>
            <w:shd w:val="clear" w:color="auto" w:fill="auto"/>
            <w:noWrap/>
            <w:vAlign w:val="center"/>
            <w:hideMark/>
          </w:tcPr>
          <w:p w14:paraId="1208339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-.08</w:t>
            </w:r>
          </w:p>
        </w:tc>
      </w:tr>
      <w:tr w:rsidR="00E6060C" w:rsidRPr="00E6060C" w14:paraId="10BDC4C6" w14:textId="77777777" w:rsidTr="00E6060C">
        <w:trPr>
          <w:trHeight w:val="295"/>
        </w:trPr>
        <w:tc>
          <w:tcPr>
            <w:tcW w:w="2531" w:type="dxa"/>
            <w:shd w:val="clear" w:color="auto" w:fill="auto"/>
            <w:noWrap/>
            <w:vAlign w:val="bottom"/>
            <w:hideMark/>
          </w:tcPr>
          <w:p w14:paraId="658717FB"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xml:space="preserve">Autonomy </w:t>
            </w:r>
          </w:p>
        </w:tc>
        <w:tc>
          <w:tcPr>
            <w:tcW w:w="904" w:type="dxa"/>
            <w:shd w:val="clear" w:color="auto" w:fill="auto"/>
            <w:noWrap/>
            <w:vAlign w:val="center"/>
            <w:hideMark/>
          </w:tcPr>
          <w:p w14:paraId="0AAFE24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212</w:t>
            </w:r>
          </w:p>
        </w:tc>
        <w:tc>
          <w:tcPr>
            <w:tcW w:w="1264" w:type="dxa"/>
            <w:shd w:val="clear" w:color="auto" w:fill="auto"/>
            <w:noWrap/>
            <w:vAlign w:val="center"/>
            <w:hideMark/>
          </w:tcPr>
          <w:p w14:paraId="1888C5C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3.87</w:t>
            </w:r>
          </w:p>
        </w:tc>
        <w:tc>
          <w:tcPr>
            <w:tcW w:w="1264" w:type="dxa"/>
            <w:shd w:val="clear" w:color="auto" w:fill="auto"/>
            <w:noWrap/>
            <w:vAlign w:val="center"/>
            <w:hideMark/>
          </w:tcPr>
          <w:p w14:paraId="5218A3D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.80</w:t>
            </w:r>
          </w:p>
        </w:tc>
        <w:tc>
          <w:tcPr>
            <w:tcW w:w="1264" w:type="dxa"/>
            <w:shd w:val="clear" w:color="auto" w:fill="auto"/>
            <w:noWrap/>
            <w:vAlign w:val="center"/>
            <w:hideMark/>
          </w:tcPr>
          <w:p w14:paraId="165301B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.06</w:t>
            </w:r>
          </w:p>
        </w:tc>
        <w:tc>
          <w:tcPr>
            <w:tcW w:w="1294" w:type="dxa"/>
            <w:shd w:val="clear" w:color="auto" w:fill="auto"/>
            <w:noWrap/>
            <w:vAlign w:val="center"/>
            <w:hideMark/>
          </w:tcPr>
          <w:p w14:paraId="0975BEA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295" w:type="dxa"/>
            <w:shd w:val="clear" w:color="auto" w:fill="auto"/>
            <w:noWrap/>
            <w:vAlign w:val="center"/>
            <w:hideMark/>
          </w:tcPr>
          <w:p w14:paraId="0520834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4B584C5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1575D63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-.93</w:t>
            </w:r>
          </w:p>
        </w:tc>
        <w:tc>
          <w:tcPr>
            <w:tcW w:w="1295" w:type="dxa"/>
            <w:shd w:val="clear" w:color="auto" w:fill="auto"/>
            <w:noWrap/>
            <w:vAlign w:val="center"/>
            <w:hideMark/>
          </w:tcPr>
          <w:p w14:paraId="64A7B4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1.38</w:t>
            </w:r>
          </w:p>
        </w:tc>
      </w:tr>
      <w:tr w:rsidR="00E6060C" w:rsidRPr="00E6060C" w14:paraId="19A78384" w14:textId="77777777" w:rsidTr="00E6060C">
        <w:trPr>
          <w:trHeight w:val="295"/>
        </w:trPr>
        <w:tc>
          <w:tcPr>
            <w:tcW w:w="2531" w:type="dxa"/>
            <w:shd w:val="clear" w:color="auto" w:fill="auto"/>
            <w:noWrap/>
            <w:vAlign w:val="bottom"/>
            <w:hideMark/>
          </w:tcPr>
          <w:p w14:paraId="5B3293A1"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xml:space="preserve">Competence </w:t>
            </w:r>
          </w:p>
        </w:tc>
        <w:tc>
          <w:tcPr>
            <w:tcW w:w="904" w:type="dxa"/>
            <w:shd w:val="clear" w:color="auto" w:fill="auto"/>
            <w:noWrap/>
            <w:vAlign w:val="center"/>
            <w:hideMark/>
          </w:tcPr>
          <w:p w14:paraId="3E566E1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211</w:t>
            </w:r>
          </w:p>
        </w:tc>
        <w:tc>
          <w:tcPr>
            <w:tcW w:w="1264" w:type="dxa"/>
            <w:shd w:val="clear" w:color="auto" w:fill="auto"/>
            <w:noWrap/>
            <w:vAlign w:val="center"/>
            <w:hideMark/>
          </w:tcPr>
          <w:p w14:paraId="14C94F3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4.25</w:t>
            </w:r>
          </w:p>
        </w:tc>
        <w:tc>
          <w:tcPr>
            <w:tcW w:w="1264" w:type="dxa"/>
            <w:shd w:val="clear" w:color="auto" w:fill="auto"/>
            <w:noWrap/>
            <w:vAlign w:val="center"/>
            <w:hideMark/>
          </w:tcPr>
          <w:p w14:paraId="09F04D3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.57</w:t>
            </w:r>
          </w:p>
        </w:tc>
        <w:tc>
          <w:tcPr>
            <w:tcW w:w="1264" w:type="dxa"/>
            <w:shd w:val="clear" w:color="auto" w:fill="auto"/>
            <w:noWrap/>
            <w:vAlign w:val="center"/>
            <w:hideMark/>
          </w:tcPr>
          <w:p w14:paraId="62D004B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.04</w:t>
            </w:r>
          </w:p>
        </w:tc>
        <w:tc>
          <w:tcPr>
            <w:tcW w:w="1294" w:type="dxa"/>
            <w:shd w:val="clear" w:color="auto" w:fill="auto"/>
            <w:noWrap/>
            <w:vAlign w:val="center"/>
            <w:hideMark/>
          </w:tcPr>
          <w:p w14:paraId="6151950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295" w:type="dxa"/>
            <w:shd w:val="clear" w:color="auto" w:fill="auto"/>
            <w:noWrap/>
            <w:vAlign w:val="center"/>
            <w:hideMark/>
          </w:tcPr>
          <w:p w14:paraId="11CE2DD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2DC263B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1577EA3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-.76</w:t>
            </w:r>
          </w:p>
        </w:tc>
        <w:tc>
          <w:tcPr>
            <w:tcW w:w="1295" w:type="dxa"/>
            <w:shd w:val="clear" w:color="auto" w:fill="auto"/>
            <w:noWrap/>
            <w:vAlign w:val="center"/>
            <w:hideMark/>
          </w:tcPr>
          <w:p w14:paraId="346173E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3.67</w:t>
            </w:r>
          </w:p>
        </w:tc>
      </w:tr>
      <w:tr w:rsidR="00E6060C" w:rsidRPr="00E6060C" w14:paraId="5DF0E271" w14:textId="77777777" w:rsidTr="00E6060C">
        <w:trPr>
          <w:trHeight w:val="295"/>
        </w:trPr>
        <w:tc>
          <w:tcPr>
            <w:tcW w:w="2531" w:type="dxa"/>
            <w:shd w:val="clear" w:color="auto" w:fill="auto"/>
            <w:noWrap/>
            <w:vAlign w:val="bottom"/>
            <w:hideMark/>
          </w:tcPr>
          <w:p w14:paraId="4A6D0D55"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 xml:space="preserve">Relatedness </w:t>
            </w:r>
          </w:p>
        </w:tc>
        <w:tc>
          <w:tcPr>
            <w:tcW w:w="904" w:type="dxa"/>
            <w:shd w:val="clear" w:color="auto" w:fill="auto"/>
            <w:noWrap/>
            <w:vAlign w:val="center"/>
            <w:hideMark/>
          </w:tcPr>
          <w:p w14:paraId="54A5606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211</w:t>
            </w:r>
          </w:p>
        </w:tc>
        <w:tc>
          <w:tcPr>
            <w:tcW w:w="1264" w:type="dxa"/>
            <w:shd w:val="clear" w:color="auto" w:fill="auto"/>
            <w:noWrap/>
            <w:vAlign w:val="center"/>
            <w:hideMark/>
          </w:tcPr>
          <w:p w14:paraId="67711AA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3.88</w:t>
            </w:r>
          </w:p>
        </w:tc>
        <w:tc>
          <w:tcPr>
            <w:tcW w:w="1264" w:type="dxa"/>
            <w:shd w:val="clear" w:color="auto" w:fill="auto"/>
            <w:noWrap/>
            <w:vAlign w:val="center"/>
            <w:hideMark/>
          </w:tcPr>
          <w:p w14:paraId="791939F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.80</w:t>
            </w:r>
          </w:p>
        </w:tc>
        <w:tc>
          <w:tcPr>
            <w:tcW w:w="1264" w:type="dxa"/>
            <w:shd w:val="clear" w:color="auto" w:fill="auto"/>
            <w:noWrap/>
            <w:vAlign w:val="center"/>
            <w:hideMark/>
          </w:tcPr>
          <w:p w14:paraId="57D1676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.05</w:t>
            </w:r>
          </w:p>
        </w:tc>
        <w:tc>
          <w:tcPr>
            <w:tcW w:w="1294" w:type="dxa"/>
            <w:shd w:val="clear" w:color="auto" w:fill="auto"/>
            <w:noWrap/>
            <w:vAlign w:val="center"/>
            <w:hideMark/>
          </w:tcPr>
          <w:p w14:paraId="1779074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295" w:type="dxa"/>
            <w:shd w:val="clear" w:color="auto" w:fill="auto"/>
            <w:noWrap/>
            <w:vAlign w:val="center"/>
            <w:hideMark/>
          </w:tcPr>
          <w:p w14:paraId="19190A5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70AF1D8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090D718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-.91</w:t>
            </w:r>
          </w:p>
        </w:tc>
        <w:tc>
          <w:tcPr>
            <w:tcW w:w="1295" w:type="dxa"/>
            <w:shd w:val="clear" w:color="auto" w:fill="auto"/>
            <w:noWrap/>
            <w:vAlign w:val="center"/>
            <w:hideMark/>
          </w:tcPr>
          <w:p w14:paraId="63CA2B6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1.77</w:t>
            </w:r>
          </w:p>
        </w:tc>
      </w:tr>
      <w:tr w:rsidR="00E6060C" w:rsidRPr="00E6060C" w14:paraId="6AAD691E" w14:textId="77777777" w:rsidTr="00E6060C">
        <w:trPr>
          <w:trHeight w:val="295"/>
        </w:trPr>
        <w:tc>
          <w:tcPr>
            <w:tcW w:w="2531" w:type="dxa"/>
            <w:shd w:val="clear" w:color="auto" w:fill="auto"/>
            <w:noWrap/>
            <w:vAlign w:val="bottom"/>
            <w:hideMark/>
          </w:tcPr>
          <w:p w14:paraId="7D2BEDD3"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Work-related basic needs</w:t>
            </w:r>
          </w:p>
        </w:tc>
        <w:tc>
          <w:tcPr>
            <w:tcW w:w="904" w:type="dxa"/>
            <w:shd w:val="clear" w:color="auto" w:fill="auto"/>
            <w:noWrap/>
            <w:vAlign w:val="center"/>
            <w:hideMark/>
          </w:tcPr>
          <w:p w14:paraId="194FC39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211</w:t>
            </w:r>
          </w:p>
        </w:tc>
        <w:tc>
          <w:tcPr>
            <w:tcW w:w="1264" w:type="dxa"/>
            <w:shd w:val="clear" w:color="auto" w:fill="auto"/>
            <w:noWrap/>
            <w:vAlign w:val="center"/>
            <w:hideMark/>
          </w:tcPr>
          <w:p w14:paraId="241069E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264" w:type="dxa"/>
            <w:shd w:val="clear" w:color="auto" w:fill="auto"/>
            <w:noWrap/>
            <w:vAlign w:val="center"/>
            <w:hideMark/>
          </w:tcPr>
          <w:p w14:paraId="24BC87A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.59</w:t>
            </w:r>
          </w:p>
        </w:tc>
        <w:tc>
          <w:tcPr>
            <w:tcW w:w="1264" w:type="dxa"/>
            <w:shd w:val="clear" w:color="auto" w:fill="auto"/>
            <w:noWrap/>
            <w:vAlign w:val="center"/>
            <w:hideMark/>
          </w:tcPr>
          <w:p w14:paraId="6FAD1AB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.04</w:t>
            </w:r>
          </w:p>
        </w:tc>
        <w:tc>
          <w:tcPr>
            <w:tcW w:w="1294" w:type="dxa"/>
            <w:shd w:val="clear" w:color="auto" w:fill="auto"/>
            <w:noWrap/>
            <w:vAlign w:val="center"/>
            <w:hideMark/>
          </w:tcPr>
          <w:p w14:paraId="5EE69A6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4.00</w:t>
            </w:r>
          </w:p>
        </w:tc>
        <w:tc>
          <w:tcPr>
            <w:tcW w:w="1295" w:type="dxa"/>
            <w:shd w:val="clear" w:color="auto" w:fill="auto"/>
            <w:noWrap/>
            <w:vAlign w:val="center"/>
            <w:hideMark/>
          </w:tcPr>
          <w:p w14:paraId="4FBF071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6E7EC4E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516" w:type="dxa"/>
            <w:shd w:val="clear" w:color="auto" w:fill="auto"/>
            <w:noWrap/>
            <w:vAlign w:val="center"/>
            <w:hideMark/>
          </w:tcPr>
          <w:p w14:paraId="1053E44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-.75</w:t>
            </w:r>
          </w:p>
        </w:tc>
        <w:tc>
          <w:tcPr>
            <w:tcW w:w="1295" w:type="dxa"/>
            <w:shd w:val="clear" w:color="auto" w:fill="auto"/>
            <w:noWrap/>
            <w:vAlign w:val="center"/>
            <w:hideMark/>
          </w:tcPr>
          <w:p w14:paraId="7D6A1B7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2.67</w:t>
            </w:r>
          </w:p>
        </w:tc>
      </w:tr>
      <w:tr w:rsidR="00E6060C" w:rsidRPr="00E6060C" w14:paraId="3B78F639" w14:textId="77777777" w:rsidTr="00E6060C">
        <w:trPr>
          <w:trHeight w:val="295"/>
        </w:trPr>
        <w:tc>
          <w:tcPr>
            <w:tcW w:w="2531" w:type="dxa"/>
            <w:shd w:val="clear" w:color="auto" w:fill="auto"/>
            <w:noWrap/>
            <w:vAlign w:val="bottom"/>
            <w:hideMark/>
          </w:tcPr>
          <w:p w14:paraId="19A69485"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Vigour</w:t>
            </w:r>
          </w:p>
        </w:tc>
        <w:tc>
          <w:tcPr>
            <w:tcW w:w="904" w:type="dxa"/>
            <w:shd w:val="clear" w:color="auto" w:fill="auto"/>
            <w:noWrap/>
            <w:vAlign w:val="center"/>
            <w:hideMark/>
          </w:tcPr>
          <w:p w14:paraId="269C660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209</w:t>
            </w:r>
          </w:p>
        </w:tc>
        <w:tc>
          <w:tcPr>
            <w:tcW w:w="1264" w:type="dxa"/>
            <w:shd w:val="clear" w:color="auto" w:fill="auto"/>
            <w:noWrap/>
            <w:vAlign w:val="center"/>
            <w:hideMark/>
          </w:tcPr>
          <w:p w14:paraId="59028E0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4.82</w:t>
            </w:r>
          </w:p>
        </w:tc>
        <w:tc>
          <w:tcPr>
            <w:tcW w:w="1264" w:type="dxa"/>
            <w:shd w:val="clear" w:color="auto" w:fill="auto"/>
            <w:noWrap/>
            <w:vAlign w:val="center"/>
            <w:hideMark/>
          </w:tcPr>
          <w:p w14:paraId="520F95E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1.66</w:t>
            </w:r>
          </w:p>
        </w:tc>
        <w:tc>
          <w:tcPr>
            <w:tcW w:w="1264" w:type="dxa"/>
            <w:shd w:val="clear" w:color="auto" w:fill="auto"/>
            <w:noWrap/>
            <w:vAlign w:val="center"/>
            <w:hideMark/>
          </w:tcPr>
          <w:p w14:paraId="3AF7C12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.11</w:t>
            </w:r>
          </w:p>
        </w:tc>
        <w:tc>
          <w:tcPr>
            <w:tcW w:w="1294" w:type="dxa"/>
            <w:shd w:val="clear" w:color="auto" w:fill="auto"/>
            <w:noWrap/>
            <w:vAlign w:val="center"/>
            <w:hideMark/>
          </w:tcPr>
          <w:p w14:paraId="4DBA9C8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5.00</w:t>
            </w:r>
          </w:p>
        </w:tc>
        <w:tc>
          <w:tcPr>
            <w:tcW w:w="1295" w:type="dxa"/>
            <w:shd w:val="clear" w:color="auto" w:fill="auto"/>
            <w:noWrap/>
            <w:vAlign w:val="center"/>
            <w:hideMark/>
          </w:tcPr>
          <w:p w14:paraId="0B140EA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1B832989"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7.00</w:t>
            </w:r>
          </w:p>
        </w:tc>
        <w:tc>
          <w:tcPr>
            <w:tcW w:w="1516" w:type="dxa"/>
            <w:shd w:val="clear" w:color="auto" w:fill="auto"/>
            <w:noWrap/>
            <w:vAlign w:val="center"/>
            <w:hideMark/>
          </w:tcPr>
          <w:p w14:paraId="11DD32D5"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-.50</w:t>
            </w:r>
          </w:p>
        </w:tc>
        <w:tc>
          <w:tcPr>
            <w:tcW w:w="1295" w:type="dxa"/>
            <w:shd w:val="clear" w:color="auto" w:fill="auto"/>
            <w:noWrap/>
            <w:vAlign w:val="center"/>
            <w:hideMark/>
          </w:tcPr>
          <w:p w14:paraId="6DF3C27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w:t>
            </w:r>
          </w:p>
        </w:tc>
      </w:tr>
      <w:tr w:rsidR="00E6060C" w:rsidRPr="00E6060C" w14:paraId="13BDD32D" w14:textId="77777777" w:rsidTr="00E6060C">
        <w:trPr>
          <w:trHeight w:val="295"/>
        </w:trPr>
        <w:tc>
          <w:tcPr>
            <w:tcW w:w="2531" w:type="dxa"/>
            <w:shd w:val="clear" w:color="auto" w:fill="auto"/>
            <w:noWrap/>
            <w:vAlign w:val="bottom"/>
            <w:hideMark/>
          </w:tcPr>
          <w:p w14:paraId="2A8AC731"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Dedication</w:t>
            </w:r>
          </w:p>
        </w:tc>
        <w:tc>
          <w:tcPr>
            <w:tcW w:w="904" w:type="dxa"/>
            <w:shd w:val="clear" w:color="auto" w:fill="auto"/>
            <w:noWrap/>
            <w:vAlign w:val="center"/>
            <w:hideMark/>
          </w:tcPr>
          <w:p w14:paraId="29087E8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211</w:t>
            </w:r>
          </w:p>
        </w:tc>
        <w:tc>
          <w:tcPr>
            <w:tcW w:w="1264" w:type="dxa"/>
            <w:shd w:val="clear" w:color="auto" w:fill="auto"/>
            <w:noWrap/>
            <w:vAlign w:val="center"/>
            <w:hideMark/>
          </w:tcPr>
          <w:p w14:paraId="45EA4E0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5.81</w:t>
            </w:r>
          </w:p>
        </w:tc>
        <w:tc>
          <w:tcPr>
            <w:tcW w:w="1264" w:type="dxa"/>
            <w:shd w:val="clear" w:color="auto" w:fill="auto"/>
            <w:noWrap/>
            <w:vAlign w:val="center"/>
            <w:hideMark/>
          </w:tcPr>
          <w:p w14:paraId="48BFD4E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1.28</w:t>
            </w:r>
          </w:p>
        </w:tc>
        <w:tc>
          <w:tcPr>
            <w:tcW w:w="1264" w:type="dxa"/>
            <w:shd w:val="clear" w:color="auto" w:fill="auto"/>
            <w:noWrap/>
            <w:vAlign w:val="center"/>
            <w:hideMark/>
          </w:tcPr>
          <w:p w14:paraId="02579FE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.09</w:t>
            </w:r>
          </w:p>
        </w:tc>
        <w:tc>
          <w:tcPr>
            <w:tcW w:w="1294" w:type="dxa"/>
            <w:shd w:val="clear" w:color="auto" w:fill="auto"/>
            <w:noWrap/>
            <w:vAlign w:val="center"/>
            <w:hideMark/>
          </w:tcPr>
          <w:p w14:paraId="769D14C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6.33</w:t>
            </w:r>
          </w:p>
        </w:tc>
        <w:tc>
          <w:tcPr>
            <w:tcW w:w="1295" w:type="dxa"/>
            <w:shd w:val="clear" w:color="auto" w:fill="auto"/>
            <w:noWrap/>
            <w:vAlign w:val="center"/>
            <w:hideMark/>
          </w:tcPr>
          <w:p w14:paraId="0334518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09274F21"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7.00</w:t>
            </w:r>
          </w:p>
        </w:tc>
        <w:tc>
          <w:tcPr>
            <w:tcW w:w="1516" w:type="dxa"/>
            <w:shd w:val="clear" w:color="auto" w:fill="auto"/>
            <w:noWrap/>
            <w:vAlign w:val="center"/>
            <w:hideMark/>
          </w:tcPr>
          <w:p w14:paraId="44135E3C"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-1.26</w:t>
            </w:r>
          </w:p>
        </w:tc>
        <w:tc>
          <w:tcPr>
            <w:tcW w:w="1295" w:type="dxa"/>
            <w:shd w:val="clear" w:color="auto" w:fill="auto"/>
            <w:noWrap/>
            <w:vAlign w:val="center"/>
            <w:hideMark/>
          </w:tcPr>
          <w:p w14:paraId="36130BF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1.64</w:t>
            </w:r>
          </w:p>
        </w:tc>
      </w:tr>
      <w:tr w:rsidR="00E6060C" w:rsidRPr="00E6060C" w14:paraId="56F1965B" w14:textId="77777777" w:rsidTr="00E6060C">
        <w:trPr>
          <w:trHeight w:val="295"/>
        </w:trPr>
        <w:tc>
          <w:tcPr>
            <w:tcW w:w="2531" w:type="dxa"/>
            <w:shd w:val="clear" w:color="auto" w:fill="auto"/>
            <w:noWrap/>
            <w:vAlign w:val="bottom"/>
            <w:hideMark/>
          </w:tcPr>
          <w:p w14:paraId="745B28C8"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Absorption</w:t>
            </w:r>
          </w:p>
        </w:tc>
        <w:tc>
          <w:tcPr>
            <w:tcW w:w="904" w:type="dxa"/>
            <w:shd w:val="clear" w:color="auto" w:fill="auto"/>
            <w:noWrap/>
            <w:vAlign w:val="center"/>
            <w:hideMark/>
          </w:tcPr>
          <w:p w14:paraId="68386CC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209</w:t>
            </w:r>
          </w:p>
        </w:tc>
        <w:tc>
          <w:tcPr>
            <w:tcW w:w="1264" w:type="dxa"/>
            <w:shd w:val="clear" w:color="auto" w:fill="auto"/>
            <w:noWrap/>
            <w:vAlign w:val="center"/>
            <w:hideMark/>
          </w:tcPr>
          <w:p w14:paraId="57B1EC54"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5.28</w:t>
            </w:r>
          </w:p>
        </w:tc>
        <w:tc>
          <w:tcPr>
            <w:tcW w:w="1264" w:type="dxa"/>
            <w:shd w:val="clear" w:color="auto" w:fill="auto"/>
            <w:noWrap/>
            <w:vAlign w:val="center"/>
            <w:hideMark/>
          </w:tcPr>
          <w:p w14:paraId="5FC42AC8"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1.48</w:t>
            </w:r>
          </w:p>
        </w:tc>
        <w:tc>
          <w:tcPr>
            <w:tcW w:w="1264" w:type="dxa"/>
            <w:shd w:val="clear" w:color="auto" w:fill="auto"/>
            <w:noWrap/>
            <w:vAlign w:val="center"/>
            <w:hideMark/>
          </w:tcPr>
          <w:p w14:paraId="03AA13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w:t>
            </w:r>
          </w:p>
        </w:tc>
        <w:tc>
          <w:tcPr>
            <w:tcW w:w="1294" w:type="dxa"/>
            <w:shd w:val="clear" w:color="auto" w:fill="auto"/>
            <w:noWrap/>
            <w:vAlign w:val="center"/>
            <w:hideMark/>
          </w:tcPr>
          <w:p w14:paraId="2EB8DF9F"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5.33</w:t>
            </w:r>
          </w:p>
        </w:tc>
        <w:tc>
          <w:tcPr>
            <w:tcW w:w="1295" w:type="dxa"/>
            <w:shd w:val="clear" w:color="auto" w:fill="auto"/>
            <w:noWrap/>
            <w:vAlign w:val="center"/>
            <w:hideMark/>
          </w:tcPr>
          <w:p w14:paraId="05679D20"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shd w:val="clear" w:color="auto" w:fill="auto"/>
            <w:noWrap/>
            <w:vAlign w:val="center"/>
            <w:hideMark/>
          </w:tcPr>
          <w:p w14:paraId="7303773D"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7.00</w:t>
            </w:r>
          </w:p>
        </w:tc>
        <w:tc>
          <w:tcPr>
            <w:tcW w:w="1516" w:type="dxa"/>
            <w:shd w:val="clear" w:color="auto" w:fill="auto"/>
            <w:noWrap/>
            <w:vAlign w:val="center"/>
            <w:hideMark/>
          </w:tcPr>
          <w:p w14:paraId="67025C3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-.76</w:t>
            </w:r>
          </w:p>
        </w:tc>
        <w:tc>
          <w:tcPr>
            <w:tcW w:w="1295" w:type="dxa"/>
            <w:shd w:val="clear" w:color="auto" w:fill="auto"/>
            <w:noWrap/>
            <w:vAlign w:val="center"/>
            <w:hideMark/>
          </w:tcPr>
          <w:p w14:paraId="609889F6"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w:t>
            </w:r>
          </w:p>
        </w:tc>
      </w:tr>
      <w:tr w:rsidR="00E6060C" w:rsidRPr="00E6060C" w14:paraId="3315988D" w14:textId="77777777" w:rsidTr="00E6060C">
        <w:trPr>
          <w:trHeight w:val="295"/>
        </w:trPr>
        <w:tc>
          <w:tcPr>
            <w:tcW w:w="2531" w:type="dxa"/>
            <w:tcBorders>
              <w:bottom w:val="single" w:sz="4" w:space="0" w:color="auto"/>
            </w:tcBorders>
            <w:shd w:val="clear" w:color="auto" w:fill="auto"/>
            <w:noWrap/>
            <w:vAlign w:val="bottom"/>
            <w:hideMark/>
          </w:tcPr>
          <w:p w14:paraId="0D2201CB" w14:textId="77777777" w:rsidR="00E6060C" w:rsidRPr="00E6060C" w:rsidRDefault="00E6060C" w:rsidP="00E6060C">
            <w:pPr>
              <w:spacing w:line="240" w:lineRule="auto"/>
              <w:rPr>
                <w:rFonts w:ascii="Calibri" w:eastAsia="Times New Roman" w:hAnsi="Calibri" w:cs="Times New Roman"/>
                <w:b/>
                <w:color w:val="000000"/>
                <w:lang w:eastAsia="en-GB"/>
              </w:rPr>
            </w:pPr>
            <w:r w:rsidRPr="00E6060C">
              <w:rPr>
                <w:rFonts w:ascii="Calibri" w:eastAsia="Times New Roman" w:hAnsi="Calibri" w:cs="Times New Roman"/>
                <w:b/>
                <w:color w:val="000000"/>
                <w:lang w:eastAsia="en-GB"/>
              </w:rPr>
              <w:t>Work engagement</w:t>
            </w:r>
          </w:p>
        </w:tc>
        <w:tc>
          <w:tcPr>
            <w:tcW w:w="904" w:type="dxa"/>
            <w:tcBorders>
              <w:bottom w:val="single" w:sz="4" w:space="0" w:color="auto"/>
            </w:tcBorders>
            <w:shd w:val="clear" w:color="auto" w:fill="auto"/>
            <w:noWrap/>
            <w:vAlign w:val="center"/>
            <w:hideMark/>
          </w:tcPr>
          <w:p w14:paraId="6CAB8F5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209</w:t>
            </w:r>
          </w:p>
        </w:tc>
        <w:tc>
          <w:tcPr>
            <w:tcW w:w="1264" w:type="dxa"/>
            <w:tcBorders>
              <w:bottom w:val="single" w:sz="4" w:space="0" w:color="auto"/>
            </w:tcBorders>
            <w:shd w:val="clear" w:color="auto" w:fill="auto"/>
            <w:noWrap/>
            <w:vAlign w:val="center"/>
            <w:hideMark/>
          </w:tcPr>
          <w:p w14:paraId="0CA6676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5.30</w:t>
            </w:r>
          </w:p>
        </w:tc>
        <w:tc>
          <w:tcPr>
            <w:tcW w:w="1264" w:type="dxa"/>
            <w:tcBorders>
              <w:bottom w:val="single" w:sz="4" w:space="0" w:color="auto"/>
            </w:tcBorders>
            <w:shd w:val="clear" w:color="auto" w:fill="auto"/>
            <w:noWrap/>
            <w:vAlign w:val="center"/>
            <w:hideMark/>
          </w:tcPr>
          <w:p w14:paraId="66D9A4D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1.32</w:t>
            </w:r>
          </w:p>
        </w:tc>
        <w:tc>
          <w:tcPr>
            <w:tcW w:w="1264" w:type="dxa"/>
            <w:tcBorders>
              <w:bottom w:val="single" w:sz="4" w:space="0" w:color="auto"/>
            </w:tcBorders>
            <w:shd w:val="clear" w:color="auto" w:fill="auto"/>
            <w:noWrap/>
            <w:vAlign w:val="center"/>
            <w:hideMark/>
          </w:tcPr>
          <w:p w14:paraId="4694F44A"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.09</w:t>
            </w:r>
          </w:p>
        </w:tc>
        <w:tc>
          <w:tcPr>
            <w:tcW w:w="1294" w:type="dxa"/>
            <w:tcBorders>
              <w:bottom w:val="single" w:sz="4" w:space="0" w:color="auto"/>
            </w:tcBorders>
            <w:shd w:val="clear" w:color="auto" w:fill="auto"/>
            <w:noWrap/>
            <w:vAlign w:val="center"/>
            <w:hideMark/>
          </w:tcPr>
          <w:p w14:paraId="5B6C9937"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5.56</w:t>
            </w:r>
          </w:p>
        </w:tc>
        <w:tc>
          <w:tcPr>
            <w:tcW w:w="1295" w:type="dxa"/>
            <w:tcBorders>
              <w:bottom w:val="single" w:sz="4" w:space="0" w:color="auto"/>
            </w:tcBorders>
            <w:shd w:val="clear" w:color="auto" w:fill="auto"/>
            <w:noWrap/>
            <w:vAlign w:val="center"/>
            <w:hideMark/>
          </w:tcPr>
          <w:p w14:paraId="703EC71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1.00</w:t>
            </w:r>
          </w:p>
        </w:tc>
        <w:tc>
          <w:tcPr>
            <w:tcW w:w="1295" w:type="dxa"/>
            <w:tcBorders>
              <w:bottom w:val="single" w:sz="4" w:space="0" w:color="auto"/>
            </w:tcBorders>
            <w:shd w:val="clear" w:color="auto" w:fill="auto"/>
            <w:noWrap/>
            <w:vAlign w:val="center"/>
            <w:hideMark/>
          </w:tcPr>
          <w:p w14:paraId="3369B892"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7.00</w:t>
            </w:r>
          </w:p>
        </w:tc>
        <w:tc>
          <w:tcPr>
            <w:tcW w:w="1516" w:type="dxa"/>
            <w:tcBorders>
              <w:bottom w:val="single" w:sz="4" w:space="0" w:color="auto"/>
            </w:tcBorders>
            <w:shd w:val="clear" w:color="auto" w:fill="auto"/>
            <w:noWrap/>
            <w:vAlign w:val="center"/>
            <w:hideMark/>
          </w:tcPr>
          <w:p w14:paraId="79DA7773"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-.76</w:t>
            </w:r>
          </w:p>
        </w:tc>
        <w:tc>
          <w:tcPr>
            <w:tcW w:w="1295" w:type="dxa"/>
            <w:tcBorders>
              <w:bottom w:val="single" w:sz="4" w:space="0" w:color="auto"/>
            </w:tcBorders>
            <w:shd w:val="clear" w:color="auto" w:fill="auto"/>
            <w:noWrap/>
            <w:vAlign w:val="center"/>
            <w:hideMark/>
          </w:tcPr>
          <w:p w14:paraId="4D2582BE" w14:textId="77777777" w:rsidR="00E6060C" w:rsidRPr="00E6060C" w:rsidRDefault="00E6060C" w:rsidP="00E6060C">
            <w:pPr>
              <w:spacing w:line="240" w:lineRule="auto"/>
              <w:jc w:val="center"/>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.16</w:t>
            </w:r>
          </w:p>
        </w:tc>
      </w:tr>
    </w:tbl>
    <w:p w14:paraId="5E8A37C8" w14:textId="77777777" w:rsidR="00E6060C" w:rsidRPr="00E6060C" w:rsidRDefault="00E6060C" w:rsidP="005852AD">
      <w:pPr>
        <w:spacing w:after="200" w:line="240" w:lineRule="auto"/>
        <w:contextualSpacing/>
        <w:rPr>
          <w:rFonts w:ascii="Calibri" w:eastAsia="Calibri" w:hAnsi="Calibri" w:cs="Times New Roman"/>
        </w:rPr>
      </w:pPr>
      <w:r w:rsidRPr="00E6060C">
        <w:rPr>
          <w:rFonts w:ascii="Calibri" w:eastAsia="Calibri" w:hAnsi="Calibri" w:cs="Times New Roman"/>
          <w:b/>
          <w:i/>
        </w:rPr>
        <w:t xml:space="preserve">Notes: </w:t>
      </w:r>
      <w:r w:rsidRPr="00E6060C">
        <w:rPr>
          <w:rFonts w:ascii="Calibri" w:eastAsia="Calibri" w:hAnsi="Calibri" w:cs="Times New Roman"/>
        </w:rPr>
        <w:t>*These variables were measured on a scale of 1-5. All other variables were measured on a scale of 1-7; SD=standard deviation of the mean; SE=standard error of the mean; Min=minimum value; Max=maximum value</w:t>
      </w:r>
    </w:p>
    <w:p w14:paraId="778AD655" w14:textId="77777777" w:rsidR="00E6060C" w:rsidRPr="00E6060C" w:rsidRDefault="00E6060C" w:rsidP="00E6060C">
      <w:pPr>
        <w:spacing w:after="200" w:line="276" w:lineRule="auto"/>
        <w:rPr>
          <w:rFonts w:ascii="Calibri" w:eastAsia="Calibri" w:hAnsi="Calibri" w:cs="Times New Roman"/>
        </w:rPr>
      </w:pPr>
    </w:p>
    <w:p w14:paraId="244D838D" w14:textId="77777777" w:rsidR="00E6060C" w:rsidRPr="00E6060C" w:rsidRDefault="00E6060C" w:rsidP="00E6060C">
      <w:pPr>
        <w:spacing w:after="200" w:line="276" w:lineRule="auto"/>
        <w:rPr>
          <w:rFonts w:ascii="Calibri" w:eastAsia="Calibri" w:hAnsi="Calibri" w:cs="Times New Roman"/>
        </w:rPr>
      </w:pPr>
    </w:p>
    <w:p w14:paraId="4CBC77B0" w14:textId="77777777" w:rsidR="00E6060C" w:rsidRPr="00E6060C" w:rsidRDefault="00E6060C" w:rsidP="00E6060C">
      <w:pPr>
        <w:spacing w:after="200" w:line="276" w:lineRule="auto"/>
        <w:rPr>
          <w:rFonts w:ascii="Calibri" w:eastAsia="Calibri" w:hAnsi="Calibri" w:cs="Times New Roman"/>
        </w:rPr>
        <w:sectPr w:rsidR="00E6060C" w:rsidRPr="00E6060C" w:rsidSect="00E6060C">
          <w:pgSz w:w="16838" w:h="11906" w:orient="landscape"/>
          <w:pgMar w:top="1440" w:right="1440" w:bottom="1440" w:left="1440" w:header="709" w:footer="709" w:gutter="0"/>
          <w:cols w:space="708"/>
          <w:titlePg/>
          <w:docGrid w:linePitch="360"/>
        </w:sectPr>
      </w:pPr>
    </w:p>
    <w:p w14:paraId="75486F01" w14:textId="7B76CE92" w:rsidR="00E6060C" w:rsidRPr="00E6060C" w:rsidRDefault="00E6060C" w:rsidP="0009618B">
      <w:pPr>
        <w:pStyle w:val="Heading3"/>
      </w:pPr>
      <w:bookmarkStart w:id="477" w:name="_Toc468286021"/>
      <w:r w:rsidRPr="00E6060C">
        <w:lastRenderedPageBreak/>
        <w:t>Testing for systematic differences between the demographic variables and the research variables</w:t>
      </w:r>
      <w:bookmarkEnd w:id="477"/>
    </w:p>
    <w:p w14:paraId="76D771EB" w14:textId="77777777" w:rsidR="00E6060C" w:rsidRPr="00E6060C" w:rsidRDefault="00E6060C" w:rsidP="00E6060C">
      <w:pPr>
        <w:spacing w:after="200" w:line="360" w:lineRule="auto"/>
        <w:contextualSpacing/>
        <w:rPr>
          <w:rFonts w:ascii="Calibri" w:eastAsia="Calibri" w:hAnsi="Calibri" w:cs="Times New Roman"/>
          <w:i/>
          <w:color w:val="000000"/>
        </w:rPr>
      </w:pPr>
    </w:p>
    <w:p w14:paraId="423A4E9D" w14:textId="1858F010" w:rsidR="00E6060C" w:rsidRPr="00E6060C" w:rsidRDefault="00E6060C" w:rsidP="00E6060C">
      <w:pPr>
        <w:spacing w:after="200" w:line="360" w:lineRule="auto"/>
        <w:contextualSpacing/>
        <w:rPr>
          <w:rFonts w:ascii="Calibri" w:eastAsia="Calibri" w:hAnsi="Calibri" w:cs="Times New Roman"/>
          <w:color w:val="000000"/>
        </w:rPr>
      </w:pPr>
      <w:r w:rsidRPr="00E6060C">
        <w:rPr>
          <w:rFonts w:ascii="Calibri" w:eastAsia="Calibri" w:hAnsi="Calibri" w:cs="Times New Roman"/>
          <w:color w:val="000000"/>
        </w:rPr>
        <w:t xml:space="preserve">Independent samples </w:t>
      </w:r>
      <w:r w:rsidRPr="00E6060C">
        <w:rPr>
          <w:rFonts w:ascii="Calibri" w:eastAsia="Calibri" w:hAnsi="Calibri" w:cs="Times New Roman"/>
          <w:i/>
          <w:color w:val="000000"/>
        </w:rPr>
        <w:t>t</w:t>
      </w:r>
      <w:r w:rsidRPr="00E6060C">
        <w:rPr>
          <w:rFonts w:ascii="Calibri" w:eastAsia="Calibri" w:hAnsi="Calibri" w:cs="Times New Roman"/>
          <w:color w:val="000000"/>
        </w:rPr>
        <w:t xml:space="preserve">-testing was employed to determine whether there were systematic, as opposed to random, differences between the Time 1 and Time 2 samples on any of the demographic or research variables. This was important as variables displaying systematic differences would need controlling for in the mediation analyses to minimise biased results. Results revealed that there were significant differences between Time 1 and Time 2 for work engagement, mean difference=.52, </w:t>
      </w:r>
      <w:r w:rsidRPr="00E6060C">
        <w:rPr>
          <w:rFonts w:ascii="Calibri" w:eastAsia="Calibri" w:hAnsi="Calibri" w:cs="Times New Roman"/>
          <w:i/>
          <w:color w:val="000000"/>
        </w:rPr>
        <w:t>t</w:t>
      </w:r>
      <w:r w:rsidRPr="00E6060C">
        <w:rPr>
          <w:rFonts w:ascii="Calibri" w:eastAsia="Calibri" w:hAnsi="Calibri" w:cs="Times New Roman"/>
          <w:color w:val="000000"/>
        </w:rPr>
        <w:t xml:space="preserve">(207)=2.156, </w:t>
      </w:r>
      <w:r w:rsidRPr="00E6060C">
        <w:rPr>
          <w:rFonts w:ascii="Calibri" w:eastAsia="Calibri" w:hAnsi="Calibri" w:cs="Times New Roman"/>
          <w:i/>
          <w:color w:val="000000"/>
        </w:rPr>
        <w:t>p</w:t>
      </w:r>
      <w:r w:rsidRPr="00E6060C">
        <w:rPr>
          <w:rFonts w:ascii="Calibri" w:eastAsia="Calibri" w:hAnsi="Calibri" w:cs="Times New Roman"/>
          <w:color w:val="000000"/>
        </w:rPr>
        <w:t xml:space="preserve">=.032, 95%-CI, </w:t>
      </w:r>
      <w:r w:rsidRPr="00E6060C">
        <w:rPr>
          <w:rFonts w:ascii="Calibri" w:eastAsia="Calibri" w:hAnsi="Calibri" w:cs="Times New Roman"/>
          <w:i/>
          <w:color w:val="000000"/>
        </w:rPr>
        <w:t>LL</w:t>
      </w:r>
      <w:r w:rsidRPr="00E6060C">
        <w:rPr>
          <w:rFonts w:ascii="Calibri" w:eastAsia="Calibri" w:hAnsi="Calibri" w:cs="Times New Roman"/>
          <w:color w:val="000000"/>
        </w:rPr>
        <w:t xml:space="preserve">, .04, </w:t>
      </w:r>
      <w:r w:rsidRPr="00E6060C">
        <w:rPr>
          <w:rFonts w:ascii="Calibri" w:eastAsia="Calibri" w:hAnsi="Calibri" w:cs="Times New Roman"/>
          <w:i/>
          <w:color w:val="000000"/>
        </w:rPr>
        <w:t>UL</w:t>
      </w:r>
      <w:r w:rsidR="00C44073">
        <w:rPr>
          <w:rFonts w:ascii="Calibri" w:eastAsia="Calibri" w:hAnsi="Calibri" w:cs="Times New Roman"/>
          <w:color w:val="000000"/>
        </w:rPr>
        <w:t>, 1.00, with respondents at T</w:t>
      </w:r>
      <w:r w:rsidRPr="00E6060C">
        <w:rPr>
          <w:rFonts w:ascii="Calibri" w:eastAsia="Calibri" w:hAnsi="Calibri" w:cs="Times New Roman"/>
          <w:color w:val="000000"/>
        </w:rPr>
        <w:t>ime 1 (</w:t>
      </w:r>
      <w:r w:rsidR="00F31223">
        <w:rPr>
          <w:rFonts w:ascii="Calibri" w:eastAsia="Calibri" w:hAnsi="Calibri" w:cs="Times New Roman"/>
          <w:color w:val="000000"/>
        </w:rPr>
        <w:t>Mean</w:t>
      </w:r>
      <w:r w:rsidRPr="00E6060C">
        <w:rPr>
          <w:rFonts w:ascii="Calibri" w:eastAsia="Calibri" w:hAnsi="Calibri" w:cs="Times New Roman"/>
          <w:color w:val="000000"/>
        </w:rPr>
        <w:t xml:space="preserve">=5.39, </w:t>
      </w:r>
      <w:r w:rsidRPr="00E6060C">
        <w:rPr>
          <w:rFonts w:ascii="Calibri" w:eastAsia="Calibri" w:hAnsi="Calibri" w:cs="Times New Roman"/>
          <w:i/>
          <w:color w:val="000000"/>
        </w:rPr>
        <w:t>SD</w:t>
      </w:r>
      <w:r w:rsidRPr="00E6060C">
        <w:rPr>
          <w:rFonts w:ascii="Calibri" w:eastAsia="Calibri" w:hAnsi="Calibri" w:cs="Times New Roman"/>
          <w:color w:val="000000"/>
        </w:rPr>
        <w:t xml:space="preserve">=1.27) reporting higher work engagement than those at </w:t>
      </w:r>
      <w:r w:rsidR="00C44073">
        <w:rPr>
          <w:rFonts w:ascii="Calibri" w:eastAsia="Calibri" w:hAnsi="Calibri" w:cs="Times New Roman"/>
          <w:color w:val="000000"/>
        </w:rPr>
        <w:t>T</w:t>
      </w:r>
      <w:r w:rsidRPr="00E6060C">
        <w:rPr>
          <w:rFonts w:ascii="Calibri" w:eastAsia="Calibri" w:hAnsi="Calibri" w:cs="Times New Roman"/>
          <w:color w:val="000000"/>
        </w:rPr>
        <w:t>ime 2 (</w:t>
      </w:r>
      <w:r w:rsidR="00F31223">
        <w:rPr>
          <w:rFonts w:ascii="Calibri" w:eastAsia="Calibri" w:hAnsi="Calibri" w:cs="Times New Roman"/>
          <w:color w:val="000000"/>
        </w:rPr>
        <w:t>Mean</w:t>
      </w:r>
      <w:r w:rsidRPr="00E6060C">
        <w:rPr>
          <w:rFonts w:ascii="Calibri" w:eastAsia="Calibri" w:hAnsi="Calibri" w:cs="Times New Roman"/>
          <w:color w:val="000000"/>
        </w:rPr>
        <w:t xml:space="preserve">=4.86, </w:t>
      </w:r>
      <w:r w:rsidRPr="00E6060C">
        <w:rPr>
          <w:rFonts w:ascii="Calibri" w:eastAsia="Calibri" w:hAnsi="Calibri" w:cs="Times New Roman"/>
          <w:i/>
          <w:color w:val="000000"/>
        </w:rPr>
        <w:t>SD</w:t>
      </w:r>
      <w:r w:rsidRPr="00E6060C">
        <w:rPr>
          <w:rFonts w:ascii="Calibri" w:eastAsia="Calibri" w:hAnsi="Calibri" w:cs="Times New Roman"/>
          <w:color w:val="000000"/>
        </w:rPr>
        <w:t xml:space="preserve">=1.48). Independent samples </w:t>
      </w:r>
      <w:r w:rsidRPr="00C44073">
        <w:rPr>
          <w:rFonts w:ascii="Calibri" w:eastAsia="Calibri" w:hAnsi="Calibri" w:cs="Times New Roman"/>
          <w:i/>
          <w:color w:val="000000"/>
        </w:rPr>
        <w:t>t</w:t>
      </w:r>
      <w:r w:rsidRPr="00E6060C">
        <w:rPr>
          <w:rFonts w:ascii="Calibri" w:eastAsia="Calibri" w:hAnsi="Calibri" w:cs="Times New Roman"/>
          <w:color w:val="000000"/>
        </w:rPr>
        <w:t xml:space="preserve">-testing was also employed to determine whether there were significant differences on any of the research variables in terms of the key demographic variable, gender. Results revealed that that there were significant differences between men and women in terms of resources and demands, (mean difference=.37, </w:t>
      </w:r>
      <w:r w:rsidRPr="00E6060C">
        <w:rPr>
          <w:rFonts w:ascii="Calibri" w:eastAsia="Calibri" w:hAnsi="Calibri" w:cs="Times New Roman"/>
          <w:i/>
          <w:color w:val="000000"/>
        </w:rPr>
        <w:t>t</w:t>
      </w:r>
      <w:r w:rsidRPr="00E6060C">
        <w:rPr>
          <w:rFonts w:ascii="Calibri" w:eastAsia="Calibri" w:hAnsi="Calibri" w:cs="Times New Roman"/>
          <w:color w:val="000000"/>
        </w:rPr>
        <w:t xml:space="preserve">(209)=2.095, </w:t>
      </w:r>
      <w:r w:rsidRPr="00E6060C">
        <w:rPr>
          <w:rFonts w:ascii="Calibri" w:eastAsia="Calibri" w:hAnsi="Calibri" w:cs="Times New Roman"/>
          <w:i/>
          <w:color w:val="000000"/>
        </w:rPr>
        <w:t>p</w:t>
      </w:r>
      <w:r w:rsidRPr="00E6060C">
        <w:rPr>
          <w:rFonts w:ascii="Calibri" w:eastAsia="Calibri" w:hAnsi="Calibri" w:cs="Times New Roman"/>
          <w:color w:val="000000"/>
        </w:rPr>
        <w:t xml:space="preserve">=.037, 95%-CI, </w:t>
      </w:r>
      <w:r w:rsidRPr="00E6060C">
        <w:rPr>
          <w:rFonts w:ascii="Calibri" w:eastAsia="Calibri" w:hAnsi="Calibri" w:cs="Times New Roman"/>
          <w:i/>
          <w:color w:val="000000"/>
        </w:rPr>
        <w:t>LL</w:t>
      </w:r>
      <w:r w:rsidRPr="00E6060C">
        <w:rPr>
          <w:rFonts w:ascii="Calibri" w:eastAsia="Calibri" w:hAnsi="Calibri" w:cs="Times New Roman"/>
          <w:color w:val="000000"/>
        </w:rPr>
        <w:t xml:space="preserve">, .02, </w:t>
      </w:r>
      <w:r w:rsidRPr="00E6060C">
        <w:rPr>
          <w:rFonts w:ascii="Calibri" w:eastAsia="Calibri" w:hAnsi="Calibri" w:cs="Times New Roman"/>
          <w:i/>
          <w:color w:val="000000"/>
        </w:rPr>
        <w:t>UL</w:t>
      </w:r>
      <w:r w:rsidRPr="00E6060C">
        <w:rPr>
          <w:rFonts w:ascii="Calibri" w:eastAsia="Calibri" w:hAnsi="Calibri" w:cs="Times New Roman"/>
          <w:color w:val="000000"/>
        </w:rPr>
        <w:t xml:space="preserve">, .71), autonomy (mean difference=.52, </w:t>
      </w:r>
      <w:r w:rsidRPr="00E6060C">
        <w:rPr>
          <w:rFonts w:ascii="Calibri" w:eastAsia="Calibri" w:hAnsi="Calibri" w:cs="Times New Roman"/>
          <w:i/>
          <w:color w:val="000000"/>
        </w:rPr>
        <w:t>t</w:t>
      </w:r>
      <w:r w:rsidRPr="00E6060C">
        <w:rPr>
          <w:rFonts w:ascii="Calibri" w:eastAsia="Calibri" w:hAnsi="Calibri" w:cs="Times New Roman"/>
          <w:color w:val="000000"/>
        </w:rPr>
        <w:t xml:space="preserve">(207)=2.716, </w:t>
      </w:r>
      <w:r w:rsidRPr="00E6060C">
        <w:rPr>
          <w:rFonts w:ascii="Calibri" w:eastAsia="Calibri" w:hAnsi="Calibri" w:cs="Times New Roman"/>
          <w:i/>
          <w:color w:val="000000"/>
        </w:rPr>
        <w:t>p</w:t>
      </w:r>
      <w:r w:rsidRPr="00E6060C">
        <w:rPr>
          <w:rFonts w:ascii="Calibri" w:eastAsia="Calibri" w:hAnsi="Calibri" w:cs="Times New Roman"/>
          <w:color w:val="000000"/>
        </w:rPr>
        <w:t xml:space="preserve">=.007, 95%-CI, </w:t>
      </w:r>
      <w:r w:rsidRPr="00E6060C">
        <w:rPr>
          <w:rFonts w:ascii="Calibri" w:eastAsia="Calibri" w:hAnsi="Calibri" w:cs="Times New Roman"/>
          <w:i/>
          <w:color w:val="000000"/>
        </w:rPr>
        <w:t>LL</w:t>
      </w:r>
      <w:r w:rsidRPr="00E6060C">
        <w:rPr>
          <w:rFonts w:ascii="Calibri" w:eastAsia="Calibri" w:hAnsi="Calibri" w:cs="Times New Roman"/>
          <w:color w:val="000000"/>
        </w:rPr>
        <w:t xml:space="preserve">, .14, </w:t>
      </w:r>
      <w:r w:rsidRPr="00E6060C">
        <w:rPr>
          <w:rFonts w:ascii="Calibri" w:eastAsia="Calibri" w:hAnsi="Calibri" w:cs="Times New Roman"/>
          <w:i/>
          <w:color w:val="000000"/>
        </w:rPr>
        <w:t>UL</w:t>
      </w:r>
      <w:r w:rsidRPr="00E6060C">
        <w:rPr>
          <w:rFonts w:ascii="Calibri" w:eastAsia="Calibri" w:hAnsi="Calibri" w:cs="Times New Roman"/>
          <w:color w:val="000000"/>
        </w:rPr>
        <w:t xml:space="preserve">, .89) and relatedness (mean difference=.60 </w:t>
      </w:r>
      <w:r w:rsidRPr="00E6060C">
        <w:rPr>
          <w:rFonts w:ascii="Calibri" w:eastAsia="Calibri" w:hAnsi="Calibri" w:cs="Times New Roman"/>
          <w:i/>
          <w:color w:val="000000"/>
        </w:rPr>
        <w:t>t</w:t>
      </w:r>
      <w:r w:rsidRPr="00E6060C">
        <w:rPr>
          <w:rFonts w:ascii="Calibri" w:eastAsia="Calibri" w:hAnsi="Calibri" w:cs="Times New Roman"/>
          <w:color w:val="000000"/>
        </w:rPr>
        <w:t xml:space="preserve">(206)=3.193, </w:t>
      </w:r>
      <w:r w:rsidRPr="00E6060C">
        <w:rPr>
          <w:rFonts w:ascii="Calibri" w:eastAsia="Calibri" w:hAnsi="Calibri" w:cs="Times New Roman"/>
          <w:i/>
          <w:color w:val="000000"/>
        </w:rPr>
        <w:t>p</w:t>
      </w:r>
      <w:r w:rsidRPr="00E6060C">
        <w:rPr>
          <w:rFonts w:ascii="Calibri" w:eastAsia="Calibri" w:hAnsi="Calibri" w:cs="Times New Roman"/>
          <w:color w:val="000000"/>
        </w:rPr>
        <w:t xml:space="preserve">=.002, 95%-CI, </w:t>
      </w:r>
      <w:r w:rsidRPr="00E6060C">
        <w:rPr>
          <w:rFonts w:ascii="Calibri" w:eastAsia="Calibri" w:hAnsi="Calibri" w:cs="Times New Roman"/>
          <w:i/>
          <w:color w:val="000000"/>
        </w:rPr>
        <w:t>LL</w:t>
      </w:r>
      <w:r w:rsidRPr="00E6060C">
        <w:rPr>
          <w:rFonts w:ascii="Calibri" w:eastAsia="Calibri" w:hAnsi="Calibri" w:cs="Times New Roman"/>
          <w:color w:val="000000"/>
        </w:rPr>
        <w:t xml:space="preserve">, .23, </w:t>
      </w:r>
      <w:r w:rsidRPr="00E6060C">
        <w:rPr>
          <w:rFonts w:ascii="Calibri" w:eastAsia="Calibri" w:hAnsi="Calibri" w:cs="Times New Roman"/>
          <w:i/>
          <w:color w:val="000000"/>
        </w:rPr>
        <w:t>UL</w:t>
      </w:r>
      <w:r w:rsidRPr="00E6060C">
        <w:rPr>
          <w:rFonts w:ascii="Calibri" w:eastAsia="Calibri" w:hAnsi="Calibri" w:cs="Times New Roman"/>
          <w:color w:val="000000"/>
        </w:rPr>
        <w:t>, .97), with females reporting higher scores (</w:t>
      </w:r>
      <w:r w:rsidR="00F31223">
        <w:rPr>
          <w:rFonts w:ascii="Calibri" w:eastAsia="Calibri" w:hAnsi="Calibri" w:cs="Times New Roman"/>
          <w:color w:val="000000"/>
        </w:rPr>
        <w:t>Mean</w:t>
      </w:r>
      <w:r w:rsidRPr="00E6060C">
        <w:rPr>
          <w:rFonts w:ascii="Calibri" w:eastAsia="Calibri" w:hAnsi="Calibri" w:cs="Times New Roman"/>
          <w:color w:val="000000"/>
        </w:rPr>
        <w:t xml:space="preserve">=2.90, </w:t>
      </w:r>
      <w:r w:rsidRPr="00E6060C">
        <w:rPr>
          <w:rFonts w:ascii="Calibri" w:eastAsia="Calibri" w:hAnsi="Calibri" w:cs="Times New Roman"/>
          <w:i/>
          <w:color w:val="000000"/>
        </w:rPr>
        <w:t>SD</w:t>
      </w:r>
      <w:r w:rsidRPr="00E6060C">
        <w:rPr>
          <w:rFonts w:ascii="Calibri" w:eastAsia="Calibri" w:hAnsi="Calibri" w:cs="Times New Roman"/>
          <w:color w:val="000000"/>
        </w:rPr>
        <w:t xml:space="preserve">=.74; </w:t>
      </w:r>
      <w:r w:rsidRPr="00344F02">
        <w:rPr>
          <w:rFonts w:ascii="Calibri" w:eastAsia="Calibri" w:hAnsi="Calibri" w:cs="Times New Roman"/>
          <w:color w:val="000000"/>
        </w:rPr>
        <w:t>M</w:t>
      </w:r>
      <w:r w:rsidR="00344F02">
        <w:rPr>
          <w:rFonts w:ascii="Calibri" w:eastAsia="Calibri" w:hAnsi="Calibri" w:cs="Times New Roman"/>
          <w:color w:val="000000"/>
        </w:rPr>
        <w:t>ean</w:t>
      </w:r>
      <w:r w:rsidRPr="00E6060C">
        <w:rPr>
          <w:rFonts w:ascii="Calibri" w:eastAsia="Calibri" w:hAnsi="Calibri" w:cs="Times New Roman"/>
          <w:color w:val="000000"/>
        </w:rPr>
        <w:t xml:space="preserve">=3.92, </w:t>
      </w:r>
      <w:r w:rsidRPr="00E6060C">
        <w:rPr>
          <w:rFonts w:ascii="Calibri" w:eastAsia="Calibri" w:hAnsi="Calibri" w:cs="Times New Roman"/>
          <w:i/>
          <w:color w:val="000000"/>
        </w:rPr>
        <w:t>SD</w:t>
      </w:r>
      <w:r w:rsidRPr="00E6060C">
        <w:rPr>
          <w:rFonts w:ascii="Calibri" w:eastAsia="Calibri" w:hAnsi="Calibri" w:cs="Times New Roman"/>
          <w:color w:val="000000"/>
        </w:rPr>
        <w:t xml:space="preserve">=.77, and </w:t>
      </w:r>
      <w:r w:rsidR="00F31223">
        <w:rPr>
          <w:rFonts w:ascii="Calibri" w:eastAsia="Calibri" w:hAnsi="Calibri" w:cs="Times New Roman"/>
          <w:color w:val="000000"/>
        </w:rPr>
        <w:t>Mean</w:t>
      </w:r>
      <w:r w:rsidRPr="00E6060C">
        <w:rPr>
          <w:rFonts w:ascii="Calibri" w:eastAsia="Calibri" w:hAnsi="Calibri" w:cs="Times New Roman"/>
          <w:color w:val="000000"/>
        </w:rPr>
        <w:t xml:space="preserve">=3.93, </w:t>
      </w:r>
      <w:r w:rsidRPr="00E6060C">
        <w:rPr>
          <w:rFonts w:ascii="Calibri" w:eastAsia="Calibri" w:hAnsi="Calibri" w:cs="Times New Roman"/>
          <w:i/>
          <w:color w:val="000000"/>
        </w:rPr>
        <w:t>SD</w:t>
      </w:r>
      <w:r w:rsidRPr="00E6060C">
        <w:rPr>
          <w:rFonts w:ascii="Calibri" w:eastAsia="Calibri" w:hAnsi="Calibri" w:cs="Times New Roman"/>
          <w:color w:val="000000"/>
        </w:rPr>
        <w:t>=.77, respectively) than males (</w:t>
      </w:r>
      <w:r w:rsidR="00F31223">
        <w:rPr>
          <w:rFonts w:ascii="Calibri" w:eastAsia="Calibri" w:hAnsi="Calibri" w:cs="Times New Roman"/>
          <w:color w:val="000000"/>
        </w:rPr>
        <w:t>Mean</w:t>
      </w:r>
      <w:r w:rsidRPr="00E6060C">
        <w:rPr>
          <w:rFonts w:ascii="Calibri" w:eastAsia="Calibri" w:hAnsi="Calibri" w:cs="Times New Roman"/>
          <w:color w:val="000000"/>
        </w:rPr>
        <w:t xml:space="preserve">=2.53, </w:t>
      </w:r>
      <w:r w:rsidRPr="00E6060C">
        <w:rPr>
          <w:rFonts w:ascii="Calibri" w:eastAsia="Calibri" w:hAnsi="Calibri" w:cs="Times New Roman"/>
          <w:i/>
          <w:color w:val="000000"/>
        </w:rPr>
        <w:t>SD</w:t>
      </w:r>
      <w:r w:rsidRPr="00E6060C">
        <w:rPr>
          <w:rFonts w:ascii="Calibri" w:eastAsia="Calibri" w:hAnsi="Calibri" w:cs="Times New Roman"/>
          <w:color w:val="000000"/>
        </w:rPr>
        <w:t xml:space="preserve">=.61; </w:t>
      </w:r>
      <w:r w:rsidR="00F31223">
        <w:rPr>
          <w:rFonts w:ascii="Calibri" w:eastAsia="Calibri" w:hAnsi="Calibri" w:cs="Times New Roman"/>
          <w:color w:val="000000"/>
        </w:rPr>
        <w:t>Mean</w:t>
      </w:r>
      <w:r w:rsidRPr="00E6060C">
        <w:rPr>
          <w:rFonts w:ascii="Calibri" w:eastAsia="Calibri" w:hAnsi="Calibri" w:cs="Times New Roman"/>
          <w:color w:val="000000"/>
        </w:rPr>
        <w:t xml:space="preserve">=3.40, </w:t>
      </w:r>
      <w:r w:rsidRPr="00E6060C">
        <w:rPr>
          <w:rFonts w:ascii="Calibri" w:eastAsia="Calibri" w:hAnsi="Calibri" w:cs="Times New Roman"/>
          <w:i/>
          <w:color w:val="000000"/>
        </w:rPr>
        <w:t>SD</w:t>
      </w:r>
      <w:r w:rsidRPr="00E6060C">
        <w:rPr>
          <w:rFonts w:ascii="Calibri" w:eastAsia="Calibri" w:hAnsi="Calibri" w:cs="Times New Roman"/>
          <w:color w:val="000000"/>
        </w:rPr>
        <w:t xml:space="preserve">=.99, and </w:t>
      </w:r>
      <w:r w:rsidR="00F31223">
        <w:rPr>
          <w:rFonts w:ascii="Calibri" w:eastAsia="Calibri" w:hAnsi="Calibri" w:cs="Times New Roman"/>
          <w:color w:val="000000"/>
        </w:rPr>
        <w:t>Mean</w:t>
      </w:r>
      <w:r w:rsidRPr="00E6060C">
        <w:rPr>
          <w:rFonts w:ascii="Calibri" w:eastAsia="Calibri" w:hAnsi="Calibri" w:cs="Times New Roman"/>
          <w:color w:val="000000"/>
        </w:rPr>
        <w:t xml:space="preserve">=3.33, </w:t>
      </w:r>
      <w:r w:rsidRPr="00E6060C">
        <w:rPr>
          <w:rFonts w:ascii="Calibri" w:eastAsia="Calibri" w:hAnsi="Calibri" w:cs="Times New Roman"/>
          <w:i/>
          <w:color w:val="000000"/>
        </w:rPr>
        <w:t>SD</w:t>
      </w:r>
      <w:r w:rsidRPr="00E6060C">
        <w:rPr>
          <w:rFonts w:ascii="Calibri" w:eastAsia="Calibri" w:hAnsi="Calibri" w:cs="Times New Roman"/>
          <w:color w:val="000000"/>
        </w:rPr>
        <w:t xml:space="preserve">=.92, respectively) in all three cases. Due to these significant differences, both gender and time were entered as control variables in the mediation models. </w:t>
      </w:r>
    </w:p>
    <w:p w14:paraId="51E6BBD2" w14:textId="77777777" w:rsidR="00E6060C" w:rsidRPr="00E6060C" w:rsidRDefault="00E6060C" w:rsidP="00E6060C">
      <w:pPr>
        <w:spacing w:after="200" w:line="360" w:lineRule="auto"/>
        <w:contextualSpacing/>
        <w:rPr>
          <w:rFonts w:ascii="Calibri" w:eastAsia="Calibri" w:hAnsi="Calibri" w:cs="Times New Roman"/>
        </w:rPr>
      </w:pPr>
    </w:p>
    <w:p w14:paraId="1BC03884" w14:textId="55F4F8E8" w:rsidR="00E6060C" w:rsidRPr="00E6060C" w:rsidRDefault="00E6060C" w:rsidP="00B7614E">
      <w:pPr>
        <w:pStyle w:val="Thesisheading2"/>
      </w:pPr>
      <w:bookmarkStart w:id="478" w:name="_Ref453592149"/>
      <w:bookmarkStart w:id="479" w:name="_Toc468286022"/>
      <w:bookmarkStart w:id="480" w:name="_Toc441484410"/>
      <w:r w:rsidRPr="00E6060C">
        <w:t>Results of mediation analyses</w:t>
      </w:r>
      <w:bookmarkEnd w:id="478"/>
      <w:bookmarkEnd w:id="479"/>
      <w:r w:rsidRPr="00E6060C">
        <w:t xml:space="preserve"> </w:t>
      </w:r>
      <w:bookmarkEnd w:id="480"/>
    </w:p>
    <w:p w14:paraId="3844CF89" w14:textId="77777777" w:rsidR="00E6060C" w:rsidRPr="00E6060C" w:rsidRDefault="00E6060C" w:rsidP="00E6060C">
      <w:pPr>
        <w:spacing w:after="200" w:line="360" w:lineRule="auto"/>
        <w:contextualSpacing/>
        <w:rPr>
          <w:rFonts w:ascii="Calibri" w:eastAsia="Calibri" w:hAnsi="Calibri" w:cs="Times New Roman"/>
        </w:rPr>
      </w:pPr>
    </w:p>
    <w:p w14:paraId="42DA7B5C" w14:textId="5E82F4AC"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results of mediation analyses to investigate the relationships between the job resources measured in this study, the three work-related basic needs, and work engagement, across Time 1 and Time 2, are presented in</w:t>
      </w:r>
      <w:r w:rsidR="00EB473D">
        <w:rPr>
          <w:rFonts w:ascii="Calibri" w:eastAsia="Calibri" w:hAnsi="Calibri" w:cs="Times New Roman"/>
        </w:rPr>
        <w:t xml:space="preserve"> this section. Each analysis</w:t>
      </w:r>
      <w:r w:rsidRPr="00E6060C">
        <w:rPr>
          <w:rFonts w:ascii="Calibri" w:eastAsia="Calibri" w:hAnsi="Calibri" w:cs="Times New Roman"/>
        </w:rPr>
        <w:t xml:space="preserve"> is discussed in turn, in order of the nine research questions specified at the beginning of this chapter. As a reminder, the presence of significant indirect effects indicates that the effect of a predictor on an outcome variable is not independent of its effect through the mediator, and thus that mediation is present. In these analyses, significant indirect effects were indicated by bootstrapped confidence intervals at the 95% level which did not include zero. </w:t>
      </w:r>
    </w:p>
    <w:p w14:paraId="52BB41ED" w14:textId="1BB4473B" w:rsidR="00E6060C" w:rsidRDefault="00E6060C" w:rsidP="00E6060C">
      <w:pPr>
        <w:spacing w:after="200" w:line="360" w:lineRule="auto"/>
        <w:contextualSpacing/>
        <w:rPr>
          <w:rFonts w:ascii="Calibri" w:eastAsia="Calibri" w:hAnsi="Calibri" w:cs="Times New Roman"/>
        </w:rPr>
      </w:pPr>
    </w:p>
    <w:p w14:paraId="6E1D5E4C" w14:textId="77777777" w:rsidR="00F31223" w:rsidRPr="00E6060C" w:rsidRDefault="00F31223" w:rsidP="00E6060C">
      <w:pPr>
        <w:spacing w:after="200" w:line="360" w:lineRule="auto"/>
        <w:contextualSpacing/>
        <w:rPr>
          <w:rFonts w:ascii="Calibri" w:eastAsia="Calibri" w:hAnsi="Calibri" w:cs="Times New Roman"/>
        </w:rPr>
      </w:pPr>
    </w:p>
    <w:p w14:paraId="74DD0234" w14:textId="2908B248" w:rsidR="00E6060C" w:rsidRPr="00E6060C" w:rsidRDefault="00EB473D" w:rsidP="0009618B">
      <w:pPr>
        <w:pStyle w:val="Heading3"/>
      </w:pPr>
      <w:bookmarkStart w:id="481" w:name="_Toc468286023"/>
      <w:r>
        <w:lastRenderedPageBreak/>
        <w:t>T</w:t>
      </w:r>
      <w:r w:rsidR="00E6060C" w:rsidRPr="00E6060C">
        <w:t>he relationship between social support and work engagement</w:t>
      </w:r>
      <w:r>
        <w:t>, mediated by autonomy</w:t>
      </w:r>
      <w:bookmarkEnd w:id="481"/>
    </w:p>
    <w:p w14:paraId="5DAA6E50" w14:textId="77777777" w:rsidR="00E6060C" w:rsidRPr="00E6060C" w:rsidRDefault="00E6060C" w:rsidP="00E6060C">
      <w:pPr>
        <w:spacing w:after="200" w:line="360" w:lineRule="auto"/>
        <w:contextualSpacing/>
        <w:rPr>
          <w:rFonts w:ascii="Calibri" w:eastAsia="Calibri" w:hAnsi="Calibri" w:cs="Times New Roman"/>
        </w:rPr>
      </w:pPr>
    </w:p>
    <w:p w14:paraId="6E56E2C7" w14:textId="6DBCC599"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indirect effect of social support on work engagement, mediated by the work-related need, autonomy, when controlling for time and gender, was significant, </w:t>
      </w:r>
      <w:r w:rsidRPr="00E6060C">
        <w:rPr>
          <w:rFonts w:ascii="Calibri" w:eastAsia="Calibri" w:hAnsi="Calibri" w:cs="Times New Roman"/>
          <w:i/>
          <w:iCs/>
        </w:rPr>
        <w:t>ab</w:t>
      </w:r>
      <w:r w:rsidRPr="00E6060C">
        <w:rPr>
          <w:rFonts w:ascii="Calibri" w:eastAsia="Calibri" w:hAnsi="Calibri" w:cs="Times New Roman"/>
        </w:rPr>
        <w:t>=.21; CI-95%=.11-.37 (</w:t>
      </w:r>
      <w:r w:rsidR="00C44073">
        <w:rPr>
          <w:rFonts w:ascii="Calibri" w:eastAsia="Calibri" w:hAnsi="Calibri" w:cs="Times New Roman"/>
        </w:rPr>
        <w:fldChar w:fldCharType="begin"/>
      </w:r>
      <w:r w:rsidR="00C44073">
        <w:rPr>
          <w:rFonts w:ascii="Calibri" w:eastAsia="Calibri" w:hAnsi="Calibri" w:cs="Times New Roman"/>
        </w:rPr>
        <w:instrText xml:space="preserve"> REF _Ref453592426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1</w:t>
      </w:r>
      <w:r w:rsidR="00C44073">
        <w:rPr>
          <w:rFonts w:ascii="Calibri" w:eastAsia="Calibri" w:hAnsi="Calibri" w:cs="Times New Roman"/>
        </w:rPr>
        <w:fldChar w:fldCharType="end"/>
      </w:r>
      <w:r w:rsidRPr="00E6060C">
        <w:rPr>
          <w:rFonts w:ascii="Calibri" w:eastAsia="Calibri" w:hAnsi="Calibri" w:cs="Times New Roman"/>
        </w:rPr>
        <w:t xml:space="preserve">), supporting hypothesis 2.a. In accordance with Hayes (2013), this indicates that two cases which differ by one unit on the social support scale are estimated to differ by .21 units on the work engagement scale as a result of the effect of social support on autonomy, which then has an effect on work engagement, when controlling for time and gender. In other words, this suggests that the effect of social support on work engagement is not independent of its effect via autonomy, and thus that autonomy mediates the relationship between social support and work engagement, when controlling for time and gender. The standardised absolute indirect effect size,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=.15, was the third largest observed across the nine mediation analyses presented here. However, the direct effect of social support on work engagement, when controlling for autonomy (and time and gender), was significant, </w:t>
      </w:r>
      <w:r w:rsidRPr="00E6060C">
        <w:rPr>
          <w:rFonts w:ascii="Calibri" w:eastAsia="Calibri" w:hAnsi="Calibri" w:cs="Times New Roman"/>
          <w:i/>
          <w:iCs/>
        </w:rPr>
        <w:t>c’</w:t>
      </w:r>
      <w:r w:rsidRPr="00E6060C">
        <w:rPr>
          <w:rFonts w:ascii="Calibri" w:eastAsia="Calibri" w:hAnsi="Calibri" w:cs="Times New Roman"/>
        </w:rPr>
        <w:t xml:space="preserve">=.32, </w:t>
      </w:r>
      <w:r w:rsidRPr="00E6060C">
        <w:rPr>
          <w:rFonts w:ascii="Calibri" w:eastAsia="Calibri" w:hAnsi="Calibri" w:cs="Times New Roman"/>
          <w:i/>
          <w:iCs/>
        </w:rPr>
        <w:t>p</w:t>
      </w:r>
      <w:r w:rsidRPr="00E6060C">
        <w:rPr>
          <w:rFonts w:ascii="Calibri" w:eastAsia="Calibri" w:hAnsi="Calibri" w:cs="Times New Roman"/>
        </w:rPr>
        <w:t xml:space="preserve">=&lt;.001, suggesting that a one-unit change on the social support scale results in a change of .32 on the work engagement scale, when controlling for autonomy (and time and gender). In contrast to the results observed for the indirect effect, this suggests that the direct effect of social support on work engagement is not dependent on its effect through autonomy, when controlling for time and gender. Nevertheless, the ratio of the indirect effect to the total effect (the relative effect size),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=.40, was the third largest and indicates the presence of an indirect effect. It is not possible to make an assertion about the practical significance of this result, however, as noted by Preacher and Kelley (2011). It is possible that partial mediation, whereby autonomy is only able to partially mediate the relationship between social support and work engagement, accounts for the results observed here. This will be explored further in the discussion. </w:t>
      </w:r>
    </w:p>
    <w:p w14:paraId="71735429" w14:textId="77777777" w:rsidR="00FD533A" w:rsidRPr="00E6060C" w:rsidRDefault="00FD533A" w:rsidP="00E6060C">
      <w:pPr>
        <w:spacing w:after="200" w:line="360" w:lineRule="auto"/>
        <w:contextualSpacing/>
        <w:rPr>
          <w:rFonts w:ascii="Calibri" w:eastAsia="Calibri" w:hAnsi="Calibri" w:cs="Times New Roman"/>
        </w:rPr>
      </w:pPr>
    </w:p>
    <w:p w14:paraId="3F39A7A9" w14:textId="77777777" w:rsidR="00FD533A" w:rsidRDefault="00E6060C" w:rsidP="005852AD">
      <w:pPr>
        <w:keepNext/>
        <w:spacing w:after="200" w:line="360" w:lineRule="auto"/>
        <w:contextualSpacing/>
        <w:jc w:val="center"/>
      </w:pPr>
      <w:r w:rsidRPr="00E6060C">
        <w:rPr>
          <w:rFonts w:ascii="Calibri" w:eastAsia="Calibri" w:hAnsi="Calibri" w:cs="Times New Roman"/>
          <w:noProof/>
          <w:lang w:eastAsia="en-GB"/>
        </w:rPr>
        <w:lastRenderedPageBreak/>
        <w:drawing>
          <wp:inline distT="0" distB="0" distL="0" distR="0" wp14:anchorId="6B9956D3" wp14:editId="74A4BD88">
            <wp:extent cx="5731510" cy="2607945"/>
            <wp:effectExtent l="0" t="0" r="2540" b="190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2607945"/>
                    </a:xfrm>
                    <a:prstGeom prst="rect">
                      <a:avLst/>
                    </a:prstGeom>
                  </pic:spPr>
                </pic:pic>
              </a:graphicData>
            </a:graphic>
          </wp:inline>
        </w:drawing>
      </w:r>
    </w:p>
    <w:p w14:paraId="1A220CF5" w14:textId="1682E238" w:rsidR="00C23D06" w:rsidRPr="00C23D06" w:rsidRDefault="00FD533A" w:rsidP="005852AD">
      <w:pPr>
        <w:pStyle w:val="Figurestyle"/>
        <w:rPr>
          <w:rFonts w:ascii="Calibri" w:eastAsia="Calibri" w:hAnsi="Calibri" w:cs="Times New Roman"/>
          <w:i/>
          <w:vanish/>
          <w:specVanish/>
        </w:rPr>
      </w:pPr>
      <w:bookmarkStart w:id="482" w:name="_Ref453592426"/>
      <w:bookmarkStart w:id="483" w:name="_Toc453238923"/>
      <w:bookmarkStart w:id="484" w:name="_Toc468286113"/>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1</w:t>
      </w:r>
      <w:r w:rsidR="00245D68">
        <w:rPr>
          <w:noProof/>
        </w:rPr>
        <w:fldChar w:fldCharType="end"/>
      </w:r>
      <w:bookmarkEnd w:id="482"/>
      <w:r>
        <w:t xml:space="preserve"> </w:t>
      </w:r>
      <w:r w:rsidRPr="00A958CF">
        <w:t xml:space="preserve">A path diagram displaying the direct relationship between social support and work engagement (c’), and the indirect relationship between social support and work engagement, mediated by autonomy (ab), when </w:t>
      </w:r>
      <w:r>
        <w:t xml:space="preserve">controlling for </w:t>
      </w:r>
      <w:r w:rsidRPr="00A958CF">
        <w:t>gender and time</w:t>
      </w:r>
      <w:bookmarkEnd w:id="483"/>
      <w:bookmarkEnd w:id="484"/>
    </w:p>
    <w:p w14:paraId="1646E5D4" w14:textId="7579C183" w:rsidR="00E6060C" w:rsidRDefault="00FD533A" w:rsidP="005852AD">
      <w:pPr>
        <w:pStyle w:val="Figurestyle"/>
      </w:pPr>
      <w:r>
        <w:t>.</w:t>
      </w:r>
      <w:r w:rsidRPr="00A958CF">
        <w:t xml:space="preserve"> </w:t>
      </w:r>
      <w:r w:rsidRPr="00FD533A">
        <w:rPr>
          <w:i/>
        </w:rPr>
        <w:t>Notes:</w:t>
      </w:r>
      <w:r w:rsidRPr="00A958CF">
        <w:t xml:space="preserve"> </w:t>
      </w:r>
      <w:r w:rsidRPr="00E6060C">
        <w:t xml:space="preserve">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social support on autonomy; </w:t>
      </w:r>
      <w:r w:rsidRPr="00E6060C">
        <w:rPr>
          <w:i/>
        </w:rPr>
        <w:t>b</w:t>
      </w:r>
      <w:r w:rsidRPr="00E6060C">
        <w:t xml:space="preserve">=direct effect of autonomy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79B2DDC1" w14:textId="77777777" w:rsidR="00FD533A" w:rsidRPr="00E6060C" w:rsidRDefault="00FD533A" w:rsidP="005852AD">
      <w:pPr>
        <w:pStyle w:val="Figurestyle"/>
      </w:pPr>
    </w:p>
    <w:p w14:paraId="4769EF10" w14:textId="67232168" w:rsidR="00E6060C" w:rsidRPr="00E6060C" w:rsidRDefault="00EB473D" w:rsidP="0009618B">
      <w:pPr>
        <w:pStyle w:val="Heading3"/>
      </w:pPr>
      <w:bookmarkStart w:id="485" w:name="_Toc468286024"/>
      <w:r>
        <w:t>T</w:t>
      </w:r>
      <w:r w:rsidR="00E6060C" w:rsidRPr="00E6060C">
        <w:t>he relationship between influence in decision-making and work engagement</w:t>
      </w:r>
      <w:r>
        <w:t>, mediated by Autonomy</w:t>
      </w:r>
      <w:bookmarkEnd w:id="485"/>
    </w:p>
    <w:p w14:paraId="460503D1" w14:textId="77777777" w:rsidR="00E6060C" w:rsidRPr="00E6060C" w:rsidRDefault="00E6060C" w:rsidP="00E6060C">
      <w:pPr>
        <w:spacing w:after="200" w:line="276" w:lineRule="auto"/>
        <w:rPr>
          <w:rFonts w:ascii="Calibri" w:eastAsia="Calibri" w:hAnsi="Calibri" w:cs="Times New Roman"/>
        </w:rPr>
      </w:pPr>
    </w:p>
    <w:p w14:paraId="49703BF2" w14:textId="728E073A"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indirect effect of influence in decision-making on work engagement, mediated by autonomy, when controlling for time and gender, was significant, </w:t>
      </w:r>
      <w:r w:rsidRPr="00E6060C">
        <w:rPr>
          <w:rFonts w:ascii="Calibri" w:eastAsia="Calibri" w:hAnsi="Calibri" w:cs="Times New Roman"/>
          <w:i/>
          <w:iCs/>
        </w:rPr>
        <w:t>ab</w:t>
      </w:r>
      <w:r w:rsidRPr="00E6060C">
        <w:rPr>
          <w:rFonts w:ascii="Calibri" w:eastAsia="Calibri" w:hAnsi="Calibri" w:cs="Times New Roman"/>
        </w:rPr>
        <w:t>=.22; CI-95%=.12-.39 (</w:t>
      </w:r>
      <w:r w:rsidR="00C44073">
        <w:rPr>
          <w:rFonts w:ascii="Calibri" w:eastAsia="Calibri" w:hAnsi="Calibri" w:cs="Times New Roman"/>
        </w:rPr>
        <w:fldChar w:fldCharType="begin"/>
      </w:r>
      <w:r w:rsidR="00C44073">
        <w:rPr>
          <w:rFonts w:ascii="Calibri" w:eastAsia="Calibri" w:hAnsi="Calibri" w:cs="Times New Roman"/>
        </w:rPr>
        <w:instrText xml:space="preserve"> REF _Ref453592452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2</w:t>
      </w:r>
      <w:r w:rsidR="00C44073">
        <w:rPr>
          <w:rFonts w:ascii="Calibri" w:eastAsia="Calibri" w:hAnsi="Calibri" w:cs="Times New Roman"/>
        </w:rPr>
        <w:fldChar w:fldCharType="end"/>
      </w:r>
      <w:r w:rsidRPr="00E6060C">
        <w:rPr>
          <w:rFonts w:ascii="Calibri" w:eastAsia="Calibri" w:hAnsi="Calibri" w:cs="Times New Roman"/>
        </w:rPr>
        <w:t xml:space="preserve">), supporting hypothesis 2.b. This indicates that two cases which differ by one unit on influence on decision-making are estimated to differ by .22 units on work engagement as a result of the effect of social support on autonomy, which then has an effect on work engagement, when controlling for time and gender. This suggests that the effect of influence on decision-making on work engagement is not independent of its effect via autonomy, and thus that autonomy mediates the relationship between influence on decision-making and work engagement, when controlling for time and gender. The standardised absolute indirect effect size,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=.17, was the second largest observed. However, the direct effect of influence in decision-making on work engagement, when controlling for autonomy (and time and gender), was significant, </w:t>
      </w:r>
      <w:r w:rsidRPr="00E6060C">
        <w:rPr>
          <w:rFonts w:ascii="Calibri" w:eastAsia="Calibri" w:hAnsi="Calibri" w:cs="Times New Roman"/>
          <w:i/>
          <w:iCs/>
        </w:rPr>
        <w:t>c’</w:t>
      </w:r>
      <w:r w:rsidRPr="00E6060C">
        <w:rPr>
          <w:rFonts w:ascii="Calibri" w:eastAsia="Calibri" w:hAnsi="Calibri" w:cs="Times New Roman"/>
          <w:iCs/>
        </w:rPr>
        <w:t>=.27,</w:t>
      </w:r>
      <w:r w:rsidRPr="00E6060C">
        <w:rPr>
          <w:rFonts w:ascii="Calibri" w:eastAsia="Calibri" w:hAnsi="Calibri" w:cs="Times New Roman"/>
          <w:i/>
          <w:iCs/>
        </w:rPr>
        <w:t xml:space="preserve"> p</w:t>
      </w:r>
      <w:r w:rsidRPr="00E6060C">
        <w:rPr>
          <w:rFonts w:ascii="Calibri" w:eastAsia="Calibri" w:hAnsi="Calibri" w:cs="Times New Roman"/>
          <w:iCs/>
        </w:rPr>
        <w:t>=.002</w:t>
      </w:r>
      <w:r w:rsidRPr="00E6060C">
        <w:rPr>
          <w:rFonts w:ascii="Calibri" w:eastAsia="Calibri" w:hAnsi="Calibri" w:cs="Times New Roman"/>
        </w:rPr>
        <w:t xml:space="preserve">, and the relative effect size was also the second largest observed,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=.45. This suggests that the direct effect of influence in decision-</w:t>
      </w:r>
      <w:r w:rsidRPr="00E6060C">
        <w:rPr>
          <w:rFonts w:ascii="Calibri" w:eastAsia="Calibri" w:hAnsi="Calibri" w:cs="Times New Roman"/>
        </w:rPr>
        <w:lastRenderedPageBreak/>
        <w:t xml:space="preserve">making on work engagement is not dependent on its effect through autonomy, when controlling for time and gender. This could indicate the presence of partial mediation. </w:t>
      </w:r>
    </w:p>
    <w:p w14:paraId="0F21986F" w14:textId="77777777" w:rsidR="00FD533A" w:rsidRDefault="00E6060C" w:rsidP="005852AD">
      <w:pPr>
        <w:keepNext/>
        <w:spacing w:after="200" w:line="276" w:lineRule="auto"/>
        <w:jc w:val="center"/>
      </w:pPr>
      <w:r w:rsidRPr="00E6060C">
        <w:rPr>
          <w:rFonts w:ascii="Calibri" w:eastAsia="Calibri" w:hAnsi="Calibri" w:cs="Times New Roman"/>
          <w:noProof/>
          <w:lang w:eastAsia="en-GB"/>
        </w:rPr>
        <w:drawing>
          <wp:inline distT="0" distB="0" distL="0" distR="0" wp14:anchorId="6F08055C" wp14:editId="21C29D79">
            <wp:extent cx="5731510" cy="2684780"/>
            <wp:effectExtent l="0" t="0" r="254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2684780"/>
                    </a:xfrm>
                    <a:prstGeom prst="rect">
                      <a:avLst/>
                    </a:prstGeom>
                  </pic:spPr>
                </pic:pic>
              </a:graphicData>
            </a:graphic>
          </wp:inline>
        </w:drawing>
      </w:r>
    </w:p>
    <w:p w14:paraId="769160C2" w14:textId="5E153B98" w:rsidR="00C23D06" w:rsidRPr="00C23D06" w:rsidRDefault="00FD533A" w:rsidP="005852AD">
      <w:pPr>
        <w:pStyle w:val="Figurestyle"/>
        <w:rPr>
          <w:rFonts w:ascii="Calibri" w:eastAsia="Calibri" w:hAnsi="Calibri" w:cs="Times New Roman"/>
          <w:i/>
          <w:vanish/>
          <w:specVanish/>
        </w:rPr>
      </w:pPr>
      <w:bookmarkStart w:id="486" w:name="_Ref453592452"/>
      <w:bookmarkStart w:id="487" w:name="_Toc453238924"/>
      <w:bookmarkStart w:id="488" w:name="_Toc468286114"/>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2</w:t>
      </w:r>
      <w:r w:rsidR="00245D68">
        <w:rPr>
          <w:noProof/>
        </w:rPr>
        <w:fldChar w:fldCharType="end"/>
      </w:r>
      <w:bookmarkEnd w:id="486"/>
      <w:r>
        <w:t xml:space="preserve"> </w:t>
      </w:r>
      <w:r w:rsidRPr="00972939">
        <w:t xml:space="preserve">A path diagram displaying the direct relationship between influence on decision-making and work engagement (c’), and the indirect relationship between influence on decision-making and work engagement, mediated by autonomy (ab), when </w:t>
      </w:r>
      <w:r>
        <w:t xml:space="preserve">controlling for </w:t>
      </w:r>
      <w:r w:rsidRPr="00972939">
        <w:t>gender and time</w:t>
      </w:r>
      <w:bookmarkEnd w:id="487"/>
      <w:bookmarkEnd w:id="488"/>
    </w:p>
    <w:p w14:paraId="71B896A4" w14:textId="796FC5E6" w:rsidR="00E6060C" w:rsidRDefault="00FD533A" w:rsidP="005852AD">
      <w:pPr>
        <w:pStyle w:val="Figurestyle"/>
      </w:pPr>
      <w:r w:rsidRPr="00E6060C">
        <w:t xml:space="preserve">. </w:t>
      </w:r>
      <w:r w:rsidRPr="00E6060C">
        <w:rPr>
          <w:i/>
        </w:rPr>
        <w:t>Notes:</w:t>
      </w:r>
      <w:r w:rsidRPr="00E6060C">
        <w:t xml:space="preserve"> 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influence on decision-making on autonomy; </w:t>
      </w:r>
      <w:r w:rsidRPr="00E6060C">
        <w:rPr>
          <w:i/>
        </w:rPr>
        <w:t>b</w:t>
      </w:r>
      <w:r w:rsidRPr="00E6060C">
        <w:t xml:space="preserve">=direct effect of autonomy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20572189" w14:textId="77777777" w:rsidR="00FD533A" w:rsidRPr="00E6060C" w:rsidRDefault="00FD533A" w:rsidP="005852AD">
      <w:pPr>
        <w:pStyle w:val="Figurestyle"/>
      </w:pPr>
    </w:p>
    <w:p w14:paraId="04F32721" w14:textId="74876C48" w:rsidR="00E6060C" w:rsidRPr="00E6060C" w:rsidRDefault="00EB473D" w:rsidP="0009618B">
      <w:pPr>
        <w:pStyle w:val="Heading3"/>
      </w:pPr>
      <w:bookmarkStart w:id="489" w:name="_Toc468286025"/>
      <w:r>
        <w:t>T</w:t>
      </w:r>
      <w:r w:rsidR="00E6060C" w:rsidRPr="00E6060C">
        <w:t>he relationship between resources and demands (composite variable) and work engagement</w:t>
      </w:r>
      <w:r>
        <w:t>, mediated by autonomy</w:t>
      </w:r>
      <w:bookmarkEnd w:id="489"/>
    </w:p>
    <w:p w14:paraId="7F30DDDF" w14:textId="77777777" w:rsidR="00E6060C" w:rsidRPr="00E6060C" w:rsidRDefault="00E6060C" w:rsidP="00E6060C">
      <w:pPr>
        <w:spacing w:after="200" w:line="276" w:lineRule="auto"/>
        <w:rPr>
          <w:rFonts w:ascii="Calibri" w:eastAsia="Calibri" w:hAnsi="Calibri" w:cs="Times New Roman"/>
        </w:rPr>
      </w:pPr>
    </w:p>
    <w:p w14:paraId="10BCBFC2" w14:textId="2847C4BB"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indirect effect of resources and demands on work engagement, mediated by autonomy, when controlling for time and gender, was significant, </w:t>
      </w:r>
      <w:r w:rsidRPr="00E6060C">
        <w:rPr>
          <w:rFonts w:ascii="Calibri" w:eastAsia="Calibri" w:hAnsi="Calibri" w:cs="Times New Roman"/>
          <w:i/>
          <w:iCs/>
        </w:rPr>
        <w:t>ab</w:t>
      </w:r>
      <w:r w:rsidRPr="00E6060C">
        <w:rPr>
          <w:rFonts w:ascii="Calibri" w:eastAsia="Calibri" w:hAnsi="Calibri" w:cs="Times New Roman"/>
          <w:iCs/>
        </w:rPr>
        <w:t>=.32; CI-95%=.18-.50</w:t>
      </w:r>
      <w:r w:rsidRPr="00E6060C">
        <w:rPr>
          <w:rFonts w:ascii="Calibri" w:eastAsia="Calibri" w:hAnsi="Calibri" w:cs="Times New Roman"/>
          <w:i/>
          <w:iCs/>
        </w:rPr>
        <w:t xml:space="preserve"> </w:t>
      </w:r>
      <w:r w:rsidRPr="00E6060C">
        <w:rPr>
          <w:rFonts w:ascii="Calibri" w:eastAsia="Calibri" w:hAnsi="Calibri" w:cs="Times New Roman"/>
        </w:rPr>
        <w:t>(</w:t>
      </w:r>
      <w:r w:rsidR="00C44073">
        <w:rPr>
          <w:rFonts w:ascii="Calibri" w:eastAsia="Calibri" w:hAnsi="Calibri" w:cs="Times New Roman"/>
        </w:rPr>
        <w:fldChar w:fldCharType="begin"/>
      </w:r>
      <w:r w:rsidR="00C44073">
        <w:rPr>
          <w:rFonts w:ascii="Calibri" w:eastAsia="Calibri" w:hAnsi="Calibri" w:cs="Times New Roman"/>
        </w:rPr>
        <w:instrText xml:space="preserve"> REF _Ref453592468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3</w:t>
      </w:r>
      <w:r w:rsidR="00C44073">
        <w:rPr>
          <w:rFonts w:ascii="Calibri" w:eastAsia="Calibri" w:hAnsi="Calibri" w:cs="Times New Roman"/>
        </w:rPr>
        <w:fldChar w:fldCharType="end"/>
      </w:r>
      <w:r w:rsidRPr="00E6060C">
        <w:rPr>
          <w:rFonts w:ascii="Calibri" w:eastAsia="Calibri" w:hAnsi="Calibri" w:cs="Times New Roman"/>
        </w:rPr>
        <w:t xml:space="preserve">), supporting hypothesis 2.c. This indicates that two cases which differ by one unit on resources and demands are estimated to differ by .32 units on work engagement as a result of the effect of resources and demands on autonomy, which then has an effect on work engagement, when controlling for time and gender. Furthermore, there was a non-significant direct effect of resources and demands on work engagement, when controlling for autonomy (and time and gender), </w:t>
      </w:r>
      <w:r w:rsidRPr="00E6060C">
        <w:rPr>
          <w:rFonts w:ascii="Calibri" w:eastAsia="Calibri" w:hAnsi="Calibri" w:cs="Times New Roman"/>
          <w:i/>
          <w:iCs/>
        </w:rPr>
        <w:t>c’</w:t>
      </w:r>
      <w:r w:rsidRPr="00E6060C">
        <w:rPr>
          <w:rFonts w:ascii="Calibri" w:eastAsia="Calibri" w:hAnsi="Calibri" w:cs="Times New Roman"/>
        </w:rPr>
        <w:t xml:space="preserve">=.18, </w:t>
      </w:r>
      <w:r w:rsidRPr="00E6060C">
        <w:rPr>
          <w:rFonts w:ascii="Calibri" w:eastAsia="Calibri" w:hAnsi="Calibri" w:cs="Times New Roman"/>
          <w:i/>
          <w:iCs/>
        </w:rPr>
        <w:t>p</w:t>
      </w:r>
      <w:r w:rsidRPr="00E6060C">
        <w:rPr>
          <w:rFonts w:ascii="Calibri" w:eastAsia="Calibri" w:hAnsi="Calibri" w:cs="Times New Roman"/>
        </w:rPr>
        <w:t xml:space="preserve">=.143. Taken together, these results suggest that the effect of resources and demands on work engagement is not independent of its effect via autonomy, and thus that autonomy mediates the relationship between resources and demands and work engagement, when controlling for time and gender. Both the absolute and relative effect sizes were the largest observed,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=.18, and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=.65, respectively. </w:t>
      </w:r>
    </w:p>
    <w:p w14:paraId="42016E9D" w14:textId="77777777" w:rsidR="00FD533A" w:rsidRDefault="00E6060C" w:rsidP="00FD533A">
      <w:pPr>
        <w:keepNext/>
        <w:spacing w:after="200" w:line="276" w:lineRule="auto"/>
        <w:jc w:val="center"/>
      </w:pPr>
      <w:r w:rsidRPr="00E6060C">
        <w:rPr>
          <w:rFonts w:ascii="Calibri" w:eastAsia="Calibri" w:hAnsi="Calibri" w:cs="Times New Roman"/>
          <w:noProof/>
          <w:lang w:eastAsia="en-GB"/>
        </w:rPr>
        <w:lastRenderedPageBreak/>
        <w:drawing>
          <wp:inline distT="0" distB="0" distL="0" distR="0" wp14:anchorId="421FF8F5" wp14:editId="5F9EAC37">
            <wp:extent cx="5731510" cy="2665095"/>
            <wp:effectExtent l="0" t="0" r="254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2665095"/>
                    </a:xfrm>
                    <a:prstGeom prst="rect">
                      <a:avLst/>
                    </a:prstGeom>
                  </pic:spPr>
                </pic:pic>
              </a:graphicData>
            </a:graphic>
          </wp:inline>
        </w:drawing>
      </w:r>
    </w:p>
    <w:p w14:paraId="548C3BFB" w14:textId="09E83FAB" w:rsidR="00C23D06" w:rsidRPr="00C23D06" w:rsidRDefault="00FD533A" w:rsidP="005852AD">
      <w:pPr>
        <w:pStyle w:val="Figurestyle"/>
        <w:rPr>
          <w:rFonts w:ascii="Calibri" w:eastAsia="Calibri" w:hAnsi="Calibri" w:cs="Times New Roman"/>
          <w:i/>
          <w:vanish/>
          <w:specVanish/>
        </w:rPr>
      </w:pPr>
      <w:bookmarkStart w:id="490" w:name="_Ref453592468"/>
      <w:bookmarkStart w:id="491" w:name="_Toc453238925"/>
      <w:bookmarkStart w:id="492" w:name="_Toc468286115"/>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3</w:t>
      </w:r>
      <w:r w:rsidR="00245D68">
        <w:rPr>
          <w:noProof/>
        </w:rPr>
        <w:fldChar w:fldCharType="end"/>
      </w:r>
      <w:bookmarkEnd w:id="490"/>
      <w:r>
        <w:t xml:space="preserve"> </w:t>
      </w:r>
      <w:r w:rsidRPr="00D04E37">
        <w:t xml:space="preserve">A path diagram displaying the direct relationship between resources and demands and work engagement (c’), and the indirect relationship between resources and demands and work engagement, mediated by autonomy (ab), when </w:t>
      </w:r>
      <w:r>
        <w:t xml:space="preserve">controlling for </w:t>
      </w:r>
      <w:r w:rsidRPr="00D04E37">
        <w:t>gender and time</w:t>
      </w:r>
      <w:bookmarkEnd w:id="491"/>
      <w:bookmarkEnd w:id="492"/>
    </w:p>
    <w:p w14:paraId="34151FD0" w14:textId="5524C991" w:rsidR="00E6060C" w:rsidRPr="00E6060C" w:rsidRDefault="00FD533A" w:rsidP="005852AD">
      <w:pPr>
        <w:pStyle w:val="Figurestyle"/>
      </w:pPr>
      <w:r>
        <w:t xml:space="preserve">. </w:t>
      </w:r>
      <w:r w:rsidRPr="00E6060C">
        <w:rPr>
          <w:i/>
        </w:rPr>
        <w:t>Notes:</w:t>
      </w:r>
      <w:r w:rsidRPr="00E6060C">
        <w:t xml:space="preserve"> 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resources and demands on autonomy; </w:t>
      </w:r>
      <w:r w:rsidRPr="00E6060C">
        <w:rPr>
          <w:i/>
        </w:rPr>
        <w:t>b</w:t>
      </w:r>
      <w:r w:rsidRPr="00E6060C">
        <w:t xml:space="preserve">=direct effect of autonomy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78EE46E1" w14:textId="77777777" w:rsidR="00E6060C" w:rsidRPr="00E6060C" w:rsidRDefault="00E6060C" w:rsidP="00E6060C">
      <w:pPr>
        <w:spacing w:after="200" w:line="276" w:lineRule="auto"/>
        <w:rPr>
          <w:rFonts w:ascii="Calibri" w:eastAsia="Calibri" w:hAnsi="Calibri" w:cs="Times New Roman"/>
        </w:rPr>
      </w:pPr>
    </w:p>
    <w:p w14:paraId="68222C4F" w14:textId="2B7D7BD9" w:rsidR="00E6060C" w:rsidRPr="00E6060C" w:rsidRDefault="00EB473D" w:rsidP="0009618B">
      <w:pPr>
        <w:pStyle w:val="Heading3"/>
      </w:pPr>
      <w:bookmarkStart w:id="493" w:name="_Toc468286026"/>
      <w:r>
        <w:t xml:space="preserve">The </w:t>
      </w:r>
      <w:r w:rsidR="00E6060C" w:rsidRPr="00E6060C">
        <w:t>relationship between social support and work engagement</w:t>
      </w:r>
      <w:r>
        <w:t>, mediated by competence</w:t>
      </w:r>
      <w:bookmarkEnd w:id="493"/>
    </w:p>
    <w:p w14:paraId="020AC0C6" w14:textId="77777777" w:rsidR="00E6060C" w:rsidRPr="00E6060C" w:rsidRDefault="00E6060C" w:rsidP="00E6060C">
      <w:pPr>
        <w:spacing w:after="200" w:line="276" w:lineRule="auto"/>
        <w:rPr>
          <w:rFonts w:ascii="Calibri" w:eastAsia="Calibri" w:hAnsi="Calibri" w:cs="Times New Roman"/>
        </w:rPr>
      </w:pPr>
    </w:p>
    <w:p w14:paraId="719218E2" w14:textId="5CA895B0"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indirect effect of social support on work engagement, mediated by competence, when controlling for time and gender, was just significant, </w:t>
      </w:r>
      <w:r w:rsidRPr="00E6060C">
        <w:rPr>
          <w:rFonts w:ascii="Calibri" w:eastAsia="Calibri" w:hAnsi="Calibri" w:cs="Times New Roman"/>
          <w:i/>
          <w:iCs/>
        </w:rPr>
        <w:t>ab</w:t>
      </w:r>
      <w:r w:rsidRPr="00E6060C">
        <w:rPr>
          <w:rFonts w:ascii="Calibri" w:eastAsia="Calibri" w:hAnsi="Calibri" w:cs="Times New Roman"/>
          <w:iCs/>
        </w:rPr>
        <w:t>=.05; CI-95%=.01-.17</w:t>
      </w:r>
      <w:r w:rsidRPr="00E6060C">
        <w:rPr>
          <w:rFonts w:ascii="Calibri" w:eastAsia="Calibri" w:hAnsi="Calibri" w:cs="Times New Roman"/>
          <w:i/>
          <w:iCs/>
        </w:rPr>
        <w:t xml:space="preserve"> </w:t>
      </w:r>
      <w:r w:rsidRPr="00E6060C">
        <w:rPr>
          <w:rFonts w:ascii="Calibri" w:eastAsia="Calibri" w:hAnsi="Calibri" w:cs="Times New Roman"/>
          <w:iCs/>
        </w:rPr>
        <w:t>(</w:t>
      </w:r>
      <w:r w:rsidR="00C44073">
        <w:rPr>
          <w:rFonts w:ascii="Calibri" w:eastAsia="Calibri" w:hAnsi="Calibri" w:cs="Times New Roman"/>
        </w:rPr>
        <w:fldChar w:fldCharType="begin"/>
      </w:r>
      <w:r w:rsidR="00C44073">
        <w:rPr>
          <w:rFonts w:ascii="Calibri" w:eastAsia="Calibri" w:hAnsi="Calibri" w:cs="Times New Roman"/>
          <w:iCs/>
        </w:rPr>
        <w:instrText xml:space="preserve"> REF _Ref453592488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4</w:t>
      </w:r>
      <w:r w:rsidR="00C44073">
        <w:rPr>
          <w:rFonts w:ascii="Calibri" w:eastAsia="Calibri" w:hAnsi="Calibri" w:cs="Times New Roman"/>
        </w:rPr>
        <w:fldChar w:fldCharType="end"/>
      </w:r>
      <w:r w:rsidRPr="00E6060C">
        <w:rPr>
          <w:rFonts w:ascii="Calibri" w:eastAsia="Calibri" w:hAnsi="Calibri" w:cs="Times New Roman"/>
        </w:rPr>
        <w:t xml:space="preserve">), supporting hypothesis 2.d. This indicates that two cases which differ by one unit on the social support scale are estimated to differ by .05 units on the work engagement scale as a result of the effect of social support on competence, which then has an effect on work engagement, when controlling for time and gender. This suggests that the effect of social support on work engagement is not independent of its effect via competence, and thus that competence mediates the relationship between social support and work engagement, when controlling for time and gender. In keeping with the just significant indirect effect size, the standardised absolute indirect effect size was the second smallest observed,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=.04, and the relative effect size was the smallest observed,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=.10, respectively. Once again, the direct effect of social support on work engagement, when controlling for competence (and time and gender), was significant, </w:t>
      </w:r>
      <w:r w:rsidRPr="00E6060C">
        <w:rPr>
          <w:rFonts w:ascii="Calibri" w:eastAsia="Calibri" w:hAnsi="Calibri" w:cs="Times New Roman"/>
          <w:i/>
          <w:iCs/>
        </w:rPr>
        <w:t>c’</w:t>
      </w:r>
      <w:r w:rsidRPr="00E6060C">
        <w:rPr>
          <w:rFonts w:ascii="Calibri" w:eastAsia="Calibri" w:hAnsi="Calibri" w:cs="Times New Roman"/>
          <w:iCs/>
        </w:rPr>
        <w:t xml:space="preserve">=.43, </w:t>
      </w:r>
      <w:r w:rsidRPr="00E6060C">
        <w:rPr>
          <w:rFonts w:ascii="Calibri" w:eastAsia="Calibri" w:hAnsi="Calibri" w:cs="Times New Roman"/>
          <w:i/>
          <w:iCs/>
        </w:rPr>
        <w:t>p</w:t>
      </w:r>
      <w:r w:rsidRPr="00E6060C">
        <w:rPr>
          <w:rFonts w:ascii="Calibri" w:eastAsia="Calibri" w:hAnsi="Calibri" w:cs="Times New Roman"/>
          <w:iCs/>
        </w:rPr>
        <w:t xml:space="preserve">=&lt;.001, </w:t>
      </w:r>
      <w:r w:rsidRPr="00E6060C">
        <w:rPr>
          <w:rFonts w:ascii="Calibri" w:eastAsia="Calibri" w:hAnsi="Calibri" w:cs="Times New Roman"/>
        </w:rPr>
        <w:t xml:space="preserve">suggesting that the direct effect of social </w:t>
      </w:r>
      <w:r w:rsidRPr="00E6060C">
        <w:rPr>
          <w:rFonts w:ascii="Calibri" w:eastAsia="Calibri" w:hAnsi="Calibri" w:cs="Times New Roman"/>
        </w:rPr>
        <w:lastRenderedPageBreak/>
        <w:t xml:space="preserve">support on work engagement is not dependent on its effect through competence, when controlling for time and gender. This could indicate the presence of partial mediation. </w:t>
      </w:r>
    </w:p>
    <w:p w14:paraId="0CD195B6" w14:textId="77777777" w:rsidR="00E6060C" w:rsidRPr="00E6060C" w:rsidRDefault="00E6060C" w:rsidP="00E6060C">
      <w:pPr>
        <w:spacing w:after="200" w:line="360" w:lineRule="auto"/>
        <w:contextualSpacing/>
        <w:rPr>
          <w:rFonts w:ascii="Calibri" w:eastAsia="Calibri" w:hAnsi="Calibri" w:cs="Times New Roman"/>
          <w:i/>
          <w:iCs/>
        </w:rPr>
      </w:pPr>
    </w:p>
    <w:p w14:paraId="7D863936" w14:textId="77777777" w:rsidR="00FD533A" w:rsidRDefault="00E6060C" w:rsidP="00FD533A">
      <w:pPr>
        <w:keepNext/>
        <w:spacing w:after="200" w:line="276" w:lineRule="auto"/>
        <w:jc w:val="center"/>
      </w:pPr>
      <w:r w:rsidRPr="00E6060C">
        <w:rPr>
          <w:rFonts w:ascii="Calibri" w:eastAsia="Calibri" w:hAnsi="Calibri" w:cs="Times New Roman"/>
          <w:noProof/>
          <w:lang w:eastAsia="en-GB"/>
        </w:rPr>
        <w:drawing>
          <wp:inline distT="0" distB="0" distL="0" distR="0" wp14:anchorId="65419252" wp14:editId="1F97338D">
            <wp:extent cx="5731510" cy="2674620"/>
            <wp:effectExtent l="0" t="0" r="254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2674620"/>
                    </a:xfrm>
                    <a:prstGeom prst="rect">
                      <a:avLst/>
                    </a:prstGeom>
                  </pic:spPr>
                </pic:pic>
              </a:graphicData>
            </a:graphic>
          </wp:inline>
        </w:drawing>
      </w:r>
    </w:p>
    <w:p w14:paraId="018FC60D" w14:textId="19DFD110" w:rsidR="00C23D06" w:rsidRPr="00C23D06" w:rsidRDefault="00FD533A" w:rsidP="005852AD">
      <w:pPr>
        <w:pStyle w:val="Figurestyle"/>
        <w:rPr>
          <w:rFonts w:ascii="Calibri" w:eastAsia="Calibri" w:hAnsi="Calibri" w:cs="Times New Roman"/>
          <w:i/>
          <w:vanish/>
          <w:specVanish/>
        </w:rPr>
      </w:pPr>
      <w:bookmarkStart w:id="494" w:name="_Ref453592488"/>
      <w:bookmarkStart w:id="495" w:name="_Toc453238926"/>
      <w:bookmarkStart w:id="496" w:name="_Toc468286116"/>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w:instrText>
      </w:r>
      <w:r w:rsidR="00245D68">
        <w:instrText xml:space="preserve">s 1 </w:instrText>
      </w:r>
      <w:r w:rsidR="00245D68">
        <w:fldChar w:fldCharType="separate"/>
      </w:r>
      <w:r w:rsidR="00152F6D">
        <w:rPr>
          <w:noProof/>
        </w:rPr>
        <w:t>4</w:t>
      </w:r>
      <w:r w:rsidR="00245D68">
        <w:rPr>
          <w:noProof/>
        </w:rPr>
        <w:fldChar w:fldCharType="end"/>
      </w:r>
      <w:bookmarkEnd w:id="494"/>
      <w:r>
        <w:t xml:space="preserve"> </w:t>
      </w:r>
      <w:r w:rsidRPr="00ED20FF">
        <w:t xml:space="preserve">A path diagram displaying the direct relationship between social support and work engagement (c’), and the indirect relationship between social support and work engagement, mediated by competence (ab), when </w:t>
      </w:r>
      <w:r w:rsidR="00C23D06">
        <w:t xml:space="preserve">controlling for </w:t>
      </w:r>
      <w:r w:rsidRPr="00ED20FF">
        <w:t>gender and time</w:t>
      </w:r>
      <w:bookmarkEnd w:id="495"/>
      <w:bookmarkEnd w:id="496"/>
    </w:p>
    <w:p w14:paraId="5F69180B" w14:textId="2EA0AB1B" w:rsidR="00E6060C" w:rsidRPr="00E6060C" w:rsidRDefault="00FD533A" w:rsidP="005852AD">
      <w:pPr>
        <w:pStyle w:val="Figurestyle"/>
      </w:pPr>
      <w:r w:rsidRPr="00ED20FF">
        <w:t xml:space="preserve">. Notes: </w:t>
      </w:r>
      <w:r w:rsidRPr="00E6060C">
        <w:t xml:space="preserve">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social support on competence; </w:t>
      </w:r>
      <w:r w:rsidRPr="00E6060C">
        <w:rPr>
          <w:i/>
        </w:rPr>
        <w:t>b</w:t>
      </w:r>
      <w:r w:rsidRPr="00E6060C">
        <w:t xml:space="preserve">=direct effect of competence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020A95F0" w14:textId="77777777" w:rsidR="00E6060C" w:rsidRPr="00E6060C" w:rsidRDefault="00E6060C" w:rsidP="00E6060C">
      <w:pPr>
        <w:spacing w:after="200" w:line="276" w:lineRule="auto"/>
        <w:rPr>
          <w:rFonts w:ascii="Calibri" w:eastAsia="Calibri" w:hAnsi="Calibri" w:cs="Times New Roman"/>
        </w:rPr>
      </w:pPr>
    </w:p>
    <w:p w14:paraId="6B26D9AC" w14:textId="22887923" w:rsidR="00E6060C" w:rsidRPr="00E6060C" w:rsidRDefault="00EB473D" w:rsidP="0009618B">
      <w:pPr>
        <w:pStyle w:val="Heading3"/>
      </w:pPr>
      <w:bookmarkStart w:id="497" w:name="_Toc468286027"/>
      <w:r>
        <w:t>T</w:t>
      </w:r>
      <w:r w:rsidR="00E6060C" w:rsidRPr="00E6060C">
        <w:t>he relationship between influence in decision-making and work engagement</w:t>
      </w:r>
      <w:r>
        <w:t>, mediated by competence</w:t>
      </w:r>
      <w:bookmarkEnd w:id="497"/>
    </w:p>
    <w:p w14:paraId="4C79923F" w14:textId="77777777" w:rsidR="00E6060C" w:rsidRPr="00E6060C" w:rsidRDefault="00E6060C" w:rsidP="00E6060C">
      <w:pPr>
        <w:spacing w:after="200" w:line="276" w:lineRule="auto"/>
        <w:rPr>
          <w:rFonts w:ascii="Calibri" w:eastAsia="Calibri" w:hAnsi="Calibri" w:cs="Times New Roman"/>
        </w:rPr>
      </w:pPr>
    </w:p>
    <w:p w14:paraId="6EEC67E8" w14:textId="251457A5"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indirect effect of influence in decision-making on work engagement, mediated by competence, when controlling for time and gender, was just significant, </w:t>
      </w:r>
      <w:r w:rsidRPr="00E6060C">
        <w:rPr>
          <w:rFonts w:ascii="Calibri" w:eastAsia="Calibri" w:hAnsi="Calibri" w:cs="Times New Roman"/>
          <w:i/>
          <w:iCs/>
        </w:rPr>
        <w:t>ab</w:t>
      </w:r>
      <w:r w:rsidRPr="00E6060C">
        <w:rPr>
          <w:rFonts w:ascii="Calibri" w:eastAsia="Calibri" w:hAnsi="Calibri" w:cs="Times New Roman"/>
          <w:iCs/>
        </w:rPr>
        <w:t>=.05; CI-95%=.01-.17</w:t>
      </w:r>
      <w:r w:rsidRPr="00E6060C">
        <w:rPr>
          <w:rFonts w:ascii="Calibri" w:eastAsia="Calibri" w:hAnsi="Calibri" w:cs="Times New Roman"/>
          <w:i/>
          <w:iCs/>
        </w:rPr>
        <w:t xml:space="preserve"> </w:t>
      </w:r>
      <w:r w:rsidRPr="00E6060C">
        <w:rPr>
          <w:rFonts w:ascii="Calibri" w:eastAsia="Calibri" w:hAnsi="Calibri" w:cs="Times New Roman"/>
          <w:iCs/>
        </w:rPr>
        <w:t>(</w:t>
      </w:r>
      <w:r w:rsidR="00C44073">
        <w:rPr>
          <w:rFonts w:ascii="Calibri" w:eastAsia="Calibri" w:hAnsi="Calibri" w:cs="Times New Roman"/>
        </w:rPr>
        <w:fldChar w:fldCharType="begin"/>
      </w:r>
      <w:r w:rsidR="00C44073">
        <w:rPr>
          <w:rFonts w:ascii="Calibri" w:eastAsia="Calibri" w:hAnsi="Calibri" w:cs="Times New Roman"/>
          <w:iCs/>
        </w:rPr>
        <w:instrText xml:space="preserve"> REF _Ref453592506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5</w:t>
      </w:r>
      <w:r w:rsidR="00C44073">
        <w:rPr>
          <w:rFonts w:ascii="Calibri" w:eastAsia="Calibri" w:hAnsi="Calibri" w:cs="Times New Roman"/>
        </w:rPr>
        <w:fldChar w:fldCharType="end"/>
      </w:r>
      <w:r w:rsidRPr="00E6060C">
        <w:rPr>
          <w:rFonts w:ascii="Calibri" w:eastAsia="Calibri" w:hAnsi="Calibri" w:cs="Times New Roman"/>
        </w:rPr>
        <w:t xml:space="preserve">), supporting hypothesis 2.e. This indicates that two cases which differ by one unit on the influence in decision-making scale are estimated to differ by .05 units on the work engagement scale as a result of the effect of social support on competence, which then has an effect on work engagement, when controlling for time and gender. This suggests that the effect of influence in decision-making on work engagement is not independent of its effect via competence, and thus that competence mediates the relationship between influence on decision-making and work engagement. In keeping with the just significant indirect effect size, the standardised absolute indirect effect size and the relative effect size were the second smallest observed,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=.04, and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=.11, respectively. Once again, the </w:t>
      </w:r>
      <w:r w:rsidRPr="00E6060C">
        <w:rPr>
          <w:rFonts w:ascii="Calibri" w:eastAsia="Calibri" w:hAnsi="Calibri" w:cs="Times New Roman"/>
        </w:rPr>
        <w:lastRenderedPageBreak/>
        <w:t xml:space="preserve">direct effect of influence in decision-making on work engagement, when controlling for competence (and time and gender), was significant, </w:t>
      </w:r>
      <w:r w:rsidRPr="00E6060C">
        <w:rPr>
          <w:rFonts w:ascii="Calibri" w:eastAsia="Calibri" w:hAnsi="Calibri" w:cs="Times New Roman"/>
          <w:i/>
          <w:iCs/>
        </w:rPr>
        <w:t>c’</w:t>
      </w:r>
      <w:r w:rsidRPr="00E6060C">
        <w:rPr>
          <w:rFonts w:ascii="Calibri" w:eastAsia="Calibri" w:hAnsi="Calibri" w:cs="Times New Roman"/>
          <w:iCs/>
        </w:rPr>
        <w:t xml:space="preserve">=.43, </w:t>
      </w:r>
      <w:r w:rsidRPr="00E6060C">
        <w:rPr>
          <w:rFonts w:ascii="Calibri" w:eastAsia="Calibri" w:hAnsi="Calibri" w:cs="Times New Roman"/>
          <w:i/>
          <w:iCs/>
        </w:rPr>
        <w:t>p</w:t>
      </w:r>
      <w:r w:rsidRPr="00E6060C">
        <w:rPr>
          <w:rFonts w:ascii="Calibri" w:eastAsia="Calibri" w:hAnsi="Calibri" w:cs="Times New Roman"/>
          <w:iCs/>
        </w:rPr>
        <w:t xml:space="preserve">=&lt;.001, </w:t>
      </w:r>
      <w:r w:rsidRPr="00E6060C">
        <w:rPr>
          <w:rFonts w:ascii="Calibri" w:eastAsia="Calibri" w:hAnsi="Calibri" w:cs="Times New Roman"/>
        </w:rPr>
        <w:t xml:space="preserve">suggesting that the direct effect of influence in decision-making on work engagement is not dependent on its effect through competence, when controlling for time and gender. This could indicate the presence of partial mediation. </w:t>
      </w:r>
    </w:p>
    <w:p w14:paraId="7E5B1422" w14:textId="77777777" w:rsidR="00E6060C" w:rsidRPr="00E6060C" w:rsidRDefault="00E6060C" w:rsidP="00E6060C">
      <w:pPr>
        <w:spacing w:after="200" w:line="360" w:lineRule="auto"/>
        <w:contextualSpacing/>
        <w:jc w:val="center"/>
        <w:rPr>
          <w:rFonts w:ascii="Calibri" w:eastAsia="Calibri" w:hAnsi="Calibri" w:cs="Times New Roman"/>
        </w:rPr>
      </w:pPr>
    </w:p>
    <w:p w14:paraId="7F1BB0CC" w14:textId="77777777" w:rsidR="00FD533A" w:rsidRDefault="00E6060C" w:rsidP="00FD533A">
      <w:pPr>
        <w:keepNext/>
        <w:spacing w:after="200" w:line="240" w:lineRule="auto"/>
        <w:contextualSpacing/>
        <w:jc w:val="center"/>
      </w:pPr>
      <w:r w:rsidRPr="00E6060C">
        <w:rPr>
          <w:rFonts w:ascii="Calibri" w:eastAsia="Calibri" w:hAnsi="Calibri" w:cs="Times New Roman"/>
          <w:noProof/>
          <w:lang w:eastAsia="en-GB"/>
        </w:rPr>
        <w:drawing>
          <wp:inline distT="0" distB="0" distL="0" distR="0" wp14:anchorId="06A160F2" wp14:editId="7810EAA5">
            <wp:extent cx="5731510" cy="2677795"/>
            <wp:effectExtent l="0" t="0" r="2540" b="82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2677795"/>
                    </a:xfrm>
                    <a:prstGeom prst="rect">
                      <a:avLst/>
                    </a:prstGeom>
                  </pic:spPr>
                </pic:pic>
              </a:graphicData>
            </a:graphic>
          </wp:inline>
        </w:drawing>
      </w:r>
    </w:p>
    <w:p w14:paraId="328B8DF7" w14:textId="4A667C1C" w:rsidR="00C23D06" w:rsidRPr="00C23D06" w:rsidRDefault="00FD533A" w:rsidP="005852AD">
      <w:pPr>
        <w:pStyle w:val="Figurestyle"/>
        <w:rPr>
          <w:rFonts w:ascii="Calibri" w:eastAsia="Calibri" w:hAnsi="Calibri" w:cs="Times New Roman"/>
          <w:i/>
          <w:vanish/>
          <w:specVanish/>
        </w:rPr>
      </w:pPr>
      <w:bookmarkStart w:id="498" w:name="_Ref453592506"/>
      <w:bookmarkStart w:id="499" w:name="_Toc453238927"/>
      <w:bookmarkStart w:id="500" w:name="_Toc468286117"/>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5</w:t>
      </w:r>
      <w:r w:rsidR="00245D68">
        <w:rPr>
          <w:noProof/>
        </w:rPr>
        <w:fldChar w:fldCharType="end"/>
      </w:r>
      <w:bookmarkEnd w:id="498"/>
      <w:r>
        <w:t xml:space="preserve"> </w:t>
      </w:r>
      <w:r w:rsidRPr="00A912F2">
        <w:t xml:space="preserve">A path diagram displaying the direct relationship between influence on decision-making and work engagement (c’), and the indirect relationship between influence on decision-making and work engagement, mediated by competence (ab), when </w:t>
      </w:r>
      <w:r>
        <w:t xml:space="preserve">controlling for </w:t>
      </w:r>
      <w:r w:rsidRPr="00A912F2">
        <w:t>gender and time</w:t>
      </w:r>
      <w:bookmarkEnd w:id="499"/>
      <w:bookmarkEnd w:id="500"/>
    </w:p>
    <w:p w14:paraId="07204914" w14:textId="72E6CB1D" w:rsidR="00E6060C" w:rsidRPr="00E6060C" w:rsidRDefault="00FD533A" w:rsidP="005852AD">
      <w:pPr>
        <w:pStyle w:val="Figurestyle"/>
      </w:pPr>
      <w:r>
        <w:t xml:space="preserve">. </w:t>
      </w:r>
      <w:r w:rsidRPr="00E6060C">
        <w:rPr>
          <w:i/>
        </w:rPr>
        <w:t>Notes:</w:t>
      </w:r>
      <w:r w:rsidRPr="00E6060C">
        <w:t xml:space="preserve"> 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influence on decision-making on competence; </w:t>
      </w:r>
      <w:r w:rsidRPr="00E6060C">
        <w:rPr>
          <w:i/>
        </w:rPr>
        <w:t>b</w:t>
      </w:r>
      <w:r w:rsidRPr="00E6060C">
        <w:t xml:space="preserve">=direct effect of competence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7CA026F4" w14:textId="77777777" w:rsidR="00E6060C" w:rsidRPr="00E6060C" w:rsidRDefault="00E6060C" w:rsidP="00E6060C">
      <w:pPr>
        <w:spacing w:after="200" w:line="240" w:lineRule="auto"/>
        <w:contextualSpacing/>
        <w:rPr>
          <w:rFonts w:ascii="Calibri" w:eastAsia="Calibri" w:hAnsi="Calibri" w:cs="Times New Roman"/>
        </w:rPr>
      </w:pPr>
    </w:p>
    <w:p w14:paraId="67B454A1" w14:textId="48E64AF9" w:rsidR="00E6060C" w:rsidRPr="00E6060C" w:rsidRDefault="00EB473D" w:rsidP="0009618B">
      <w:pPr>
        <w:pStyle w:val="Heading3"/>
      </w:pPr>
      <w:bookmarkStart w:id="501" w:name="_Toc468286028"/>
      <w:r>
        <w:t>T</w:t>
      </w:r>
      <w:r w:rsidR="00E6060C" w:rsidRPr="00E6060C">
        <w:t>he relationship between resources and demands and work engagement</w:t>
      </w:r>
      <w:r>
        <w:t>, mediated by competence</w:t>
      </w:r>
      <w:bookmarkEnd w:id="501"/>
    </w:p>
    <w:p w14:paraId="0C1FA3F2" w14:textId="77777777" w:rsidR="00E6060C" w:rsidRPr="00E6060C" w:rsidRDefault="00E6060C" w:rsidP="00E6060C">
      <w:pPr>
        <w:spacing w:after="200" w:line="276" w:lineRule="auto"/>
        <w:rPr>
          <w:rFonts w:ascii="Calibri" w:eastAsia="Calibri" w:hAnsi="Calibri" w:cs="Times New Roman"/>
        </w:rPr>
      </w:pPr>
    </w:p>
    <w:p w14:paraId="34E12D44" w14:textId="7F1C619D" w:rsidR="00E6060C" w:rsidRPr="00E6060C" w:rsidRDefault="00E6060C" w:rsidP="00E6060C">
      <w:pPr>
        <w:spacing w:after="200" w:line="360" w:lineRule="auto"/>
        <w:contextualSpacing/>
        <w:rPr>
          <w:rFonts w:ascii="Calibri" w:eastAsia="Calibri" w:hAnsi="Calibri" w:cs="Times New Roman"/>
          <w:i/>
          <w:iCs/>
        </w:rPr>
      </w:pPr>
      <w:r w:rsidRPr="00E6060C">
        <w:rPr>
          <w:rFonts w:ascii="Calibri" w:eastAsia="Calibri" w:hAnsi="Calibri" w:cs="Times New Roman"/>
        </w:rPr>
        <w:t xml:space="preserve">The indirect effect of resources and demands on work engagement, mediated by competence, and controlling for time and gender, was also just significant, </w:t>
      </w:r>
      <w:r w:rsidRPr="00E6060C">
        <w:rPr>
          <w:rFonts w:ascii="Calibri" w:eastAsia="Calibri" w:hAnsi="Calibri" w:cs="Times New Roman"/>
          <w:i/>
          <w:iCs/>
        </w:rPr>
        <w:t>ab</w:t>
      </w:r>
      <w:r w:rsidRPr="00E6060C">
        <w:rPr>
          <w:rFonts w:ascii="Calibri" w:eastAsia="Calibri" w:hAnsi="Calibri" w:cs="Times New Roman"/>
          <w:iCs/>
        </w:rPr>
        <w:t>=.06; CI-95%=.01-.16</w:t>
      </w:r>
      <w:r w:rsidRPr="00E6060C">
        <w:rPr>
          <w:rFonts w:ascii="Calibri" w:eastAsia="Calibri" w:hAnsi="Calibri" w:cs="Times New Roman"/>
          <w:i/>
          <w:iCs/>
        </w:rPr>
        <w:t xml:space="preserve"> </w:t>
      </w:r>
      <w:r w:rsidRPr="00E6060C">
        <w:rPr>
          <w:rFonts w:ascii="Calibri" w:eastAsia="Calibri" w:hAnsi="Calibri" w:cs="Times New Roman"/>
          <w:iCs/>
        </w:rPr>
        <w:t>(</w:t>
      </w:r>
      <w:r w:rsidR="00C44073">
        <w:rPr>
          <w:rFonts w:ascii="Calibri" w:eastAsia="Calibri" w:hAnsi="Calibri" w:cs="Times New Roman"/>
        </w:rPr>
        <w:fldChar w:fldCharType="begin"/>
      </w:r>
      <w:r w:rsidR="00C44073">
        <w:rPr>
          <w:rFonts w:ascii="Calibri" w:eastAsia="Calibri" w:hAnsi="Calibri" w:cs="Times New Roman"/>
          <w:iCs/>
        </w:rPr>
        <w:instrText xml:space="preserve"> REF _Ref453592520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6</w:t>
      </w:r>
      <w:r w:rsidR="00C44073">
        <w:rPr>
          <w:rFonts w:ascii="Calibri" w:eastAsia="Calibri" w:hAnsi="Calibri" w:cs="Times New Roman"/>
        </w:rPr>
        <w:fldChar w:fldCharType="end"/>
      </w:r>
      <w:r w:rsidR="00CD12CF">
        <w:rPr>
          <w:rFonts w:ascii="Calibri" w:eastAsia="Calibri" w:hAnsi="Calibri" w:cs="Times New Roman"/>
        </w:rPr>
        <w:t>), supporting hypothesis 2.</w:t>
      </w:r>
      <w:r w:rsidRPr="00E6060C">
        <w:rPr>
          <w:rFonts w:ascii="Calibri" w:eastAsia="Calibri" w:hAnsi="Calibri" w:cs="Times New Roman"/>
        </w:rPr>
        <w:t xml:space="preserve">f. This indicates that two cases which differ by one unit on the resources and demands scale are estimated to differ by .06 units on the work engagement scale as a result of the effect of resources and demands on competence, which then has an effect on work engagement, when controlling for time and gender. This suggests that the effect of resources and demands on work engagement is not independent of its effect via competence, and thus that competence mediates the relationship between resources and demands and work engagement, </w:t>
      </w:r>
      <w:r w:rsidRPr="00E6060C">
        <w:rPr>
          <w:rFonts w:ascii="Calibri" w:eastAsia="Calibri" w:hAnsi="Calibri" w:cs="Times New Roman"/>
        </w:rPr>
        <w:lastRenderedPageBreak/>
        <w:t xml:space="preserve">when controlling for time and gender. In keeping with the just significant indirect effect size, the standardised absolute indirect effect size was the smallest observed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=.03, and the relative effect size was the third smallest,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=.12, respectively. The direct effect of resources and demands on work engagement, when controlling for competence (and time and gender), was again significant, </w:t>
      </w:r>
      <w:r w:rsidRPr="00E6060C">
        <w:rPr>
          <w:rFonts w:ascii="Calibri" w:eastAsia="Calibri" w:hAnsi="Calibri" w:cs="Times New Roman"/>
          <w:i/>
          <w:iCs/>
        </w:rPr>
        <w:t>c’</w:t>
      </w:r>
      <w:r w:rsidRPr="00E6060C">
        <w:rPr>
          <w:rFonts w:ascii="Calibri" w:eastAsia="Calibri" w:hAnsi="Calibri" w:cs="Times New Roman"/>
          <w:iCs/>
        </w:rPr>
        <w:t>=.27,</w:t>
      </w:r>
      <w:r w:rsidRPr="00E6060C">
        <w:rPr>
          <w:rFonts w:ascii="Calibri" w:eastAsia="Calibri" w:hAnsi="Calibri" w:cs="Times New Roman"/>
          <w:i/>
          <w:iCs/>
        </w:rPr>
        <w:t xml:space="preserve"> p</w:t>
      </w:r>
      <w:r w:rsidRPr="00E6060C">
        <w:rPr>
          <w:rFonts w:ascii="Calibri" w:eastAsia="Calibri" w:hAnsi="Calibri" w:cs="Times New Roman"/>
          <w:iCs/>
        </w:rPr>
        <w:t xml:space="preserve">=.002, </w:t>
      </w:r>
      <w:r w:rsidRPr="00E6060C">
        <w:rPr>
          <w:rFonts w:ascii="Calibri" w:eastAsia="Calibri" w:hAnsi="Calibri" w:cs="Times New Roman"/>
        </w:rPr>
        <w:t xml:space="preserve">suggesting that the direct effect of resources and demands on work engagement is not dependent on its effect through competence, when controlling for time and gender. It is possible that partial mediation can again explain these results. </w:t>
      </w:r>
    </w:p>
    <w:p w14:paraId="3D9265F1" w14:textId="77777777" w:rsidR="00E6060C" w:rsidRPr="00E6060C" w:rsidRDefault="00E6060C" w:rsidP="00E6060C">
      <w:pPr>
        <w:spacing w:after="200" w:line="276" w:lineRule="auto"/>
        <w:rPr>
          <w:rFonts w:ascii="Calibri" w:eastAsia="Calibri" w:hAnsi="Calibri" w:cs="Times New Roman"/>
        </w:rPr>
      </w:pPr>
    </w:p>
    <w:p w14:paraId="249444E2" w14:textId="77777777" w:rsidR="00FD533A" w:rsidRDefault="00E6060C" w:rsidP="00FD533A">
      <w:pPr>
        <w:keepNext/>
        <w:spacing w:after="200" w:line="276" w:lineRule="auto"/>
        <w:jc w:val="center"/>
      </w:pPr>
      <w:r w:rsidRPr="00E6060C">
        <w:rPr>
          <w:rFonts w:ascii="Calibri" w:eastAsia="Calibri" w:hAnsi="Calibri" w:cs="Times New Roman"/>
          <w:noProof/>
          <w:lang w:eastAsia="en-GB"/>
        </w:rPr>
        <w:drawing>
          <wp:inline distT="0" distB="0" distL="0" distR="0" wp14:anchorId="3C06A7C4" wp14:editId="665ECC5D">
            <wp:extent cx="5731510" cy="2689225"/>
            <wp:effectExtent l="0" t="0" r="254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2689225"/>
                    </a:xfrm>
                    <a:prstGeom prst="rect">
                      <a:avLst/>
                    </a:prstGeom>
                  </pic:spPr>
                </pic:pic>
              </a:graphicData>
            </a:graphic>
          </wp:inline>
        </w:drawing>
      </w:r>
    </w:p>
    <w:p w14:paraId="1D59B472" w14:textId="53CB9F60" w:rsidR="00C23D06" w:rsidRPr="00C23D06" w:rsidRDefault="00FD533A" w:rsidP="005852AD">
      <w:pPr>
        <w:pStyle w:val="Figurestyle"/>
        <w:rPr>
          <w:rFonts w:ascii="Calibri" w:eastAsia="Calibri" w:hAnsi="Calibri" w:cs="Times New Roman"/>
          <w:i/>
          <w:vanish/>
          <w:specVanish/>
        </w:rPr>
      </w:pPr>
      <w:bookmarkStart w:id="502" w:name="_Ref453592520"/>
      <w:bookmarkStart w:id="503" w:name="_Toc453238928"/>
      <w:bookmarkStart w:id="504" w:name="_Toc468286118"/>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6</w:t>
      </w:r>
      <w:r w:rsidR="00245D68">
        <w:rPr>
          <w:noProof/>
        </w:rPr>
        <w:fldChar w:fldCharType="end"/>
      </w:r>
      <w:bookmarkEnd w:id="502"/>
      <w:r>
        <w:t xml:space="preserve"> </w:t>
      </w:r>
      <w:r w:rsidRPr="003A3612">
        <w:t>A path diagram displaying the direct relationship between resources and demands and work engagement (c’), and the indirect relationship between resources and demands and work engagement, mediated by competence (ab), when controlling for gender and time</w:t>
      </w:r>
      <w:bookmarkEnd w:id="503"/>
      <w:bookmarkEnd w:id="504"/>
    </w:p>
    <w:p w14:paraId="345D9908" w14:textId="1088D4D5" w:rsidR="00E6060C" w:rsidRDefault="00FD533A" w:rsidP="005852AD">
      <w:pPr>
        <w:pStyle w:val="Figurestyle"/>
      </w:pPr>
      <w:r w:rsidRPr="003A3612">
        <w:t>.</w:t>
      </w:r>
      <w:r>
        <w:t xml:space="preserve"> </w:t>
      </w:r>
      <w:r w:rsidRPr="00E6060C">
        <w:rPr>
          <w:i/>
        </w:rPr>
        <w:t>Notes:</w:t>
      </w:r>
      <w:r w:rsidRPr="00E6060C">
        <w:t xml:space="preserve"> 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resources and demands on competence; </w:t>
      </w:r>
      <w:r w:rsidRPr="00E6060C">
        <w:rPr>
          <w:i/>
        </w:rPr>
        <w:t>b</w:t>
      </w:r>
      <w:r w:rsidRPr="00E6060C">
        <w:t xml:space="preserve">=direct effect of competence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15B9D2A6" w14:textId="77777777" w:rsidR="00FD533A" w:rsidRPr="00E6060C" w:rsidRDefault="00FD533A" w:rsidP="005852AD">
      <w:pPr>
        <w:pStyle w:val="Figurestyle"/>
      </w:pPr>
    </w:p>
    <w:p w14:paraId="60E8CBCD" w14:textId="689B264B" w:rsidR="00E6060C" w:rsidRPr="00E6060C" w:rsidRDefault="00EB473D" w:rsidP="0009618B">
      <w:pPr>
        <w:pStyle w:val="Heading3"/>
      </w:pPr>
      <w:bookmarkStart w:id="505" w:name="_Toc468286029"/>
      <w:r>
        <w:t>T</w:t>
      </w:r>
      <w:r w:rsidR="00E6060C" w:rsidRPr="00E6060C">
        <w:t>he relationship between social support and work engagement</w:t>
      </w:r>
      <w:r>
        <w:t>, mediated by relatedness</w:t>
      </w:r>
      <w:bookmarkEnd w:id="505"/>
    </w:p>
    <w:p w14:paraId="5DDF6BFC" w14:textId="77777777" w:rsidR="00E6060C" w:rsidRPr="00E6060C" w:rsidRDefault="00E6060C" w:rsidP="00E6060C">
      <w:pPr>
        <w:spacing w:after="200" w:line="276" w:lineRule="auto"/>
        <w:rPr>
          <w:rFonts w:ascii="Calibri" w:eastAsia="Calibri" w:hAnsi="Calibri" w:cs="Times New Roman"/>
        </w:rPr>
      </w:pPr>
    </w:p>
    <w:p w14:paraId="5F3E8DB1" w14:textId="5E7F77A5" w:rsidR="00E6060C" w:rsidRPr="00E6060C" w:rsidRDefault="00E6060C" w:rsidP="00E6060C">
      <w:pPr>
        <w:spacing w:after="200" w:line="360" w:lineRule="auto"/>
        <w:contextualSpacing/>
        <w:rPr>
          <w:rFonts w:ascii="Calibri" w:eastAsia="Calibri" w:hAnsi="Calibri" w:cs="Times New Roman"/>
          <w:i/>
          <w:iCs/>
        </w:rPr>
      </w:pPr>
      <w:r w:rsidRPr="00E6060C">
        <w:rPr>
          <w:rFonts w:ascii="Calibri" w:eastAsia="Calibri" w:hAnsi="Calibri" w:cs="Times New Roman"/>
        </w:rPr>
        <w:t xml:space="preserve">The indirect effect of social support on work engagement, mediated by relatedness, and controlling for time and gender, was significant, </w:t>
      </w:r>
      <w:r w:rsidRPr="00E6060C">
        <w:rPr>
          <w:rFonts w:ascii="Calibri" w:eastAsia="Calibri" w:hAnsi="Calibri" w:cs="Times New Roman"/>
          <w:i/>
          <w:iCs/>
        </w:rPr>
        <w:t>ab</w:t>
      </w:r>
      <w:r w:rsidRPr="00E6060C">
        <w:rPr>
          <w:rFonts w:ascii="Calibri" w:eastAsia="Calibri" w:hAnsi="Calibri" w:cs="Times New Roman"/>
          <w:iCs/>
        </w:rPr>
        <w:t>=.14; CI-95%=.05-.26</w:t>
      </w:r>
      <w:r w:rsidRPr="00E6060C">
        <w:rPr>
          <w:rFonts w:ascii="Calibri" w:eastAsia="Calibri" w:hAnsi="Calibri" w:cs="Times New Roman"/>
          <w:i/>
          <w:iCs/>
        </w:rPr>
        <w:t xml:space="preserve"> </w:t>
      </w:r>
      <w:r w:rsidRPr="00E6060C">
        <w:rPr>
          <w:rFonts w:ascii="Calibri" w:eastAsia="Calibri" w:hAnsi="Calibri" w:cs="Times New Roman"/>
          <w:iCs/>
        </w:rPr>
        <w:t>(</w:t>
      </w:r>
      <w:r w:rsidR="00C44073">
        <w:rPr>
          <w:rFonts w:ascii="Calibri" w:eastAsia="Calibri" w:hAnsi="Calibri" w:cs="Times New Roman"/>
        </w:rPr>
        <w:fldChar w:fldCharType="begin"/>
      </w:r>
      <w:r w:rsidR="00C44073">
        <w:rPr>
          <w:rFonts w:ascii="Calibri" w:eastAsia="Calibri" w:hAnsi="Calibri" w:cs="Times New Roman"/>
          <w:iCs/>
        </w:rPr>
        <w:instrText xml:space="preserve"> REF _Ref453592544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7</w:t>
      </w:r>
      <w:r w:rsidR="00C44073">
        <w:rPr>
          <w:rFonts w:ascii="Calibri" w:eastAsia="Calibri" w:hAnsi="Calibri" w:cs="Times New Roman"/>
        </w:rPr>
        <w:fldChar w:fldCharType="end"/>
      </w:r>
      <w:r w:rsidRPr="00E6060C">
        <w:rPr>
          <w:rFonts w:ascii="Calibri" w:eastAsia="Calibri" w:hAnsi="Calibri" w:cs="Times New Roman"/>
        </w:rPr>
        <w:t xml:space="preserve">), supporting hypothesis 2.g. This indicates that two cases which differ by one unit on the social support scale are estimated to differ by .14 units on the work engagement scale as a result of the effect of social support on relatedness, which then has an effect on work engagement, when controlling for time and gender. </w:t>
      </w:r>
      <w:r w:rsidRPr="00E6060C">
        <w:rPr>
          <w:rFonts w:ascii="Calibri" w:eastAsia="Calibri" w:hAnsi="Calibri" w:cs="Times New Roman"/>
        </w:rPr>
        <w:lastRenderedPageBreak/>
        <w:t xml:space="preserve">This suggests that the effect of social support on work engagement is not independent of its effect via relatedness, and thus that relatedness mediates the relationship between social support and work engagement, when controlling for time and gender. Both the standardised absolute indirect effect size, and the relative effect size, were the fourth largest observed,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=.10, and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=.26, respectively. The direct effect of social support on work engagement, when controlling for relatedness (and time and gender), was still significant, </w:t>
      </w:r>
      <w:r w:rsidRPr="00E6060C">
        <w:rPr>
          <w:rFonts w:ascii="Calibri" w:eastAsia="Calibri" w:hAnsi="Calibri" w:cs="Times New Roman"/>
          <w:i/>
          <w:iCs/>
        </w:rPr>
        <w:t>c’</w:t>
      </w:r>
      <w:r w:rsidRPr="00E6060C">
        <w:rPr>
          <w:rFonts w:ascii="Calibri" w:eastAsia="Calibri" w:hAnsi="Calibri" w:cs="Times New Roman"/>
          <w:iCs/>
        </w:rPr>
        <w:t xml:space="preserve">=.43, </w:t>
      </w:r>
      <w:r w:rsidRPr="00E6060C">
        <w:rPr>
          <w:rFonts w:ascii="Calibri" w:eastAsia="Calibri" w:hAnsi="Calibri" w:cs="Times New Roman"/>
          <w:i/>
          <w:iCs/>
        </w:rPr>
        <w:t>p</w:t>
      </w:r>
      <w:r w:rsidRPr="00E6060C">
        <w:rPr>
          <w:rFonts w:ascii="Calibri" w:eastAsia="Calibri" w:hAnsi="Calibri" w:cs="Times New Roman"/>
          <w:iCs/>
        </w:rPr>
        <w:t xml:space="preserve">=&lt;.001, again </w:t>
      </w:r>
      <w:r w:rsidRPr="00E6060C">
        <w:rPr>
          <w:rFonts w:ascii="Calibri" w:eastAsia="Calibri" w:hAnsi="Calibri" w:cs="Times New Roman"/>
        </w:rPr>
        <w:t xml:space="preserve">suggesting partial mediation. </w:t>
      </w:r>
    </w:p>
    <w:p w14:paraId="7DCEB5C2" w14:textId="77777777" w:rsidR="00E6060C" w:rsidRPr="00E6060C" w:rsidRDefault="00E6060C" w:rsidP="00E6060C">
      <w:pPr>
        <w:spacing w:after="200" w:line="276" w:lineRule="auto"/>
        <w:rPr>
          <w:rFonts w:ascii="Calibri" w:eastAsia="Calibri" w:hAnsi="Calibri" w:cs="Times New Roman"/>
        </w:rPr>
      </w:pPr>
    </w:p>
    <w:p w14:paraId="42CDF568" w14:textId="77777777" w:rsidR="00FD533A" w:rsidRDefault="00E6060C" w:rsidP="00FD533A">
      <w:pPr>
        <w:keepNext/>
        <w:spacing w:after="200" w:line="276" w:lineRule="auto"/>
        <w:jc w:val="center"/>
      </w:pPr>
      <w:r w:rsidRPr="00E6060C">
        <w:rPr>
          <w:rFonts w:ascii="Calibri" w:eastAsia="Calibri" w:hAnsi="Calibri" w:cs="Times New Roman"/>
          <w:noProof/>
          <w:lang w:eastAsia="en-GB"/>
        </w:rPr>
        <w:drawing>
          <wp:inline distT="0" distB="0" distL="0" distR="0" wp14:anchorId="5DD2F489" wp14:editId="00FC0311">
            <wp:extent cx="5731510" cy="2687955"/>
            <wp:effectExtent l="0" t="0" r="254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2687955"/>
                    </a:xfrm>
                    <a:prstGeom prst="rect">
                      <a:avLst/>
                    </a:prstGeom>
                  </pic:spPr>
                </pic:pic>
              </a:graphicData>
            </a:graphic>
          </wp:inline>
        </w:drawing>
      </w:r>
    </w:p>
    <w:p w14:paraId="718BA8EA" w14:textId="1724EF6D" w:rsidR="00C23D06" w:rsidRPr="00C23D06" w:rsidRDefault="00FD533A" w:rsidP="005852AD">
      <w:pPr>
        <w:pStyle w:val="Figurestyle"/>
        <w:rPr>
          <w:rFonts w:ascii="Calibri" w:eastAsia="Calibri" w:hAnsi="Calibri" w:cs="Times New Roman"/>
          <w:i/>
          <w:vanish/>
          <w:specVanish/>
        </w:rPr>
      </w:pPr>
      <w:bookmarkStart w:id="506" w:name="_Ref453592544"/>
      <w:bookmarkStart w:id="507" w:name="_Toc453238929"/>
      <w:bookmarkStart w:id="508" w:name="_Toc468286119"/>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7</w:t>
      </w:r>
      <w:r w:rsidR="00245D68">
        <w:rPr>
          <w:noProof/>
        </w:rPr>
        <w:fldChar w:fldCharType="end"/>
      </w:r>
      <w:bookmarkEnd w:id="506"/>
      <w:r>
        <w:t xml:space="preserve"> </w:t>
      </w:r>
      <w:r w:rsidRPr="001844A5">
        <w:t>A path diagram displaying the direct relationship between social support and work engagement (c’), and the indirect relationship between social support and work engagement, mediated by relatedness (ab), when controlling for gender and time</w:t>
      </w:r>
      <w:bookmarkEnd w:id="507"/>
      <w:bookmarkEnd w:id="508"/>
    </w:p>
    <w:p w14:paraId="7E1FDA58" w14:textId="70215057" w:rsidR="00E6060C" w:rsidRPr="00E6060C" w:rsidRDefault="00FD533A" w:rsidP="005852AD">
      <w:pPr>
        <w:pStyle w:val="Figurestyle"/>
      </w:pPr>
      <w:r w:rsidRPr="001844A5">
        <w:t xml:space="preserve">. </w:t>
      </w:r>
      <w:r w:rsidR="00344C19" w:rsidRPr="00E6060C">
        <w:rPr>
          <w:i/>
        </w:rPr>
        <w:t>Notes:</w:t>
      </w:r>
      <w:r w:rsidR="00344C19" w:rsidRPr="00E6060C">
        <w:t xml:space="preserve"> regression coefficients and </w:t>
      </w:r>
      <w:r w:rsidR="00344C19" w:rsidRPr="00E6060C">
        <w:rPr>
          <w:i/>
        </w:rPr>
        <w:t>p-</w:t>
      </w:r>
      <w:r w:rsidR="00344C19" w:rsidRPr="00E6060C">
        <w:t>values</w:t>
      </w:r>
      <w:r w:rsidR="00344C19" w:rsidRPr="00E6060C">
        <w:rPr>
          <w:i/>
        </w:rPr>
        <w:t xml:space="preserve"> </w:t>
      </w:r>
      <w:r w:rsidR="00344C19" w:rsidRPr="00E6060C">
        <w:t xml:space="preserve">are presented above the path arrows; </w:t>
      </w:r>
      <w:r w:rsidR="00344C19" w:rsidRPr="00E6060C">
        <w:rPr>
          <w:i/>
        </w:rPr>
        <w:t>a</w:t>
      </w:r>
      <w:r w:rsidR="00344C19" w:rsidRPr="00E6060C">
        <w:t xml:space="preserve">=direct effect of social support on relatedness; </w:t>
      </w:r>
      <w:r w:rsidR="00344C19" w:rsidRPr="00E6060C">
        <w:rPr>
          <w:i/>
        </w:rPr>
        <w:t>b</w:t>
      </w:r>
      <w:r w:rsidR="00344C19" w:rsidRPr="00E6060C">
        <w:t xml:space="preserve">=direct effect of relatedness on work engagement; CI-95%=95% confidence interval; </w:t>
      </w:r>
      <w:r w:rsidR="00344C19" w:rsidRPr="00E6060C">
        <w:rPr>
          <w:i/>
        </w:rPr>
        <w:t>ab</w:t>
      </w:r>
      <w:r w:rsidR="00344C19" w:rsidRPr="00E6060C">
        <w:rPr>
          <w:vertAlign w:val="subscript"/>
        </w:rPr>
        <w:t>cs</w:t>
      </w:r>
      <w:r w:rsidR="00344C19" w:rsidRPr="00E6060C">
        <w:t xml:space="preserve">=absolute indirect effect size; </w:t>
      </w:r>
      <w:r w:rsidR="00344C19" w:rsidRPr="00E6060C">
        <w:rPr>
          <w:i/>
        </w:rPr>
        <w:t>P</w:t>
      </w:r>
      <w:r w:rsidR="00344C19" w:rsidRPr="00E6060C">
        <w:rPr>
          <w:vertAlign w:val="subscript"/>
        </w:rPr>
        <w:t>M</w:t>
      </w:r>
      <w:r w:rsidR="00344C19" w:rsidRPr="00E6060C">
        <w:t>=relative effect size</w:t>
      </w:r>
    </w:p>
    <w:p w14:paraId="3F6C6B7C" w14:textId="77777777" w:rsidR="00E6060C" w:rsidRPr="00E6060C" w:rsidRDefault="00E6060C" w:rsidP="00E6060C">
      <w:pPr>
        <w:spacing w:after="200" w:line="276" w:lineRule="auto"/>
        <w:rPr>
          <w:rFonts w:ascii="Calibri" w:eastAsia="Calibri" w:hAnsi="Calibri" w:cs="Times New Roman"/>
        </w:rPr>
      </w:pPr>
    </w:p>
    <w:p w14:paraId="3D64480B" w14:textId="03DBB0A5" w:rsidR="00E6060C" w:rsidRPr="00E6060C" w:rsidRDefault="00EB473D" w:rsidP="0009618B">
      <w:pPr>
        <w:pStyle w:val="Heading3"/>
      </w:pPr>
      <w:bookmarkStart w:id="509" w:name="_Toc468286030"/>
      <w:r>
        <w:t>T</w:t>
      </w:r>
      <w:r w:rsidR="00E6060C" w:rsidRPr="00E6060C">
        <w:t>he relationship between influence in decision-making and work engagement</w:t>
      </w:r>
      <w:r>
        <w:t>, mediated by relatedness</w:t>
      </w:r>
      <w:bookmarkEnd w:id="509"/>
    </w:p>
    <w:p w14:paraId="4B2C9939" w14:textId="77777777" w:rsidR="00E6060C" w:rsidRPr="00E6060C" w:rsidRDefault="00E6060C" w:rsidP="00E6060C">
      <w:pPr>
        <w:spacing w:after="200" w:line="276" w:lineRule="auto"/>
        <w:rPr>
          <w:rFonts w:ascii="Calibri" w:eastAsia="Calibri" w:hAnsi="Calibri" w:cs="Times New Roman"/>
        </w:rPr>
      </w:pPr>
    </w:p>
    <w:p w14:paraId="08FF07A3" w14:textId="5000533C" w:rsidR="00E6060C" w:rsidRPr="00E6060C" w:rsidRDefault="00E6060C" w:rsidP="00E6060C">
      <w:pPr>
        <w:spacing w:after="200" w:line="360" w:lineRule="auto"/>
        <w:contextualSpacing/>
        <w:rPr>
          <w:rFonts w:ascii="Calibri" w:eastAsia="Calibri" w:hAnsi="Calibri" w:cs="Times New Roman"/>
          <w:i/>
          <w:iCs/>
        </w:rPr>
      </w:pPr>
      <w:r w:rsidRPr="00E6060C">
        <w:rPr>
          <w:rFonts w:ascii="Calibri" w:eastAsia="Calibri" w:hAnsi="Calibri" w:cs="Times New Roman"/>
        </w:rPr>
        <w:t xml:space="preserve">The indirect effect of influence in decision-making on work engagement, mediated by relatedness, and controlling for time and gender, was just significant, </w:t>
      </w:r>
      <w:r w:rsidRPr="00E6060C">
        <w:rPr>
          <w:rFonts w:ascii="Calibri" w:eastAsia="Calibri" w:hAnsi="Calibri" w:cs="Times New Roman"/>
          <w:i/>
          <w:iCs/>
        </w:rPr>
        <w:t>ab</w:t>
      </w:r>
      <w:r w:rsidRPr="00E6060C">
        <w:rPr>
          <w:rFonts w:ascii="Calibri" w:eastAsia="Calibri" w:hAnsi="Calibri" w:cs="Times New Roman"/>
          <w:iCs/>
        </w:rPr>
        <w:t>=.12; CI-95%=.04-.24 (</w:t>
      </w:r>
      <w:r w:rsidR="00C44073">
        <w:rPr>
          <w:rFonts w:ascii="Calibri" w:eastAsia="Calibri" w:hAnsi="Calibri" w:cs="Times New Roman"/>
        </w:rPr>
        <w:fldChar w:fldCharType="begin"/>
      </w:r>
      <w:r w:rsidR="00C44073">
        <w:rPr>
          <w:rFonts w:ascii="Calibri" w:eastAsia="Calibri" w:hAnsi="Calibri" w:cs="Times New Roman"/>
          <w:iCs/>
        </w:rPr>
        <w:instrText xml:space="preserve"> REF _Ref453592600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8</w:t>
      </w:r>
      <w:r w:rsidR="00C44073">
        <w:rPr>
          <w:rFonts w:ascii="Calibri" w:eastAsia="Calibri" w:hAnsi="Calibri" w:cs="Times New Roman"/>
        </w:rPr>
        <w:fldChar w:fldCharType="end"/>
      </w:r>
      <w:r w:rsidRPr="00E6060C">
        <w:rPr>
          <w:rFonts w:ascii="Calibri" w:eastAsia="Calibri" w:hAnsi="Calibri" w:cs="Times New Roman"/>
        </w:rPr>
        <w:t xml:space="preserve">), </w:t>
      </w:r>
      <w:r w:rsidR="00C44073">
        <w:rPr>
          <w:rFonts w:ascii="Calibri" w:eastAsia="Calibri" w:hAnsi="Calibri" w:cs="Times New Roman"/>
        </w:rPr>
        <w:t>supporting hypothesis 2.</w:t>
      </w:r>
      <w:r w:rsidRPr="00E6060C">
        <w:rPr>
          <w:rFonts w:ascii="Calibri" w:eastAsia="Calibri" w:hAnsi="Calibri" w:cs="Times New Roman"/>
        </w:rPr>
        <w:t xml:space="preserve">h. This indicates that two cases which differ by one unit on the influence in decision-making scale are estimated to differ by .12 units on the work engagement scale as a result of the effect of social support on relatedness, which then has an effect on work engagement, when </w:t>
      </w:r>
      <w:r w:rsidRPr="00E6060C">
        <w:rPr>
          <w:rFonts w:ascii="Calibri" w:eastAsia="Calibri" w:hAnsi="Calibri" w:cs="Times New Roman"/>
        </w:rPr>
        <w:lastRenderedPageBreak/>
        <w:t xml:space="preserve">controlling for time and gender. This suggests that the effect of influence in decision-making on work engagement is not independent of its effect via relatedness, and thus that relatedness mediates the relationship between influence on decision-making and work engagement. Both the standardised absolute indirect effect size and the relative effect size were the fourth smallest observed,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=.09, and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=.25, respectively. Once again, the direct effect of influence in decision-making on work engagement, when controlling for relatedness (and time and gender), was significant, </w:t>
      </w:r>
      <w:r w:rsidRPr="00E6060C">
        <w:rPr>
          <w:rFonts w:ascii="Calibri" w:eastAsia="Calibri" w:hAnsi="Calibri" w:cs="Times New Roman"/>
          <w:i/>
          <w:iCs/>
        </w:rPr>
        <w:t>c’</w:t>
      </w:r>
      <w:r w:rsidRPr="00E6060C">
        <w:rPr>
          <w:rFonts w:ascii="Calibri" w:eastAsia="Calibri" w:hAnsi="Calibri" w:cs="Times New Roman"/>
          <w:iCs/>
        </w:rPr>
        <w:t xml:space="preserve">=.43, </w:t>
      </w:r>
      <w:r w:rsidRPr="00E6060C">
        <w:rPr>
          <w:rFonts w:ascii="Calibri" w:eastAsia="Calibri" w:hAnsi="Calibri" w:cs="Times New Roman"/>
          <w:i/>
          <w:iCs/>
        </w:rPr>
        <w:t>p</w:t>
      </w:r>
      <w:r w:rsidRPr="00E6060C">
        <w:rPr>
          <w:rFonts w:ascii="Calibri" w:eastAsia="Calibri" w:hAnsi="Calibri" w:cs="Times New Roman"/>
          <w:iCs/>
        </w:rPr>
        <w:t xml:space="preserve">=&lt;.001, possibly </w:t>
      </w:r>
      <w:r w:rsidRPr="00E6060C">
        <w:rPr>
          <w:rFonts w:ascii="Calibri" w:eastAsia="Calibri" w:hAnsi="Calibri" w:cs="Times New Roman"/>
        </w:rPr>
        <w:t xml:space="preserve">indicating partial mediation. </w:t>
      </w:r>
    </w:p>
    <w:p w14:paraId="3AD4A938" w14:textId="77777777" w:rsidR="00E6060C" w:rsidRPr="00E6060C" w:rsidRDefault="00E6060C" w:rsidP="00E6060C">
      <w:pPr>
        <w:spacing w:after="200" w:line="276" w:lineRule="auto"/>
        <w:rPr>
          <w:rFonts w:ascii="Calibri" w:eastAsia="Calibri" w:hAnsi="Calibri" w:cs="Times New Roman"/>
        </w:rPr>
      </w:pPr>
    </w:p>
    <w:p w14:paraId="5BCD148A" w14:textId="77777777" w:rsidR="00344C19" w:rsidRDefault="00E6060C" w:rsidP="00344C19">
      <w:pPr>
        <w:keepNext/>
        <w:spacing w:after="200" w:line="276" w:lineRule="auto"/>
        <w:jc w:val="center"/>
      </w:pPr>
      <w:r w:rsidRPr="00E6060C">
        <w:rPr>
          <w:rFonts w:ascii="Calibri" w:eastAsia="Calibri" w:hAnsi="Calibri" w:cs="Times New Roman"/>
          <w:noProof/>
          <w:lang w:eastAsia="en-GB"/>
        </w:rPr>
        <w:drawing>
          <wp:inline distT="0" distB="0" distL="0" distR="0" wp14:anchorId="5F0E47BD" wp14:editId="41E31014">
            <wp:extent cx="5731510" cy="2642235"/>
            <wp:effectExtent l="0" t="0" r="2540" b="571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9.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2642235"/>
                    </a:xfrm>
                    <a:prstGeom prst="rect">
                      <a:avLst/>
                    </a:prstGeom>
                  </pic:spPr>
                </pic:pic>
              </a:graphicData>
            </a:graphic>
          </wp:inline>
        </w:drawing>
      </w:r>
    </w:p>
    <w:p w14:paraId="6C256958" w14:textId="2DD3D55E" w:rsidR="00C23D06" w:rsidRPr="00C23D06" w:rsidRDefault="00344C19" w:rsidP="005852AD">
      <w:pPr>
        <w:pStyle w:val="Figurestyle"/>
        <w:rPr>
          <w:rFonts w:ascii="Calibri" w:eastAsia="Calibri" w:hAnsi="Calibri" w:cs="Times New Roman"/>
          <w:i/>
          <w:vanish/>
          <w:specVanish/>
        </w:rPr>
      </w:pPr>
      <w:bookmarkStart w:id="510" w:name="_Ref453592600"/>
      <w:bookmarkStart w:id="511" w:name="_Toc453238930"/>
      <w:bookmarkStart w:id="512" w:name="_Toc468286120"/>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8</w:t>
      </w:r>
      <w:r w:rsidR="00245D68">
        <w:rPr>
          <w:noProof/>
        </w:rPr>
        <w:fldChar w:fldCharType="end"/>
      </w:r>
      <w:bookmarkEnd w:id="510"/>
      <w:r>
        <w:t xml:space="preserve"> </w:t>
      </w:r>
      <w:r w:rsidRPr="00FE6027">
        <w:t>A path diagram displaying the direct relationship between influence on decision-making and work engagement (c’), and the indirect relationship between influence on decision-making and work engagement, mediated by relatedness (ab), when controlling for g</w:t>
      </w:r>
      <w:r>
        <w:t>ender and time</w:t>
      </w:r>
      <w:bookmarkEnd w:id="511"/>
      <w:bookmarkEnd w:id="512"/>
    </w:p>
    <w:p w14:paraId="0B6C9B3E" w14:textId="0B9C0B52" w:rsidR="00E6060C" w:rsidRPr="00E6060C" w:rsidRDefault="00344C19" w:rsidP="005852AD">
      <w:pPr>
        <w:pStyle w:val="Figurestyle"/>
      </w:pPr>
      <w:r>
        <w:t xml:space="preserve">. </w:t>
      </w:r>
      <w:r w:rsidRPr="00E6060C">
        <w:rPr>
          <w:i/>
        </w:rPr>
        <w:t>Notes:</w:t>
      </w:r>
      <w:r w:rsidRPr="00E6060C">
        <w:t xml:space="preserve"> regression coefficients and </w:t>
      </w:r>
      <w:r w:rsidRPr="00E6060C">
        <w:rPr>
          <w:i/>
        </w:rPr>
        <w:t>p-</w:t>
      </w:r>
      <w:r w:rsidRPr="00E6060C">
        <w:t>values</w:t>
      </w:r>
      <w:r w:rsidRPr="00E6060C">
        <w:rPr>
          <w:i/>
        </w:rPr>
        <w:t xml:space="preserve"> </w:t>
      </w:r>
      <w:r w:rsidRPr="00E6060C">
        <w:t xml:space="preserve">are presented above the path arrows; </w:t>
      </w:r>
      <w:r w:rsidRPr="00E6060C">
        <w:rPr>
          <w:i/>
        </w:rPr>
        <w:t>a</w:t>
      </w:r>
      <w:r w:rsidRPr="00E6060C">
        <w:t xml:space="preserve">=direct effect of influence on decision-making on relatedness; </w:t>
      </w:r>
      <w:r w:rsidRPr="00E6060C">
        <w:rPr>
          <w:i/>
        </w:rPr>
        <w:t>b</w:t>
      </w:r>
      <w:r w:rsidRPr="00E6060C">
        <w:t xml:space="preserve">=direct effect of relatedness on work engagement; CI-95%=95% confidence interval; </w:t>
      </w:r>
      <w:r w:rsidRPr="00E6060C">
        <w:rPr>
          <w:i/>
        </w:rPr>
        <w:t>ab</w:t>
      </w:r>
      <w:r w:rsidRPr="00E6060C">
        <w:rPr>
          <w:vertAlign w:val="subscript"/>
        </w:rPr>
        <w:t>cs</w:t>
      </w:r>
      <w:r w:rsidRPr="00E6060C">
        <w:t xml:space="preserve">=absolute indirect effect size; </w:t>
      </w:r>
      <w:r w:rsidRPr="00E6060C">
        <w:rPr>
          <w:i/>
        </w:rPr>
        <w:t>P</w:t>
      </w:r>
      <w:r w:rsidRPr="00E6060C">
        <w:rPr>
          <w:vertAlign w:val="subscript"/>
        </w:rPr>
        <w:t>M</w:t>
      </w:r>
      <w:r w:rsidRPr="00E6060C">
        <w:t>=relative effect size</w:t>
      </w:r>
    </w:p>
    <w:p w14:paraId="44ECEE06" w14:textId="77777777" w:rsidR="00E6060C" w:rsidRPr="00E6060C" w:rsidRDefault="00E6060C" w:rsidP="00E6060C">
      <w:pPr>
        <w:spacing w:after="200" w:line="276" w:lineRule="auto"/>
        <w:rPr>
          <w:rFonts w:ascii="Calibri" w:eastAsia="Calibri" w:hAnsi="Calibri" w:cs="Times New Roman"/>
        </w:rPr>
      </w:pPr>
    </w:p>
    <w:p w14:paraId="507443F4" w14:textId="23278E17" w:rsidR="00E6060C" w:rsidRPr="00E6060C" w:rsidRDefault="00EB473D" w:rsidP="0009618B">
      <w:pPr>
        <w:pStyle w:val="Heading3"/>
      </w:pPr>
      <w:bookmarkStart w:id="513" w:name="_Toc468286031"/>
      <w:r>
        <w:t>T</w:t>
      </w:r>
      <w:r w:rsidR="00E6060C" w:rsidRPr="00E6060C">
        <w:t>he relationship between resources and demands and work engagement</w:t>
      </w:r>
      <w:r>
        <w:t>, mediated by relatedness</w:t>
      </w:r>
      <w:bookmarkEnd w:id="513"/>
    </w:p>
    <w:p w14:paraId="175FD770" w14:textId="77777777" w:rsidR="00E6060C" w:rsidRPr="00E6060C" w:rsidRDefault="00E6060C" w:rsidP="00E6060C">
      <w:pPr>
        <w:rPr>
          <w:rFonts w:ascii="Calibri" w:eastAsia="Calibri" w:hAnsi="Calibri" w:cs="Times New Roman"/>
          <w:b/>
          <w:noProof/>
          <w:lang w:eastAsia="en-GB"/>
        </w:rPr>
      </w:pPr>
    </w:p>
    <w:p w14:paraId="52D89776" w14:textId="77777777" w:rsidR="00E6060C" w:rsidRPr="00E6060C" w:rsidRDefault="00E6060C" w:rsidP="00E6060C">
      <w:pPr>
        <w:spacing w:after="200" w:line="276" w:lineRule="auto"/>
        <w:rPr>
          <w:rFonts w:ascii="Calibri" w:eastAsia="Calibri" w:hAnsi="Calibri" w:cs="Times New Roman"/>
          <w:noProof/>
          <w:lang w:eastAsia="en-GB"/>
        </w:rPr>
      </w:pPr>
    </w:p>
    <w:p w14:paraId="5A377769" w14:textId="5C0B790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indirect effect of resources and demands on work engagement, mediated by relatedness, and controlling for time and gender, was not significant, </w:t>
      </w:r>
      <w:r w:rsidRPr="00E6060C">
        <w:rPr>
          <w:rFonts w:ascii="Calibri" w:eastAsia="Calibri" w:hAnsi="Calibri" w:cs="Times New Roman"/>
          <w:i/>
          <w:iCs/>
        </w:rPr>
        <w:t>ab</w:t>
      </w:r>
      <w:r w:rsidRPr="00E6060C">
        <w:rPr>
          <w:rFonts w:ascii="Calibri" w:eastAsia="Calibri" w:hAnsi="Calibri" w:cs="Times New Roman"/>
          <w:iCs/>
        </w:rPr>
        <w:t>=.06; CI-95%=.00-.16</w:t>
      </w:r>
      <w:r w:rsidRPr="00E6060C">
        <w:rPr>
          <w:rFonts w:ascii="Calibri" w:eastAsia="Calibri" w:hAnsi="Calibri" w:cs="Times New Roman"/>
          <w:i/>
          <w:iCs/>
        </w:rPr>
        <w:t xml:space="preserve"> </w:t>
      </w:r>
      <w:r w:rsidRPr="00E6060C">
        <w:rPr>
          <w:rFonts w:ascii="Calibri" w:eastAsia="Calibri" w:hAnsi="Calibri" w:cs="Times New Roman"/>
          <w:iCs/>
        </w:rPr>
        <w:t>(</w:t>
      </w:r>
      <w:r w:rsidR="00C44073">
        <w:rPr>
          <w:rFonts w:ascii="Calibri" w:eastAsia="Calibri" w:hAnsi="Calibri" w:cs="Times New Roman"/>
        </w:rPr>
        <w:fldChar w:fldCharType="begin"/>
      </w:r>
      <w:r w:rsidR="00C44073">
        <w:rPr>
          <w:rFonts w:ascii="Calibri" w:eastAsia="Calibri" w:hAnsi="Calibri" w:cs="Times New Roman"/>
          <w:iCs/>
        </w:rPr>
        <w:instrText xml:space="preserve"> REF _Ref453592617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9</w:t>
      </w:r>
      <w:r w:rsidR="00C44073">
        <w:rPr>
          <w:rFonts w:ascii="Calibri" w:eastAsia="Calibri" w:hAnsi="Calibri" w:cs="Times New Roman"/>
        </w:rPr>
        <w:fldChar w:fldCharType="end"/>
      </w:r>
      <w:r w:rsidR="00CD12CF">
        <w:rPr>
          <w:rFonts w:ascii="Calibri" w:eastAsia="Calibri" w:hAnsi="Calibri" w:cs="Times New Roman"/>
        </w:rPr>
        <w:t>), hence hypothesis 2.i</w:t>
      </w:r>
      <w:r w:rsidRPr="00E6060C">
        <w:rPr>
          <w:rFonts w:ascii="Calibri" w:eastAsia="Calibri" w:hAnsi="Calibri" w:cs="Times New Roman"/>
        </w:rPr>
        <w:t xml:space="preserve"> was not supported. This suggests that the effect of resources and demands on work engagement may be independent of its effect via relatedness, and thus that relatedness is not able </w:t>
      </w:r>
      <w:r w:rsidRPr="00E6060C">
        <w:rPr>
          <w:rFonts w:ascii="Calibri" w:eastAsia="Calibri" w:hAnsi="Calibri" w:cs="Times New Roman"/>
        </w:rPr>
        <w:lastRenderedPageBreak/>
        <w:t xml:space="preserve">to mediate the relationship between resources and demands and work engagement, when controlling for time and gender. Due to this insignificant result, it is not appropriate to calculate or interpret effect sizes. In support of this result, the direct effect of resources and demands on work engagement, when controlling for relatedness (and time and gender), was significant, </w:t>
      </w:r>
      <w:r w:rsidRPr="00E6060C">
        <w:rPr>
          <w:rFonts w:ascii="Calibri" w:eastAsia="Calibri" w:hAnsi="Calibri" w:cs="Times New Roman"/>
          <w:i/>
          <w:iCs/>
        </w:rPr>
        <w:t>c’</w:t>
      </w:r>
      <w:r w:rsidRPr="00E6060C">
        <w:rPr>
          <w:rFonts w:ascii="Calibri" w:eastAsia="Calibri" w:hAnsi="Calibri" w:cs="Times New Roman"/>
          <w:iCs/>
        </w:rPr>
        <w:t xml:space="preserve">=.44, p=&lt;.002, </w:t>
      </w:r>
      <w:r w:rsidRPr="00E6060C">
        <w:rPr>
          <w:rFonts w:ascii="Calibri" w:eastAsia="Calibri" w:hAnsi="Calibri" w:cs="Times New Roman"/>
        </w:rPr>
        <w:t xml:space="preserve">suggesting that the direct effect of resources and demands on work engagement is not dependent on its effect through competence, when controlling for time and gender. It is worth noting, however, that the indirect effect was only just non-significant, and may be an artefact of low statistical power due to a relatively small sample size. It is therefore possible that mediation would have been observed in a larger sample. </w:t>
      </w:r>
    </w:p>
    <w:p w14:paraId="1CECE66A" w14:textId="77777777" w:rsidR="00E6060C" w:rsidRPr="00E6060C" w:rsidRDefault="00E6060C" w:rsidP="00E6060C">
      <w:pPr>
        <w:spacing w:after="200" w:line="360" w:lineRule="auto"/>
        <w:contextualSpacing/>
        <w:rPr>
          <w:rFonts w:ascii="Calibri" w:eastAsia="Calibri" w:hAnsi="Calibri" w:cs="Times New Roman"/>
        </w:rPr>
      </w:pPr>
    </w:p>
    <w:p w14:paraId="4A503A7E" w14:textId="77777777" w:rsidR="00344C19" w:rsidRDefault="00E6060C" w:rsidP="00344C19">
      <w:pPr>
        <w:keepNext/>
        <w:spacing w:after="200" w:line="360" w:lineRule="auto"/>
        <w:contextualSpacing/>
        <w:jc w:val="center"/>
      </w:pPr>
      <w:r w:rsidRPr="00E6060C">
        <w:rPr>
          <w:rFonts w:ascii="Calibri" w:eastAsia="Calibri" w:hAnsi="Calibri" w:cs="Times New Roman"/>
          <w:noProof/>
          <w:lang w:eastAsia="en-GB"/>
        </w:rPr>
        <w:drawing>
          <wp:inline distT="0" distB="0" distL="0" distR="0" wp14:anchorId="3EEC9C38" wp14:editId="1631D8BA">
            <wp:extent cx="5731510" cy="2654935"/>
            <wp:effectExtent l="0" t="0" r="254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2654935"/>
                    </a:xfrm>
                    <a:prstGeom prst="rect">
                      <a:avLst/>
                    </a:prstGeom>
                  </pic:spPr>
                </pic:pic>
              </a:graphicData>
            </a:graphic>
          </wp:inline>
        </w:drawing>
      </w:r>
    </w:p>
    <w:p w14:paraId="53A67621" w14:textId="08A6D036" w:rsidR="00C23D06" w:rsidRPr="00C23D06" w:rsidRDefault="00344C19" w:rsidP="005852AD">
      <w:pPr>
        <w:pStyle w:val="Figurestyle"/>
        <w:rPr>
          <w:rFonts w:ascii="Calibri" w:eastAsia="Calibri" w:hAnsi="Calibri" w:cs="Times New Roman"/>
          <w:i/>
          <w:vanish/>
          <w:specVanish/>
        </w:rPr>
      </w:pPr>
      <w:bookmarkStart w:id="514" w:name="_Ref453592617"/>
      <w:bookmarkStart w:id="515" w:name="_Toc453238931"/>
      <w:bookmarkStart w:id="516" w:name="_Toc468286121"/>
      <w:r>
        <w:t xml:space="preserve">Figure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392B2E">
        <w:t>.</w:t>
      </w:r>
      <w:r w:rsidR="00245D68">
        <w:fldChar w:fldCharType="begin"/>
      </w:r>
      <w:r w:rsidR="00245D68">
        <w:instrText xml:space="preserve"> SEQ Figure \* ARABIC \s 1 </w:instrText>
      </w:r>
      <w:r w:rsidR="00245D68">
        <w:fldChar w:fldCharType="separate"/>
      </w:r>
      <w:r w:rsidR="00152F6D">
        <w:rPr>
          <w:noProof/>
        </w:rPr>
        <w:t>9</w:t>
      </w:r>
      <w:r w:rsidR="00245D68">
        <w:rPr>
          <w:noProof/>
        </w:rPr>
        <w:fldChar w:fldCharType="end"/>
      </w:r>
      <w:bookmarkEnd w:id="514"/>
      <w:r>
        <w:t xml:space="preserve"> </w:t>
      </w:r>
      <w:r w:rsidRPr="00226251">
        <w:t xml:space="preserve">A path diagram displaying the direct relationship between resources and demands and work engagement (c’), and the indirect relationship between resources and demands and work engagement, mediated by relatedness (ab), when </w:t>
      </w:r>
      <w:r>
        <w:t xml:space="preserve">controlling for </w:t>
      </w:r>
      <w:r w:rsidRPr="00226251">
        <w:t>gender and time</w:t>
      </w:r>
      <w:bookmarkEnd w:id="515"/>
      <w:bookmarkEnd w:id="516"/>
    </w:p>
    <w:p w14:paraId="6CBCFB76" w14:textId="1935BABA" w:rsidR="00E6060C" w:rsidRDefault="00344C19" w:rsidP="005852AD">
      <w:pPr>
        <w:pStyle w:val="Figurestyle"/>
      </w:pPr>
      <w:r>
        <w:t xml:space="preserve">. </w:t>
      </w:r>
      <w:r w:rsidR="00E6060C" w:rsidRPr="00E6060C">
        <w:rPr>
          <w:i/>
        </w:rPr>
        <w:t>Notes:</w:t>
      </w:r>
      <w:r w:rsidR="00E6060C" w:rsidRPr="00E6060C">
        <w:t xml:space="preserve"> regression coefficients and </w:t>
      </w:r>
      <w:r w:rsidR="00E6060C" w:rsidRPr="00E6060C">
        <w:rPr>
          <w:i/>
        </w:rPr>
        <w:t>p-</w:t>
      </w:r>
      <w:r w:rsidR="00E6060C" w:rsidRPr="00E6060C">
        <w:t>values</w:t>
      </w:r>
      <w:r w:rsidR="00E6060C" w:rsidRPr="00E6060C">
        <w:rPr>
          <w:i/>
        </w:rPr>
        <w:t xml:space="preserve"> </w:t>
      </w:r>
      <w:r w:rsidR="00E6060C" w:rsidRPr="00E6060C">
        <w:t xml:space="preserve">are presented above the path arrows; </w:t>
      </w:r>
      <w:r w:rsidR="00E6060C" w:rsidRPr="00E6060C">
        <w:rPr>
          <w:i/>
        </w:rPr>
        <w:t>a</w:t>
      </w:r>
      <w:r w:rsidR="00E6060C" w:rsidRPr="00E6060C">
        <w:t xml:space="preserve">=direct effect of resources and demands on relatedness; </w:t>
      </w:r>
      <w:r w:rsidR="00E6060C" w:rsidRPr="00E6060C">
        <w:rPr>
          <w:i/>
        </w:rPr>
        <w:t>b</w:t>
      </w:r>
      <w:r w:rsidR="00E6060C" w:rsidRPr="00E6060C">
        <w:t xml:space="preserve">=direct effect of relatedness on work engagement; CI-95%=95% confidence interval; </w:t>
      </w:r>
      <w:r w:rsidR="00E6060C" w:rsidRPr="00E6060C">
        <w:rPr>
          <w:i/>
        </w:rPr>
        <w:t>ab</w:t>
      </w:r>
      <w:r w:rsidR="00E6060C" w:rsidRPr="00E6060C">
        <w:rPr>
          <w:vertAlign w:val="subscript"/>
        </w:rPr>
        <w:t>cs</w:t>
      </w:r>
      <w:r w:rsidR="00E6060C" w:rsidRPr="00E6060C">
        <w:t xml:space="preserve">=absolute indirect effect size; </w:t>
      </w:r>
      <w:r w:rsidR="00E6060C" w:rsidRPr="00E6060C">
        <w:rPr>
          <w:i/>
        </w:rPr>
        <w:t>P</w:t>
      </w:r>
      <w:r w:rsidR="00E6060C" w:rsidRPr="00E6060C">
        <w:rPr>
          <w:vertAlign w:val="subscript"/>
        </w:rPr>
        <w:t>M</w:t>
      </w:r>
      <w:r w:rsidR="00E6060C" w:rsidRPr="00E6060C">
        <w:t>=relative effect size</w:t>
      </w:r>
    </w:p>
    <w:p w14:paraId="21C4DD7A" w14:textId="77777777" w:rsidR="00344C19" w:rsidRPr="00E6060C" w:rsidRDefault="00344C19" w:rsidP="005852AD">
      <w:pPr>
        <w:pStyle w:val="Figurestyle"/>
      </w:pPr>
    </w:p>
    <w:p w14:paraId="2907CA84" w14:textId="77777777" w:rsidR="00E6060C" w:rsidRPr="00E6060C" w:rsidRDefault="00E6060C" w:rsidP="00E6060C">
      <w:pPr>
        <w:spacing w:after="200" w:line="360" w:lineRule="auto"/>
        <w:contextualSpacing/>
        <w:rPr>
          <w:rFonts w:ascii="Calibri" w:eastAsia="Calibri" w:hAnsi="Calibri" w:cs="Times New Roman"/>
          <w:noProof/>
          <w:lang w:eastAsia="en-GB"/>
        </w:rPr>
        <w:sectPr w:rsidR="00E6060C" w:rsidRPr="00E6060C" w:rsidSect="00F0168C">
          <w:footerReference w:type="first" r:id="rId52"/>
          <w:pgSz w:w="11906" w:h="16838"/>
          <w:pgMar w:top="1440" w:right="1440" w:bottom="1440" w:left="1440" w:header="709" w:footer="709" w:gutter="0"/>
          <w:pgNumType w:start="210"/>
          <w:cols w:space="708"/>
          <w:titlePg/>
          <w:docGrid w:linePitch="360"/>
        </w:sectPr>
      </w:pPr>
    </w:p>
    <w:p w14:paraId="2AF0EC1E" w14:textId="403CF6A3" w:rsidR="00E6060C" w:rsidRPr="00E6060C" w:rsidRDefault="007A253F" w:rsidP="00B7614E">
      <w:pPr>
        <w:pStyle w:val="Thesisheading2"/>
      </w:pPr>
      <w:bookmarkStart w:id="517" w:name="_Ref453592170"/>
      <w:bookmarkStart w:id="518" w:name="_Toc468286032"/>
      <w:r>
        <w:lastRenderedPageBreak/>
        <w:t>S</w:t>
      </w:r>
      <w:r w:rsidR="00E6060C" w:rsidRPr="00E6060C">
        <w:t>ummary</w:t>
      </w:r>
      <w:bookmarkEnd w:id="517"/>
      <w:bookmarkEnd w:id="518"/>
    </w:p>
    <w:p w14:paraId="779EFD48" w14:textId="77777777" w:rsidR="00E6060C" w:rsidRPr="00E6060C" w:rsidRDefault="00E6060C" w:rsidP="007A253F"/>
    <w:p w14:paraId="2967B0D0" w14:textId="1F10CBC0" w:rsidR="00E6060C" w:rsidRPr="00E6060C" w:rsidRDefault="00E6060C" w:rsidP="00E6060C">
      <w:pPr>
        <w:spacing w:line="360" w:lineRule="auto"/>
        <w:contextualSpacing/>
        <w:rPr>
          <w:rFonts w:ascii="Calibri" w:eastAsia="Calibri" w:hAnsi="Calibri" w:cs="Times New Roman"/>
        </w:rPr>
      </w:pPr>
      <w:r w:rsidRPr="00E6060C">
        <w:rPr>
          <w:rFonts w:ascii="Calibri" w:eastAsia="Calibri" w:hAnsi="Calibri" w:cs="Times New Roman"/>
        </w:rPr>
        <w:t>The second aim of the intervention study to increase work engagement in nursing staff on acute elderly wards in the NHS was to investigate whether the three basic work-related needs, autonomy, competence</w:t>
      </w:r>
      <w:r w:rsidR="00CD12CF">
        <w:rPr>
          <w:rFonts w:ascii="Calibri" w:eastAsia="Calibri" w:hAnsi="Calibri" w:cs="Times New Roman"/>
        </w:rPr>
        <w:t>,</w:t>
      </w:r>
      <w:r w:rsidRPr="00E6060C">
        <w:rPr>
          <w:rFonts w:ascii="Calibri" w:eastAsia="Calibri" w:hAnsi="Calibri" w:cs="Times New Roman"/>
        </w:rPr>
        <w:t xml:space="preserve"> and relatedness, mediated between the predictors, social support, influence in decision-making, perceived balance between resources and demands, and the outcome, work engagement. The results of mediation analyses using the entire, unmatched sample (N=217) revealed that autonomy, competence and relatedness significantly mediated the relationships between social support and influence in decision-making and work engagement when controlling for time and gender (</w:t>
      </w:r>
      <w:r w:rsidR="00C44073">
        <w:rPr>
          <w:rFonts w:ascii="Calibri" w:eastAsia="Calibri" w:hAnsi="Calibri" w:cs="Times New Roman"/>
        </w:rPr>
        <w:fldChar w:fldCharType="begin"/>
      </w:r>
      <w:r w:rsidR="00C44073">
        <w:rPr>
          <w:rFonts w:ascii="Calibri" w:eastAsia="Calibri" w:hAnsi="Calibri" w:cs="Times New Roman"/>
        </w:rPr>
        <w:instrText xml:space="preserve"> REF _Ref453592426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1</w:t>
      </w:r>
      <w:r w:rsidR="00C44073">
        <w:rPr>
          <w:rFonts w:ascii="Calibri" w:eastAsia="Calibri" w:hAnsi="Calibri" w:cs="Times New Roman"/>
        </w:rPr>
        <w:fldChar w:fldCharType="end"/>
      </w:r>
      <w:r w:rsidRPr="00E6060C">
        <w:rPr>
          <w:rFonts w:ascii="Calibri" w:eastAsia="Calibri" w:hAnsi="Calibri" w:cs="Times New Roman"/>
        </w:rPr>
        <w:t>,</w:t>
      </w:r>
      <w:r w:rsidR="00CD12CF">
        <w:rPr>
          <w:rFonts w:ascii="Calibri" w:eastAsia="Calibri" w:hAnsi="Calibri" w:cs="Times New Roman"/>
        </w:rPr>
        <w:t xml:space="preserve"> </w:t>
      </w:r>
      <w:r w:rsidR="00C44073">
        <w:rPr>
          <w:rFonts w:ascii="Calibri" w:eastAsia="Calibri" w:hAnsi="Calibri" w:cs="Times New Roman"/>
        </w:rPr>
        <w:fldChar w:fldCharType="begin"/>
      </w:r>
      <w:r w:rsidR="00C44073">
        <w:rPr>
          <w:rFonts w:ascii="Calibri" w:eastAsia="Calibri" w:hAnsi="Calibri" w:cs="Times New Roman"/>
        </w:rPr>
        <w:instrText xml:space="preserve"> REF _Ref453592452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2</w:t>
      </w:r>
      <w:r w:rsidR="00C44073">
        <w:rPr>
          <w:rFonts w:ascii="Calibri" w:eastAsia="Calibri" w:hAnsi="Calibri" w:cs="Times New Roman"/>
        </w:rPr>
        <w:fldChar w:fldCharType="end"/>
      </w:r>
      <w:r w:rsidRPr="00E6060C">
        <w:rPr>
          <w:rFonts w:ascii="Calibri" w:eastAsia="Calibri" w:hAnsi="Calibri" w:cs="Times New Roman"/>
        </w:rPr>
        <w:t>,</w:t>
      </w:r>
      <w:r w:rsidR="00CD12CF">
        <w:rPr>
          <w:rFonts w:ascii="Calibri" w:eastAsia="Calibri" w:hAnsi="Calibri" w:cs="Times New Roman"/>
        </w:rPr>
        <w:t xml:space="preserve"> </w:t>
      </w:r>
      <w:r w:rsidR="00C44073">
        <w:rPr>
          <w:rFonts w:ascii="Calibri" w:eastAsia="Calibri" w:hAnsi="Calibri" w:cs="Times New Roman"/>
        </w:rPr>
        <w:fldChar w:fldCharType="begin"/>
      </w:r>
      <w:r w:rsidR="00C44073">
        <w:rPr>
          <w:rFonts w:ascii="Calibri" w:eastAsia="Calibri" w:hAnsi="Calibri" w:cs="Times New Roman"/>
        </w:rPr>
        <w:instrText xml:space="preserve"> REF _Ref453592488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4</w:t>
      </w:r>
      <w:r w:rsidR="00C44073">
        <w:rPr>
          <w:rFonts w:ascii="Calibri" w:eastAsia="Calibri" w:hAnsi="Calibri" w:cs="Times New Roman"/>
        </w:rPr>
        <w:fldChar w:fldCharType="end"/>
      </w:r>
      <w:r w:rsidRPr="00E6060C">
        <w:rPr>
          <w:rFonts w:ascii="Calibri" w:eastAsia="Calibri" w:hAnsi="Calibri" w:cs="Times New Roman"/>
        </w:rPr>
        <w:t>,</w:t>
      </w:r>
      <w:r w:rsidR="00CD12CF">
        <w:rPr>
          <w:rFonts w:ascii="Calibri" w:eastAsia="Calibri" w:hAnsi="Calibri" w:cs="Times New Roman"/>
        </w:rPr>
        <w:t xml:space="preserve"> </w:t>
      </w:r>
      <w:r w:rsidR="00C44073">
        <w:rPr>
          <w:rFonts w:ascii="Calibri" w:eastAsia="Calibri" w:hAnsi="Calibri" w:cs="Times New Roman"/>
        </w:rPr>
        <w:fldChar w:fldCharType="begin"/>
      </w:r>
      <w:r w:rsidR="00C44073">
        <w:rPr>
          <w:rFonts w:ascii="Calibri" w:eastAsia="Calibri" w:hAnsi="Calibri" w:cs="Times New Roman"/>
        </w:rPr>
        <w:instrText xml:space="preserve"> REF _Ref453592506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5</w:t>
      </w:r>
      <w:r w:rsidR="00C44073">
        <w:rPr>
          <w:rFonts w:ascii="Calibri" w:eastAsia="Calibri" w:hAnsi="Calibri" w:cs="Times New Roman"/>
        </w:rPr>
        <w:fldChar w:fldCharType="end"/>
      </w:r>
      <w:r w:rsidRPr="00E6060C">
        <w:rPr>
          <w:rFonts w:ascii="Calibri" w:eastAsia="Calibri" w:hAnsi="Calibri" w:cs="Times New Roman"/>
        </w:rPr>
        <w:t>,</w:t>
      </w:r>
      <w:r w:rsidR="00CD12CF">
        <w:rPr>
          <w:rFonts w:ascii="Calibri" w:eastAsia="Calibri" w:hAnsi="Calibri" w:cs="Times New Roman"/>
        </w:rPr>
        <w:t xml:space="preserve"> </w:t>
      </w:r>
      <w:r w:rsidR="00C44073">
        <w:rPr>
          <w:rFonts w:ascii="Calibri" w:eastAsia="Calibri" w:hAnsi="Calibri" w:cs="Times New Roman"/>
        </w:rPr>
        <w:fldChar w:fldCharType="begin"/>
      </w:r>
      <w:r w:rsidR="00C44073">
        <w:rPr>
          <w:rFonts w:ascii="Calibri" w:eastAsia="Calibri" w:hAnsi="Calibri" w:cs="Times New Roman"/>
        </w:rPr>
        <w:instrText xml:space="preserve"> REF _Ref453592544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7</w:t>
      </w:r>
      <w:r w:rsidR="00C44073">
        <w:rPr>
          <w:rFonts w:ascii="Calibri" w:eastAsia="Calibri" w:hAnsi="Calibri" w:cs="Times New Roman"/>
        </w:rPr>
        <w:fldChar w:fldCharType="end"/>
      </w:r>
      <w:r w:rsidR="00CD12CF">
        <w:rPr>
          <w:rFonts w:ascii="Calibri" w:eastAsia="Calibri" w:hAnsi="Calibri" w:cs="Times New Roman"/>
        </w:rPr>
        <w:t>,</w:t>
      </w:r>
      <w:r w:rsidR="00F31223">
        <w:rPr>
          <w:rFonts w:ascii="Calibri" w:eastAsia="Calibri" w:hAnsi="Calibri" w:cs="Times New Roman"/>
        </w:rPr>
        <w:t xml:space="preserve"> and </w:t>
      </w:r>
      <w:r w:rsidR="00C44073">
        <w:rPr>
          <w:rFonts w:ascii="Calibri" w:eastAsia="Calibri" w:hAnsi="Calibri" w:cs="Times New Roman"/>
        </w:rPr>
        <w:fldChar w:fldCharType="begin"/>
      </w:r>
      <w:r w:rsidR="00C44073">
        <w:rPr>
          <w:rFonts w:ascii="Calibri" w:eastAsia="Calibri" w:hAnsi="Calibri" w:cs="Times New Roman"/>
        </w:rPr>
        <w:instrText xml:space="preserve"> REF _Ref453592600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8</w:t>
      </w:r>
      <w:r w:rsidR="00C44073">
        <w:rPr>
          <w:rFonts w:ascii="Calibri" w:eastAsia="Calibri" w:hAnsi="Calibri" w:cs="Times New Roman"/>
        </w:rPr>
        <w:fldChar w:fldCharType="end"/>
      </w:r>
      <w:r w:rsidRPr="00E6060C">
        <w:rPr>
          <w:rFonts w:ascii="Calibri" w:eastAsia="Calibri" w:hAnsi="Calibri" w:cs="Times New Roman"/>
        </w:rPr>
        <w:t xml:space="preserve">, see also </w:t>
      </w:r>
      <w:r w:rsidR="00C44073">
        <w:rPr>
          <w:rFonts w:ascii="Calibri" w:eastAsia="Calibri" w:hAnsi="Calibri" w:cs="Times New Roman"/>
        </w:rPr>
        <w:fldChar w:fldCharType="begin"/>
      </w:r>
      <w:r w:rsidR="00C44073">
        <w:rPr>
          <w:rFonts w:ascii="Calibri" w:eastAsia="Calibri" w:hAnsi="Calibri" w:cs="Times New Roman"/>
        </w:rPr>
        <w:instrText xml:space="preserve"> REF _Ref453592784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Table </w:t>
      </w:r>
      <w:r w:rsidR="00152F6D">
        <w:rPr>
          <w:noProof/>
        </w:rPr>
        <w:t>9</w:t>
      </w:r>
      <w:r w:rsidR="00152F6D">
        <w:t>.</w:t>
      </w:r>
      <w:r w:rsidR="00152F6D">
        <w:rPr>
          <w:noProof/>
        </w:rPr>
        <w:t>2</w:t>
      </w:r>
      <w:r w:rsidR="00C44073">
        <w:rPr>
          <w:rFonts w:ascii="Calibri" w:eastAsia="Calibri" w:hAnsi="Calibri" w:cs="Times New Roman"/>
        </w:rPr>
        <w:fldChar w:fldCharType="end"/>
      </w:r>
      <w:r w:rsidRPr="00E6060C">
        <w:rPr>
          <w:rFonts w:ascii="Calibri" w:eastAsia="Calibri" w:hAnsi="Calibri" w:cs="Times New Roman"/>
        </w:rPr>
        <w:t>). Autonomy and competence also significantly mediated the relationship between resources and demands and work engagement, when controlling for time and gender (</w:t>
      </w:r>
      <w:r w:rsidR="00C44073">
        <w:rPr>
          <w:rFonts w:ascii="Calibri" w:eastAsia="Calibri" w:hAnsi="Calibri" w:cs="Times New Roman"/>
        </w:rPr>
        <w:fldChar w:fldCharType="begin"/>
      </w:r>
      <w:r w:rsidR="00C44073">
        <w:rPr>
          <w:rFonts w:ascii="Calibri" w:eastAsia="Calibri" w:hAnsi="Calibri" w:cs="Times New Roman"/>
        </w:rPr>
        <w:instrText xml:space="preserve"> REF _Ref453592468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3</w:t>
      </w:r>
      <w:r w:rsidR="00C44073">
        <w:rPr>
          <w:rFonts w:ascii="Calibri" w:eastAsia="Calibri" w:hAnsi="Calibri" w:cs="Times New Roman"/>
        </w:rPr>
        <w:fldChar w:fldCharType="end"/>
      </w:r>
      <w:r w:rsidR="00C44073">
        <w:rPr>
          <w:rFonts w:ascii="Calibri" w:eastAsia="Calibri" w:hAnsi="Calibri" w:cs="Times New Roman"/>
        </w:rPr>
        <w:t xml:space="preserve"> </w:t>
      </w:r>
      <w:r w:rsidR="00F31223">
        <w:rPr>
          <w:rFonts w:ascii="Calibri" w:eastAsia="Calibri" w:hAnsi="Calibri" w:cs="Times New Roman"/>
        </w:rPr>
        <w:t xml:space="preserve">and </w:t>
      </w:r>
      <w:r w:rsidR="00C44073">
        <w:rPr>
          <w:rFonts w:ascii="Calibri" w:eastAsia="Calibri" w:hAnsi="Calibri" w:cs="Times New Roman"/>
        </w:rPr>
        <w:fldChar w:fldCharType="begin"/>
      </w:r>
      <w:r w:rsidR="00C44073">
        <w:rPr>
          <w:rFonts w:ascii="Calibri" w:eastAsia="Calibri" w:hAnsi="Calibri" w:cs="Times New Roman"/>
        </w:rPr>
        <w:instrText xml:space="preserve"> REF _Ref453592520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6</w:t>
      </w:r>
      <w:r w:rsidR="00C44073">
        <w:rPr>
          <w:rFonts w:ascii="Calibri" w:eastAsia="Calibri" w:hAnsi="Calibri" w:cs="Times New Roman"/>
        </w:rPr>
        <w:fldChar w:fldCharType="end"/>
      </w:r>
      <w:r w:rsidRPr="00E6060C">
        <w:rPr>
          <w:rFonts w:ascii="Calibri" w:eastAsia="Calibri" w:hAnsi="Calibri" w:cs="Times New Roman"/>
        </w:rPr>
        <w:t xml:space="preserve">, </w:t>
      </w:r>
      <w:r w:rsidR="00C44073">
        <w:rPr>
          <w:rFonts w:ascii="Calibri" w:eastAsia="Calibri" w:hAnsi="Calibri" w:cs="Times New Roman"/>
        </w:rPr>
        <w:fldChar w:fldCharType="begin"/>
      </w:r>
      <w:r w:rsidR="00C44073">
        <w:rPr>
          <w:rFonts w:ascii="Calibri" w:eastAsia="Calibri" w:hAnsi="Calibri" w:cs="Times New Roman"/>
        </w:rPr>
        <w:instrText xml:space="preserve"> REF _Ref453592784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Table </w:t>
      </w:r>
      <w:r w:rsidR="00152F6D">
        <w:rPr>
          <w:noProof/>
        </w:rPr>
        <w:t>9</w:t>
      </w:r>
      <w:r w:rsidR="00152F6D">
        <w:t>.</w:t>
      </w:r>
      <w:r w:rsidR="00152F6D">
        <w:rPr>
          <w:noProof/>
        </w:rPr>
        <w:t>2</w:t>
      </w:r>
      <w:r w:rsidR="00C44073">
        <w:rPr>
          <w:rFonts w:ascii="Calibri" w:eastAsia="Calibri" w:hAnsi="Calibri" w:cs="Times New Roman"/>
        </w:rPr>
        <w:fldChar w:fldCharType="end"/>
      </w:r>
      <w:r w:rsidRPr="00E6060C">
        <w:rPr>
          <w:rFonts w:ascii="Calibri" w:eastAsia="Calibri" w:hAnsi="Calibri" w:cs="Times New Roman"/>
        </w:rPr>
        <w:t>), however, relatedness did not significantly mediate between resources and demands and work engagement (</w:t>
      </w:r>
      <w:r w:rsidR="00C44073">
        <w:rPr>
          <w:rFonts w:ascii="Calibri" w:eastAsia="Calibri" w:hAnsi="Calibri" w:cs="Times New Roman"/>
        </w:rPr>
        <w:fldChar w:fldCharType="begin"/>
      </w:r>
      <w:r w:rsidR="00C44073">
        <w:rPr>
          <w:rFonts w:ascii="Calibri" w:eastAsia="Calibri" w:hAnsi="Calibri" w:cs="Times New Roman"/>
        </w:rPr>
        <w:instrText xml:space="preserve"> REF _Ref453592617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9</w:t>
      </w:r>
      <w:r w:rsidR="00C44073">
        <w:rPr>
          <w:rFonts w:ascii="Calibri" w:eastAsia="Calibri" w:hAnsi="Calibri" w:cs="Times New Roman"/>
        </w:rPr>
        <w:fldChar w:fldCharType="end"/>
      </w:r>
      <w:r w:rsidRPr="00E6060C">
        <w:rPr>
          <w:rFonts w:ascii="Calibri" w:eastAsia="Calibri" w:hAnsi="Calibri" w:cs="Times New Roman"/>
        </w:rPr>
        <w:t xml:space="preserve">). </w:t>
      </w:r>
    </w:p>
    <w:p w14:paraId="09F6E692" w14:textId="77777777" w:rsidR="00E6060C" w:rsidRPr="00E6060C" w:rsidRDefault="00E6060C" w:rsidP="00E6060C">
      <w:pPr>
        <w:spacing w:after="200" w:line="360" w:lineRule="auto"/>
        <w:contextualSpacing/>
        <w:rPr>
          <w:rFonts w:ascii="Calibri" w:eastAsia="Calibri" w:hAnsi="Calibri" w:cs="Times New Roman"/>
        </w:rPr>
      </w:pPr>
    </w:p>
    <w:p w14:paraId="4C4B5F65" w14:textId="4311D8E5" w:rsidR="00344C19"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strongest absolute indirect effect size was observed for the relationship between resources and demands and work engagement mediated by autonomy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=.18), and the weakest absolute indirect effect size was observed for the relationship between resources and demands and work engagement mediated by competence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=.03). Similarly, the strongest relative effect was observed for the relationship between resources and demands and work engagement mediated by autonomy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=.65), however, the weakest relative effect was observed for the relationship between social support and work engagement mediated by competence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=.10). Significant direct effects were also reported for all of the analyses revealing significant indirect effects, except one (that involving the effect of resources and demands on work engagement when controlling for autonomy, </w:t>
      </w:r>
      <w:r w:rsidR="00C44073">
        <w:rPr>
          <w:rFonts w:ascii="Calibri" w:eastAsia="Calibri" w:hAnsi="Calibri" w:cs="Times New Roman"/>
        </w:rPr>
        <w:fldChar w:fldCharType="begin"/>
      </w:r>
      <w:r w:rsidR="00C44073">
        <w:rPr>
          <w:rFonts w:ascii="Calibri" w:eastAsia="Calibri" w:hAnsi="Calibri" w:cs="Times New Roman"/>
        </w:rPr>
        <w:instrText xml:space="preserve"> REF _Ref453592617 \h </w:instrText>
      </w:r>
      <w:r w:rsidR="00C44073">
        <w:rPr>
          <w:rFonts w:ascii="Calibri" w:eastAsia="Calibri" w:hAnsi="Calibri" w:cs="Times New Roman"/>
        </w:rPr>
      </w:r>
      <w:r w:rsidR="00C44073">
        <w:rPr>
          <w:rFonts w:ascii="Calibri" w:eastAsia="Calibri" w:hAnsi="Calibri" w:cs="Times New Roman"/>
        </w:rPr>
        <w:fldChar w:fldCharType="separate"/>
      </w:r>
      <w:r w:rsidR="00152F6D">
        <w:t xml:space="preserve">Figure </w:t>
      </w:r>
      <w:r w:rsidR="00152F6D">
        <w:rPr>
          <w:noProof/>
        </w:rPr>
        <w:t>9</w:t>
      </w:r>
      <w:r w:rsidR="00152F6D">
        <w:t>.</w:t>
      </w:r>
      <w:r w:rsidR="00152F6D">
        <w:rPr>
          <w:noProof/>
        </w:rPr>
        <w:t>9</w:t>
      </w:r>
      <w:r w:rsidR="00C44073">
        <w:rPr>
          <w:rFonts w:ascii="Calibri" w:eastAsia="Calibri" w:hAnsi="Calibri" w:cs="Times New Roman"/>
        </w:rPr>
        <w:fldChar w:fldCharType="end"/>
      </w:r>
      <w:r w:rsidRPr="00E6060C">
        <w:rPr>
          <w:rFonts w:ascii="Calibri" w:eastAsia="Calibri" w:hAnsi="Calibri" w:cs="Times New Roman"/>
        </w:rPr>
        <w:t>). In these cases, this suggests that the predictor has an effect on work engagement which is not dependent on the effect of the predictor on work engagement through the mediator. These results, limitations of the study, and implications for future research and pract</w:t>
      </w:r>
      <w:r w:rsidR="00CD12CF">
        <w:rPr>
          <w:rFonts w:ascii="Calibri" w:eastAsia="Calibri" w:hAnsi="Calibri" w:cs="Times New Roman"/>
        </w:rPr>
        <w:t>ice are discussed further in</w:t>
      </w:r>
      <w:r w:rsidRPr="00E6060C">
        <w:rPr>
          <w:rFonts w:ascii="Calibri" w:eastAsia="Calibri" w:hAnsi="Calibri" w:cs="Times New Roman"/>
        </w:rPr>
        <w:t xml:space="preserve"> Chapter 10. </w:t>
      </w:r>
    </w:p>
    <w:p w14:paraId="1EBA95EC" w14:textId="0599B8E7" w:rsidR="004C74C0" w:rsidRDefault="004C74C0" w:rsidP="00E6060C">
      <w:pPr>
        <w:spacing w:after="200" w:line="360" w:lineRule="auto"/>
        <w:contextualSpacing/>
        <w:rPr>
          <w:rFonts w:ascii="Calibri" w:eastAsia="Calibri" w:hAnsi="Calibri" w:cs="Times New Roman"/>
        </w:rPr>
      </w:pPr>
    </w:p>
    <w:p w14:paraId="16D4A805" w14:textId="281BCC20" w:rsidR="00344C19" w:rsidRDefault="004C74C0" w:rsidP="00BB0757">
      <w:pPr>
        <w:spacing w:after="200" w:line="360" w:lineRule="auto"/>
        <w:contextualSpacing/>
        <w:rPr>
          <w:rFonts w:ascii="Calibri" w:eastAsia="Calibri" w:hAnsi="Calibri" w:cs="Times New Roman"/>
        </w:rPr>
      </w:pPr>
      <w:r>
        <w:rPr>
          <w:rFonts w:ascii="Calibri" w:eastAsia="Calibri" w:hAnsi="Calibri" w:cs="Times New Roman"/>
        </w:rPr>
        <w:t>The results presented in this chapter are discussed in Chapter 10 in combination with the results of the intervention’s effectiveness (Chapter 8)</w:t>
      </w:r>
      <w:r w:rsidR="0023126F">
        <w:rPr>
          <w:rFonts w:ascii="Calibri" w:eastAsia="Calibri" w:hAnsi="Calibri" w:cs="Times New Roman"/>
        </w:rPr>
        <w:t>. In particular, relevant theory and literature is drawn upon to inform the discussion and thoroughly consider the results and their relevance for JD-R theory and the underlying theory upon which it</w:t>
      </w:r>
      <w:r w:rsidR="00C173F5">
        <w:rPr>
          <w:rFonts w:ascii="Calibri" w:eastAsia="Calibri" w:hAnsi="Calibri" w:cs="Times New Roman"/>
        </w:rPr>
        <w:t xml:space="preserve"> i</w:t>
      </w:r>
      <w:r w:rsidR="0023126F">
        <w:rPr>
          <w:rFonts w:ascii="Calibri" w:eastAsia="Calibri" w:hAnsi="Calibri" w:cs="Times New Roman"/>
        </w:rPr>
        <w:t xml:space="preserve">s predicated (SDT). The discussion concludes with a consideration of the theoretical, research, and practical contributions of this study, as well as limitations.   </w:t>
      </w:r>
      <w:r w:rsidR="00344C19">
        <w:rPr>
          <w:rFonts w:ascii="Calibri" w:eastAsia="Calibri" w:hAnsi="Calibri" w:cs="Times New Roman"/>
        </w:rPr>
        <w:br w:type="page"/>
      </w:r>
    </w:p>
    <w:p w14:paraId="420D065E" w14:textId="5D60F6E5" w:rsidR="00824339" w:rsidRDefault="00824339" w:rsidP="005852AD">
      <w:pPr>
        <w:pStyle w:val="Figurestyle"/>
      </w:pPr>
      <w:bookmarkStart w:id="519" w:name="_Ref453592784"/>
      <w:bookmarkStart w:id="520" w:name="_Toc468286099"/>
      <w:r>
        <w:lastRenderedPageBreak/>
        <w:t xml:space="preserve">Table </w:t>
      </w:r>
      <w:r w:rsidR="00245D68">
        <w:fldChar w:fldCharType="begin"/>
      </w:r>
      <w:r w:rsidR="00245D68">
        <w:instrText xml:space="preserve"> STYLEREF 1 \s </w:instrText>
      </w:r>
      <w:r w:rsidR="00245D68">
        <w:fldChar w:fldCharType="separate"/>
      </w:r>
      <w:r w:rsidR="00152F6D">
        <w:rPr>
          <w:noProof/>
        </w:rPr>
        <w:t>9</w:t>
      </w:r>
      <w:r w:rsidR="00245D68">
        <w:rPr>
          <w:noProof/>
        </w:rPr>
        <w:fldChar w:fldCharType="end"/>
      </w:r>
      <w:r w:rsidR="00F256F4">
        <w:t>.</w:t>
      </w:r>
      <w:r w:rsidR="00245D68">
        <w:fldChar w:fldCharType="begin"/>
      </w:r>
      <w:r w:rsidR="00245D68">
        <w:instrText xml:space="preserve"> SEQ Table \* ARABIC \s 1 </w:instrText>
      </w:r>
      <w:r w:rsidR="00245D68">
        <w:fldChar w:fldCharType="separate"/>
      </w:r>
      <w:r w:rsidR="00152F6D">
        <w:rPr>
          <w:noProof/>
        </w:rPr>
        <w:t>2</w:t>
      </w:r>
      <w:r w:rsidR="00245D68">
        <w:rPr>
          <w:noProof/>
        </w:rPr>
        <w:fldChar w:fldCharType="end"/>
      </w:r>
      <w:bookmarkEnd w:id="519"/>
      <w:r>
        <w:t xml:space="preserve"> </w:t>
      </w:r>
      <w:r w:rsidRPr="008F605C">
        <w:t xml:space="preserve">A summary of the </w:t>
      </w:r>
      <w:r>
        <w:t xml:space="preserve">Study 2 mediation </w:t>
      </w:r>
      <w:r w:rsidRPr="008F605C">
        <w:t>hypotheses which were supported</w:t>
      </w:r>
      <w:bookmarkEnd w:id="520"/>
    </w:p>
    <w:p w14:paraId="16024887" w14:textId="77777777" w:rsidR="00824339" w:rsidRDefault="00824339" w:rsidP="005852AD">
      <w:pPr>
        <w:pStyle w:val="Figurestyle"/>
      </w:pPr>
    </w:p>
    <w:tbl>
      <w:tblPr>
        <w:tblStyle w:val="TableGrid6"/>
        <w:tblW w:w="9215" w:type="dxa"/>
        <w:tblBorders>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6"/>
        <w:gridCol w:w="5530"/>
        <w:gridCol w:w="3119"/>
      </w:tblGrid>
      <w:tr w:rsidR="00E6060C" w:rsidRPr="00E6060C" w14:paraId="08BF755F" w14:textId="77777777" w:rsidTr="00E6060C">
        <w:trPr>
          <w:trHeight w:val="382"/>
        </w:trPr>
        <w:tc>
          <w:tcPr>
            <w:tcW w:w="566" w:type="dxa"/>
            <w:tcBorders>
              <w:top w:val="single" w:sz="4" w:space="0" w:color="auto"/>
              <w:bottom w:val="single" w:sz="4" w:space="0" w:color="auto"/>
            </w:tcBorders>
          </w:tcPr>
          <w:p w14:paraId="07A885BB" w14:textId="77777777" w:rsidR="00E6060C" w:rsidRPr="00E6060C" w:rsidRDefault="00E6060C" w:rsidP="00E6060C">
            <w:pPr>
              <w:spacing w:after="200" w:line="360" w:lineRule="auto"/>
              <w:contextualSpacing/>
              <w:rPr>
                <w:rFonts w:ascii="Calibri" w:eastAsia="Calibri" w:hAnsi="Calibri" w:cs="Times New Roman"/>
                <w:b/>
              </w:rPr>
            </w:pPr>
            <w:r w:rsidRPr="00E6060C">
              <w:rPr>
                <w:rFonts w:ascii="Calibri" w:eastAsia="Calibri" w:hAnsi="Calibri" w:cs="Times New Roman"/>
                <w:b/>
              </w:rPr>
              <w:t>No.</w:t>
            </w:r>
          </w:p>
        </w:tc>
        <w:tc>
          <w:tcPr>
            <w:tcW w:w="5530" w:type="dxa"/>
            <w:tcBorders>
              <w:top w:val="single" w:sz="4" w:space="0" w:color="auto"/>
              <w:bottom w:val="single" w:sz="4" w:space="0" w:color="auto"/>
            </w:tcBorders>
          </w:tcPr>
          <w:p w14:paraId="671F09E3" w14:textId="77777777" w:rsidR="00E6060C" w:rsidRPr="00E6060C" w:rsidRDefault="00E6060C" w:rsidP="00E6060C">
            <w:pPr>
              <w:spacing w:after="200" w:line="360" w:lineRule="auto"/>
              <w:contextualSpacing/>
              <w:rPr>
                <w:rFonts w:ascii="Calibri" w:eastAsia="Calibri" w:hAnsi="Calibri" w:cs="Times New Roman"/>
                <w:b/>
              </w:rPr>
            </w:pPr>
            <w:r w:rsidRPr="00E6060C">
              <w:rPr>
                <w:rFonts w:ascii="Calibri" w:eastAsia="Calibri" w:hAnsi="Calibri" w:cs="Times New Roman"/>
                <w:b/>
              </w:rPr>
              <w:t>Hypothesis</w:t>
            </w:r>
          </w:p>
        </w:tc>
        <w:tc>
          <w:tcPr>
            <w:tcW w:w="3119" w:type="dxa"/>
            <w:tcBorders>
              <w:top w:val="single" w:sz="4" w:space="0" w:color="auto"/>
              <w:bottom w:val="single" w:sz="4" w:space="0" w:color="auto"/>
            </w:tcBorders>
          </w:tcPr>
          <w:p w14:paraId="2CCB27B7" w14:textId="77777777" w:rsidR="00E6060C" w:rsidRPr="00E6060C" w:rsidRDefault="00E6060C" w:rsidP="00E6060C">
            <w:pPr>
              <w:spacing w:after="200" w:line="360" w:lineRule="auto"/>
              <w:contextualSpacing/>
              <w:jc w:val="center"/>
              <w:rPr>
                <w:rFonts w:ascii="Calibri" w:eastAsia="Calibri" w:hAnsi="Calibri" w:cs="Times New Roman"/>
                <w:b/>
              </w:rPr>
            </w:pPr>
            <w:r w:rsidRPr="00E6060C">
              <w:rPr>
                <w:rFonts w:ascii="Calibri" w:eastAsia="Calibri" w:hAnsi="Calibri" w:cs="Times New Roman"/>
                <w:b/>
              </w:rPr>
              <w:t>Was the hypothesis supported? (tick=yes / cross=no)</w:t>
            </w:r>
          </w:p>
        </w:tc>
      </w:tr>
      <w:tr w:rsidR="00E6060C" w:rsidRPr="00E6060C" w14:paraId="34653EB8" w14:textId="77777777" w:rsidTr="00E6060C">
        <w:trPr>
          <w:trHeight w:val="368"/>
        </w:trPr>
        <w:tc>
          <w:tcPr>
            <w:tcW w:w="566" w:type="dxa"/>
            <w:tcBorders>
              <w:top w:val="single" w:sz="4" w:space="0" w:color="auto"/>
            </w:tcBorders>
          </w:tcPr>
          <w:p w14:paraId="3406617A"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2.a)</w:t>
            </w:r>
          </w:p>
        </w:tc>
        <w:tc>
          <w:tcPr>
            <w:tcW w:w="5530" w:type="dxa"/>
            <w:tcBorders>
              <w:top w:val="single" w:sz="4" w:space="0" w:color="auto"/>
            </w:tcBorders>
          </w:tcPr>
          <w:p w14:paraId="73D6665A" w14:textId="77777777" w:rsidR="00E6060C" w:rsidRPr="00E6060C" w:rsidRDefault="00E6060C" w:rsidP="00E6060C">
            <w:pPr>
              <w:spacing w:after="200"/>
              <w:contextualSpacing/>
              <w:rPr>
                <w:rFonts w:ascii="Calibri" w:eastAsia="Calibri" w:hAnsi="Calibri" w:cs="Times New Roman"/>
              </w:rPr>
            </w:pPr>
            <w:r w:rsidRPr="00E6060C">
              <w:rPr>
                <w:rFonts w:ascii="Calibri" w:eastAsia="Calibri" w:hAnsi="Calibri" w:cs="Times New Roman"/>
              </w:rPr>
              <w:t>Autonomy will mediate the relationship between social support and work engagement</w:t>
            </w:r>
          </w:p>
        </w:tc>
        <w:tc>
          <w:tcPr>
            <w:tcW w:w="3119" w:type="dxa"/>
            <w:tcBorders>
              <w:top w:val="single" w:sz="4" w:space="0" w:color="auto"/>
            </w:tcBorders>
            <w:vAlign w:val="center"/>
          </w:tcPr>
          <w:p w14:paraId="03216D28"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38DB5D40" w14:textId="77777777" w:rsidTr="00E6060C">
        <w:trPr>
          <w:trHeight w:val="382"/>
        </w:trPr>
        <w:tc>
          <w:tcPr>
            <w:tcW w:w="566" w:type="dxa"/>
          </w:tcPr>
          <w:p w14:paraId="2B23F29D"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2.b)</w:t>
            </w:r>
          </w:p>
        </w:tc>
        <w:tc>
          <w:tcPr>
            <w:tcW w:w="5530" w:type="dxa"/>
          </w:tcPr>
          <w:p w14:paraId="1D1F2C61" w14:textId="77777777" w:rsidR="00E6060C" w:rsidRPr="00E6060C" w:rsidRDefault="00E6060C" w:rsidP="00E6060C">
            <w:pPr>
              <w:spacing w:after="200"/>
              <w:contextualSpacing/>
              <w:rPr>
                <w:rFonts w:ascii="Calibri" w:eastAsia="Calibri" w:hAnsi="Calibri" w:cs="Times New Roman"/>
              </w:rPr>
            </w:pPr>
            <w:r w:rsidRPr="00E6060C">
              <w:rPr>
                <w:rFonts w:ascii="Calibri" w:eastAsia="Calibri" w:hAnsi="Calibri" w:cs="Times New Roman"/>
              </w:rPr>
              <w:t>Autonomy will mediate the relationship between influence in decision-making and work engagement</w:t>
            </w:r>
          </w:p>
        </w:tc>
        <w:tc>
          <w:tcPr>
            <w:tcW w:w="3119" w:type="dxa"/>
            <w:vAlign w:val="center"/>
          </w:tcPr>
          <w:p w14:paraId="4FF659AF"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2919D942" w14:textId="77777777" w:rsidTr="00E6060C">
        <w:trPr>
          <w:trHeight w:val="368"/>
        </w:trPr>
        <w:tc>
          <w:tcPr>
            <w:tcW w:w="566" w:type="dxa"/>
          </w:tcPr>
          <w:p w14:paraId="52952F73"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2.c)</w:t>
            </w:r>
          </w:p>
        </w:tc>
        <w:tc>
          <w:tcPr>
            <w:tcW w:w="5530" w:type="dxa"/>
          </w:tcPr>
          <w:p w14:paraId="404A2864" w14:textId="77777777" w:rsidR="00E6060C" w:rsidRPr="00E6060C" w:rsidRDefault="00E6060C" w:rsidP="00E6060C">
            <w:pPr>
              <w:spacing w:after="200"/>
              <w:contextualSpacing/>
              <w:rPr>
                <w:rFonts w:ascii="Calibri" w:eastAsia="Calibri" w:hAnsi="Calibri" w:cs="Times New Roman"/>
              </w:rPr>
            </w:pPr>
            <w:r w:rsidRPr="00E6060C">
              <w:rPr>
                <w:rFonts w:ascii="Calibri" w:eastAsia="Calibri" w:hAnsi="Calibri" w:cs="Times New Roman"/>
              </w:rPr>
              <w:t>Autonomy will mediate the relationship between resources and demands and work engagement</w:t>
            </w:r>
          </w:p>
        </w:tc>
        <w:tc>
          <w:tcPr>
            <w:tcW w:w="3119" w:type="dxa"/>
            <w:vAlign w:val="center"/>
          </w:tcPr>
          <w:p w14:paraId="77FC6775"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4B81BF9E" w14:textId="77777777" w:rsidTr="00E6060C">
        <w:trPr>
          <w:trHeight w:val="382"/>
        </w:trPr>
        <w:tc>
          <w:tcPr>
            <w:tcW w:w="566" w:type="dxa"/>
          </w:tcPr>
          <w:p w14:paraId="5FB0863A"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2.d)</w:t>
            </w:r>
          </w:p>
        </w:tc>
        <w:tc>
          <w:tcPr>
            <w:tcW w:w="5530" w:type="dxa"/>
          </w:tcPr>
          <w:p w14:paraId="121A4354" w14:textId="77777777" w:rsidR="00E6060C" w:rsidRPr="00E6060C" w:rsidRDefault="00E6060C" w:rsidP="00E6060C">
            <w:pPr>
              <w:spacing w:after="200"/>
              <w:contextualSpacing/>
              <w:rPr>
                <w:rFonts w:ascii="Calibri" w:eastAsia="Calibri" w:hAnsi="Calibri" w:cs="Times New Roman"/>
              </w:rPr>
            </w:pPr>
            <w:r w:rsidRPr="00E6060C">
              <w:rPr>
                <w:rFonts w:ascii="Calibri" w:eastAsia="Calibri" w:hAnsi="Calibri" w:cs="Times New Roman"/>
              </w:rPr>
              <w:t>Competence will mediate the relationship between social support and work engagement</w:t>
            </w:r>
          </w:p>
        </w:tc>
        <w:tc>
          <w:tcPr>
            <w:tcW w:w="3119" w:type="dxa"/>
            <w:vAlign w:val="center"/>
          </w:tcPr>
          <w:p w14:paraId="1495A258"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4FF13C8B" w14:textId="77777777" w:rsidTr="00E6060C">
        <w:trPr>
          <w:trHeight w:val="368"/>
        </w:trPr>
        <w:tc>
          <w:tcPr>
            <w:tcW w:w="566" w:type="dxa"/>
          </w:tcPr>
          <w:p w14:paraId="4BA0EC56"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2.e)</w:t>
            </w:r>
          </w:p>
        </w:tc>
        <w:tc>
          <w:tcPr>
            <w:tcW w:w="5530" w:type="dxa"/>
          </w:tcPr>
          <w:p w14:paraId="77977435" w14:textId="77777777" w:rsidR="00E6060C" w:rsidRPr="00E6060C" w:rsidRDefault="00E6060C" w:rsidP="00E6060C">
            <w:pPr>
              <w:spacing w:after="200"/>
              <w:contextualSpacing/>
              <w:rPr>
                <w:rFonts w:ascii="Calibri" w:eastAsia="Calibri" w:hAnsi="Calibri" w:cs="Times New Roman"/>
              </w:rPr>
            </w:pPr>
            <w:r w:rsidRPr="00E6060C">
              <w:rPr>
                <w:rFonts w:ascii="Calibri" w:eastAsia="Calibri" w:hAnsi="Calibri" w:cs="Times New Roman"/>
              </w:rPr>
              <w:t>Competence will mediate the relationship between influence in decision-making and work engagement</w:t>
            </w:r>
          </w:p>
        </w:tc>
        <w:tc>
          <w:tcPr>
            <w:tcW w:w="3119" w:type="dxa"/>
            <w:vAlign w:val="center"/>
          </w:tcPr>
          <w:p w14:paraId="085214B6"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5646D87F" w14:textId="77777777" w:rsidTr="00E6060C">
        <w:trPr>
          <w:trHeight w:val="382"/>
        </w:trPr>
        <w:tc>
          <w:tcPr>
            <w:tcW w:w="566" w:type="dxa"/>
          </w:tcPr>
          <w:p w14:paraId="74AC83B3"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2.f)</w:t>
            </w:r>
          </w:p>
        </w:tc>
        <w:tc>
          <w:tcPr>
            <w:tcW w:w="5530" w:type="dxa"/>
          </w:tcPr>
          <w:p w14:paraId="194556C0" w14:textId="77777777" w:rsidR="00E6060C" w:rsidRPr="00E6060C" w:rsidRDefault="00E6060C" w:rsidP="00E6060C">
            <w:pPr>
              <w:spacing w:after="200"/>
              <w:contextualSpacing/>
              <w:rPr>
                <w:rFonts w:ascii="Calibri" w:eastAsia="Calibri" w:hAnsi="Calibri" w:cs="Times New Roman"/>
              </w:rPr>
            </w:pPr>
            <w:r w:rsidRPr="00E6060C">
              <w:rPr>
                <w:rFonts w:ascii="Calibri" w:eastAsia="Calibri" w:hAnsi="Calibri" w:cs="Times New Roman"/>
              </w:rPr>
              <w:t>Competence will mediate the relationship between resources and demands and work engagement</w:t>
            </w:r>
          </w:p>
        </w:tc>
        <w:tc>
          <w:tcPr>
            <w:tcW w:w="3119" w:type="dxa"/>
            <w:vAlign w:val="center"/>
          </w:tcPr>
          <w:p w14:paraId="141DCCCF"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05E472C2" w14:textId="77777777" w:rsidTr="00E6060C">
        <w:trPr>
          <w:trHeight w:val="368"/>
        </w:trPr>
        <w:tc>
          <w:tcPr>
            <w:tcW w:w="566" w:type="dxa"/>
          </w:tcPr>
          <w:p w14:paraId="76EC5BEC" w14:textId="77777777" w:rsidR="00E6060C" w:rsidRPr="00E6060C" w:rsidRDefault="00E6060C" w:rsidP="00E6060C">
            <w:pPr>
              <w:spacing w:before="200" w:line="360" w:lineRule="auto"/>
              <w:rPr>
                <w:rFonts w:ascii="Calibri" w:eastAsia="Calibri" w:hAnsi="Calibri" w:cs="Times New Roman"/>
              </w:rPr>
            </w:pPr>
            <w:r w:rsidRPr="00E6060C">
              <w:rPr>
                <w:rFonts w:ascii="Calibri" w:eastAsia="Calibri" w:hAnsi="Calibri" w:cs="Times New Roman"/>
              </w:rPr>
              <w:t>2.g)</w:t>
            </w:r>
          </w:p>
        </w:tc>
        <w:tc>
          <w:tcPr>
            <w:tcW w:w="5530" w:type="dxa"/>
          </w:tcPr>
          <w:p w14:paraId="648F5A21" w14:textId="77777777" w:rsidR="00E6060C" w:rsidRPr="00E6060C" w:rsidRDefault="00E6060C" w:rsidP="00E6060C">
            <w:pPr>
              <w:spacing w:before="200"/>
              <w:contextualSpacing/>
              <w:rPr>
                <w:rFonts w:ascii="Calibri" w:eastAsia="Calibri" w:hAnsi="Calibri" w:cs="Times New Roman"/>
              </w:rPr>
            </w:pPr>
            <w:r w:rsidRPr="00E6060C">
              <w:rPr>
                <w:rFonts w:ascii="Calibri" w:eastAsia="Calibri" w:hAnsi="Calibri" w:cs="Times New Roman"/>
              </w:rPr>
              <w:t>Relatedness will mediate the relationship between social support and work engagement</w:t>
            </w:r>
          </w:p>
        </w:tc>
        <w:tc>
          <w:tcPr>
            <w:tcW w:w="3119" w:type="dxa"/>
            <w:vAlign w:val="center"/>
          </w:tcPr>
          <w:p w14:paraId="6A818551"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31AF44EA" w14:textId="77777777" w:rsidTr="00E6060C">
        <w:trPr>
          <w:trHeight w:val="368"/>
        </w:trPr>
        <w:tc>
          <w:tcPr>
            <w:tcW w:w="566" w:type="dxa"/>
          </w:tcPr>
          <w:p w14:paraId="28133965" w14:textId="77777777" w:rsidR="00E6060C" w:rsidRPr="00E6060C" w:rsidRDefault="00E6060C" w:rsidP="00E6060C">
            <w:pPr>
              <w:spacing w:before="200" w:line="360" w:lineRule="auto"/>
              <w:rPr>
                <w:rFonts w:ascii="Calibri" w:eastAsia="Calibri" w:hAnsi="Calibri" w:cs="Times New Roman"/>
              </w:rPr>
            </w:pPr>
            <w:r w:rsidRPr="00E6060C">
              <w:rPr>
                <w:rFonts w:ascii="Calibri" w:eastAsia="Calibri" w:hAnsi="Calibri" w:cs="Times New Roman"/>
              </w:rPr>
              <w:t>2.h)</w:t>
            </w:r>
          </w:p>
        </w:tc>
        <w:tc>
          <w:tcPr>
            <w:tcW w:w="5530" w:type="dxa"/>
          </w:tcPr>
          <w:p w14:paraId="048DA505" w14:textId="77777777" w:rsidR="00E6060C" w:rsidRPr="00E6060C" w:rsidRDefault="00E6060C" w:rsidP="00E6060C">
            <w:pPr>
              <w:spacing w:before="200"/>
              <w:contextualSpacing/>
              <w:rPr>
                <w:rFonts w:ascii="Calibri" w:eastAsia="Calibri" w:hAnsi="Calibri" w:cs="Times New Roman"/>
              </w:rPr>
            </w:pPr>
            <w:r w:rsidRPr="00E6060C">
              <w:rPr>
                <w:rFonts w:ascii="Calibri" w:eastAsia="Calibri" w:hAnsi="Calibri" w:cs="Times New Roman"/>
              </w:rPr>
              <w:t>Relatedness will mediate the relationship between influence in decision-making and work engagement</w:t>
            </w:r>
          </w:p>
        </w:tc>
        <w:tc>
          <w:tcPr>
            <w:tcW w:w="3119" w:type="dxa"/>
            <w:vAlign w:val="center"/>
          </w:tcPr>
          <w:p w14:paraId="490075AD"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C"/>
            </w:r>
          </w:p>
        </w:tc>
      </w:tr>
      <w:tr w:rsidR="00E6060C" w:rsidRPr="00E6060C" w14:paraId="0F0684BC" w14:textId="77777777" w:rsidTr="00E6060C">
        <w:trPr>
          <w:trHeight w:val="368"/>
        </w:trPr>
        <w:tc>
          <w:tcPr>
            <w:tcW w:w="566" w:type="dxa"/>
          </w:tcPr>
          <w:p w14:paraId="2BF3A165" w14:textId="77777777" w:rsidR="00E6060C" w:rsidRPr="00E6060C" w:rsidRDefault="00E6060C" w:rsidP="00E6060C">
            <w:pPr>
              <w:spacing w:before="200" w:line="360" w:lineRule="auto"/>
              <w:rPr>
                <w:rFonts w:ascii="Calibri" w:eastAsia="Calibri" w:hAnsi="Calibri" w:cs="Times New Roman"/>
              </w:rPr>
            </w:pPr>
            <w:r w:rsidRPr="00E6060C">
              <w:rPr>
                <w:rFonts w:ascii="Calibri" w:eastAsia="Calibri" w:hAnsi="Calibri" w:cs="Times New Roman"/>
              </w:rPr>
              <w:t>2.i)</w:t>
            </w:r>
          </w:p>
        </w:tc>
        <w:tc>
          <w:tcPr>
            <w:tcW w:w="5530" w:type="dxa"/>
          </w:tcPr>
          <w:p w14:paraId="3C83781B" w14:textId="77777777" w:rsidR="00E6060C" w:rsidRPr="00E6060C" w:rsidRDefault="00E6060C" w:rsidP="00E6060C">
            <w:pPr>
              <w:spacing w:before="200"/>
              <w:contextualSpacing/>
              <w:rPr>
                <w:rFonts w:ascii="Calibri" w:eastAsia="Calibri" w:hAnsi="Calibri" w:cs="Times New Roman"/>
              </w:rPr>
            </w:pPr>
            <w:r w:rsidRPr="00E6060C">
              <w:rPr>
                <w:rFonts w:ascii="Calibri" w:eastAsia="Calibri" w:hAnsi="Calibri" w:cs="Times New Roman"/>
              </w:rPr>
              <w:t>Relatedness will mediate the relationship between resources and demands and work engagement</w:t>
            </w:r>
          </w:p>
        </w:tc>
        <w:tc>
          <w:tcPr>
            <w:tcW w:w="3119" w:type="dxa"/>
            <w:vAlign w:val="center"/>
          </w:tcPr>
          <w:p w14:paraId="1AA38A8A" w14:textId="77777777" w:rsidR="00E6060C" w:rsidRPr="00E6060C" w:rsidRDefault="00E6060C" w:rsidP="00E6060C">
            <w:pPr>
              <w:spacing w:after="200" w:line="360" w:lineRule="auto"/>
              <w:contextualSpacing/>
              <w:jc w:val="center"/>
              <w:rPr>
                <w:rFonts w:ascii="Calibri" w:eastAsia="Calibri" w:hAnsi="Calibri" w:cs="Times New Roman"/>
                <w:sz w:val="40"/>
                <w:szCs w:val="40"/>
              </w:rPr>
            </w:pPr>
            <w:r w:rsidRPr="00E6060C">
              <w:rPr>
                <w:rFonts w:ascii="Calibri" w:eastAsia="Calibri" w:hAnsi="Calibri" w:cs="Times New Roman"/>
                <w:sz w:val="40"/>
                <w:szCs w:val="40"/>
              </w:rPr>
              <w:sym w:font="Wingdings" w:char="F0FB"/>
            </w:r>
          </w:p>
        </w:tc>
      </w:tr>
    </w:tbl>
    <w:p w14:paraId="356DE536" w14:textId="77777777" w:rsidR="005077F1" w:rsidRDefault="005077F1" w:rsidP="00E06405">
      <w:pPr>
        <w:pStyle w:val="Thesisheading1"/>
        <w:sectPr w:rsidR="005077F1">
          <w:pgSz w:w="11906" w:h="16838"/>
          <w:pgMar w:top="1440" w:right="1440" w:bottom="1440" w:left="1440" w:header="708" w:footer="708" w:gutter="0"/>
          <w:cols w:space="708"/>
          <w:docGrid w:linePitch="360"/>
        </w:sectPr>
      </w:pPr>
      <w:bookmarkStart w:id="521" w:name="_Toc441137821"/>
    </w:p>
    <w:p w14:paraId="54A7E4CC" w14:textId="53F096E1" w:rsidR="00E6060C" w:rsidRPr="00E6060C" w:rsidRDefault="00E6060C" w:rsidP="002D3426">
      <w:pPr>
        <w:pStyle w:val="Heading1"/>
      </w:pPr>
      <w:bookmarkStart w:id="522" w:name="_Toc468286033"/>
      <w:r w:rsidRPr="00E6060C">
        <w:lastRenderedPageBreak/>
        <w:t>Discussion</w:t>
      </w:r>
      <w:bookmarkEnd w:id="521"/>
      <w:bookmarkEnd w:id="522"/>
    </w:p>
    <w:p w14:paraId="48013F0D" w14:textId="77777777" w:rsidR="00E6060C" w:rsidRPr="00E6060C" w:rsidRDefault="00E6060C" w:rsidP="00E6060C">
      <w:pPr>
        <w:spacing w:after="200" w:line="360" w:lineRule="auto"/>
        <w:contextualSpacing/>
        <w:rPr>
          <w:rFonts w:ascii="Calibri" w:eastAsia="Calibri" w:hAnsi="Calibri" w:cs="Times New Roman"/>
        </w:rPr>
      </w:pPr>
    </w:p>
    <w:p w14:paraId="72DCA080" w14:textId="008A4860"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This chapter is split into three parts. The first part discusses the findings of the narrative systematic review and meta-analysis which formed Study 1 before moving on to detail </w:t>
      </w:r>
      <w:r w:rsidR="00473FA2">
        <w:rPr>
          <w:rFonts w:ascii="Calibri" w:eastAsia="Calibri" w:hAnsi="Calibri" w:cs="Times New Roman"/>
        </w:rPr>
        <w:t xml:space="preserve">the particular </w:t>
      </w:r>
      <w:r w:rsidR="008214C1">
        <w:rPr>
          <w:rFonts w:ascii="Calibri" w:eastAsia="Calibri" w:hAnsi="Calibri" w:cs="Times New Roman"/>
        </w:rPr>
        <w:t xml:space="preserve">theoretical </w:t>
      </w:r>
      <w:r w:rsidR="00473FA2">
        <w:rPr>
          <w:rFonts w:ascii="Calibri" w:eastAsia="Calibri" w:hAnsi="Calibri" w:cs="Times New Roman"/>
        </w:rPr>
        <w:t>contributions of this study, implications for research and practice, and finally, study limitations</w:t>
      </w:r>
      <w:r w:rsidRPr="00E6060C">
        <w:rPr>
          <w:rFonts w:ascii="Calibri" w:eastAsia="Calibri" w:hAnsi="Calibri" w:cs="Times New Roman"/>
        </w:rPr>
        <w:t xml:space="preserve"> and </w:t>
      </w:r>
      <w:r w:rsidR="00473FA2">
        <w:rPr>
          <w:rFonts w:ascii="Calibri" w:eastAsia="Calibri" w:hAnsi="Calibri" w:cs="Times New Roman"/>
        </w:rPr>
        <w:t>how they can be addressed in the future.</w:t>
      </w:r>
      <w:r w:rsidR="00971F33">
        <w:rPr>
          <w:rFonts w:ascii="Calibri" w:eastAsia="Calibri" w:hAnsi="Calibri" w:cs="Times New Roman"/>
        </w:rPr>
        <w:t xml:space="preserve"> </w:t>
      </w:r>
      <w:r w:rsidRPr="00E6060C">
        <w:rPr>
          <w:rFonts w:ascii="Calibri" w:eastAsia="Calibri" w:hAnsi="Calibri" w:cs="Times New Roman"/>
        </w:rPr>
        <w:t xml:space="preserve">The second part discusses the findings of the participatory action intervention with nursing staff which formed Study 2, followed by the findings of the mediation study investigating the relationships between job resources, work-related needs and work engagement. </w:t>
      </w:r>
      <w:r w:rsidR="00473FA2">
        <w:rPr>
          <w:rFonts w:ascii="Calibri" w:eastAsia="Calibri" w:hAnsi="Calibri" w:cs="Times New Roman"/>
        </w:rPr>
        <w:t xml:space="preserve">The particular </w:t>
      </w:r>
      <w:r w:rsidR="008214C1">
        <w:rPr>
          <w:rFonts w:ascii="Calibri" w:eastAsia="Calibri" w:hAnsi="Calibri" w:cs="Times New Roman"/>
        </w:rPr>
        <w:t xml:space="preserve">theoretical </w:t>
      </w:r>
      <w:r w:rsidR="00473FA2">
        <w:rPr>
          <w:rFonts w:ascii="Calibri" w:eastAsia="Calibri" w:hAnsi="Calibri" w:cs="Times New Roman"/>
        </w:rPr>
        <w:t xml:space="preserve">contributions of this study, implications for research and practice, and limitations </w:t>
      </w:r>
      <w:r w:rsidRPr="00E6060C">
        <w:rPr>
          <w:rFonts w:ascii="Calibri" w:eastAsia="Calibri" w:hAnsi="Calibri" w:cs="Times New Roman"/>
        </w:rPr>
        <w:t>are</w:t>
      </w:r>
      <w:r w:rsidR="00473FA2">
        <w:rPr>
          <w:rFonts w:ascii="Calibri" w:eastAsia="Calibri" w:hAnsi="Calibri" w:cs="Times New Roman"/>
        </w:rPr>
        <w:t xml:space="preserve"> then </w:t>
      </w:r>
      <w:r w:rsidRPr="00E6060C">
        <w:rPr>
          <w:rFonts w:ascii="Calibri" w:eastAsia="Calibri" w:hAnsi="Calibri" w:cs="Times New Roman"/>
        </w:rPr>
        <w:t>discussed</w:t>
      </w:r>
      <w:r w:rsidR="00473FA2">
        <w:rPr>
          <w:rFonts w:ascii="Calibri" w:eastAsia="Calibri" w:hAnsi="Calibri" w:cs="Times New Roman"/>
        </w:rPr>
        <w:t>.</w:t>
      </w:r>
      <w:r w:rsidRPr="00E6060C">
        <w:rPr>
          <w:rFonts w:ascii="Calibri" w:eastAsia="Calibri" w:hAnsi="Calibri" w:cs="Times New Roman"/>
        </w:rPr>
        <w:t xml:space="preserve"> The third part considers the </w:t>
      </w:r>
      <w:r w:rsidR="00473FA2">
        <w:rPr>
          <w:rFonts w:ascii="Calibri" w:eastAsia="Calibri" w:hAnsi="Calibri" w:cs="Times New Roman"/>
        </w:rPr>
        <w:t xml:space="preserve">results and contributions of each study </w:t>
      </w:r>
      <w:r w:rsidRPr="00E6060C">
        <w:rPr>
          <w:rFonts w:ascii="Calibri" w:eastAsia="Calibri" w:hAnsi="Calibri" w:cs="Times New Roman"/>
        </w:rPr>
        <w:t xml:space="preserve">in combination, bringing together the findings from each study, how they support each other, and their value for progressing the field of work engagement. </w:t>
      </w:r>
      <w:r w:rsidR="00971F33">
        <w:rPr>
          <w:rFonts w:ascii="Calibri" w:eastAsia="Calibri" w:hAnsi="Calibri" w:cs="Times New Roman"/>
        </w:rPr>
        <w:t>The contributions of these two studies in co</w:t>
      </w:r>
      <w:r w:rsidR="00CA379C">
        <w:rPr>
          <w:rFonts w:ascii="Calibri" w:eastAsia="Calibri" w:hAnsi="Calibri" w:cs="Times New Roman"/>
        </w:rPr>
        <w:t>mbination</w:t>
      </w:r>
      <w:r w:rsidR="00971F33">
        <w:rPr>
          <w:rFonts w:ascii="Calibri" w:eastAsia="Calibri" w:hAnsi="Calibri" w:cs="Times New Roman"/>
        </w:rPr>
        <w:t xml:space="preserve"> are particularly highlighted here. </w:t>
      </w:r>
      <w:r w:rsidRPr="00E6060C">
        <w:rPr>
          <w:rFonts w:ascii="Calibri" w:eastAsia="Calibri" w:hAnsi="Calibri" w:cs="Times New Roman"/>
        </w:rPr>
        <w:t xml:space="preserve">This </w:t>
      </w:r>
      <w:r w:rsidR="00971F33">
        <w:rPr>
          <w:rFonts w:ascii="Calibri" w:eastAsia="Calibri" w:hAnsi="Calibri" w:cs="Times New Roman"/>
        </w:rPr>
        <w:t xml:space="preserve">third part </w:t>
      </w:r>
      <w:r w:rsidRPr="00E6060C">
        <w:rPr>
          <w:rFonts w:ascii="Calibri" w:eastAsia="Calibri" w:hAnsi="Calibri" w:cs="Times New Roman"/>
        </w:rPr>
        <w:t>serves as an overall conclusion to the thesis.</w:t>
      </w:r>
    </w:p>
    <w:p w14:paraId="150632FB" w14:textId="77777777" w:rsidR="00E6060C" w:rsidRPr="00E6060C" w:rsidRDefault="00E6060C" w:rsidP="00E6060C">
      <w:pPr>
        <w:spacing w:after="200" w:line="360" w:lineRule="auto"/>
        <w:contextualSpacing/>
        <w:rPr>
          <w:rFonts w:ascii="Calibri" w:eastAsia="Calibri" w:hAnsi="Calibri" w:cs="Times New Roman"/>
        </w:rPr>
      </w:pPr>
    </w:p>
    <w:p w14:paraId="29DE90FD" w14:textId="250163D3" w:rsidR="00E6060C" w:rsidRPr="00E6060C" w:rsidRDefault="00901B62" w:rsidP="00B7614E">
      <w:pPr>
        <w:pStyle w:val="Thesisheading2"/>
      </w:pPr>
      <w:bookmarkStart w:id="523" w:name="_Ref468108805"/>
      <w:bookmarkStart w:id="524" w:name="_Toc468286034"/>
      <w:r>
        <w:t>Study 1:</w:t>
      </w:r>
      <w:r w:rsidR="00760744">
        <w:t xml:space="preserve"> </w:t>
      </w:r>
      <w:r w:rsidR="00E6060C" w:rsidRPr="00E6060C">
        <w:t xml:space="preserve">A narrative systematic review </w:t>
      </w:r>
      <w:r w:rsidR="007D317C">
        <w:t>and</w:t>
      </w:r>
      <w:r w:rsidR="00E6060C" w:rsidRPr="00E6060C">
        <w:t xml:space="preserve"> meta-analysis to investigate the effectiveness of interventions to increase work engagement</w:t>
      </w:r>
      <w:bookmarkEnd w:id="523"/>
      <w:bookmarkEnd w:id="524"/>
      <w:r w:rsidR="00E6060C" w:rsidRPr="00E6060C">
        <w:t xml:space="preserve"> </w:t>
      </w:r>
    </w:p>
    <w:p w14:paraId="5A6D1087" w14:textId="77777777" w:rsidR="00E6060C" w:rsidRPr="00E6060C" w:rsidRDefault="00E6060C" w:rsidP="00E6060C">
      <w:pPr>
        <w:spacing w:after="200" w:line="360" w:lineRule="auto"/>
        <w:contextualSpacing/>
        <w:rPr>
          <w:rFonts w:ascii="Calibri" w:eastAsia="Calibri" w:hAnsi="Calibri" w:cs="Times New Roman"/>
        </w:rPr>
      </w:pPr>
    </w:p>
    <w:p w14:paraId="537A0553" w14:textId="5FEE46F2" w:rsidR="00E6060C" w:rsidRDefault="00E6060C" w:rsidP="00593140">
      <w:pPr>
        <w:spacing w:after="200" w:line="360" w:lineRule="auto"/>
        <w:contextualSpacing/>
        <w:rPr>
          <w:rFonts w:ascii="Calibri" w:eastAsia="Calibri" w:hAnsi="Calibri" w:cs="Times New Roman"/>
        </w:rPr>
      </w:pPr>
      <w:bookmarkStart w:id="525" w:name="_Toc450214036"/>
      <w:r w:rsidRPr="00E6060C">
        <w:rPr>
          <w:rFonts w:ascii="Calibri" w:eastAsia="Calibri" w:hAnsi="Calibri" w:cs="Times New Roman"/>
        </w:rPr>
        <w:t>This study aimed to address three research questions: 1) are work engagement interventions effective?</w:t>
      </w:r>
      <w:r w:rsidR="008214C1">
        <w:rPr>
          <w:rFonts w:ascii="Calibri" w:eastAsia="Calibri" w:hAnsi="Calibri" w:cs="Times New Roman"/>
        </w:rPr>
        <w:t>;</w:t>
      </w:r>
      <w:r w:rsidRPr="00E6060C">
        <w:rPr>
          <w:rFonts w:ascii="Calibri" w:eastAsia="Calibri" w:hAnsi="Calibri" w:cs="Times New Roman"/>
        </w:rPr>
        <w:t xml:space="preserve"> 2) is intervention type related to intervention effectiveness?; and 3) does study quality and implementation impact on intervention effectiveness? In order to answer these questions, a novel approach was adopted; a combined</w:t>
      </w:r>
      <w:r w:rsidR="007D317C">
        <w:rPr>
          <w:rFonts w:ascii="Calibri" w:eastAsia="Calibri" w:hAnsi="Calibri" w:cs="Times New Roman"/>
        </w:rPr>
        <w:t xml:space="preserve"> narrative systematic review and</w:t>
      </w:r>
      <w:r w:rsidRPr="00E6060C">
        <w:rPr>
          <w:rFonts w:ascii="Calibri" w:eastAsia="Calibri" w:hAnsi="Calibri" w:cs="Times New Roman"/>
        </w:rPr>
        <w:t xml:space="preserve"> meta-analysis. The added value of combining the two methods is evident through the holistic nature of the evaluation that this method allowed, with an exploration of intervention implementation being possible alongside a statistical evaluation of intervention effects (see Chapter 3, section </w:t>
      </w:r>
      <w:r w:rsidR="0015129C">
        <w:rPr>
          <w:rFonts w:ascii="Calibri" w:eastAsia="Calibri" w:hAnsi="Calibri" w:cs="Times New Roman"/>
        </w:rPr>
        <w:fldChar w:fldCharType="begin"/>
      </w:r>
      <w:r w:rsidR="0015129C">
        <w:rPr>
          <w:rFonts w:ascii="Calibri" w:eastAsia="Calibri" w:hAnsi="Calibri" w:cs="Times New Roman"/>
        </w:rPr>
        <w:instrText xml:space="preserve"> REF _Ref453593517 \r \h </w:instrText>
      </w:r>
      <w:r w:rsidR="0015129C">
        <w:rPr>
          <w:rFonts w:ascii="Calibri" w:eastAsia="Calibri" w:hAnsi="Calibri" w:cs="Times New Roman"/>
        </w:rPr>
      </w:r>
      <w:r w:rsidR="0015129C">
        <w:rPr>
          <w:rFonts w:ascii="Calibri" w:eastAsia="Calibri" w:hAnsi="Calibri" w:cs="Times New Roman"/>
        </w:rPr>
        <w:fldChar w:fldCharType="separate"/>
      </w:r>
      <w:r w:rsidR="00152F6D">
        <w:rPr>
          <w:rFonts w:ascii="Calibri" w:eastAsia="Calibri" w:hAnsi="Calibri" w:cs="Times New Roman"/>
        </w:rPr>
        <w:t>3.3</w:t>
      </w:r>
      <w:r w:rsidR="0015129C">
        <w:rPr>
          <w:rFonts w:ascii="Calibri" w:eastAsia="Calibri" w:hAnsi="Calibri" w:cs="Times New Roman"/>
        </w:rPr>
        <w:fldChar w:fldCharType="end"/>
      </w:r>
      <w:r w:rsidR="007D317C">
        <w:rPr>
          <w:rFonts w:ascii="Calibri" w:eastAsia="Calibri" w:hAnsi="Calibri" w:cs="Times New Roman"/>
        </w:rPr>
        <w:t>,</w:t>
      </w:r>
      <w:r w:rsidR="0015129C">
        <w:rPr>
          <w:rFonts w:ascii="Calibri" w:eastAsia="Calibri" w:hAnsi="Calibri" w:cs="Times New Roman"/>
        </w:rPr>
        <w:t xml:space="preserve"> </w:t>
      </w:r>
      <w:r w:rsidRPr="00E6060C">
        <w:rPr>
          <w:rFonts w:ascii="Calibri" w:eastAsia="Calibri" w:hAnsi="Calibri" w:cs="Times New Roman"/>
        </w:rPr>
        <w:t xml:space="preserve">for a deeper discussion about the value of this approach). The following discussion will focus on each of the three aims in turn before discussing </w:t>
      </w:r>
      <w:r w:rsidR="008214C1">
        <w:rPr>
          <w:rFonts w:ascii="Calibri" w:eastAsia="Calibri" w:hAnsi="Calibri" w:cs="Times New Roman"/>
        </w:rPr>
        <w:t xml:space="preserve">the </w:t>
      </w:r>
      <w:r w:rsidR="006814E6">
        <w:rPr>
          <w:rFonts w:ascii="Calibri" w:eastAsia="Calibri" w:hAnsi="Calibri" w:cs="Times New Roman"/>
        </w:rPr>
        <w:t>contributions of each study for theory,</w:t>
      </w:r>
      <w:r w:rsidRPr="00E6060C">
        <w:rPr>
          <w:rFonts w:ascii="Calibri" w:eastAsia="Calibri" w:hAnsi="Calibri" w:cs="Times New Roman"/>
        </w:rPr>
        <w:t xml:space="preserve"> important directions for future research and practice, and </w:t>
      </w:r>
      <w:r w:rsidR="008214C1" w:rsidRPr="00E6060C">
        <w:rPr>
          <w:rFonts w:ascii="Calibri" w:eastAsia="Calibri" w:hAnsi="Calibri" w:cs="Times New Roman"/>
        </w:rPr>
        <w:t>study limitations,</w:t>
      </w:r>
      <w:r w:rsidR="008214C1">
        <w:rPr>
          <w:rFonts w:ascii="Calibri" w:eastAsia="Calibri" w:hAnsi="Calibri" w:cs="Times New Roman"/>
        </w:rPr>
        <w:t xml:space="preserve"> and </w:t>
      </w:r>
      <w:r w:rsidRPr="00E6060C">
        <w:rPr>
          <w:rFonts w:ascii="Calibri" w:eastAsia="Calibri" w:hAnsi="Calibri" w:cs="Times New Roman"/>
        </w:rPr>
        <w:t xml:space="preserve">finally drawing some </w:t>
      </w:r>
      <w:r w:rsidR="0015129C">
        <w:rPr>
          <w:rFonts w:ascii="Calibri" w:eastAsia="Calibri" w:hAnsi="Calibri" w:cs="Times New Roman"/>
        </w:rPr>
        <w:t xml:space="preserve">overall conclusions. </w:t>
      </w:r>
    </w:p>
    <w:p w14:paraId="72F8F388" w14:textId="77777777" w:rsidR="00593140" w:rsidRDefault="00593140" w:rsidP="00593140">
      <w:pPr>
        <w:spacing w:after="200" w:line="360" w:lineRule="auto"/>
        <w:contextualSpacing/>
        <w:rPr>
          <w:rFonts w:ascii="Calibri" w:eastAsia="Calibri" w:hAnsi="Calibri" w:cs="Times New Roman"/>
        </w:rPr>
      </w:pPr>
    </w:p>
    <w:p w14:paraId="5377A324" w14:textId="77777777" w:rsidR="007458DB" w:rsidRPr="00903FE1" w:rsidRDefault="00E6060C" w:rsidP="00593140">
      <w:pPr>
        <w:pStyle w:val="Heading3"/>
        <w:spacing w:line="360" w:lineRule="auto"/>
        <w:contextualSpacing/>
        <w:rPr>
          <w:vanish/>
          <w:specVanish/>
        </w:rPr>
      </w:pPr>
      <w:bookmarkStart w:id="526" w:name="_Toc468286035"/>
      <w:r w:rsidRPr="00903FE1">
        <w:t>Aim 1</w:t>
      </w:r>
      <w:bookmarkEnd w:id="526"/>
    </w:p>
    <w:p w14:paraId="114F8196" w14:textId="71228984" w:rsidR="00E6060C" w:rsidRPr="007458DB" w:rsidRDefault="007458DB" w:rsidP="00593140">
      <w:pPr>
        <w:spacing w:line="360" w:lineRule="auto"/>
        <w:contextualSpacing/>
        <w:rPr>
          <w:rFonts w:asciiTheme="majorHAnsi" w:hAnsiTheme="majorHAnsi"/>
          <w:b/>
          <w:sz w:val="28"/>
          <w:szCs w:val="28"/>
        </w:rPr>
      </w:pPr>
      <w:r w:rsidRPr="007458DB">
        <w:rPr>
          <w:rFonts w:asciiTheme="majorHAnsi" w:hAnsiTheme="majorHAnsi"/>
          <w:b/>
          <w:sz w:val="28"/>
          <w:szCs w:val="28"/>
        </w:rPr>
        <w:t>: A</w:t>
      </w:r>
      <w:r w:rsidR="00E6060C" w:rsidRPr="007458DB">
        <w:rPr>
          <w:rFonts w:asciiTheme="majorHAnsi" w:hAnsiTheme="majorHAnsi"/>
          <w:b/>
          <w:sz w:val="28"/>
          <w:szCs w:val="28"/>
        </w:rPr>
        <w:t>re work engagement interventions effective?</w:t>
      </w:r>
    </w:p>
    <w:p w14:paraId="55026FC8" w14:textId="77777777" w:rsidR="007458DB" w:rsidRPr="007458DB" w:rsidRDefault="007458DB" w:rsidP="00593140">
      <w:pPr>
        <w:spacing w:line="360" w:lineRule="auto"/>
        <w:contextualSpacing/>
        <w:rPr>
          <w:rFonts w:ascii="Calibri" w:eastAsia="Calibri" w:hAnsi="Calibri" w:cs="Times New Roman"/>
        </w:rPr>
      </w:pPr>
    </w:p>
    <w:p w14:paraId="322B00C7" w14:textId="38963C4C" w:rsidR="00E6060C" w:rsidRPr="00E6060C" w:rsidRDefault="00E6060C" w:rsidP="00593140">
      <w:pPr>
        <w:spacing w:before="200" w:line="360" w:lineRule="auto"/>
        <w:contextualSpacing/>
        <w:rPr>
          <w:rFonts w:ascii="Calibri" w:eastAsia="Calibri" w:hAnsi="Calibri" w:cs="Times New Roman"/>
        </w:rPr>
      </w:pPr>
      <w:r w:rsidRPr="00E6060C">
        <w:rPr>
          <w:rFonts w:ascii="Calibri" w:eastAsia="Calibri" w:hAnsi="Calibri" w:cs="Times New Roman"/>
        </w:rPr>
        <w:t xml:space="preserve">The narrative systematic review comprising 33 studies revealed mixed results, with some studies reporting significant effects on work engagement, and some reporting no effects. It was therefore </w:t>
      </w:r>
      <w:r w:rsidRPr="00E6060C">
        <w:rPr>
          <w:rFonts w:ascii="Calibri" w:eastAsia="Calibri" w:hAnsi="Calibri" w:cs="Times New Roman"/>
        </w:rPr>
        <w:lastRenderedPageBreak/>
        <w:t xml:space="preserve">not possible to draw a conclusion about the overall effectiveness of work engagement interventions from these results alone. However, the meta-analysis comprising 20 studies revealed a positive, reliable effect on work engagement and each of the three subcomponents, vigour, dedication and absorption. This suggests that interventions </w:t>
      </w:r>
      <w:r w:rsidRPr="00E6060C">
        <w:rPr>
          <w:rFonts w:ascii="Calibri" w:eastAsia="Calibri" w:hAnsi="Calibri" w:cs="Times New Roman"/>
          <w:i/>
        </w:rPr>
        <w:t>are</w:t>
      </w:r>
      <w:r w:rsidRPr="00E6060C">
        <w:rPr>
          <w:rFonts w:ascii="Calibri" w:eastAsia="Calibri" w:hAnsi="Calibri" w:cs="Times New Roman"/>
        </w:rPr>
        <w:t xml:space="preserve"> effective for increasing work engagement in employees. This is consistent with the </w:t>
      </w:r>
      <w:r w:rsidR="007D317C">
        <w:rPr>
          <w:rFonts w:ascii="Calibri" w:eastAsia="Calibri" w:hAnsi="Calibri" w:cs="Times New Roman"/>
        </w:rPr>
        <w:t>Job Demands-Resources (</w:t>
      </w:r>
      <w:r w:rsidRPr="00E6060C">
        <w:rPr>
          <w:rFonts w:ascii="Calibri" w:eastAsia="Calibri" w:hAnsi="Calibri" w:cs="Times New Roman"/>
        </w:rPr>
        <w:t>JD-R</w:t>
      </w:r>
      <w:r w:rsidR="007D317C">
        <w:rPr>
          <w:rFonts w:ascii="Calibri" w:eastAsia="Calibri" w:hAnsi="Calibri" w:cs="Times New Roman"/>
        </w:rPr>
        <w:t>; Bakker &amp; Demerouti, 2007;2008)</w:t>
      </w:r>
      <w:r w:rsidRPr="00E6060C">
        <w:rPr>
          <w:rFonts w:ascii="Calibri" w:eastAsia="Calibri" w:hAnsi="Calibri" w:cs="Times New Roman"/>
        </w:rPr>
        <w:t xml:space="preserve"> model which proposes a positive relationship between job and personal resources and work engagement</w:t>
      </w:r>
      <w:r w:rsidR="007D317C">
        <w:rPr>
          <w:rFonts w:ascii="Calibri" w:eastAsia="Calibri" w:hAnsi="Calibri" w:cs="Times New Roman"/>
        </w:rPr>
        <w:t>,</w:t>
      </w:r>
      <w:r w:rsidRPr="00E6060C">
        <w:rPr>
          <w:rFonts w:ascii="Calibri" w:eastAsia="Calibri" w:hAnsi="Calibri" w:cs="Times New Roman"/>
        </w:rPr>
        <w:t xml:space="preserve"> </w:t>
      </w:r>
      <w:r w:rsidR="00042ED9">
        <w:rPr>
          <w:rFonts w:ascii="Calibri" w:eastAsia="Calibri" w:hAnsi="Calibri" w:cs="Times New Roman"/>
        </w:rPr>
        <w:t xml:space="preserve">and suggests that increasing personal and / or job resources is </w:t>
      </w:r>
      <w:r w:rsidR="003F0D97">
        <w:rPr>
          <w:rFonts w:ascii="Calibri" w:eastAsia="Calibri" w:hAnsi="Calibri" w:cs="Times New Roman"/>
        </w:rPr>
        <w:t>an effective strategy for increasing work engagement. These results were observed despite the reported issues regarding intervention implementation (discussed in section</w:t>
      </w:r>
      <w:r w:rsidR="00042ED9" w:rsidRPr="00E6060C" w:rsidDel="00042ED9">
        <w:rPr>
          <w:rFonts w:ascii="Calibri" w:eastAsia="Calibri" w:hAnsi="Calibri" w:cs="Times New Roman"/>
        </w:rPr>
        <w:t xml:space="preserve"> </w:t>
      </w:r>
      <w:r w:rsidR="003F0D97">
        <w:rPr>
          <w:rFonts w:ascii="Calibri" w:eastAsia="Calibri" w:hAnsi="Calibri" w:cs="Times New Roman"/>
        </w:rPr>
        <w:t xml:space="preserve">10.1.3), therefore it may be that work engagement interventions could demonstrate greater effectiveness if implementation is able to be improved. </w:t>
      </w:r>
      <w:r w:rsidR="00384B8C">
        <w:rPr>
          <w:rFonts w:ascii="Calibri" w:eastAsia="Calibri" w:hAnsi="Calibri" w:cs="Times New Roman"/>
        </w:rPr>
        <w:t>Ways this could be achieved are discussed in sections 10.1.</w:t>
      </w:r>
      <w:r w:rsidR="00881733">
        <w:rPr>
          <w:rFonts w:ascii="Calibri" w:eastAsia="Calibri" w:hAnsi="Calibri" w:cs="Times New Roman"/>
        </w:rPr>
        <w:t>5.2 and 10.2.4.2</w:t>
      </w:r>
      <w:r w:rsidR="00384B8C">
        <w:rPr>
          <w:rFonts w:ascii="Calibri" w:eastAsia="Calibri" w:hAnsi="Calibri" w:cs="Times New Roman"/>
        </w:rPr>
        <w:t>.</w:t>
      </w:r>
    </w:p>
    <w:p w14:paraId="36C9AF5B" w14:textId="77777777" w:rsidR="00E6060C" w:rsidRPr="00E6060C" w:rsidRDefault="00E6060C" w:rsidP="00397E67">
      <w:pPr>
        <w:spacing w:before="200" w:line="360" w:lineRule="auto"/>
        <w:contextualSpacing/>
      </w:pPr>
    </w:p>
    <w:p w14:paraId="4693AB04" w14:textId="77777777" w:rsidR="007458DB" w:rsidRPr="007458DB" w:rsidRDefault="00E6060C" w:rsidP="0009618B">
      <w:pPr>
        <w:pStyle w:val="Heading3"/>
        <w:rPr>
          <w:vanish/>
          <w:specVanish/>
        </w:rPr>
      </w:pPr>
      <w:bookmarkStart w:id="527" w:name="_Toc468286036"/>
      <w:r w:rsidRPr="00E6060C">
        <w:t>Aim 2</w:t>
      </w:r>
      <w:bookmarkEnd w:id="527"/>
    </w:p>
    <w:p w14:paraId="5B7396DE" w14:textId="0215AE49" w:rsidR="00E6060C" w:rsidRDefault="007458DB" w:rsidP="007458DB">
      <w:pPr>
        <w:rPr>
          <w:rFonts w:asciiTheme="majorHAnsi" w:hAnsiTheme="majorHAnsi"/>
          <w:b/>
          <w:sz w:val="28"/>
          <w:szCs w:val="28"/>
        </w:rPr>
      </w:pPr>
      <w:r w:rsidRPr="007458DB">
        <w:rPr>
          <w:rFonts w:asciiTheme="majorHAnsi" w:hAnsiTheme="majorHAnsi"/>
          <w:b/>
          <w:sz w:val="28"/>
          <w:szCs w:val="28"/>
        </w:rPr>
        <w:t>:</w:t>
      </w:r>
      <w:r w:rsidR="00506770">
        <w:rPr>
          <w:rFonts w:asciiTheme="majorHAnsi" w:hAnsiTheme="majorHAnsi"/>
          <w:b/>
          <w:sz w:val="28"/>
          <w:szCs w:val="28"/>
        </w:rPr>
        <w:t xml:space="preserve"> </w:t>
      </w:r>
      <w:r w:rsidRPr="007458DB">
        <w:rPr>
          <w:rFonts w:asciiTheme="majorHAnsi" w:hAnsiTheme="majorHAnsi"/>
          <w:b/>
          <w:sz w:val="28"/>
          <w:szCs w:val="28"/>
        </w:rPr>
        <w:t>I</w:t>
      </w:r>
      <w:r w:rsidR="00E6060C" w:rsidRPr="007458DB">
        <w:rPr>
          <w:rFonts w:asciiTheme="majorHAnsi" w:hAnsiTheme="majorHAnsi"/>
          <w:b/>
          <w:sz w:val="28"/>
          <w:szCs w:val="28"/>
        </w:rPr>
        <w:t>s intervention type related to intervention effectiveness?</w:t>
      </w:r>
    </w:p>
    <w:p w14:paraId="4F57D9F2" w14:textId="77777777" w:rsidR="007458DB" w:rsidRPr="007458DB" w:rsidRDefault="007458DB" w:rsidP="007458DB">
      <w:pPr>
        <w:rPr>
          <w:rFonts w:asciiTheme="majorHAnsi" w:eastAsia="Calibri" w:hAnsiTheme="majorHAnsi" w:cs="Times New Roman"/>
          <w:b/>
          <w:sz w:val="28"/>
          <w:szCs w:val="28"/>
        </w:rPr>
      </w:pPr>
    </w:p>
    <w:p w14:paraId="7C6FA0FB" w14:textId="1738C9E1"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narrative systematic review again revealed mixed results, with some personal resource and job resource building interventions revealing significant effects, and leadership and health promotion interventions generally revealing no effects. In addition, a meta-analytic moderator analysis did not reveal a significant effect of intervention type on the effectiveness of work engagement interventions, suggesting that success is not affected by the focus of the intervention. This could be due to indirect effects on job and personal resources, as well as </w:t>
      </w:r>
      <w:r w:rsidR="001D6140">
        <w:rPr>
          <w:rFonts w:ascii="Calibri" w:eastAsia="Calibri" w:hAnsi="Calibri" w:cs="Times New Roman"/>
        </w:rPr>
        <w:t>well-being</w:t>
      </w:r>
      <w:r w:rsidRPr="00E6060C">
        <w:rPr>
          <w:rFonts w:ascii="Calibri" w:eastAsia="Calibri" w:hAnsi="Calibri" w:cs="Times New Roman"/>
        </w:rPr>
        <w:t xml:space="preserve">, whatever the intended target of the intervention. For example, an intervention designed to directly increase personal resources could accordingly increase an individual’s sense of self-esteem, competence, and experience of positive emotions, broadening the number and type of thoughts and actions that come to mind, in accordance with broaden-and-build theory (Fredrickson, 2001). This could in turn lead to individuals searching out opportunities, crafting their own jobs, and increasing their job resources and sense of </w:t>
      </w:r>
      <w:r w:rsidR="001D6140">
        <w:rPr>
          <w:rFonts w:ascii="Calibri" w:eastAsia="Calibri" w:hAnsi="Calibri" w:cs="Times New Roman"/>
        </w:rPr>
        <w:t>well-being</w:t>
      </w:r>
      <w:r w:rsidRPr="00E6060C">
        <w:rPr>
          <w:rFonts w:ascii="Calibri" w:eastAsia="Calibri" w:hAnsi="Calibri" w:cs="Times New Roman"/>
        </w:rPr>
        <w:t xml:space="preserve">. </w:t>
      </w:r>
    </w:p>
    <w:p w14:paraId="617FB152" w14:textId="77777777" w:rsidR="00E6060C" w:rsidRPr="00E6060C" w:rsidRDefault="00E6060C" w:rsidP="00E6060C">
      <w:pPr>
        <w:spacing w:after="200" w:line="360" w:lineRule="auto"/>
        <w:contextualSpacing/>
        <w:rPr>
          <w:rFonts w:ascii="Calibri" w:eastAsia="Calibri" w:hAnsi="Calibri" w:cs="Times New Roman"/>
        </w:rPr>
      </w:pPr>
    </w:p>
    <w:p w14:paraId="138C7DF4" w14:textId="5FD6B9AF"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Alternatively, the lack of effects observed for intervention type may have been due to the high heterogeneity between the studies within each subgroup. This has been observed in meta-analyses in related areas (e.g. Richardson &amp; Rothstein, 2008), and prevents a meaningful comparison between the interventions</w:t>
      </w:r>
      <w:r w:rsidR="0087726C">
        <w:rPr>
          <w:rFonts w:ascii="Calibri" w:eastAsia="Calibri" w:hAnsi="Calibri" w:cs="Times New Roman"/>
        </w:rPr>
        <w:t>,</w:t>
      </w:r>
      <w:r w:rsidRPr="00E6060C">
        <w:rPr>
          <w:rFonts w:ascii="Calibri" w:eastAsia="Calibri" w:hAnsi="Calibri" w:cs="Times New Roman"/>
        </w:rPr>
        <w:t xml:space="preserve"> or generalization of the results. It also suggests that other factors may explain the results and account for why a significant effect of intervention type was not found. In particular, included studies varied in terms of design and content, thus it is impossible to determine whether the results observed were due to these, or indeed, other variables not measured by the interventions. </w:t>
      </w:r>
    </w:p>
    <w:p w14:paraId="0FC8A9D3" w14:textId="53249BDD"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lastRenderedPageBreak/>
        <w:t xml:space="preserve">For example, three of the studies categorised as health promotion interventions varied considerably in terms of content; one consisted of an exercise programme coupled with personal coaching (Strijk </w:t>
      </w:r>
      <w:r w:rsidR="00B64DD5">
        <w:rPr>
          <w:rFonts w:ascii="Calibri" w:eastAsia="Calibri" w:hAnsi="Calibri" w:cs="Times New Roman"/>
        </w:rPr>
        <w:t>et al.,</w:t>
      </w:r>
      <w:r w:rsidR="007D317C">
        <w:rPr>
          <w:rFonts w:ascii="Calibri" w:eastAsia="Calibri" w:hAnsi="Calibri" w:cs="Times New Roman"/>
        </w:rPr>
        <w:t xml:space="preserve"> 2013), one consisted of</w:t>
      </w:r>
      <w:r w:rsidRPr="00E6060C">
        <w:rPr>
          <w:rFonts w:ascii="Calibri" w:eastAsia="Calibri" w:hAnsi="Calibri" w:cs="Times New Roman"/>
        </w:rPr>
        <w:t xml:space="preserve"> individual training sessions to lower physical workload coupled with group empowerment sessions (Hengel </w:t>
      </w:r>
      <w:r w:rsidR="00B64DD5">
        <w:rPr>
          <w:rFonts w:ascii="Calibri" w:eastAsia="Calibri" w:hAnsi="Calibri" w:cs="Times New Roman"/>
        </w:rPr>
        <w:t>et al.,</w:t>
      </w:r>
      <w:r w:rsidRPr="00E6060C">
        <w:rPr>
          <w:rFonts w:ascii="Calibri" w:eastAsia="Calibri" w:hAnsi="Calibri" w:cs="Times New Roman"/>
        </w:rPr>
        <w:t xml:space="preserve"> 2012), and one consisted of mindfulness training coupled with e-coaching (Van Berkel </w:t>
      </w:r>
      <w:r w:rsidR="00B64DD5">
        <w:rPr>
          <w:rFonts w:ascii="Calibri" w:eastAsia="Calibri" w:hAnsi="Calibri" w:cs="Times New Roman"/>
        </w:rPr>
        <w:t>et al.,</w:t>
      </w:r>
      <w:r w:rsidRPr="00E6060C">
        <w:rPr>
          <w:rFonts w:ascii="Calibri" w:eastAsia="Calibri" w:hAnsi="Calibri" w:cs="Times New Roman"/>
        </w:rPr>
        <w:t xml:space="preserve"> 2014). Differences within these studies in terms of location, setting</w:t>
      </w:r>
      <w:r w:rsidR="0087726C">
        <w:rPr>
          <w:rFonts w:ascii="Calibri" w:eastAsia="Calibri" w:hAnsi="Calibri" w:cs="Times New Roman"/>
        </w:rPr>
        <w:t>,</w:t>
      </w:r>
      <w:r w:rsidRPr="00E6060C">
        <w:rPr>
          <w:rFonts w:ascii="Calibri" w:eastAsia="Calibri" w:hAnsi="Calibri" w:cs="Times New Roman"/>
        </w:rPr>
        <w:t xml:space="preserve"> and type of participating organisations, amongst other factors, further increases the heterogeneity of even this small number of studies. Although the taxonomy for intervention type developed by this study is a useful means of organising the streams of research emerging, it is hoped that by increasing the number of repetition studies and studies generally, th</w:t>
      </w:r>
      <w:r w:rsidR="005707E0">
        <w:rPr>
          <w:rFonts w:ascii="Calibri" w:eastAsia="Calibri" w:hAnsi="Calibri" w:cs="Times New Roman"/>
        </w:rPr>
        <w:t>is</w:t>
      </w:r>
      <w:r w:rsidRPr="00E6060C">
        <w:rPr>
          <w:rFonts w:ascii="Calibri" w:eastAsia="Calibri" w:hAnsi="Calibri" w:cs="Times New Roman"/>
        </w:rPr>
        <w:t xml:space="preserve"> taxonomy can be developed and extended, enabling meta-analyses to be conducted on more similar interventions in the future. Finally, poor intervention implementation may have decreased the ability of meta-analyses to detect an effect. A discussion about this is considered in relation to Aim 3 (section </w:t>
      </w:r>
      <w:r w:rsidR="0015129C">
        <w:rPr>
          <w:rFonts w:ascii="Calibri" w:eastAsia="Calibri" w:hAnsi="Calibri" w:cs="Times New Roman"/>
        </w:rPr>
        <w:fldChar w:fldCharType="begin"/>
      </w:r>
      <w:r w:rsidR="0015129C">
        <w:rPr>
          <w:rFonts w:ascii="Calibri" w:eastAsia="Calibri" w:hAnsi="Calibri" w:cs="Times New Roman"/>
        </w:rPr>
        <w:instrText xml:space="preserve"> REF _Ref453593658 \r \h </w:instrText>
      </w:r>
      <w:r w:rsidR="0015129C">
        <w:rPr>
          <w:rFonts w:ascii="Calibri" w:eastAsia="Calibri" w:hAnsi="Calibri" w:cs="Times New Roman"/>
        </w:rPr>
      </w:r>
      <w:r w:rsidR="0015129C">
        <w:rPr>
          <w:rFonts w:ascii="Calibri" w:eastAsia="Calibri" w:hAnsi="Calibri" w:cs="Times New Roman"/>
        </w:rPr>
        <w:fldChar w:fldCharType="separate"/>
      </w:r>
      <w:r w:rsidR="00152F6D">
        <w:rPr>
          <w:rFonts w:ascii="Calibri" w:eastAsia="Calibri" w:hAnsi="Calibri" w:cs="Times New Roman"/>
        </w:rPr>
        <w:t>10.1.6</w:t>
      </w:r>
      <w:r w:rsidR="0015129C">
        <w:rPr>
          <w:rFonts w:ascii="Calibri" w:eastAsia="Calibri" w:hAnsi="Calibri" w:cs="Times New Roman"/>
        </w:rPr>
        <w:fldChar w:fldCharType="end"/>
      </w:r>
      <w:r w:rsidR="0015129C">
        <w:rPr>
          <w:rFonts w:ascii="Calibri" w:eastAsia="Calibri" w:hAnsi="Calibri" w:cs="Times New Roman"/>
        </w:rPr>
        <w:t>)</w:t>
      </w:r>
    </w:p>
    <w:p w14:paraId="2027AF43" w14:textId="77777777" w:rsidR="00E6060C" w:rsidRPr="00E6060C" w:rsidRDefault="00E6060C" w:rsidP="00E6060C">
      <w:pPr>
        <w:spacing w:after="200" w:line="360" w:lineRule="auto"/>
        <w:contextualSpacing/>
        <w:rPr>
          <w:rFonts w:ascii="Calibri" w:eastAsia="Calibri" w:hAnsi="Calibri" w:cs="Times New Roman"/>
        </w:rPr>
      </w:pPr>
    </w:p>
    <w:p w14:paraId="2D7B6C3E" w14:textId="387D0542"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rPr>
        <w:t>A significant result was observed for intervention style with a medium to strong positive effect for group interventions. This result was reduced to borderline significance when the category containing a single study (the ‘individual’ category) was removed. Further studies are needed which have been conducted on a one-to-one, individual basis in order to increase the robustness of the results and draw conclusions about the effect of intervention style for improving work engagement. A possible explanation for the strength of the effect for group interventions is that they effectively influence certain work engagement antecedents, such as social support and influence in decision-making. In ac</w:t>
      </w:r>
      <w:r w:rsidR="00015198">
        <w:rPr>
          <w:rFonts w:ascii="Calibri" w:eastAsia="Calibri" w:hAnsi="Calibri" w:cs="Times New Roman"/>
        </w:rPr>
        <w:t>cordance with the JD-R model,</w:t>
      </w:r>
      <w:r w:rsidRPr="00E6060C">
        <w:rPr>
          <w:rFonts w:ascii="Calibri" w:eastAsia="Calibri" w:hAnsi="Calibri" w:cs="Times New Roman"/>
        </w:rPr>
        <w:t xml:space="preserve"> increas</w:t>
      </w:r>
      <w:r w:rsidR="00015198">
        <w:rPr>
          <w:rFonts w:ascii="Calibri" w:eastAsia="Calibri" w:hAnsi="Calibri" w:cs="Times New Roman"/>
        </w:rPr>
        <w:t>ing individuals’ opportunities to talk to colleagues, develop personal relations and work skills, and voice an opinion,</w:t>
      </w:r>
      <w:r w:rsidRPr="00E6060C">
        <w:rPr>
          <w:rFonts w:ascii="Calibri" w:eastAsia="Calibri" w:hAnsi="Calibri" w:cs="Times New Roman"/>
        </w:rPr>
        <w:t xml:space="preserve"> could boost work engagement and protect against negative outcomes such as burnout and stress. Research which has investigated the effectiveness of group interventions to manage stress offers support for this explanation. For example, </w:t>
      </w:r>
      <w:r w:rsidRPr="00E6060C">
        <w:rPr>
          <w:rFonts w:ascii="Calibri" w:eastAsia="Calibri" w:hAnsi="Calibri" w:cs="Times New Roman"/>
        </w:rPr>
        <w:fldChar w:fldCharType="begin" w:fldLock="1"/>
      </w:r>
      <w:r w:rsidRPr="00E6060C">
        <w:rPr>
          <w:rFonts w:ascii="Calibri" w:eastAsia="Calibri" w:hAnsi="Calibri" w:cs="Times New Roman"/>
        </w:rPr>
        <w:instrText>ADDIN CSL_CITATION { "citationItems" : [ { "id" : "ITEM-1", "itemData" : { "author" : [ { "dropping-particle" : "", "family" : "Nielsen", "given" : "Karina", "non-dropping-particle" : "", "parse-names" : false, "suffix" : "" }, { "dropping-particle" : "", "family" : "Randall", "given" : "Raymond", "non-dropping-particle" : "", "parse-names" : false, "suffix" : "" }, { "dropping-particle" : "", "family" : "Albertsen", "given" : "Karen", "non-dropping-particle" : "", "parse-names" : false, "suffix" : "" } ], "container-title" : "Journal of Organizational Behavior", "id" : "ITEM-1", "issue" : "6", "issued" : { "date-parts" : [ [ "2007" ] ] }, "page" : "793-810", "title" : "Participants ' appraisals of process issues and the effects of stress management interventions", "type" : "article-journal", "volume" : "28" }, "uris" : [ "http://www.mendeley.com/documents/?uuid=6cf75a1f-8280-4b3d-a3e3-d44d740fc785" ] } ], "mendeley" : { "formattedCitation" : "(Nielsen, Randall, &amp; Albertsen, 2007)", "manualFormatting" : "Nielsen, Randall, &amp; Albertsen (2007)", "plainTextFormattedCitation" : "(Nielsen, Randall, &amp; Albertsen, 2007)", "previouslyFormattedCitation" : "(Nielsen, Randall, &amp; Albertsen, 2007)" }, "properties" : { "noteIndex" : 0 }, "schema" : "https://github.com/citation-style-language/schema/raw/master/csl-citation.json" }</w:instrText>
      </w:r>
      <w:r w:rsidRPr="00E6060C">
        <w:rPr>
          <w:rFonts w:ascii="Calibri" w:eastAsia="Calibri" w:hAnsi="Calibri" w:cs="Times New Roman"/>
        </w:rPr>
        <w:fldChar w:fldCharType="separate"/>
      </w:r>
      <w:r w:rsidRPr="00E6060C">
        <w:rPr>
          <w:rFonts w:ascii="Calibri" w:eastAsia="Calibri" w:hAnsi="Calibri" w:cs="Times New Roman"/>
        </w:rPr>
        <w:t>Nielsen et al. (2007)</w:t>
      </w:r>
      <w:r w:rsidRPr="00E6060C">
        <w:rPr>
          <w:rFonts w:ascii="Calibri" w:eastAsia="Calibri" w:hAnsi="Calibri" w:cs="Times New Roman"/>
        </w:rPr>
        <w:fldChar w:fldCharType="end"/>
      </w:r>
      <w:r w:rsidRPr="00E6060C">
        <w:rPr>
          <w:rFonts w:ascii="Calibri" w:eastAsia="Calibri" w:hAnsi="Calibri" w:cs="Times New Roman"/>
        </w:rPr>
        <w:t xml:space="preserve"> found that employees who were able to work together to influence and decide the content of stress management interventions reported increased job satisfaction and i</w:t>
      </w:r>
      <w:r w:rsidR="00FB7012">
        <w:rPr>
          <w:rFonts w:ascii="Calibri" w:eastAsia="Calibri" w:hAnsi="Calibri" w:cs="Times New Roman"/>
        </w:rPr>
        <w:t xml:space="preserve">mproved working conditions and </w:t>
      </w:r>
      <w:r w:rsidRPr="00E6060C">
        <w:rPr>
          <w:rFonts w:ascii="Calibri" w:eastAsia="Calibri" w:hAnsi="Calibri" w:cs="Times New Roman"/>
        </w:rPr>
        <w:t xml:space="preserve">behavioural stress symptoms. Furthermore, Park et al. (2004) found that a group, problem-solving intervention </w:t>
      </w:r>
      <w:r w:rsidRPr="00E6060C">
        <w:rPr>
          <w:rFonts w:ascii="Calibri" w:eastAsia="Calibri" w:hAnsi="Calibri" w:cs="Times New Roman"/>
          <w:bCs/>
        </w:rPr>
        <w:t xml:space="preserve">was positively related to organizational social climate and interactions with colleagues and supervisors, and a systematic review found that 11 group, organizational-level occupational health interventions (8 of which were controlled), were associated with positive outcomes, out of a total of 18 studies </w:t>
      </w:r>
      <w:r w:rsidRPr="00E6060C">
        <w:rPr>
          <w:rFonts w:ascii="Calibri" w:eastAsia="Calibri" w:hAnsi="Calibri" w:cs="Times New Roman"/>
          <w:bCs/>
        </w:rPr>
        <w:fldChar w:fldCharType="begin" w:fldLock="1"/>
      </w:r>
      <w:r w:rsidRPr="00E6060C">
        <w:rPr>
          <w:rFonts w:ascii="Calibri" w:eastAsia="Calibri" w:hAnsi="Calibri" w:cs="Times New Roman"/>
          <w:bCs/>
        </w:rPr>
        <w:instrText>ADDIN CSL_CITATION { "citationItems" : [ { "id" : "ITEM-1", "itemData" : { "DOI" : "10.1136/jech.2006.054965", "ISBN" : "0143-005X", "ISSN" : "0143-005X", "PMID" : "17933951", "abstract" : "OBJECTIVE: Systematic review of the health and psychosocial effects of increasing employee participation and control through workplace reorganisation, with reference to the \"demand-control-support\" model of workplace health.\\n\\nDESIGN: Systematic review (QUORUM) of experimental and quasi-experimental studies (any language) reporting health and psychosocial effects of such interventions.\\n\\nDATA SOURCES: Electronic databases (medical, social science and economic), bibliographies and expert contacts.\\n\\nRESULTS: We identified 18 studies, 12 with control/comparison groups (no randomised controlled trials). Eight controlled and three uncontrolled studies found some evidence of health benefits (especially beneficial effects on mental health, including reduction in anxiety and depression) when employee control improved or (less consistently) demands decreased or support increased. Some effects may have been short term or influenced by concurrent interventions. Two studies of participatory interventions occurring alongside redundancies reported worsening employee health.\\n\\nCONCLUSIONS: This systematic review identified evidence suggesting that some organisational-level participation interventions may benefit employee health, as predicted by the demand-control-support model, but may not protect employees from generally poor working conditions. More investigation of the relative impacts of different interventions, implementation and the distribution of effects across the socioeconomic spectrum is required.", "author" : [ { "dropping-particle" : "", "family" : "Egan", "given" : "Matt", "non-dropping-particle" : "", "parse-names" : false, "suffix" : "" }, { "dropping-particle" : "", "family" : "Bambra", "given" : "Clare", "non-dropping-particle" : "", "parse-names" : false, "suffix" : "" }, { "dropping-particle" : "", "family" : "Thomas", "given" : "Sian", "non-dropping-particle" : "", "parse-names" : false, "suffix" : "" }, { "dropping-particle" : "", "family" : "Petticrew", "given" : "Mark", "non-dropping-particle" : "", "parse-names" : false, "suffix" : "" }, { "dropping-particle" : "", "family" : "Whitehead", "given" : "Margaret", "non-dropping-particle" : "", "parse-names" : false, "suffix" : "" }, { "dropping-particle" : "", "family" : "Thomson", "given" : "Hilary", "non-dropping-particle" : "", "parse-names" : false, "suffix" : "" } ], "container-title" : "Journal of epidemiology and community health", "id" : "ITEM-1", "issue" : "11", "issued" : { "date-parts" : [ [ "2007" ] ] }, "page" : "945-54", "title" : "The psychosocial and health effects 1 . A systematic review of organisational-level interventions that aim to increase employee control", "type" : "article-journal", "volume" : "61" }, "uris" : [ "http://www.mendeley.com/documents/?uuid=348a09c1-8752-4e12-866a-e0ba84ac2d15" ] } ], "mendeley" : { "formattedCitation" : "(Egan et al., 2007)", "manualFormatting" : "(Egan,  Bambra, Thomas, Petticrew, Whitehead, &amp; Thomson, 2007)", "plainTextFormattedCitation" : "(Egan et al., 2007)", "previouslyFormattedCitation" : "(Egan et al., 2007)" }, "properties" : { "noteIndex" : 0 }, "schema" : "https://github.com/citation-style-language/schema/raw/master/csl-citation.json" }</w:instrText>
      </w:r>
      <w:r w:rsidRPr="00E6060C">
        <w:rPr>
          <w:rFonts w:ascii="Calibri" w:eastAsia="Calibri" w:hAnsi="Calibri" w:cs="Times New Roman"/>
          <w:bCs/>
        </w:rPr>
        <w:fldChar w:fldCharType="separate"/>
      </w:r>
      <w:r w:rsidRPr="00E6060C">
        <w:rPr>
          <w:rFonts w:ascii="Calibri" w:eastAsia="Calibri" w:hAnsi="Calibri" w:cs="Times New Roman"/>
          <w:bCs/>
        </w:rPr>
        <w:t>(</w:t>
      </w:r>
      <w:r w:rsidRPr="00E6060C">
        <w:rPr>
          <w:rFonts w:ascii="Calibri" w:eastAsia="Calibri" w:hAnsi="Calibri" w:cs="Times New Roman"/>
        </w:rPr>
        <w:t>Egan et al.</w:t>
      </w:r>
      <w:r w:rsidR="00D57101">
        <w:rPr>
          <w:rFonts w:ascii="Calibri" w:eastAsia="Calibri" w:hAnsi="Calibri" w:cs="Times New Roman"/>
          <w:bCs/>
        </w:rPr>
        <w:t>, 2009</w:t>
      </w:r>
      <w:r w:rsidRPr="00E6060C">
        <w:rPr>
          <w:rFonts w:ascii="Calibri" w:eastAsia="Calibri" w:hAnsi="Calibri" w:cs="Times New Roman"/>
          <w:bCs/>
        </w:rPr>
        <w:t>)</w:t>
      </w:r>
      <w:r w:rsidRPr="00E6060C">
        <w:rPr>
          <w:rFonts w:ascii="Calibri" w:eastAsia="Calibri" w:hAnsi="Calibri" w:cs="Times New Roman"/>
        </w:rPr>
        <w:fldChar w:fldCharType="end"/>
      </w:r>
      <w:r w:rsidRPr="00E6060C">
        <w:rPr>
          <w:rFonts w:ascii="Calibri" w:eastAsia="Calibri" w:hAnsi="Calibri" w:cs="Times New Roman"/>
          <w:bCs/>
        </w:rPr>
        <w:t xml:space="preserve">.  </w:t>
      </w:r>
    </w:p>
    <w:p w14:paraId="72F44443" w14:textId="77777777" w:rsidR="00E6060C" w:rsidRPr="00E6060C" w:rsidRDefault="00E6060C" w:rsidP="00E6060C">
      <w:pPr>
        <w:spacing w:after="200" w:line="360" w:lineRule="auto"/>
        <w:contextualSpacing/>
        <w:rPr>
          <w:rFonts w:ascii="Calibri" w:eastAsia="Calibri" w:hAnsi="Calibri" w:cs="Times New Roman"/>
          <w:bCs/>
        </w:rPr>
      </w:pPr>
    </w:p>
    <w:p w14:paraId="1FEBB1F5" w14:textId="3B41BB9E" w:rsidR="00E6060C" w:rsidRPr="00E6060C" w:rsidRDefault="00E6060C" w:rsidP="00E6060C">
      <w:pPr>
        <w:spacing w:after="200" w:line="360" w:lineRule="auto"/>
        <w:contextualSpacing/>
        <w:rPr>
          <w:rFonts w:ascii="Calibri" w:eastAsia="Calibri" w:hAnsi="Calibri" w:cs="Times New Roman"/>
          <w:bCs/>
        </w:rPr>
      </w:pPr>
      <w:r w:rsidRPr="00E6060C">
        <w:rPr>
          <w:rFonts w:ascii="Calibri" w:eastAsia="Calibri" w:hAnsi="Calibri" w:cs="Times New Roman"/>
          <w:bCs/>
        </w:rPr>
        <w:lastRenderedPageBreak/>
        <w:t xml:space="preserve">Nielsen (2013) applies Social Identity Theory (SIT) to explain how group interventions may enhance participants’ resources. Nielsen proposes that individuals participating in a group intervention build a sense of identity with their group. Being a member of this in-group provides individuals with the opportunity to work with others towards a common goal, such as improving an aspect of the work environment or solving a particular work-related problem. This could increase the job resource, social support (Nielsen, 2013), as well as enabling individuals’ needs for a sense of belonging, purpose, and meaning to be met, positively affecting </w:t>
      </w:r>
      <w:r w:rsidR="001D6140">
        <w:rPr>
          <w:rFonts w:ascii="Calibri" w:eastAsia="Calibri" w:hAnsi="Calibri" w:cs="Times New Roman"/>
          <w:bCs/>
        </w:rPr>
        <w:t>well-being</w:t>
      </w:r>
      <w:r w:rsidRPr="00E6060C">
        <w:rPr>
          <w:rFonts w:ascii="Calibri" w:eastAsia="Calibri" w:hAnsi="Calibri" w:cs="Times New Roman"/>
          <w:bCs/>
        </w:rPr>
        <w:t xml:space="preserve"> (</w:t>
      </w:r>
      <w:r w:rsidRPr="00E6060C">
        <w:rPr>
          <w:rFonts w:ascii="Calibri" w:eastAsia="Calibri" w:hAnsi="Calibri" w:cs="Times New Roman"/>
        </w:rPr>
        <w:t>Haslam et al., 2009)</w:t>
      </w:r>
      <w:r w:rsidRPr="00E6060C">
        <w:rPr>
          <w:rFonts w:ascii="Calibri" w:eastAsia="Calibri" w:hAnsi="Calibri" w:cs="Times New Roman"/>
          <w:bCs/>
        </w:rPr>
        <w:t xml:space="preserve"> and work engagement. These results and accompanying discussion suggest that group interventions may be a productive focus for future work engagement interventions, and further research is encouraged to further understand the effectiveness of group interventions. </w:t>
      </w:r>
    </w:p>
    <w:p w14:paraId="3016C1F9" w14:textId="77777777" w:rsidR="00E6060C" w:rsidRPr="00E6060C" w:rsidRDefault="00E6060C" w:rsidP="00E6060C">
      <w:pPr>
        <w:spacing w:after="200" w:line="360" w:lineRule="auto"/>
        <w:contextualSpacing/>
        <w:rPr>
          <w:rFonts w:ascii="Calibri" w:eastAsia="Calibri" w:hAnsi="Calibri" w:cs="Times New Roman"/>
          <w:bCs/>
        </w:rPr>
      </w:pPr>
    </w:p>
    <w:p w14:paraId="741C293F" w14:textId="0CDF1DBD"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bCs/>
        </w:rPr>
        <w:t xml:space="preserve">Further meta-analytic moderator and sensitivity analyses revealed no statistically significant differences between groups for organization type (private vs public), study design (randomised vs non-randomised) or degree of statistical control (results adjusted for covariates vs not adjusted). These results suggest that </w:t>
      </w:r>
      <w:r w:rsidR="00384B8C">
        <w:rPr>
          <w:rFonts w:ascii="Calibri" w:eastAsia="Calibri" w:hAnsi="Calibri" w:cs="Times New Roman"/>
          <w:bCs/>
        </w:rPr>
        <w:t>work engagement interventions may be equally effe</w:t>
      </w:r>
      <w:r w:rsidR="00881733">
        <w:rPr>
          <w:rFonts w:ascii="Calibri" w:eastAsia="Calibri" w:hAnsi="Calibri" w:cs="Times New Roman"/>
          <w:bCs/>
        </w:rPr>
        <w:t>ctive in both public and private organisations</w:t>
      </w:r>
      <w:r w:rsidRPr="00E6060C">
        <w:rPr>
          <w:rFonts w:ascii="Calibri" w:eastAsia="Calibri" w:hAnsi="Calibri" w:cs="Times New Roman"/>
          <w:bCs/>
        </w:rPr>
        <w:t xml:space="preserve">, and are not affected by whether studies are randomised or not. This latter conclusion supports a growing body of evidence which suggests moving away from applying the traditional ‘gold standard’ randomised controlled design in all settings and circumstances towards an assessment of the most appropriate design for the individual context of the study (e.g. Briner and Walshe, 2015; Nielsen, Taris, et al., 2010). Proponents of this view suggest applying appropriate referent groups, whether randomised or not. </w:t>
      </w:r>
      <w:r w:rsidRPr="00E6060C">
        <w:rPr>
          <w:rFonts w:ascii="Calibri" w:eastAsia="Calibri" w:hAnsi="Calibri" w:cs="Times New Roman"/>
        </w:rPr>
        <w:t xml:space="preserve">Reasons given include enabling groups to be chosen which are similar in characteristics and located within similar contexts and settings, enabling </w:t>
      </w:r>
      <w:r w:rsidR="00FB7012">
        <w:rPr>
          <w:rFonts w:ascii="Calibri" w:eastAsia="Calibri" w:hAnsi="Calibri" w:cs="Times New Roman"/>
        </w:rPr>
        <w:t xml:space="preserve">the control of </w:t>
      </w:r>
      <w:r w:rsidRPr="00E6060C">
        <w:rPr>
          <w:rFonts w:ascii="Calibri" w:eastAsia="Calibri" w:hAnsi="Calibri" w:cs="Times New Roman"/>
        </w:rPr>
        <w:t>confounders</w:t>
      </w:r>
      <w:r w:rsidR="00FB7012">
        <w:rPr>
          <w:rFonts w:ascii="Calibri" w:eastAsia="Calibri" w:hAnsi="Calibri" w:cs="Times New Roman"/>
        </w:rPr>
        <w:t>.</w:t>
      </w:r>
      <w:r w:rsidRPr="00E6060C">
        <w:rPr>
          <w:rFonts w:ascii="Calibri" w:eastAsia="Calibri" w:hAnsi="Calibri" w:cs="Times New Roman"/>
        </w:rPr>
        <w:t xml:space="preserve"> Furthermore, non-randomised groups may minimise the risk of crossover effects, as groups can be chosen which are not likely to come into contact with each other (Nielsen, Taris et al., 2010). In addition, such groups may promote the successful implementation of interventions due to practical reasons, such as being able to schedule interventions more easily and conveniently for participants, perhaps because they are all located in close proximity. This may encourage lower attrition rates, increased response rates, and better attendance. </w:t>
      </w:r>
    </w:p>
    <w:p w14:paraId="77675423" w14:textId="77777777" w:rsidR="00E6060C" w:rsidRPr="00E6060C" w:rsidRDefault="00E6060C" w:rsidP="00E6060C">
      <w:pPr>
        <w:spacing w:after="200" w:line="360" w:lineRule="auto"/>
        <w:contextualSpacing/>
        <w:rPr>
          <w:rFonts w:ascii="Calibri" w:eastAsia="Calibri" w:hAnsi="Calibri" w:cs="Times New Roman"/>
        </w:rPr>
      </w:pPr>
    </w:p>
    <w:p w14:paraId="5213C577" w14:textId="4D8D3436"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Alternatively, simply negotiating the research design with senior managers, resulting in non-randomised groups, may encourage manager support for the intervention and thus the success of intervention implementation. Given the difficulties with implementing interventions highlighted in the narrative systematic review</w:t>
      </w:r>
      <w:r w:rsidR="00FB7012">
        <w:rPr>
          <w:rFonts w:ascii="Calibri" w:eastAsia="Calibri" w:hAnsi="Calibri" w:cs="Times New Roman"/>
        </w:rPr>
        <w:t>,</w:t>
      </w:r>
      <w:r w:rsidRPr="00E6060C">
        <w:rPr>
          <w:rFonts w:ascii="Calibri" w:eastAsia="Calibri" w:hAnsi="Calibri" w:cs="Times New Roman"/>
        </w:rPr>
        <w:t xml:space="preserve"> and discussed in more depth in the following section as well as in the wider literature (e.g. Nielsen, Taris et al., 2010), gaining manager support may be a more </w:t>
      </w:r>
      <w:r w:rsidRPr="00E6060C">
        <w:rPr>
          <w:rFonts w:ascii="Calibri" w:eastAsia="Calibri" w:hAnsi="Calibri" w:cs="Times New Roman"/>
        </w:rPr>
        <w:lastRenderedPageBreak/>
        <w:t xml:space="preserve">important goal than attempting to enforce randomised groups and subsequently having difficulty implementing interventions successfully. </w:t>
      </w:r>
    </w:p>
    <w:p w14:paraId="5B8B3EB8" w14:textId="77777777" w:rsidR="00E6060C" w:rsidRPr="00E6060C" w:rsidRDefault="00E6060C" w:rsidP="007A253F"/>
    <w:p w14:paraId="5F1EFECB" w14:textId="77777777" w:rsidR="007458DB" w:rsidRPr="007458DB" w:rsidRDefault="00E6060C" w:rsidP="0009618B">
      <w:pPr>
        <w:pStyle w:val="Heading3"/>
        <w:rPr>
          <w:vanish/>
          <w:specVanish/>
        </w:rPr>
      </w:pPr>
      <w:bookmarkStart w:id="528" w:name="_Ref453593618"/>
      <w:bookmarkStart w:id="529" w:name="_Ref453594153"/>
      <w:bookmarkStart w:id="530" w:name="_Toc468286037"/>
      <w:r w:rsidRPr="00E6060C">
        <w:t>Aim 3</w:t>
      </w:r>
      <w:bookmarkEnd w:id="528"/>
      <w:bookmarkEnd w:id="529"/>
      <w:bookmarkEnd w:id="530"/>
    </w:p>
    <w:p w14:paraId="6AF1B2F9" w14:textId="04B49EB3" w:rsidR="00E6060C" w:rsidRPr="0072579D" w:rsidRDefault="007458DB" w:rsidP="0072579D">
      <w:pPr>
        <w:rPr>
          <w:rFonts w:asciiTheme="majorHAnsi" w:hAnsiTheme="majorHAnsi" w:cs="Times New Roman"/>
          <w:b/>
          <w:sz w:val="28"/>
          <w:szCs w:val="28"/>
        </w:rPr>
      </w:pPr>
      <w:r w:rsidRPr="0072579D">
        <w:rPr>
          <w:rFonts w:asciiTheme="majorHAnsi" w:hAnsiTheme="majorHAnsi"/>
          <w:b/>
          <w:sz w:val="28"/>
          <w:szCs w:val="28"/>
        </w:rPr>
        <w:t>: D</w:t>
      </w:r>
      <w:r w:rsidR="00E6060C" w:rsidRPr="0072579D">
        <w:rPr>
          <w:rFonts w:asciiTheme="majorHAnsi" w:hAnsiTheme="majorHAnsi"/>
          <w:b/>
          <w:sz w:val="28"/>
          <w:szCs w:val="28"/>
        </w:rPr>
        <w:t>oes study quality and implementation impact on intervention effectiveness?</w:t>
      </w:r>
    </w:p>
    <w:p w14:paraId="586C8AD7" w14:textId="77777777" w:rsidR="0072579D" w:rsidRDefault="0072579D" w:rsidP="00E6060C">
      <w:pPr>
        <w:spacing w:after="200" w:line="360" w:lineRule="auto"/>
        <w:contextualSpacing/>
        <w:rPr>
          <w:rFonts w:ascii="Calibri" w:eastAsia="Calibri" w:hAnsi="Calibri" w:cs="Times New Roman"/>
        </w:rPr>
      </w:pPr>
    </w:p>
    <w:p w14:paraId="556BE84D" w14:textId="0C65CD91"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narrative systematic review highlighted the marked difference in the quality of the studies in terms of </w:t>
      </w:r>
      <w:r w:rsidR="00FB7012">
        <w:rPr>
          <w:rFonts w:ascii="Calibri" w:eastAsia="Calibri" w:hAnsi="Calibri" w:cs="Times New Roman"/>
        </w:rPr>
        <w:t xml:space="preserve">the </w:t>
      </w:r>
      <w:r w:rsidRPr="00E6060C">
        <w:rPr>
          <w:rFonts w:ascii="Calibri" w:eastAsia="Calibri" w:hAnsi="Calibri" w:cs="Times New Roman"/>
        </w:rPr>
        <w:t>design and success of implementation</w:t>
      </w:r>
      <w:r w:rsidR="00FB7012">
        <w:rPr>
          <w:rFonts w:ascii="Calibri" w:eastAsia="Calibri" w:hAnsi="Calibri" w:cs="Times New Roman"/>
        </w:rPr>
        <w:t>,</w:t>
      </w:r>
      <w:r w:rsidRPr="00E6060C">
        <w:rPr>
          <w:rFonts w:ascii="Calibri" w:eastAsia="Calibri" w:hAnsi="Calibri" w:cs="Times New Roman"/>
        </w:rPr>
        <w:t xml:space="preserve"> and the impact that these factors may have had on the robustness of the results and the ability to draw conclusions. A particular issue concerned the design of some of the studies which could not be included in the meta-analysis, which sometimes lacked a control or appropriate comparison group, or were cross-sectional. Both of these factors prevents an assessment of intervention effectiveness due to being unable to compare results between those who did and did not receive the intervention, or take into account baselin</w:t>
      </w:r>
      <w:r w:rsidR="00671EEB">
        <w:rPr>
          <w:rFonts w:ascii="Calibri" w:eastAsia="Calibri" w:hAnsi="Calibri" w:cs="Times New Roman"/>
        </w:rPr>
        <w:t>e scores, respectively. Both Nie</w:t>
      </w:r>
      <w:r w:rsidRPr="00E6060C">
        <w:rPr>
          <w:rFonts w:ascii="Calibri" w:eastAsia="Calibri" w:hAnsi="Calibri" w:cs="Times New Roman"/>
        </w:rPr>
        <w:t>lsen, Randall</w:t>
      </w:r>
      <w:r w:rsidR="00671EEB">
        <w:rPr>
          <w:rFonts w:ascii="Calibri" w:eastAsia="Calibri" w:hAnsi="Calibri" w:cs="Times New Roman"/>
        </w:rPr>
        <w:t>,</w:t>
      </w:r>
      <w:r w:rsidRPr="00E6060C">
        <w:rPr>
          <w:rFonts w:ascii="Calibri" w:eastAsia="Calibri" w:hAnsi="Calibri" w:cs="Times New Roman"/>
        </w:rPr>
        <w:t xml:space="preserve"> et al. (2010) and Briner and Walshe (2015) recommend including an appropriate comparison group in order to assess the effectiveness of interventions. This would also mean that a greater number of studies could be incorporated in meta-analysis, allowing both a narrative and a statistical evaluation of the results. </w:t>
      </w:r>
    </w:p>
    <w:p w14:paraId="27BBB6E7" w14:textId="77777777" w:rsidR="00E6060C" w:rsidRPr="00E6060C" w:rsidRDefault="00E6060C" w:rsidP="00E6060C">
      <w:pPr>
        <w:spacing w:after="200" w:line="360" w:lineRule="auto"/>
        <w:contextualSpacing/>
        <w:rPr>
          <w:rFonts w:ascii="Calibri" w:eastAsia="Calibri" w:hAnsi="Calibri" w:cs="Times New Roman"/>
        </w:rPr>
      </w:pPr>
    </w:p>
    <w:p w14:paraId="67648918" w14:textId="662C781A"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Another factor relating to the design of studies was the use of self-report measures across all 33 studies, which raises the issue of common method bias, which can increase the size of correlations between variables due to variables being measured before and after an intervention by the same participants using the same method (Podsakoff, MacKenzie, Lee, &amp; Podsakoff, 2003). This can cause systematic measurement error and inflate the size of the effect. Therefore, it is possible that the effects observed across the 33 studies in this study were inflated by common method bias. Future work engagement intervention research could include ob</w:t>
      </w:r>
      <w:r w:rsidR="00FB7012">
        <w:rPr>
          <w:rFonts w:ascii="Calibri" w:eastAsia="Calibri" w:hAnsi="Calibri" w:cs="Times New Roman"/>
        </w:rPr>
        <w:t>jective measures, such as other</w:t>
      </w:r>
      <w:r w:rsidRPr="00E6060C">
        <w:rPr>
          <w:rFonts w:ascii="Calibri" w:eastAsia="Calibri" w:hAnsi="Calibri" w:cs="Times New Roman"/>
        </w:rPr>
        <w:t>s</w:t>
      </w:r>
      <w:r w:rsidR="00221DDF">
        <w:rPr>
          <w:rFonts w:ascii="Calibri" w:eastAsia="Calibri" w:hAnsi="Calibri" w:cs="Times New Roman"/>
        </w:rPr>
        <w:t>’</w:t>
      </w:r>
      <w:r w:rsidRPr="00E6060C">
        <w:rPr>
          <w:rFonts w:ascii="Calibri" w:eastAsia="Calibri" w:hAnsi="Calibri" w:cs="Times New Roman"/>
        </w:rPr>
        <w:t xml:space="preserve"> ratings of the work engagement of an employee, to mitigate against this effect. Perhaps even the potential use of biological markers to indicate high levels of work engagement could be investigated. For example, increased work engagement and </w:t>
      </w:r>
      <w:r w:rsidR="001D6140">
        <w:rPr>
          <w:rFonts w:ascii="Calibri" w:eastAsia="Calibri" w:hAnsi="Calibri" w:cs="Times New Roman"/>
        </w:rPr>
        <w:t>well-being</w:t>
      </w:r>
      <w:r w:rsidRPr="00E6060C">
        <w:rPr>
          <w:rFonts w:ascii="Calibri" w:eastAsia="Calibri" w:hAnsi="Calibri" w:cs="Times New Roman"/>
        </w:rPr>
        <w:t xml:space="preserve"> could be associated with decreased levels of stress hormones, blood pressure and cholesterol, and increased sleep quality. This approach is more commonly applied within stress management research (for a good review, see Ganster &amp; Rosen, 2013), and it would be interesting to determine whether similar neurological paths underlie the aetiology of work engagement. This is plausible given the associated increase in </w:t>
      </w:r>
      <w:r w:rsidR="001D6140">
        <w:rPr>
          <w:rFonts w:ascii="Calibri" w:eastAsia="Calibri" w:hAnsi="Calibri" w:cs="Times New Roman"/>
        </w:rPr>
        <w:t>well-being</w:t>
      </w:r>
      <w:r w:rsidRPr="00E6060C">
        <w:rPr>
          <w:rFonts w:ascii="Calibri" w:eastAsia="Calibri" w:hAnsi="Calibri" w:cs="Times New Roman"/>
        </w:rPr>
        <w:t xml:space="preserve"> and decrease in negative outcomes such as stress and burnout predicted by the </w:t>
      </w:r>
      <w:r w:rsidR="00A43B59">
        <w:rPr>
          <w:rFonts w:ascii="Calibri" w:eastAsia="Calibri" w:hAnsi="Calibri" w:cs="Times New Roman"/>
        </w:rPr>
        <w:t>JD-R</w:t>
      </w:r>
      <w:r w:rsidRPr="00E6060C">
        <w:rPr>
          <w:rFonts w:ascii="Calibri" w:eastAsia="Calibri" w:hAnsi="Calibri" w:cs="Times New Roman"/>
        </w:rPr>
        <w:t xml:space="preserve"> model and observed empirically (e.g. Bakker &amp; Demerouti, 2007;2008; Bakker et al., 2004; Hakanan, Schaufeli &amp; Taris, 2008).  </w:t>
      </w:r>
    </w:p>
    <w:p w14:paraId="7FA074AB" w14:textId="77777777"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bCs/>
        </w:rPr>
        <w:lastRenderedPageBreak/>
        <w:t xml:space="preserve">Another particular issue which affected study quality was how well interventions were implemented. For example, </w:t>
      </w:r>
      <w:r w:rsidRPr="00E6060C">
        <w:rPr>
          <w:rFonts w:ascii="Calibri" w:eastAsia="Calibri" w:hAnsi="Calibri" w:cs="Times New Roman"/>
        </w:rPr>
        <w:t xml:space="preserve">the variable and sometimes poor response and attrition rates (18-94% &amp; 5-88% respectively) affected the degree to which results could be generalized, and some studies found demographic or outcome differences between those who dropped out and those who did not (e.g. Ouweneel et al., 2013; Vuori et al., 2012), suggesting bias. Additionally, some of the sample sizes were small (e.g. </w:t>
      </w:r>
      <w:r w:rsidRPr="00E6060C">
        <w:rPr>
          <w:rFonts w:ascii="Calibri" w:eastAsia="Calibri" w:hAnsi="Calibri" w:cs="Times New Roman"/>
        </w:rPr>
        <w:fldChar w:fldCharType="begin" w:fldLock="1"/>
      </w:r>
      <w:r w:rsidRPr="00E6060C">
        <w:rPr>
          <w:rFonts w:ascii="Calibri" w:eastAsia="Calibri" w:hAnsi="Calibri" w:cs="Times New Roman"/>
        </w:rPr>
        <w:instrText>ADDIN CSL_CITATION { "citationItems" : [ { "id" : "ITEM-1", "itemData" : { "DOI" : "10.1016/j.colegn.2012.07.001", "ISBN" : "1322-7696", "ISSN" : "13227696", "PMID" : "23362607", "abstract" : "Objective: To evaluate the impact of an organisational intervention aimed to reduce occupational stress and turnover rates of 55% in hospital nurses. Design: The evaluation used a pre- and post-intervention design, triangulating data from surveys and archival information. Setting: Two public hospitals (H1 and H2) in the Northern Territory (NT) Australia participated in the intervention. Subjects: 484 nurses from the two NT hospitals (H1, Wave 1, N=. 103, Wave 2, N=. 173; H2, Wave 1, N=. 75, Wave 2, N=. 133) responded to questionnaires administered in 2008 and in 2010. Measures: The intervention included strategies such as the development and implementation of a nursing workload tool to assess nurse workloads, roster audits, increased numbers of nursing personnel to address shortfall, increased access to clinical supervision and support for graduates, increased access to professional development including postgraduate and short courses, and a recruitment campaign for new graduates and continuing employees. We used an extended Job Demand-Resources framework to evaluate the intervention and 17 evaluation indicators canvassing psychological distress, emotional exhaustion, work engagement, job satisfaction, job demands, job resources, and system factors such as psychosocial safety climate. Turnover rates were obtained from archival data. Results: Results demonstrated a significant reduction in psychological distress and emotional exhaustion and a significant improvement in job satisfaction, across both hospitals, and a reduction in turnover in H2 from 2008 and 2010. Evidence suggests that the intervention led to significant improvements in system capacity (adaptability, communication) in combination with a reduction in job demands in both hospitals, and an increase in resources (supervisor and coworker support, and job control) particularly in H1. Conclusions: The research addresses a gap in the theoretical and intervention literature regarding system/organisation level approaches to occupational stress. The approach was very successful on a range of health, work outcome, and job design indicators with results providing compelling evidence for the success of the system/organisational level intervention. The quasi-experimental design enabled us to conclude that improvements for the nurses and midwives could be attributed to the organisational intervention by the NT Department of Health (DoH). Further research should be undertaken to explore longer-term impact\u2026", "author" : [ { "dropping-particle" : "", "family" : "Rickard", "given" : "Greg", "non-dropping-particle" : "", "parse-names" : false, "suffix" : "" }, { "dropping-particle" : "", "family" : "Lenthall", "given" : "Sue", "non-dropping-particle" : "", "parse-names" : false, "suffix" : "" }, { "dropping-particle" : "", "family" : "Dollard", "given" : "Maureen", "non-dropping-particle" : "", "parse-names" : false, "suffix" : "" }, { "dropping-particle" : "", "family" : "Opie", "given" : "Tessa", "non-dropping-particle" : "", "parse-names" : false, "suffix" : "" }, { "dropping-particle" : "", "family" : "Knight", "given" : "Sabina", "non-dropping-particle" : "", "parse-names" : false, "suffix" : "" }, { "dropping-particle" : "", "family" : "Dunn", "given" : "Sandra", "non-dropping-particle" : "", "parse-names" : false, "suffix" : "" }, { "dropping-particle" : "", "family" : "Wakerman", "given" : "John", "non-dropping-particle" : "", "parse-names" : false, "suffix" : "" }, { "dropping-particle" : "", "family" : "MacLeod", "given" : "Martha", "non-dropping-particle" : "", "parse-names" : false, "suffix" : "" }, { "dropping-particle" : "", "family" : "Seiler", "given" : "Jo", "non-dropping-particle" : "", "parse-names" : false, "suffix" : "" }, { "dropping-particle" : "", "family" : "Brewster-Webb", "given" : "Denise", "non-dropping-particle" : "", "parse-names" : false, "suffix" : "" } ], "container-title" : "Collegian", "id" : "ITEM-1", "issue" : "4", "issued" : { "date-parts" : [ [ "2012" ] ] }, "page" : "211-221", "publisher" : "Royal College of Nursing Australia", "title" : "Organisational intervention to reduce occupational stress and turnover in hospital nurses in the Northern Territory, Australia", "type" : "article-journal", "volume" : "19" }, "uris" : [ "http://www.mendeley.com/documents/?uuid=a8d09c4b-8d79-4833-bf7c-2cc0de819178" ] }, { "id" : "ITEM-2", "itemData" : { "DOI" : "10.1174/021347413806196753", "ISBN" : "0213-4748", "ISSN" : "1579-3680", "abstract" : "This study reports an intervention programme to promote job resources (social support) to increase firefighters' psychological well-being (burnout and engagement), using the Job Demand-Resource Model as the theoretical model. Participants were firefighters from an elite Portuguese organization. The intervention consisted of a leadership stress management workshop for middle supervisors that lasted 21 hours spread over 3 days. The intervention group (n = 67) were subordinates whose immediate supervisors participated in the workshop, and the control group (n = 37) were subordinates whose supervisors did not. All participants filled out questionnaires before the workshop and 4 months after. The repeated measures ANOVA revealed as expected that Time x Intervention interaction increased colleagues' social support, and marginally also increased firefighters' vigor. However, contrary to expected the intervention also increased chronic demands. Discussion focuses on the importance of understanding the process underpinning change in occupational stress management interventions, especially in emergency professionals. (PsycINFO Database Record (c) 2014 APA, all rights reserved) (journal abstract)", "author" : [ { "dropping-particle" : "", "family" : "Angelo", "given" : "Rui. P.", "non-dropping-particle" : "", "parse-names" : false, "suffix" : "" }, { "dropping-particle" : "", "family" : "Chambel", "given" : "Maria", "non-dropping-particle" : "", "parse-names" : false, "suffix" : "" } ], "container-title" : "Revista de Psicologia Social", "id" : "ITEM-2", "issue" : "2", "issued" : { "date-parts" : [ [ "2013" ] ] }, "page" : "197-210", "title" : "An intervention with firefighters to promote psychological occupational health according to the Job Demands-Resources Model.", "type" : "article-journal", "volume" : "28" }, "uris" : [ "http://www.mendeley.com/documents/?uuid=3b649a80-bd14-4eb9-a63d-e31d6483b307" ] } ], "mendeley" : { "formattedCitation" : "(Angelo &amp; Chambel, 2013; Rickard et al., 2012)", "manualFormatting" : "Angelo &amp; Chambel, 2013; Rickard et al., 2012)", "plainTextFormattedCitation" : "(Angelo &amp; Chambel, 2013; Rickard et al., 2012)", "previouslyFormattedCitation" : "(Angelo &amp; Chambel, 2013; Rickard et al., 2012)" }, "properties" : { "noteIndex" : 0 }, "schema" : "https://github.com/citation-style-language/schema/raw/master/csl-citation.json" }</w:instrText>
      </w:r>
      <w:r w:rsidRPr="00E6060C">
        <w:rPr>
          <w:rFonts w:ascii="Calibri" w:eastAsia="Calibri" w:hAnsi="Calibri" w:cs="Times New Roman"/>
        </w:rPr>
        <w:fldChar w:fldCharType="separate"/>
      </w:r>
      <w:r w:rsidRPr="00E6060C">
        <w:rPr>
          <w:rFonts w:ascii="Calibri" w:eastAsia="Calibri" w:hAnsi="Calibri" w:cs="Times New Roman"/>
        </w:rPr>
        <w:t>Angelo &amp; Chambel, 2013; Rickard et al., 2012)</w:t>
      </w:r>
      <w:r w:rsidRPr="00E6060C">
        <w:rPr>
          <w:rFonts w:ascii="Calibri" w:eastAsia="Calibri" w:hAnsi="Calibri" w:cs="Times New Roman"/>
        </w:rPr>
        <w:fldChar w:fldCharType="end"/>
      </w:r>
      <w:r w:rsidRPr="00E6060C">
        <w:rPr>
          <w:rFonts w:ascii="Calibri" w:eastAsia="Calibri" w:hAnsi="Calibri" w:cs="Times New Roman"/>
        </w:rPr>
        <w:t xml:space="preserve"> possibly resulting in statistical power too low to detect an effect. </w:t>
      </w:r>
    </w:p>
    <w:p w14:paraId="49A8C61F" w14:textId="77777777" w:rsidR="00E6060C" w:rsidRPr="00E6060C" w:rsidRDefault="00E6060C" w:rsidP="00E6060C">
      <w:pPr>
        <w:spacing w:before="200" w:line="360" w:lineRule="auto"/>
        <w:contextualSpacing/>
        <w:rPr>
          <w:rFonts w:ascii="Calibri" w:eastAsia="Calibri" w:hAnsi="Calibri" w:cs="Times New Roman"/>
        </w:rPr>
      </w:pPr>
    </w:p>
    <w:p w14:paraId="6AC572CB" w14:textId="78A86935"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rPr>
        <w:t>In addition, several studies reported adverse factors which were beyond the control of the researchers and could not have been predicted, but which may have impacted the results. These included organizational restructuring (e.g. Rigotti et al., 2014; Van Berkel et al. 2014), a proposed corporate merger (Carter, 2010), economic downturn and job insecurity (e.g. Carter, 2010; Hengel et al., 2012), redundancy (Aikens et al., 2014), a pay restructure (Kmiec, 2010), and a plant fire which affected the number of hours of physical labour that employees were working (Kmiec, 2010). Although few studies overall thoroughly assessed implementation (</w:t>
      </w:r>
      <w:r w:rsidRPr="00E6060C">
        <w:rPr>
          <w:rFonts w:ascii="Calibri" w:eastAsia="Calibri" w:hAnsi="Calibri" w:cs="Times New Roman"/>
          <w:i/>
        </w:rPr>
        <w:t>k</w:t>
      </w:r>
      <w:r w:rsidRPr="00E6060C">
        <w:rPr>
          <w:rFonts w:ascii="Calibri" w:eastAsia="Calibri" w:hAnsi="Calibri" w:cs="Times New Roman"/>
        </w:rPr>
        <w:t>=3), it makes intuitive sense that an intervention which was delivered as planned, was well attended</w:t>
      </w:r>
      <w:r w:rsidR="00221DDF">
        <w:rPr>
          <w:rFonts w:ascii="Calibri" w:eastAsia="Calibri" w:hAnsi="Calibri" w:cs="Times New Roman"/>
        </w:rPr>
        <w:t>,</w:t>
      </w:r>
      <w:r w:rsidRPr="00E6060C">
        <w:rPr>
          <w:rFonts w:ascii="Calibri" w:eastAsia="Calibri" w:hAnsi="Calibri" w:cs="Times New Roman"/>
        </w:rPr>
        <w:t xml:space="preserve"> and actively engaged and motivated participants, would be more successful. Indeed, several researchers promote the inclusion of an implementation evaluation as a matter of course in order to go beyond simply stating whether or not an intervention was effective, and discover the reasons for </w:t>
      </w:r>
      <w:r w:rsidRPr="00E6060C">
        <w:rPr>
          <w:rFonts w:ascii="Calibri" w:eastAsia="Calibri" w:hAnsi="Calibri" w:cs="Times New Roman"/>
          <w:i/>
        </w:rPr>
        <w:t>why</w:t>
      </w:r>
      <w:r w:rsidRPr="00E6060C">
        <w:rPr>
          <w:rFonts w:ascii="Calibri" w:eastAsia="Calibri" w:hAnsi="Calibri" w:cs="Times New Roman"/>
        </w:rPr>
        <w:t xml:space="preserve"> and </w:t>
      </w:r>
      <w:r w:rsidRPr="00E6060C">
        <w:rPr>
          <w:rFonts w:ascii="Calibri" w:eastAsia="Calibri" w:hAnsi="Calibri" w:cs="Times New Roman"/>
          <w:i/>
        </w:rPr>
        <w:t xml:space="preserve">how </w:t>
      </w:r>
      <w:r w:rsidRPr="00E6060C">
        <w:rPr>
          <w:rFonts w:ascii="Calibri" w:eastAsia="Calibri" w:hAnsi="Calibri" w:cs="Times New Roman"/>
        </w:rPr>
        <w:t>an intervention was effective (e.g. Briner &amp; Walshe, 2015; Nielsen, Taris, et al., 2010). Including such evaluations is one way of taking work engagement intervention research forward, and is discussed further in relation to Study 2.</w:t>
      </w:r>
    </w:p>
    <w:p w14:paraId="33D1C64A" w14:textId="77777777" w:rsidR="00E6060C" w:rsidRPr="00E6060C" w:rsidRDefault="00E6060C" w:rsidP="00E6060C">
      <w:pPr>
        <w:spacing w:before="200" w:line="360" w:lineRule="auto"/>
        <w:contextualSpacing/>
        <w:rPr>
          <w:rFonts w:ascii="Calibri" w:eastAsia="Calibri" w:hAnsi="Calibri" w:cs="Times New Roman"/>
        </w:rPr>
      </w:pPr>
    </w:p>
    <w:p w14:paraId="11B0D822" w14:textId="49561231" w:rsidR="00E6060C" w:rsidRPr="00E6060C" w:rsidRDefault="00E6060C" w:rsidP="00E6060C">
      <w:pPr>
        <w:spacing w:before="200" w:line="360" w:lineRule="auto"/>
        <w:contextualSpacing/>
        <w:rPr>
          <w:rFonts w:ascii="Calibri" w:eastAsia="Calibri" w:hAnsi="Calibri" w:cs="Times New Roman"/>
        </w:rPr>
      </w:pPr>
      <w:r w:rsidRPr="00E6060C">
        <w:rPr>
          <w:rFonts w:ascii="Calibri" w:eastAsia="Calibri" w:hAnsi="Calibri" w:cs="Times New Roman"/>
          <w:bCs/>
        </w:rPr>
        <w:t>In relation to the meta-analysis specifically, control</w:t>
      </w:r>
      <w:r w:rsidR="00221DDF">
        <w:rPr>
          <w:rFonts w:ascii="Calibri" w:eastAsia="Calibri" w:hAnsi="Calibri" w:cs="Times New Roman"/>
          <w:bCs/>
        </w:rPr>
        <w:t>ling</w:t>
      </w:r>
      <w:r w:rsidRPr="00E6060C">
        <w:rPr>
          <w:rFonts w:ascii="Calibri" w:eastAsia="Calibri" w:hAnsi="Calibri" w:cs="Times New Roman"/>
          <w:bCs/>
        </w:rPr>
        <w:t xml:space="preserve"> for differences in how well interventions were implemented and attended by participants who were motivated to take part</w:t>
      </w:r>
      <w:r w:rsidR="00221DDF">
        <w:rPr>
          <w:rFonts w:ascii="Calibri" w:eastAsia="Calibri" w:hAnsi="Calibri" w:cs="Times New Roman"/>
          <w:bCs/>
        </w:rPr>
        <w:t xml:space="preserve"> was not possible</w:t>
      </w:r>
      <w:r w:rsidRPr="00E6060C">
        <w:rPr>
          <w:rFonts w:ascii="Calibri" w:eastAsia="Calibri" w:hAnsi="Calibri" w:cs="Times New Roman"/>
          <w:bCs/>
        </w:rPr>
        <w:t>. However, Nielsen et al., (2007) analysed data from 11 stress management interventions and found that participants’ perceptions of interventions (i.e. whether participants considered the intervention of high quality and able to bring about sustained change) was related to intervention outcomes such as job satisfaction, changes in working conditions</w:t>
      </w:r>
      <w:r w:rsidR="00221DDF">
        <w:rPr>
          <w:rFonts w:ascii="Calibri" w:eastAsia="Calibri" w:hAnsi="Calibri" w:cs="Times New Roman"/>
          <w:bCs/>
        </w:rPr>
        <w:t>,</w:t>
      </w:r>
      <w:r w:rsidRPr="00E6060C">
        <w:rPr>
          <w:rFonts w:ascii="Calibri" w:eastAsia="Calibri" w:hAnsi="Calibri" w:cs="Times New Roman"/>
          <w:bCs/>
        </w:rPr>
        <w:t xml:space="preserve"> and behavioural stress symptoms. This indicates the importance of the successful implementation and buy-in of participants to the overall success of interventions. Poor intervention implementation may therefore account for the small overall effect observed by the results of meta-analysis for work engagement interventions. Some work engagement intervention studies provided information which supports this. For example, Strijk et. al (2013)</w:t>
      </w:r>
      <w:r w:rsidRPr="00E6060C">
        <w:rPr>
          <w:rFonts w:ascii="Calibri" w:eastAsia="Calibri" w:hAnsi="Calibri" w:cs="Times New Roman"/>
        </w:rPr>
        <w:t xml:space="preserve"> found that significant positive effects were observed for those who achieved above average </w:t>
      </w:r>
      <w:r w:rsidRPr="00E6060C">
        <w:rPr>
          <w:rFonts w:ascii="Calibri" w:eastAsia="Calibri" w:hAnsi="Calibri" w:cs="Times New Roman"/>
        </w:rPr>
        <w:lastRenderedPageBreak/>
        <w:t xml:space="preserve">attendance at sessions, and Coffeng et al. (2014) noted that if compliance had been higher, their intervention may have been more effective. Problems cited by individual studies included difficulty scheduling workshops due to the geographical distance between participant teams (Rigotti et al., 2014), lack of time (e.g. Rigotti et al., 2014; Strijk et al., 2013), lack of support from managers (e.g. Rigotti et al., 2014; Strijk et al., 2013), inconvenient location or timing of interventions (e.g. Strijk et al., 2013), relocation of participants (Rigotti et al., 2014), and sickness absence (e.g. Hengel et al., 2012; Strijk et al., 2013). </w:t>
      </w:r>
    </w:p>
    <w:p w14:paraId="48603C42" w14:textId="77777777" w:rsidR="00E6060C" w:rsidRPr="00E6060C" w:rsidRDefault="00E6060C" w:rsidP="00E6060C">
      <w:pPr>
        <w:spacing w:before="200" w:line="360" w:lineRule="auto"/>
        <w:contextualSpacing/>
        <w:rPr>
          <w:rFonts w:ascii="Calibri" w:eastAsia="Calibri" w:hAnsi="Calibri" w:cs="Times New Roman"/>
        </w:rPr>
      </w:pPr>
    </w:p>
    <w:p w14:paraId="0009AC98" w14:textId="36028CDA" w:rsidR="00F4297C" w:rsidRDefault="00E6060C" w:rsidP="00F4297C">
      <w:pPr>
        <w:spacing w:after="200" w:line="360" w:lineRule="auto"/>
        <w:contextualSpacing/>
        <w:rPr>
          <w:rFonts w:ascii="Calibri" w:eastAsia="Calibri" w:hAnsi="Calibri" w:cs="Times New Roman"/>
        </w:rPr>
      </w:pPr>
      <w:r w:rsidRPr="00E6060C">
        <w:rPr>
          <w:rFonts w:ascii="Calibri" w:eastAsia="Calibri" w:hAnsi="Calibri" w:cs="Times New Roman"/>
        </w:rPr>
        <w:t xml:space="preserve">Nielsen, Taris, et al. (2010) outline several factors which are important to consider when designing </w:t>
      </w:r>
      <w:r w:rsidR="00881733">
        <w:rPr>
          <w:rFonts w:ascii="Calibri" w:eastAsia="Calibri" w:hAnsi="Calibri" w:cs="Times New Roman"/>
        </w:rPr>
        <w:t xml:space="preserve">organisational </w:t>
      </w:r>
      <w:r w:rsidRPr="00E6060C">
        <w:rPr>
          <w:rFonts w:ascii="Calibri" w:eastAsia="Calibri" w:hAnsi="Calibri" w:cs="Times New Roman"/>
        </w:rPr>
        <w:t>interventions</w:t>
      </w:r>
      <w:r w:rsidR="00881733">
        <w:rPr>
          <w:rFonts w:ascii="Calibri" w:eastAsia="Calibri" w:hAnsi="Calibri" w:cs="Times New Roman"/>
        </w:rPr>
        <w:t xml:space="preserve"> generally,</w:t>
      </w:r>
      <w:r w:rsidRPr="00E6060C">
        <w:rPr>
          <w:rFonts w:ascii="Calibri" w:eastAsia="Calibri" w:hAnsi="Calibri" w:cs="Times New Roman"/>
        </w:rPr>
        <w:t xml:space="preserve"> and which </w:t>
      </w:r>
      <w:r w:rsidR="007F2E6B">
        <w:rPr>
          <w:rFonts w:ascii="Calibri" w:eastAsia="Calibri" w:hAnsi="Calibri" w:cs="Times New Roman"/>
        </w:rPr>
        <w:t>could be applied to work engagement interventions to counter</w:t>
      </w:r>
      <w:r w:rsidRPr="00E6060C">
        <w:rPr>
          <w:rFonts w:ascii="Calibri" w:eastAsia="Calibri" w:hAnsi="Calibri" w:cs="Times New Roman"/>
        </w:rPr>
        <w:t xml:space="preserve"> some of those issues discussed above. They may also help to explain why a lack of effects was observed by some studies included in this review (e.g. Hengel </w:t>
      </w:r>
      <w:r w:rsidR="00B64DD5">
        <w:rPr>
          <w:rFonts w:ascii="Calibri" w:eastAsia="Calibri" w:hAnsi="Calibri" w:cs="Times New Roman"/>
        </w:rPr>
        <w:t>et al.,</w:t>
      </w:r>
      <w:r w:rsidRPr="00E6060C">
        <w:rPr>
          <w:rFonts w:ascii="Calibri" w:eastAsia="Calibri" w:hAnsi="Calibri" w:cs="Times New Roman"/>
        </w:rPr>
        <w:t xml:space="preserve"> 2012; Van Berkel et al., 2014; Vuori et al., 2012). Amongst these recommendations are assessing the need for change within organizations, the readiness to change of participants, and gaining strong senior manager support. If employees do not perceive the need to change, the benefits of change, </w:t>
      </w:r>
      <w:r w:rsidR="001D7ABC">
        <w:rPr>
          <w:rFonts w:ascii="Calibri" w:eastAsia="Calibri" w:hAnsi="Calibri" w:cs="Times New Roman"/>
        </w:rPr>
        <w:t>or maintain</w:t>
      </w:r>
      <w:r w:rsidRPr="00E6060C">
        <w:rPr>
          <w:rFonts w:ascii="Calibri" w:eastAsia="Calibri" w:hAnsi="Calibri" w:cs="Times New Roman"/>
        </w:rPr>
        <w:t xml:space="preserve"> the motivation to change</w:t>
      </w:r>
      <w:r w:rsidR="001D7ABC">
        <w:rPr>
          <w:rFonts w:ascii="Calibri" w:eastAsia="Calibri" w:hAnsi="Calibri" w:cs="Times New Roman"/>
        </w:rPr>
        <w:t xml:space="preserve"> throughout the intervention</w:t>
      </w:r>
      <w:r w:rsidRPr="00E6060C">
        <w:rPr>
          <w:rFonts w:ascii="Calibri" w:eastAsia="Calibri" w:hAnsi="Calibri" w:cs="Times New Roman"/>
        </w:rPr>
        <w:t>, and are not supported by their managers and their managers’ managers to change, change is unlikely to happen.</w:t>
      </w:r>
      <w:r w:rsidR="00261B75">
        <w:rPr>
          <w:rFonts w:ascii="Calibri" w:eastAsia="Calibri" w:hAnsi="Calibri" w:cs="Times New Roman"/>
        </w:rPr>
        <w:t xml:space="preserve"> </w:t>
      </w:r>
      <w:r w:rsidR="00AD3EFE">
        <w:rPr>
          <w:rFonts w:ascii="Calibri" w:eastAsia="Calibri" w:hAnsi="Calibri" w:cs="Times New Roman"/>
        </w:rPr>
        <w:t>R</w:t>
      </w:r>
      <w:r w:rsidR="00E26263">
        <w:rPr>
          <w:rFonts w:ascii="Calibri" w:eastAsia="Calibri" w:hAnsi="Calibri" w:cs="Times New Roman"/>
        </w:rPr>
        <w:t>esearchers could conduct a baseline ‘risk’ assessment</w:t>
      </w:r>
      <w:r w:rsidRPr="00E6060C">
        <w:rPr>
          <w:rFonts w:ascii="Calibri" w:eastAsia="Calibri" w:hAnsi="Calibri" w:cs="Times New Roman"/>
        </w:rPr>
        <w:t xml:space="preserve"> </w:t>
      </w:r>
      <w:r w:rsidR="00E26263">
        <w:rPr>
          <w:rFonts w:ascii="Calibri" w:eastAsia="Calibri" w:hAnsi="Calibri" w:cs="Times New Roman"/>
        </w:rPr>
        <w:t xml:space="preserve">in an attempt to find out whether, for example, organisational restructuring or redundancies are imminent, and whether managers and staff feel that positive change </w:t>
      </w:r>
      <w:r w:rsidR="00261B75">
        <w:rPr>
          <w:rFonts w:ascii="Calibri" w:eastAsia="Calibri" w:hAnsi="Calibri" w:cs="Times New Roman"/>
        </w:rPr>
        <w:t xml:space="preserve">in the form of an intervention to increase work engagement and </w:t>
      </w:r>
      <w:r w:rsidR="001D6140">
        <w:rPr>
          <w:rFonts w:ascii="Calibri" w:eastAsia="Calibri" w:hAnsi="Calibri" w:cs="Times New Roman"/>
        </w:rPr>
        <w:t>well-being</w:t>
      </w:r>
      <w:r w:rsidR="00261B75">
        <w:rPr>
          <w:rFonts w:ascii="Calibri" w:eastAsia="Calibri" w:hAnsi="Calibri" w:cs="Times New Roman"/>
        </w:rPr>
        <w:t xml:space="preserve"> </w:t>
      </w:r>
      <w:r w:rsidR="00E26263">
        <w:rPr>
          <w:rFonts w:ascii="Calibri" w:eastAsia="Calibri" w:hAnsi="Calibri" w:cs="Times New Roman"/>
        </w:rPr>
        <w:t>is necessary</w:t>
      </w:r>
      <w:r w:rsidR="00B32B13">
        <w:rPr>
          <w:rFonts w:ascii="Calibri" w:eastAsia="Calibri" w:hAnsi="Calibri" w:cs="Times New Roman"/>
        </w:rPr>
        <w:t xml:space="preserve"> and worth investing resources in</w:t>
      </w:r>
      <w:r w:rsidR="00261B75">
        <w:rPr>
          <w:rFonts w:ascii="Calibri" w:eastAsia="Calibri" w:hAnsi="Calibri" w:cs="Times New Roman"/>
        </w:rPr>
        <w:t xml:space="preserve">. </w:t>
      </w:r>
      <w:r w:rsidR="00F4297C">
        <w:rPr>
          <w:rFonts w:ascii="Calibri" w:eastAsia="Calibri" w:hAnsi="Calibri" w:cs="Times New Roman"/>
        </w:rPr>
        <w:t>These initial ‘risk’ assessments could enable researchers to make an informed decision regarding the value of pursuing an intervention in a particular organisation at a particular time.</w:t>
      </w:r>
    </w:p>
    <w:p w14:paraId="146CD62C" w14:textId="77777777" w:rsidR="00F4297C" w:rsidRPr="00E6060C" w:rsidRDefault="00F4297C" w:rsidP="00F4297C">
      <w:pPr>
        <w:spacing w:after="200" w:line="360" w:lineRule="auto"/>
        <w:contextualSpacing/>
        <w:rPr>
          <w:rFonts w:ascii="Calibri" w:eastAsia="Calibri" w:hAnsi="Calibri" w:cs="Times New Roman"/>
        </w:rPr>
      </w:pPr>
    </w:p>
    <w:p w14:paraId="2EF49AC0" w14:textId="59F3F9F7" w:rsidR="00E6060C" w:rsidRPr="00E6060C" w:rsidRDefault="00F4297C" w:rsidP="00E6060C">
      <w:pPr>
        <w:spacing w:after="200" w:line="360" w:lineRule="auto"/>
        <w:contextualSpacing/>
        <w:rPr>
          <w:rFonts w:ascii="Calibri" w:eastAsia="Calibri" w:hAnsi="Calibri" w:cs="Times New Roman"/>
        </w:rPr>
      </w:pPr>
      <w:r>
        <w:rPr>
          <w:rFonts w:ascii="Calibri" w:eastAsia="Calibri" w:hAnsi="Calibri" w:cs="Times New Roman"/>
        </w:rPr>
        <w:t>Although it may at first seem unnecessary to assess participant motivation prior to work engagement interventions as they are by nature voluntary, it could be that</w:t>
      </w:r>
      <w:r w:rsidR="00E37A34">
        <w:rPr>
          <w:rFonts w:ascii="Calibri" w:eastAsia="Calibri" w:hAnsi="Calibri" w:cs="Times New Roman"/>
        </w:rPr>
        <w:t xml:space="preserve"> where</w:t>
      </w:r>
      <w:r w:rsidR="00177B1F">
        <w:rPr>
          <w:rFonts w:ascii="Calibri" w:eastAsia="Calibri" w:hAnsi="Calibri" w:cs="Times New Roman"/>
        </w:rPr>
        <w:t xml:space="preserve"> participants have been randomly chosen</w:t>
      </w:r>
      <w:r w:rsidR="00AD3EFE">
        <w:rPr>
          <w:rFonts w:ascii="Calibri" w:eastAsia="Calibri" w:hAnsi="Calibri" w:cs="Times New Roman"/>
        </w:rPr>
        <w:t xml:space="preserve"> (e.g. Vuori et al., 2012, Coffeng et al, 2014)</w:t>
      </w:r>
      <w:r w:rsidR="00177B1F">
        <w:rPr>
          <w:rFonts w:ascii="Calibri" w:eastAsia="Calibri" w:hAnsi="Calibri" w:cs="Times New Roman"/>
        </w:rPr>
        <w:t xml:space="preserve"> </w:t>
      </w:r>
      <w:r w:rsidR="00873189">
        <w:rPr>
          <w:rFonts w:ascii="Calibri" w:eastAsia="Calibri" w:hAnsi="Calibri" w:cs="Times New Roman"/>
        </w:rPr>
        <w:t xml:space="preserve">and / </w:t>
      </w:r>
      <w:r w:rsidR="00177B1F">
        <w:rPr>
          <w:rFonts w:ascii="Calibri" w:eastAsia="Calibri" w:hAnsi="Calibri" w:cs="Times New Roman"/>
        </w:rPr>
        <w:t>or</w:t>
      </w:r>
      <w:r w:rsidR="00E37A34">
        <w:rPr>
          <w:rFonts w:ascii="Calibri" w:eastAsia="Calibri" w:hAnsi="Calibri" w:cs="Times New Roman"/>
        </w:rPr>
        <w:t xml:space="preserve"> </w:t>
      </w:r>
      <w:r w:rsidR="00177B1F">
        <w:rPr>
          <w:rFonts w:ascii="Calibri" w:eastAsia="Calibri" w:hAnsi="Calibri" w:cs="Times New Roman"/>
        </w:rPr>
        <w:t xml:space="preserve">senior </w:t>
      </w:r>
      <w:r w:rsidR="00E37A34">
        <w:rPr>
          <w:rFonts w:ascii="Calibri" w:eastAsia="Calibri" w:hAnsi="Calibri" w:cs="Times New Roman"/>
        </w:rPr>
        <w:t>managers have been responsible for identifying pa</w:t>
      </w:r>
      <w:r w:rsidR="00177B1F">
        <w:rPr>
          <w:rFonts w:ascii="Calibri" w:eastAsia="Calibri" w:hAnsi="Calibri" w:cs="Times New Roman"/>
        </w:rPr>
        <w:t>rticipant teams or departments</w:t>
      </w:r>
      <w:r w:rsidR="00AD3EFE">
        <w:rPr>
          <w:rFonts w:ascii="Calibri" w:eastAsia="Calibri" w:hAnsi="Calibri" w:cs="Times New Roman"/>
        </w:rPr>
        <w:t xml:space="preserve"> (e.g. Maclean, 2013</w:t>
      </w:r>
      <w:r w:rsidR="00873189">
        <w:rPr>
          <w:rFonts w:ascii="Calibri" w:eastAsia="Calibri" w:hAnsi="Calibri" w:cs="Times New Roman"/>
        </w:rPr>
        <w:t>; Coffeng et al., 2014</w:t>
      </w:r>
      <w:r w:rsidR="00AD3EFE">
        <w:rPr>
          <w:rFonts w:ascii="Calibri" w:eastAsia="Calibri" w:hAnsi="Calibri" w:cs="Times New Roman"/>
        </w:rPr>
        <w:t>)</w:t>
      </w:r>
      <w:r w:rsidR="001A1233">
        <w:rPr>
          <w:rFonts w:ascii="Calibri" w:eastAsia="Calibri" w:hAnsi="Calibri" w:cs="Times New Roman"/>
        </w:rPr>
        <w:t xml:space="preserve">, </w:t>
      </w:r>
      <w:r w:rsidR="00177B1F">
        <w:rPr>
          <w:rFonts w:ascii="Calibri" w:eastAsia="Calibri" w:hAnsi="Calibri" w:cs="Times New Roman"/>
        </w:rPr>
        <w:t>individuals may feel obliged to take part.</w:t>
      </w:r>
      <w:r w:rsidR="00873189">
        <w:rPr>
          <w:rFonts w:ascii="Calibri" w:eastAsia="Calibri" w:hAnsi="Calibri" w:cs="Times New Roman"/>
        </w:rPr>
        <w:t xml:space="preserve"> </w:t>
      </w:r>
      <w:r w:rsidR="00177B1F">
        <w:rPr>
          <w:rFonts w:ascii="Calibri" w:eastAsia="Calibri" w:hAnsi="Calibri" w:cs="Times New Roman"/>
        </w:rPr>
        <w:t>Motivation may subsequently wane, leading to poor attendance and dropouts, particularly if senior managers do not maintain a strong motivating presence</w:t>
      </w:r>
      <w:r w:rsidR="00503A4A">
        <w:rPr>
          <w:rFonts w:ascii="Calibri" w:eastAsia="Calibri" w:hAnsi="Calibri" w:cs="Times New Roman"/>
        </w:rPr>
        <w:t>,</w:t>
      </w:r>
      <w:r w:rsidR="00177B1F">
        <w:rPr>
          <w:rFonts w:ascii="Calibri" w:eastAsia="Calibri" w:hAnsi="Calibri" w:cs="Times New Roman"/>
        </w:rPr>
        <w:t xml:space="preserve"> as reported in some of the studies discussed </w:t>
      </w:r>
      <w:r w:rsidR="00AD3EFE">
        <w:rPr>
          <w:rFonts w:ascii="Calibri" w:eastAsia="Calibri" w:hAnsi="Calibri" w:cs="Times New Roman"/>
        </w:rPr>
        <w:t>earlier</w:t>
      </w:r>
      <w:r w:rsidR="00177B1F">
        <w:rPr>
          <w:rFonts w:ascii="Calibri" w:eastAsia="Calibri" w:hAnsi="Calibri" w:cs="Times New Roman"/>
        </w:rPr>
        <w:t>.</w:t>
      </w:r>
      <w:r w:rsidR="001A1233">
        <w:rPr>
          <w:rFonts w:ascii="Calibri" w:eastAsia="Calibri" w:hAnsi="Calibri" w:cs="Times New Roman"/>
        </w:rPr>
        <w:t xml:space="preserve"> </w:t>
      </w:r>
      <w:r w:rsidR="00873189">
        <w:rPr>
          <w:rFonts w:ascii="Calibri" w:eastAsia="Calibri" w:hAnsi="Calibri" w:cs="Times New Roman"/>
        </w:rPr>
        <w:t xml:space="preserve">Reasons for participating were not assessed in the studies forming this review, however, doing so in conjunction with </w:t>
      </w:r>
      <w:r w:rsidR="001D7ABC">
        <w:rPr>
          <w:rFonts w:ascii="Calibri" w:eastAsia="Calibri" w:hAnsi="Calibri" w:cs="Times New Roman"/>
        </w:rPr>
        <w:t xml:space="preserve">assessing </w:t>
      </w:r>
      <w:r w:rsidR="001A1233">
        <w:rPr>
          <w:rFonts w:ascii="Calibri" w:eastAsia="Calibri" w:hAnsi="Calibri" w:cs="Times New Roman"/>
        </w:rPr>
        <w:t xml:space="preserve">the motivation of </w:t>
      </w:r>
      <w:r>
        <w:rPr>
          <w:rFonts w:ascii="Calibri" w:eastAsia="Calibri" w:hAnsi="Calibri" w:cs="Times New Roman"/>
        </w:rPr>
        <w:t>participants prior to</w:t>
      </w:r>
      <w:r w:rsidR="00873189">
        <w:rPr>
          <w:rFonts w:ascii="Calibri" w:eastAsia="Calibri" w:hAnsi="Calibri" w:cs="Times New Roman"/>
        </w:rPr>
        <w:t xml:space="preserve"> and throughout the duration of</w:t>
      </w:r>
      <w:r>
        <w:rPr>
          <w:rFonts w:ascii="Calibri" w:eastAsia="Calibri" w:hAnsi="Calibri" w:cs="Times New Roman"/>
        </w:rPr>
        <w:t xml:space="preserve"> interventions</w:t>
      </w:r>
      <w:r w:rsidR="00873189">
        <w:rPr>
          <w:rFonts w:ascii="Calibri" w:eastAsia="Calibri" w:hAnsi="Calibri" w:cs="Times New Roman"/>
        </w:rPr>
        <w:t xml:space="preserve"> as standard practice cou</w:t>
      </w:r>
      <w:r w:rsidR="001D7ABC">
        <w:rPr>
          <w:rFonts w:ascii="Calibri" w:eastAsia="Calibri" w:hAnsi="Calibri" w:cs="Times New Roman"/>
        </w:rPr>
        <w:t xml:space="preserve">ld be worthwhile and enable a deeper evaluation of how and why interventions work. </w:t>
      </w:r>
    </w:p>
    <w:p w14:paraId="78E18B5E" w14:textId="77777777" w:rsidR="00E6060C" w:rsidRPr="00E6060C" w:rsidRDefault="00E6060C" w:rsidP="00E6060C">
      <w:pPr>
        <w:spacing w:after="200" w:line="360" w:lineRule="auto"/>
        <w:contextualSpacing/>
        <w:rPr>
          <w:rFonts w:ascii="Calibri" w:eastAsia="Calibri" w:hAnsi="Calibri" w:cs="Times New Roman"/>
        </w:rPr>
      </w:pPr>
    </w:p>
    <w:p w14:paraId="7FAC8A42" w14:textId="2B57EDED"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Nielsen, Taris, et al., (2010) also note that if the organizational climate is not conducive to change, change is going to be impeded</w:t>
      </w:r>
      <w:r w:rsidR="00221DDF">
        <w:rPr>
          <w:rFonts w:ascii="Calibri" w:eastAsia="Calibri" w:hAnsi="Calibri" w:cs="Times New Roman"/>
        </w:rPr>
        <w:t>,</w:t>
      </w:r>
      <w:r w:rsidRPr="00E6060C">
        <w:rPr>
          <w:rFonts w:ascii="Calibri" w:eastAsia="Calibri" w:hAnsi="Calibri" w:cs="Times New Roman"/>
        </w:rPr>
        <w:t xml:space="preserve"> but observe that a conducive environment, one which is already rich in job resources, may not necessarily be the environment which is most in need of an intervention. The importance of assessing the need for an intervention within a population, and the ability to change the target variable, is also highlighted by Briner &amp; Walshe (2015). The limited effects observed may therefore have been due to interventions being conducted with employees who were not at most need of an intervention, i.e. they were not initially low in engagement or any of the other outcome variables measured. For example, Vuori et al. (2012) noted that those who benefited most from their resource building group intervention were those who reported increased levels of depression or exhaustion at baseline, factors which are typically associated with low engagement (Bakker &amp; Demerouti, 2007; 2008). Strijk et al. (2013) acknowledged that they conducted their lifestyle intervention on a healthy group of workers, which is likely to have reduced the ability to observe significant findings due to ceiling effects. They also reported participants’ expression of poor management support for the intervention. This reiterates the necessity to assess the need for work engagement interventions and the motivation of participants to actively participate in them, target them appropriately, and gain strong manager support in order for them to be effective. Further consideration of the impact of intervention implementation on the results can be found in the discussion of study limitations below. </w:t>
      </w:r>
    </w:p>
    <w:p w14:paraId="19410296" w14:textId="77777777" w:rsidR="00E6060C" w:rsidRPr="00E6060C" w:rsidRDefault="00E6060C" w:rsidP="00E6060C">
      <w:pPr>
        <w:spacing w:before="200" w:line="360" w:lineRule="auto"/>
        <w:contextualSpacing/>
        <w:rPr>
          <w:rFonts w:ascii="Calibri" w:eastAsia="Calibri" w:hAnsi="Calibri" w:cs="Times New Roman"/>
        </w:rPr>
      </w:pPr>
    </w:p>
    <w:p w14:paraId="6E0CEAAA" w14:textId="7833914E" w:rsidR="00E6060C" w:rsidRDefault="00E6060C" w:rsidP="009725EF">
      <w:pPr>
        <w:spacing w:before="200" w:line="360" w:lineRule="auto"/>
        <w:contextualSpacing/>
        <w:rPr>
          <w:rFonts w:ascii="Calibri" w:eastAsia="Calibri" w:hAnsi="Calibri" w:cs="Times New Roman"/>
        </w:rPr>
      </w:pPr>
      <w:r w:rsidRPr="00E6060C">
        <w:rPr>
          <w:rFonts w:ascii="Calibri" w:eastAsia="Calibri" w:hAnsi="Calibri" w:cs="Times New Roman"/>
        </w:rPr>
        <w:t xml:space="preserve">In sum, it is likely that the success of intervention implementation had a large impact on the effectiveness of that intervention for increasing work engagement in employees. Fortunately, it is possible that many of the issues with implementation cited here could be somewhat mitigated by a pre-assessment of the organization’s suitability for an intervention and the readiness to change of participants (Briner &amp; Walshe, 2015; Nielsen, Randall, et al., 2010). This strongly highlights the need for careful planning and nurturing of researcher-organization relations in order to pave the way for interventions to be more successfully implemented in the future. This is a point to which the discussion of Study 2 returns. </w:t>
      </w:r>
    </w:p>
    <w:p w14:paraId="6D5A61A8" w14:textId="18019088" w:rsidR="00D81921" w:rsidRDefault="00D81921">
      <w:pPr>
        <w:spacing w:after="160"/>
        <w:rPr>
          <w:rFonts w:ascii="Calibri" w:eastAsia="Calibri" w:hAnsi="Calibri" w:cs="Times New Roman"/>
        </w:rPr>
      </w:pPr>
      <w:r>
        <w:rPr>
          <w:rFonts w:ascii="Calibri" w:eastAsia="Calibri" w:hAnsi="Calibri" w:cs="Times New Roman"/>
        </w:rPr>
        <w:br w:type="page"/>
      </w:r>
    </w:p>
    <w:p w14:paraId="1B79FE49" w14:textId="77777777" w:rsidR="008F63CB" w:rsidRDefault="008F63CB" w:rsidP="008F63CB">
      <w:pPr>
        <w:pStyle w:val="Heading3"/>
      </w:pPr>
      <w:bookmarkStart w:id="531" w:name="_Toc468286038"/>
      <w:r>
        <w:lastRenderedPageBreak/>
        <w:t>Contributions of Study 1 for theory</w:t>
      </w:r>
      <w:bookmarkEnd w:id="531"/>
    </w:p>
    <w:p w14:paraId="321CF310" w14:textId="4FB3B066" w:rsidR="008F63CB" w:rsidRDefault="008F63CB" w:rsidP="008F63CB">
      <w:pPr>
        <w:spacing w:after="200" w:line="360" w:lineRule="auto"/>
        <w:contextualSpacing/>
        <w:rPr>
          <w:rFonts w:ascii="Calibri" w:eastAsia="Calibri" w:hAnsi="Calibri" w:cs="Times New Roman"/>
        </w:rPr>
      </w:pPr>
    </w:p>
    <w:p w14:paraId="3B83160B" w14:textId="1C80E2D2" w:rsidR="008214C1" w:rsidRDefault="00174E00" w:rsidP="008F63CB">
      <w:pPr>
        <w:spacing w:after="200" w:line="360" w:lineRule="auto"/>
        <w:contextualSpacing/>
        <w:rPr>
          <w:rFonts w:ascii="Calibri" w:eastAsia="Calibri" w:hAnsi="Calibri" w:cs="Times New Roman"/>
        </w:rPr>
      </w:pPr>
      <w:r>
        <w:rPr>
          <w:rFonts w:ascii="Calibri" w:eastAsia="Calibri" w:hAnsi="Calibri" w:cs="Times New Roman"/>
        </w:rPr>
        <w:t>There are three</w:t>
      </w:r>
      <w:r w:rsidR="008214C1">
        <w:rPr>
          <w:rFonts w:ascii="Calibri" w:eastAsia="Calibri" w:hAnsi="Calibri" w:cs="Times New Roman"/>
        </w:rPr>
        <w:t xml:space="preserve"> key contributions of this study for theory, which are discussed below. </w:t>
      </w:r>
    </w:p>
    <w:p w14:paraId="081782AF" w14:textId="77777777" w:rsidR="008214C1" w:rsidRDefault="008214C1" w:rsidP="008F63CB">
      <w:pPr>
        <w:spacing w:after="200" w:line="360" w:lineRule="auto"/>
        <w:contextualSpacing/>
        <w:rPr>
          <w:rFonts w:ascii="Calibri" w:eastAsia="Calibri" w:hAnsi="Calibri" w:cs="Times New Roman"/>
        </w:rPr>
      </w:pPr>
    </w:p>
    <w:p w14:paraId="1BA57DAA" w14:textId="77777777" w:rsidR="008F63CB" w:rsidRDefault="008F63CB" w:rsidP="008F63CB">
      <w:pPr>
        <w:spacing w:after="200" w:line="360" w:lineRule="auto"/>
        <w:contextualSpacing/>
        <w:rPr>
          <w:rFonts w:ascii="Calibri" w:eastAsia="Calibri" w:hAnsi="Calibri" w:cs="Times New Roman"/>
          <w:b/>
        </w:rPr>
      </w:pPr>
      <w:r>
        <w:rPr>
          <w:rFonts w:ascii="Calibri" w:eastAsia="Calibri" w:hAnsi="Calibri" w:cs="Times New Roman"/>
          <w:b/>
        </w:rPr>
        <w:t>Contribution 1: The development of a novel taxonomy of work engagement interventions</w:t>
      </w:r>
    </w:p>
    <w:p w14:paraId="36D295DC" w14:textId="77777777" w:rsidR="008F63CB" w:rsidRDefault="008F63CB" w:rsidP="008F63CB">
      <w:pPr>
        <w:spacing w:after="200" w:line="360" w:lineRule="auto"/>
        <w:contextualSpacing/>
        <w:rPr>
          <w:rFonts w:ascii="Calibri" w:eastAsia="Calibri" w:hAnsi="Calibri" w:cs="Times New Roman"/>
        </w:rPr>
      </w:pPr>
    </w:p>
    <w:p w14:paraId="47CBEE1D" w14:textId="30A2098E" w:rsidR="008F63CB" w:rsidRDefault="008F63CB" w:rsidP="008F63CB">
      <w:pPr>
        <w:spacing w:after="200" w:line="360" w:lineRule="auto"/>
        <w:contextualSpacing/>
        <w:rPr>
          <w:rFonts w:ascii="Calibri" w:eastAsia="Calibri" w:hAnsi="Calibri" w:cs="Times New Roman"/>
        </w:rPr>
      </w:pPr>
      <w:r>
        <w:rPr>
          <w:rFonts w:ascii="Calibri" w:eastAsia="Calibri" w:hAnsi="Calibri" w:cs="Times New Roman"/>
        </w:rPr>
        <w:t>The development of a novel taxonomy indicating four types of interventions which have been used to develop work engagement in organisations, is an important contribution to work engagement theory. Never before have the types of interventions employed been charted and their effectiveness assessed. Although we cannot yet deduce which</w:t>
      </w:r>
      <w:r w:rsidR="0014324C">
        <w:rPr>
          <w:rFonts w:ascii="Calibri" w:eastAsia="Calibri" w:hAnsi="Calibri" w:cs="Times New Roman"/>
        </w:rPr>
        <w:t xml:space="preserve"> type is</w:t>
      </w:r>
      <w:r>
        <w:rPr>
          <w:rFonts w:ascii="Calibri" w:eastAsia="Calibri" w:hAnsi="Calibri" w:cs="Times New Roman"/>
        </w:rPr>
        <w:t xml:space="preserve"> the </w:t>
      </w:r>
      <w:r w:rsidRPr="0014324C">
        <w:rPr>
          <w:rFonts w:ascii="Calibri" w:eastAsia="Calibri" w:hAnsi="Calibri" w:cs="Times New Roman"/>
        </w:rPr>
        <w:t xml:space="preserve">most </w:t>
      </w:r>
      <w:r>
        <w:rPr>
          <w:rFonts w:ascii="Calibri" w:eastAsia="Calibri" w:hAnsi="Calibri" w:cs="Times New Roman"/>
        </w:rPr>
        <w:t xml:space="preserve">effective, this typology can be developed and honed by further research. Further, future research can use this typology to design studies, enabling more studies of similar types to be produced (see also section </w:t>
      </w:r>
      <w:r>
        <w:rPr>
          <w:rFonts w:ascii="Calibri" w:eastAsia="Calibri" w:hAnsi="Calibri" w:cs="Times New Roman"/>
        </w:rPr>
        <w:fldChar w:fldCharType="begin"/>
      </w:r>
      <w:r>
        <w:rPr>
          <w:rFonts w:ascii="Calibri" w:eastAsia="Calibri" w:hAnsi="Calibri" w:cs="Times New Roman"/>
        </w:rPr>
        <w:instrText xml:space="preserve"> REF _Ref468100308 \n \h </w:instrText>
      </w:r>
      <w:r>
        <w:rPr>
          <w:rFonts w:ascii="Calibri" w:eastAsia="Calibri" w:hAnsi="Calibri" w:cs="Times New Roman"/>
        </w:rPr>
      </w:r>
      <w:r>
        <w:rPr>
          <w:rFonts w:ascii="Calibri" w:eastAsia="Calibri" w:hAnsi="Calibri" w:cs="Times New Roman"/>
        </w:rPr>
        <w:fldChar w:fldCharType="separate"/>
      </w:r>
      <w:r>
        <w:rPr>
          <w:rFonts w:ascii="Calibri" w:eastAsia="Calibri" w:hAnsi="Calibri" w:cs="Times New Roman"/>
        </w:rPr>
        <w:t>10.1.5</w:t>
      </w:r>
      <w:r>
        <w:rPr>
          <w:rFonts w:ascii="Calibri" w:eastAsia="Calibri" w:hAnsi="Calibri" w:cs="Times New Roman"/>
        </w:rPr>
        <w:fldChar w:fldCharType="end"/>
      </w:r>
      <w:r>
        <w:rPr>
          <w:rFonts w:ascii="Calibri" w:eastAsia="Calibri" w:hAnsi="Calibri" w:cs="Times New Roman"/>
        </w:rPr>
        <w:t xml:space="preserve">). With more studies in each category, their effectiveness can be more robustly assessed than was possible in this study, and may reveal differences in effectiveness which can then further inform research and practice. </w:t>
      </w:r>
    </w:p>
    <w:p w14:paraId="6B93C802" w14:textId="763F83AD" w:rsidR="006814E6" w:rsidRDefault="006814E6" w:rsidP="006814E6">
      <w:pPr>
        <w:spacing w:after="200" w:line="360" w:lineRule="auto"/>
        <w:contextualSpacing/>
        <w:rPr>
          <w:rFonts w:ascii="Calibri" w:eastAsia="Calibri" w:hAnsi="Calibri" w:cs="Times New Roman"/>
        </w:rPr>
      </w:pPr>
    </w:p>
    <w:p w14:paraId="7DAB695F" w14:textId="5E9C9222" w:rsidR="00174E00" w:rsidRPr="00BB0757" w:rsidRDefault="00174E00" w:rsidP="006814E6">
      <w:pPr>
        <w:spacing w:after="200" w:line="360" w:lineRule="auto"/>
        <w:contextualSpacing/>
        <w:rPr>
          <w:rFonts w:ascii="Calibri" w:eastAsia="Calibri" w:hAnsi="Calibri" w:cs="Times New Roman"/>
          <w:b/>
        </w:rPr>
      </w:pPr>
      <w:r w:rsidRPr="00BB0757">
        <w:rPr>
          <w:rFonts w:ascii="Calibri" w:eastAsia="Calibri" w:hAnsi="Calibri" w:cs="Times New Roman"/>
          <w:b/>
        </w:rPr>
        <w:t>Contribution</w:t>
      </w:r>
      <w:r w:rsidR="00B541D2" w:rsidRPr="00B541D2">
        <w:rPr>
          <w:rFonts w:ascii="Calibri" w:eastAsia="Calibri" w:hAnsi="Calibri" w:cs="Times New Roman"/>
          <w:b/>
        </w:rPr>
        <w:t xml:space="preserve"> 2: Group interventions are </w:t>
      </w:r>
      <w:r w:rsidRPr="00BB0757">
        <w:rPr>
          <w:rFonts w:ascii="Calibri" w:eastAsia="Calibri" w:hAnsi="Calibri" w:cs="Times New Roman"/>
          <w:b/>
        </w:rPr>
        <w:t>most effective for increasing work engagement</w:t>
      </w:r>
    </w:p>
    <w:p w14:paraId="1F11DC1E" w14:textId="4B971D08" w:rsidR="00174E00" w:rsidRDefault="00174E00" w:rsidP="006814E6">
      <w:pPr>
        <w:spacing w:after="200" w:line="360" w:lineRule="auto"/>
        <w:contextualSpacing/>
        <w:rPr>
          <w:rFonts w:ascii="Calibri" w:eastAsia="Calibri" w:hAnsi="Calibri" w:cs="Times New Roman"/>
        </w:rPr>
      </w:pPr>
    </w:p>
    <w:p w14:paraId="7F41AA59" w14:textId="09731C37" w:rsidR="00174E00" w:rsidRDefault="00B009FE" w:rsidP="006814E6">
      <w:pPr>
        <w:spacing w:after="200" w:line="360" w:lineRule="auto"/>
        <w:contextualSpacing/>
        <w:rPr>
          <w:rFonts w:ascii="Calibri" w:eastAsia="Calibri" w:hAnsi="Calibri" w:cs="Times New Roman"/>
        </w:rPr>
      </w:pPr>
      <w:r>
        <w:rPr>
          <w:rFonts w:ascii="Calibri" w:eastAsia="Calibri" w:hAnsi="Calibri" w:cs="Times New Roman"/>
        </w:rPr>
        <w:t xml:space="preserve">This meta-analysis found that interventions delivered in groups are the most effective for increasing work engagement. This is </w:t>
      </w:r>
      <w:r w:rsidR="00FA4B48">
        <w:rPr>
          <w:rFonts w:ascii="Calibri" w:eastAsia="Calibri" w:hAnsi="Calibri" w:cs="Times New Roman"/>
        </w:rPr>
        <w:t xml:space="preserve">theoretically </w:t>
      </w:r>
      <w:r>
        <w:rPr>
          <w:rFonts w:ascii="Calibri" w:eastAsia="Calibri" w:hAnsi="Calibri" w:cs="Times New Roman"/>
        </w:rPr>
        <w:t xml:space="preserve">important, as it </w:t>
      </w:r>
      <w:r w:rsidR="00FA4B48">
        <w:rPr>
          <w:rFonts w:ascii="Calibri" w:eastAsia="Calibri" w:hAnsi="Calibri" w:cs="Times New Roman"/>
        </w:rPr>
        <w:t xml:space="preserve">provides evidence for the theory that </w:t>
      </w:r>
      <w:r>
        <w:rPr>
          <w:rFonts w:ascii="Calibri" w:eastAsia="Calibri" w:hAnsi="Calibri" w:cs="Times New Roman"/>
        </w:rPr>
        <w:t xml:space="preserve">when people collaborate in participatory action interventions, </w:t>
      </w:r>
      <w:r w:rsidR="00FA4B48">
        <w:rPr>
          <w:rFonts w:ascii="Calibri" w:eastAsia="Calibri" w:hAnsi="Calibri" w:cs="Times New Roman"/>
        </w:rPr>
        <w:t>or workshops targeting problem solving or stress</w:t>
      </w:r>
      <w:r>
        <w:rPr>
          <w:rFonts w:ascii="Calibri" w:eastAsia="Calibri" w:hAnsi="Calibri" w:cs="Times New Roman"/>
        </w:rPr>
        <w:t>, for example, their work engagement is more likely to improve than if interventions require individuals to work individually, either online or face-to-face</w:t>
      </w:r>
      <w:r w:rsidR="00FA4B48">
        <w:rPr>
          <w:rFonts w:ascii="Calibri" w:eastAsia="Calibri" w:hAnsi="Calibri" w:cs="Times New Roman"/>
        </w:rPr>
        <w:t xml:space="preserve"> (Nielsen et al., 2007; Nielsen, Randall et al., 2010)</w:t>
      </w:r>
      <w:r>
        <w:rPr>
          <w:rFonts w:ascii="Calibri" w:eastAsia="Calibri" w:hAnsi="Calibri" w:cs="Times New Roman"/>
        </w:rPr>
        <w:t xml:space="preserve">. This study was not able to determine which components of group interventions are most effective, however, with increasing numbers of studies, it is hoped that this will become possible, enabling a discussion of how and why group interventions work. </w:t>
      </w:r>
      <w:r w:rsidR="00FA4B48">
        <w:rPr>
          <w:rFonts w:ascii="Calibri" w:eastAsia="Calibri" w:hAnsi="Calibri" w:cs="Times New Roman"/>
        </w:rPr>
        <w:t>It is possible, for example, that interventions which are truly participative, involving discussion and collaboration amongst colleagues, as opposed to</w:t>
      </w:r>
      <w:r w:rsidR="00D137BD">
        <w:rPr>
          <w:rFonts w:ascii="Calibri" w:eastAsia="Calibri" w:hAnsi="Calibri" w:cs="Times New Roman"/>
        </w:rPr>
        <w:t xml:space="preserve"> perhaps</w:t>
      </w:r>
      <w:r w:rsidR="00FA4B48">
        <w:rPr>
          <w:rFonts w:ascii="Calibri" w:eastAsia="Calibri" w:hAnsi="Calibri" w:cs="Times New Roman"/>
        </w:rPr>
        <w:t xml:space="preserve"> simply educational, requiring individuals to be passive recipients of information only, are the most effective. This could be due to the </w:t>
      </w:r>
      <w:r w:rsidR="00664B94">
        <w:rPr>
          <w:rFonts w:ascii="Calibri" w:eastAsia="Calibri" w:hAnsi="Calibri" w:cs="Times New Roman"/>
        </w:rPr>
        <w:t xml:space="preserve">social support </w:t>
      </w:r>
      <w:r w:rsidR="00FA4B48">
        <w:rPr>
          <w:rFonts w:ascii="Calibri" w:eastAsia="Calibri" w:hAnsi="Calibri" w:cs="Times New Roman"/>
        </w:rPr>
        <w:t xml:space="preserve">that can be </w:t>
      </w:r>
      <w:r w:rsidR="00664B94">
        <w:rPr>
          <w:rFonts w:ascii="Calibri" w:eastAsia="Calibri" w:hAnsi="Calibri" w:cs="Times New Roman"/>
        </w:rPr>
        <w:t>built during collaborative in</w:t>
      </w:r>
      <w:r w:rsidR="00FA4B48">
        <w:rPr>
          <w:rFonts w:ascii="Calibri" w:eastAsia="Calibri" w:hAnsi="Calibri" w:cs="Times New Roman"/>
        </w:rPr>
        <w:t>terventions</w:t>
      </w:r>
      <w:r w:rsidR="00D137BD">
        <w:rPr>
          <w:rFonts w:ascii="Calibri" w:eastAsia="Calibri" w:hAnsi="Calibri" w:cs="Times New Roman"/>
        </w:rPr>
        <w:t>,</w:t>
      </w:r>
      <w:r w:rsidR="00FA4B48">
        <w:rPr>
          <w:rFonts w:ascii="Calibri" w:eastAsia="Calibri" w:hAnsi="Calibri" w:cs="Times New Roman"/>
        </w:rPr>
        <w:t xml:space="preserve"> a</w:t>
      </w:r>
      <w:r w:rsidR="00664B94">
        <w:rPr>
          <w:rFonts w:ascii="Calibri" w:eastAsia="Calibri" w:hAnsi="Calibri" w:cs="Times New Roman"/>
        </w:rPr>
        <w:t>s suggested by Nielsen, Randall et al., (2010), build</w:t>
      </w:r>
      <w:r w:rsidR="00D137BD">
        <w:rPr>
          <w:rFonts w:ascii="Calibri" w:eastAsia="Calibri" w:hAnsi="Calibri" w:cs="Times New Roman"/>
        </w:rPr>
        <w:t>ing</w:t>
      </w:r>
      <w:r w:rsidR="00664B94">
        <w:rPr>
          <w:rFonts w:ascii="Calibri" w:eastAsia="Calibri" w:hAnsi="Calibri" w:cs="Times New Roman"/>
        </w:rPr>
        <w:t xml:space="preserve"> a sense of belonging within teams, and a forum for providing individuals with feedback and promoting problem solving. </w:t>
      </w:r>
      <w:r w:rsidR="00FA4B48">
        <w:rPr>
          <w:rFonts w:ascii="Calibri" w:eastAsia="Calibri" w:hAnsi="Calibri" w:cs="Times New Roman"/>
        </w:rPr>
        <w:t xml:space="preserve">Further research is needed, however, to test this conjecture. </w:t>
      </w:r>
      <w:r>
        <w:rPr>
          <w:rFonts w:ascii="Calibri" w:eastAsia="Calibri" w:hAnsi="Calibri" w:cs="Times New Roman"/>
        </w:rPr>
        <w:t xml:space="preserve">   </w:t>
      </w:r>
    </w:p>
    <w:p w14:paraId="45436376" w14:textId="77777777" w:rsidR="00174E00" w:rsidRDefault="00174E00" w:rsidP="006814E6">
      <w:pPr>
        <w:spacing w:after="200" w:line="360" w:lineRule="auto"/>
        <w:contextualSpacing/>
        <w:rPr>
          <w:rFonts w:ascii="Calibri" w:eastAsia="Calibri" w:hAnsi="Calibri" w:cs="Times New Roman"/>
        </w:rPr>
      </w:pPr>
    </w:p>
    <w:p w14:paraId="1EFBC5D5" w14:textId="19566C1A" w:rsidR="008F63CB" w:rsidRDefault="00174E00" w:rsidP="006814E6">
      <w:pPr>
        <w:spacing w:after="200" w:line="360" w:lineRule="auto"/>
        <w:contextualSpacing/>
        <w:rPr>
          <w:rFonts w:ascii="Calibri" w:eastAsia="Calibri" w:hAnsi="Calibri" w:cs="Times New Roman"/>
          <w:b/>
        </w:rPr>
      </w:pPr>
      <w:r>
        <w:rPr>
          <w:rFonts w:ascii="Calibri" w:eastAsia="Calibri" w:hAnsi="Calibri" w:cs="Times New Roman"/>
          <w:b/>
        </w:rPr>
        <w:t>Contribution 3</w:t>
      </w:r>
      <w:r w:rsidR="008F63CB">
        <w:rPr>
          <w:rFonts w:ascii="Calibri" w:eastAsia="Calibri" w:hAnsi="Calibri" w:cs="Times New Roman"/>
          <w:b/>
        </w:rPr>
        <w:t xml:space="preserve">: </w:t>
      </w:r>
      <w:r w:rsidR="00B541D2">
        <w:rPr>
          <w:rFonts w:ascii="Calibri" w:eastAsia="Calibri" w:hAnsi="Calibri" w:cs="Times New Roman"/>
          <w:b/>
        </w:rPr>
        <w:t>General s</w:t>
      </w:r>
      <w:r w:rsidR="008F63CB">
        <w:rPr>
          <w:rFonts w:ascii="Calibri" w:eastAsia="Calibri" w:hAnsi="Calibri" w:cs="Times New Roman"/>
          <w:b/>
        </w:rPr>
        <w:t>upport for JD-R theory</w:t>
      </w:r>
    </w:p>
    <w:p w14:paraId="438AB07C" w14:textId="622E3C4C" w:rsidR="008F63CB" w:rsidRDefault="008F63CB" w:rsidP="006814E6">
      <w:pPr>
        <w:spacing w:after="200" w:line="360" w:lineRule="auto"/>
        <w:contextualSpacing/>
        <w:rPr>
          <w:rFonts w:ascii="Calibri" w:eastAsia="Calibri" w:hAnsi="Calibri" w:cs="Times New Roman"/>
          <w:b/>
        </w:rPr>
      </w:pPr>
    </w:p>
    <w:p w14:paraId="22CC2C98" w14:textId="36017DE7" w:rsidR="008F63CB" w:rsidRPr="00BB0757" w:rsidRDefault="0014324C" w:rsidP="006814E6">
      <w:pPr>
        <w:spacing w:after="200" w:line="360" w:lineRule="auto"/>
        <w:contextualSpacing/>
        <w:rPr>
          <w:rFonts w:ascii="Calibri" w:eastAsia="Calibri" w:hAnsi="Calibri" w:cs="Times New Roman"/>
        </w:rPr>
      </w:pPr>
      <w:r>
        <w:rPr>
          <w:rFonts w:ascii="Calibri" w:eastAsia="Calibri" w:hAnsi="Calibri" w:cs="Times New Roman"/>
        </w:rPr>
        <w:lastRenderedPageBreak/>
        <w:t xml:space="preserve">This study also provides general support for work engagement </w:t>
      </w:r>
      <w:r w:rsidR="00DB5723">
        <w:rPr>
          <w:rFonts w:ascii="Calibri" w:eastAsia="Calibri" w:hAnsi="Calibri" w:cs="Times New Roman"/>
        </w:rPr>
        <w:t>an</w:t>
      </w:r>
      <w:r>
        <w:rPr>
          <w:rFonts w:ascii="Calibri" w:eastAsia="Calibri" w:hAnsi="Calibri" w:cs="Times New Roman"/>
        </w:rPr>
        <w:t>d JD-R theory. In particular, it suggests that interventions which aim to change characteristics of the work environment</w:t>
      </w:r>
      <w:r w:rsidR="00DB5723">
        <w:rPr>
          <w:rFonts w:ascii="Calibri" w:eastAsia="Calibri" w:hAnsi="Calibri" w:cs="Times New Roman"/>
        </w:rPr>
        <w:t xml:space="preserve"> (i.e.</w:t>
      </w:r>
      <w:r>
        <w:rPr>
          <w:rFonts w:ascii="Calibri" w:eastAsia="Calibri" w:hAnsi="Calibri" w:cs="Times New Roman"/>
        </w:rPr>
        <w:t xml:space="preserve"> job resources</w:t>
      </w:r>
      <w:r w:rsidR="00DB5723">
        <w:rPr>
          <w:rFonts w:ascii="Calibri" w:eastAsia="Calibri" w:hAnsi="Calibri" w:cs="Times New Roman"/>
        </w:rPr>
        <w:t>)</w:t>
      </w:r>
      <w:r>
        <w:rPr>
          <w:rFonts w:ascii="Calibri" w:eastAsia="Calibri" w:hAnsi="Calibri" w:cs="Times New Roman"/>
        </w:rPr>
        <w:t xml:space="preserve">, either directly through increasing </w:t>
      </w:r>
      <w:r w:rsidR="00DB5723">
        <w:rPr>
          <w:rFonts w:ascii="Calibri" w:eastAsia="Calibri" w:hAnsi="Calibri" w:cs="Times New Roman"/>
        </w:rPr>
        <w:t>aspects such as social support, autonomy, and feedback, or indirectly through changing leadership behaviours,</w:t>
      </w:r>
      <w:r>
        <w:rPr>
          <w:rFonts w:ascii="Calibri" w:eastAsia="Calibri" w:hAnsi="Calibri" w:cs="Times New Roman"/>
        </w:rPr>
        <w:t xml:space="preserve"> or </w:t>
      </w:r>
      <w:r w:rsidR="008214C1">
        <w:rPr>
          <w:rFonts w:ascii="Calibri" w:eastAsia="Calibri" w:hAnsi="Calibri" w:cs="Times New Roman"/>
        </w:rPr>
        <w:t xml:space="preserve">which aim to change </w:t>
      </w:r>
      <w:r>
        <w:rPr>
          <w:rFonts w:ascii="Calibri" w:eastAsia="Calibri" w:hAnsi="Calibri" w:cs="Times New Roman"/>
        </w:rPr>
        <w:t xml:space="preserve">the personal resources </w:t>
      </w:r>
      <w:r w:rsidR="008214C1">
        <w:rPr>
          <w:rFonts w:ascii="Calibri" w:eastAsia="Calibri" w:hAnsi="Calibri" w:cs="Times New Roman"/>
        </w:rPr>
        <w:t xml:space="preserve">and / or health </w:t>
      </w:r>
      <w:r>
        <w:rPr>
          <w:rFonts w:ascii="Calibri" w:eastAsia="Calibri" w:hAnsi="Calibri" w:cs="Times New Roman"/>
        </w:rPr>
        <w:t>of individuals</w:t>
      </w:r>
      <w:r w:rsidR="008214C1">
        <w:rPr>
          <w:rFonts w:ascii="Calibri" w:eastAsia="Calibri" w:hAnsi="Calibri" w:cs="Times New Roman"/>
        </w:rPr>
        <w:t xml:space="preserve">, by working </w:t>
      </w:r>
      <w:r w:rsidR="00B009FE">
        <w:rPr>
          <w:rFonts w:ascii="Calibri" w:eastAsia="Calibri" w:hAnsi="Calibri" w:cs="Times New Roman"/>
        </w:rPr>
        <w:t>on factors such as self-eff</w:t>
      </w:r>
      <w:r w:rsidR="008214C1">
        <w:rPr>
          <w:rFonts w:ascii="Calibri" w:eastAsia="Calibri" w:hAnsi="Calibri" w:cs="Times New Roman"/>
        </w:rPr>
        <w:t xml:space="preserve">icacy, self-esteem, optimism, hope, and physical health, are effective for increasing work engagement. This provides important evidence for work engagement theory and JD-R theory as the underlying model, and strongly indicates the value of continuing to research the types of interventions which may be most effective. </w:t>
      </w:r>
    </w:p>
    <w:p w14:paraId="15AE1862" w14:textId="77777777" w:rsidR="008F63CB" w:rsidRPr="00BB0757" w:rsidRDefault="008F63CB" w:rsidP="006814E6">
      <w:pPr>
        <w:spacing w:after="200" w:line="360" w:lineRule="auto"/>
        <w:contextualSpacing/>
        <w:rPr>
          <w:rFonts w:ascii="Calibri" w:eastAsia="Calibri" w:hAnsi="Calibri" w:cs="Times New Roman"/>
          <w:b/>
        </w:rPr>
      </w:pPr>
    </w:p>
    <w:p w14:paraId="5AD1D2B4" w14:textId="6522D6A2" w:rsidR="00015198" w:rsidRPr="00506770" w:rsidRDefault="00015198" w:rsidP="009725EF">
      <w:pPr>
        <w:pStyle w:val="Heading3"/>
        <w:spacing w:line="360" w:lineRule="auto"/>
        <w:contextualSpacing/>
      </w:pPr>
      <w:bookmarkStart w:id="532" w:name="_Toc468269789"/>
      <w:bookmarkStart w:id="533" w:name="_Toc431470148"/>
      <w:bookmarkStart w:id="534" w:name="_Ref468100301"/>
      <w:bookmarkStart w:id="535" w:name="_Ref468100308"/>
      <w:bookmarkStart w:id="536" w:name="_Toc468286039"/>
      <w:bookmarkStart w:id="537" w:name="_Toc413331401"/>
      <w:bookmarkEnd w:id="532"/>
      <w:r w:rsidRPr="00E6060C">
        <w:t>Contribution</w:t>
      </w:r>
      <w:r w:rsidR="009725EF">
        <w:t>s</w:t>
      </w:r>
      <w:r w:rsidR="001F7B6A">
        <w:t xml:space="preserve"> of Study 1 for</w:t>
      </w:r>
      <w:r w:rsidR="00D81921">
        <w:t xml:space="preserve"> </w:t>
      </w:r>
      <w:r w:rsidR="008F63CB">
        <w:t xml:space="preserve">future </w:t>
      </w:r>
      <w:r w:rsidRPr="00E6060C">
        <w:t>research</w:t>
      </w:r>
      <w:bookmarkEnd w:id="533"/>
      <w:bookmarkEnd w:id="534"/>
      <w:bookmarkEnd w:id="535"/>
      <w:bookmarkEnd w:id="536"/>
      <w:r w:rsidRPr="00E6060C">
        <w:t xml:space="preserve"> </w:t>
      </w:r>
      <w:bookmarkEnd w:id="537"/>
    </w:p>
    <w:p w14:paraId="3E8D30F0" w14:textId="77777777" w:rsidR="00015198" w:rsidRPr="00E6060C" w:rsidRDefault="00015198" w:rsidP="009725EF">
      <w:pPr>
        <w:spacing w:line="360" w:lineRule="auto"/>
        <w:contextualSpacing/>
      </w:pPr>
    </w:p>
    <w:p w14:paraId="499B3018" w14:textId="043D19F8" w:rsidR="00015198" w:rsidRPr="00E6060C" w:rsidRDefault="009725EF" w:rsidP="009725EF">
      <w:pPr>
        <w:spacing w:after="200" w:line="360" w:lineRule="auto"/>
        <w:contextualSpacing/>
        <w:rPr>
          <w:rFonts w:ascii="Calibri" w:eastAsia="Calibri" w:hAnsi="Calibri" w:cs="Times New Roman"/>
        </w:rPr>
      </w:pPr>
      <w:r>
        <w:rPr>
          <w:rFonts w:ascii="Calibri" w:eastAsia="Calibri" w:hAnsi="Calibri" w:cs="Times New Roman"/>
        </w:rPr>
        <w:t>T</w:t>
      </w:r>
      <w:r w:rsidR="00E75F1F">
        <w:rPr>
          <w:rFonts w:ascii="Calibri" w:eastAsia="Calibri" w:hAnsi="Calibri" w:cs="Times New Roman"/>
        </w:rPr>
        <w:t xml:space="preserve">here are </w:t>
      </w:r>
      <w:r w:rsidR="00793BD2">
        <w:rPr>
          <w:rFonts w:ascii="Calibri" w:eastAsia="Calibri" w:hAnsi="Calibri" w:cs="Times New Roman"/>
        </w:rPr>
        <w:t>two</w:t>
      </w:r>
      <w:r w:rsidR="00015198" w:rsidRPr="00E6060C">
        <w:rPr>
          <w:rFonts w:ascii="Calibri" w:eastAsia="Calibri" w:hAnsi="Calibri" w:cs="Times New Roman"/>
        </w:rPr>
        <w:t xml:space="preserve"> key </w:t>
      </w:r>
      <w:r>
        <w:rPr>
          <w:rFonts w:ascii="Calibri" w:eastAsia="Calibri" w:hAnsi="Calibri" w:cs="Times New Roman"/>
        </w:rPr>
        <w:t>contributions</w:t>
      </w:r>
      <w:r w:rsidR="008F63CB">
        <w:rPr>
          <w:rFonts w:ascii="Calibri" w:eastAsia="Calibri" w:hAnsi="Calibri" w:cs="Times New Roman"/>
        </w:rPr>
        <w:t xml:space="preserve"> for future research</w:t>
      </w:r>
      <w:r w:rsidR="00015198" w:rsidRPr="00E6060C">
        <w:rPr>
          <w:rFonts w:ascii="Calibri" w:eastAsia="Calibri" w:hAnsi="Calibri" w:cs="Times New Roman"/>
        </w:rPr>
        <w:t xml:space="preserve"> </w:t>
      </w:r>
      <w:r w:rsidR="001F7B6A">
        <w:rPr>
          <w:rFonts w:ascii="Calibri" w:eastAsia="Calibri" w:hAnsi="Calibri" w:cs="Times New Roman"/>
        </w:rPr>
        <w:t xml:space="preserve">which </w:t>
      </w:r>
      <w:r w:rsidR="00015198" w:rsidRPr="00E6060C">
        <w:rPr>
          <w:rFonts w:ascii="Calibri" w:eastAsia="Calibri" w:hAnsi="Calibri" w:cs="Times New Roman"/>
        </w:rPr>
        <w:t xml:space="preserve">emerged from this study. These </w:t>
      </w:r>
      <w:r>
        <w:rPr>
          <w:rFonts w:ascii="Calibri" w:eastAsia="Calibri" w:hAnsi="Calibri" w:cs="Times New Roman"/>
        </w:rPr>
        <w:t>are</w:t>
      </w:r>
      <w:r w:rsidR="00015198" w:rsidRPr="00E6060C">
        <w:rPr>
          <w:rFonts w:ascii="Calibri" w:eastAsia="Calibri" w:hAnsi="Calibri" w:cs="Times New Roman"/>
        </w:rPr>
        <w:t xml:space="preserve"> discussed </w:t>
      </w:r>
      <w:r w:rsidR="001F7B6A">
        <w:rPr>
          <w:rFonts w:ascii="Calibri" w:eastAsia="Calibri" w:hAnsi="Calibri" w:cs="Times New Roman"/>
        </w:rPr>
        <w:t>below.</w:t>
      </w:r>
      <w:r w:rsidR="00015198" w:rsidRPr="00E6060C">
        <w:rPr>
          <w:rFonts w:ascii="Calibri" w:eastAsia="Calibri" w:hAnsi="Calibri" w:cs="Times New Roman"/>
        </w:rPr>
        <w:t xml:space="preserve"> </w:t>
      </w:r>
    </w:p>
    <w:p w14:paraId="14692AEA" w14:textId="77777777" w:rsidR="00015198" w:rsidRPr="00E6060C" w:rsidRDefault="00015198" w:rsidP="00015198">
      <w:pPr>
        <w:spacing w:line="360" w:lineRule="auto"/>
        <w:contextualSpacing/>
      </w:pPr>
    </w:p>
    <w:p w14:paraId="53BDE151" w14:textId="04F9DF9E" w:rsidR="009725EF" w:rsidRDefault="009725EF" w:rsidP="00015198">
      <w:pPr>
        <w:spacing w:after="200" w:line="360" w:lineRule="auto"/>
        <w:contextualSpacing/>
        <w:rPr>
          <w:rFonts w:ascii="Calibri" w:eastAsia="Calibri" w:hAnsi="Calibri" w:cs="Times New Roman"/>
          <w:b/>
        </w:rPr>
      </w:pPr>
      <w:r>
        <w:rPr>
          <w:rFonts w:ascii="Calibri" w:eastAsia="Calibri" w:hAnsi="Calibri" w:cs="Times New Roman"/>
          <w:b/>
        </w:rPr>
        <w:t xml:space="preserve">Contribution 1: </w:t>
      </w:r>
      <w:r w:rsidRPr="009725EF">
        <w:rPr>
          <w:rFonts w:ascii="Calibri" w:eastAsia="Calibri" w:hAnsi="Calibri" w:cs="Times New Roman"/>
          <w:b/>
        </w:rPr>
        <w:t xml:space="preserve">This is the first </w:t>
      </w:r>
      <w:r w:rsidR="005707E0">
        <w:rPr>
          <w:rFonts w:ascii="Calibri" w:eastAsia="Calibri" w:hAnsi="Calibri" w:cs="Times New Roman"/>
          <w:b/>
        </w:rPr>
        <w:t xml:space="preserve">narrative </w:t>
      </w:r>
      <w:r w:rsidRPr="009725EF">
        <w:rPr>
          <w:rFonts w:ascii="Calibri" w:eastAsia="Calibri" w:hAnsi="Calibri" w:cs="Times New Roman"/>
          <w:b/>
        </w:rPr>
        <w:t xml:space="preserve">systematic review and meta-analysis to evaluate the effectiveness of controlled interventions to increase work engagement </w:t>
      </w:r>
    </w:p>
    <w:p w14:paraId="4A250B54" w14:textId="77777777" w:rsidR="00D20F92" w:rsidRDefault="00D20F92" w:rsidP="00E75F1F">
      <w:pPr>
        <w:spacing w:after="200" w:line="360" w:lineRule="auto"/>
        <w:contextualSpacing/>
        <w:rPr>
          <w:rFonts w:ascii="Calibri" w:eastAsia="Calibri" w:hAnsi="Calibri" w:cs="Times New Roman"/>
        </w:rPr>
      </w:pPr>
    </w:p>
    <w:p w14:paraId="27A4C520" w14:textId="52416302" w:rsidR="00D20F92" w:rsidRDefault="00E75F1F" w:rsidP="00E75F1F">
      <w:pPr>
        <w:spacing w:after="200" w:line="360" w:lineRule="auto"/>
        <w:contextualSpacing/>
        <w:rPr>
          <w:rFonts w:ascii="Calibri" w:eastAsia="Calibri" w:hAnsi="Calibri" w:cs="Times New Roman"/>
        </w:rPr>
      </w:pPr>
      <w:r>
        <w:rPr>
          <w:rFonts w:ascii="Calibri" w:eastAsia="Calibri" w:hAnsi="Calibri" w:cs="Times New Roman"/>
        </w:rPr>
        <w:t>Study 1</w:t>
      </w:r>
      <w:r w:rsidRPr="00E75F1F">
        <w:rPr>
          <w:rFonts w:ascii="Calibri" w:eastAsia="Calibri" w:hAnsi="Calibri" w:cs="Times New Roman"/>
        </w:rPr>
        <w:t xml:space="preserve"> is the first systematic review and meta-analysis to evaluate the effectiveness of controlled interventions to increase work engagement and thus contributes uniquely to the developing evidence base.</w:t>
      </w:r>
      <w:r w:rsidR="0092778B">
        <w:rPr>
          <w:rFonts w:ascii="Calibri" w:eastAsia="Calibri" w:hAnsi="Calibri" w:cs="Times New Roman"/>
        </w:rPr>
        <w:t xml:space="preserve"> </w:t>
      </w:r>
      <w:r w:rsidR="009E373A">
        <w:rPr>
          <w:rFonts w:ascii="Calibri" w:eastAsia="Calibri" w:hAnsi="Calibri" w:cs="Times New Roman"/>
        </w:rPr>
        <w:t xml:space="preserve">Importantly, it provides the building blocks upon </w:t>
      </w:r>
      <w:r w:rsidR="00562A83">
        <w:rPr>
          <w:rFonts w:ascii="Calibri" w:eastAsia="Calibri" w:hAnsi="Calibri" w:cs="Times New Roman"/>
        </w:rPr>
        <w:t>which future research can build. T</w:t>
      </w:r>
      <w:r w:rsidR="009E373A">
        <w:rPr>
          <w:rFonts w:ascii="Calibri" w:eastAsia="Calibri" w:hAnsi="Calibri" w:cs="Times New Roman"/>
        </w:rPr>
        <w:t xml:space="preserve">he overall finding that work engagement interventions, and particularly group interventions, are effective suggests there is value in continuing to conduct research in this area. </w:t>
      </w:r>
    </w:p>
    <w:p w14:paraId="7E82618E" w14:textId="77777777" w:rsidR="00D20F92" w:rsidRDefault="00D20F92" w:rsidP="00E75F1F">
      <w:pPr>
        <w:spacing w:after="200" w:line="360" w:lineRule="auto"/>
        <w:contextualSpacing/>
        <w:rPr>
          <w:rFonts w:ascii="Calibri" w:eastAsia="Calibri" w:hAnsi="Calibri" w:cs="Times New Roman"/>
        </w:rPr>
      </w:pPr>
    </w:p>
    <w:p w14:paraId="15577D34" w14:textId="219ED64E" w:rsidR="009C187E" w:rsidRPr="00E6060C" w:rsidRDefault="009E373A" w:rsidP="009C187E">
      <w:pPr>
        <w:spacing w:after="200" w:line="360" w:lineRule="auto"/>
        <w:contextualSpacing/>
        <w:rPr>
          <w:rFonts w:ascii="Calibri" w:eastAsia="Calibri" w:hAnsi="Calibri" w:cs="Times New Roman"/>
        </w:rPr>
      </w:pPr>
      <w:r>
        <w:rPr>
          <w:rFonts w:ascii="Calibri" w:eastAsia="Calibri" w:hAnsi="Calibri" w:cs="Times New Roman"/>
        </w:rPr>
        <w:t xml:space="preserve">Several </w:t>
      </w:r>
      <w:r w:rsidR="00D20F92">
        <w:rPr>
          <w:rFonts w:ascii="Calibri" w:eastAsia="Calibri" w:hAnsi="Calibri" w:cs="Times New Roman"/>
        </w:rPr>
        <w:t xml:space="preserve">implications for research emerged from this study. </w:t>
      </w:r>
      <w:r>
        <w:rPr>
          <w:rFonts w:ascii="Calibri" w:eastAsia="Calibri" w:hAnsi="Calibri" w:cs="Times New Roman"/>
        </w:rPr>
        <w:t>Long-term, f</w:t>
      </w:r>
      <w:r w:rsidR="0092778B">
        <w:rPr>
          <w:rFonts w:ascii="Calibri" w:eastAsia="Calibri" w:hAnsi="Calibri" w:cs="Times New Roman"/>
        </w:rPr>
        <w:t xml:space="preserve">uture studies can build on this work </w:t>
      </w:r>
      <w:r w:rsidR="009C187E">
        <w:rPr>
          <w:rFonts w:ascii="Calibri" w:eastAsia="Calibri" w:hAnsi="Calibri" w:cs="Times New Roman"/>
        </w:rPr>
        <w:t>by incorporating the results into further meta-analyses investigating work engagement interventions</w:t>
      </w:r>
      <w:r>
        <w:rPr>
          <w:rFonts w:ascii="Calibri" w:eastAsia="Calibri" w:hAnsi="Calibri" w:cs="Times New Roman"/>
        </w:rPr>
        <w:t>. More immediately</w:t>
      </w:r>
      <w:r w:rsidR="00793BD2">
        <w:rPr>
          <w:rFonts w:ascii="Calibri" w:eastAsia="Calibri" w:hAnsi="Calibri" w:cs="Times New Roman"/>
        </w:rPr>
        <w:t>, the results</w:t>
      </w:r>
      <w:r>
        <w:rPr>
          <w:rFonts w:ascii="Calibri" w:eastAsia="Calibri" w:hAnsi="Calibri" w:cs="Times New Roman"/>
        </w:rPr>
        <w:t xml:space="preserve"> can be used to direct individual studies, perhaps by developing particular intervention types, or focusing on group interventions.</w:t>
      </w:r>
      <w:r w:rsidR="00D20F92">
        <w:rPr>
          <w:rFonts w:ascii="Calibri" w:eastAsia="Calibri" w:hAnsi="Calibri" w:cs="Times New Roman"/>
        </w:rPr>
        <w:t xml:space="preserve"> </w:t>
      </w:r>
      <w:r w:rsidR="00793BD2">
        <w:rPr>
          <w:rFonts w:ascii="Calibri" w:eastAsia="Calibri" w:hAnsi="Calibri" w:cs="Times New Roman"/>
        </w:rPr>
        <w:t>An</w:t>
      </w:r>
      <w:r>
        <w:rPr>
          <w:rFonts w:ascii="Calibri" w:eastAsia="Calibri" w:hAnsi="Calibri" w:cs="Times New Roman"/>
        </w:rPr>
        <w:t>other</w:t>
      </w:r>
      <w:r w:rsidR="00793BD2">
        <w:rPr>
          <w:rFonts w:ascii="Calibri" w:eastAsia="Calibri" w:hAnsi="Calibri" w:cs="Times New Roman"/>
        </w:rPr>
        <w:t xml:space="preserve"> </w:t>
      </w:r>
      <w:r w:rsidR="00D20F92">
        <w:rPr>
          <w:rFonts w:ascii="Calibri" w:eastAsia="Calibri" w:hAnsi="Calibri" w:cs="Times New Roman"/>
        </w:rPr>
        <w:t xml:space="preserve">implication arose from </w:t>
      </w:r>
      <w:r w:rsidR="00793BD2">
        <w:rPr>
          <w:rFonts w:ascii="Calibri" w:eastAsia="Calibri" w:hAnsi="Calibri" w:cs="Times New Roman"/>
        </w:rPr>
        <w:t>the design limitations indicated by the included studies. These revealed</w:t>
      </w:r>
      <w:r w:rsidR="009C187E" w:rsidRPr="00E6060C">
        <w:rPr>
          <w:rFonts w:ascii="Calibri" w:eastAsia="Calibri" w:hAnsi="Calibri" w:cs="Times New Roman"/>
        </w:rPr>
        <w:t xml:space="preserve"> that the field is in need of multi-wave, longitudinal studies with a control or comparison / referent group in order to better assess the effectiveness of interventions on work engagement. Such studies are particularly useful for ascertaining which factors, interventions</w:t>
      </w:r>
      <w:r w:rsidR="009C187E">
        <w:rPr>
          <w:rFonts w:ascii="Calibri" w:eastAsia="Calibri" w:hAnsi="Calibri" w:cs="Times New Roman"/>
        </w:rPr>
        <w:t>,</w:t>
      </w:r>
      <w:r w:rsidR="009C187E" w:rsidRPr="00E6060C">
        <w:rPr>
          <w:rFonts w:ascii="Calibri" w:eastAsia="Calibri" w:hAnsi="Calibri" w:cs="Times New Roman"/>
        </w:rPr>
        <w:t xml:space="preserve"> and study characteristics may or may not be important as they potentially enable comparison between studies and an assessment of causality. Importantly, such studies would be able to be included in meta-analysis, allowing a statistical </w:t>
      </w:r>
      <w:r w:rsidR="009C187E" w:rsidRPr="00E6060C">
        <w:rPr>
          <w:rFonts w:ascii="Calibri" w:eastAsia="Calibri" w:hAnsi="Calibri" w:cs="Times New Roman"/>
        </w:rPr>
        <w:lastRenderedPageBreak/>
        <w:t xml:space="preserve">evaluation of the results alongside a narrative evaluation, thus increasing the robustness and rigour of the results, and the confidence with which conclusions can be made. Such designs for organisational intervention research are recommended by Briner &amp; Walshe (2015) and Nielsen, Randall et al. (2010) and it is highly unlikely that the field will make substantial headway without them. </w:t>
      </w:r>
    </w:p>
    <w:p w14:paraId="381DB02D" w14:textId="407047EF" w:rsidR="009C187E" w:rsidRDefault="009C187E" w:rsidP="00015198">
      <w:pPr>
        <w:spacing w:after="200" w:line="360" w:lineRule="auto"/>
        <w:contextualSpacing/>
        <w:rPr>
          <w:rFonts w:ascii="Calibri" w:eastAsia="Calibri" w:hAnsi="Calibri" w:cs="Times New Roman"/>
          <w:b/>
        </w:rPr>
      </w:pPr>
    </w:p>
    <w:p w14:paraId="38D5D58B" w14:textId="43FC77A2" w:rsidR="009C187E" w:rsidRPr="00E6060C" w:rsidRDefault="00793BD2" w:rsidP="009C187E">
      <w:pPr>
        <w:spacing w:after="200" w:line="360" w:lineRule="auto"/>
        <w:contextualSpacing/>
        <w:rPr>
          <w:rFonts w:ascii="Calibri" w:eastAsia="Calibri" w:hAnsi="Calibri" w:cs="Times New Roman"/>
        </w:rPr>
      </w:pPr>
      <w:r>
        <w:rPr>
          <w:rFonts w:ascii="Calibri" w:eastAsia="Calibri" w:hAnsi="Calibri" w:cs="Times New Roman"/>
        </w:rPr>
        <w:t>A further implication is t</w:t>
      </w:r>
      <w:r w:rsidR="009C187E" w:rsidRPr="00E6060C">
        <w:rPr>
          <w:rFonts w:ascii="Calibri" w:eastAsia="Calibri" w:hAnsi="Calibri" w:cs="Times New Roman"/>
        </w:rPr>
        <w:t xml:space="preserve">he </w:t>
      </w:r>
      <w:r>
        <w:rPr>
          <w:rFonts w:ascii="Calibri" w:eastAsia="Calibri" w:hAnsi="Calibri" w:cs="Times New Roman"/>
        </w:rPr>
        <w:t xml:space="preserve">clear </w:t>
      </w:r>
      <w:r w:rsidR="009C187E" w:rsidRPr="00E6060C">
        <w:rPr>
          <w:rFonts w:ascii="Calibri" w:eastAsia="Calibri" w:hAnsi="Calibri" w:cs="Times New Roman"/>
        </w:rPr>
        <w:t>need for in-depth process evaluations</w:t>
      </w:r>
      <w:r>
        <w:rPr>
          <w:rFonts w:ascii="Calibri" w:eastAsia="Calibri" w:hAnsi="Calibri" w:cs="Times New Roman"/>
        </w:rPr>
        <w:t xml:space="preserve">, which </w:t>
      </w:r>
      <w:r w:rsidR="009C187E" w:rsidRPr="00E6060C">
        <w:rPr>
          <w:rFonts w:ascii="Calibri" w:eastAsia="Calibri" w:hAnsi="Calibri" w:cs="Times New Roman"/>
        </w:rPr>
        <w:t>was clearly portrayed by the degree to which many of the interventions reported issues with implement</w:t>
      </w:r>
      <w:r w:rsidR="00562A83">
        <w:rPr>
          <w:rFonts w:ascii="Calibri" w:eastAsia="Calibri" w:hAnsi="Calibri" w:cs="Times New Roman"/>
        </w:rPr>
        <w:t>ation</w:t>
      </w:r>
      <w:r w:rsidR="009C187E" w:rsidRPr="00E6060C">
        <w:rPr>
          <w:rFonts w:ascii="Calibri" w:eastAsia="Calibri" w:hAnsi="Calibri" w:cs="Times New Roman"/>
        </w:rPr>
        <w:t xml:space="preserve">, such as poor response and attendance rates, high attrition rates, and adverse factors such as mergers, redundancy and a poor economic climate. All of these confounding factors may have impacted the results and affected the degree to which the causes of intervention effectiveness could be ascertained, limiting the conclusions which could be drawn. The majority of studies did not include a process evaluation, however, a growing body of research extolls the virtues of such evaluations alongside statistical evaluations for exploring how and why interventions work (e.g. Nielsen </w:t>
      </w:r>
      <w:r w:rsidR="009C187E">
        <w:rPr>
          <w:rFonts w:ascii="Calibri" w:eastAsia="Calibri" w:hAnsi="Calibri" w:cs="Times New Roman"/>
        </w:rPr>
        <w:t>et al.,</w:t>
      </w:r>
      <w:r w:rsidR="009C187E" w:rsidRPr="00E6060C">
        <w:rPr>
          <w:rFonts w:ascii="Calibri" w:eastAsia="Calibri" w:hAnsi="Calibri" w:cs="Times New Roman"/>
        </w:rPr>
        <w:t xml:space="preserve"> 2007; Nielsen, Randall et al., 2010). Importantly, such evaluations also mitigate against misleading conclusions, such as presuming that lack of effects are a result of poor intervention content or design, as opposed to confounding variables. It is likely that work engagement intervention research would make substantial progress if researchers incorporated process evaluations alongside statistical evaluations as a matter of course. </w:t>
      </w:r>
    </w:p>
    <w:p w14:paraId="35BAED84" w14:textId="2A42F4CE" w:rsidR="009C187E" w:rsidRDefault="009C187E" w:rsidP="00015198">
      <w:pPr>
        <w:spacing w:after="200" w:line="360" w:lineRule="auto"/>
        <w:contextualSpacing/>
        <w:rPr>
          <w:rFonts w:ascii="Calibri" w:eastAsia="Calibri" w:hAnsi="Calibri" w:cs="Times New Roman"/>
          <w:b/>
        </w:rPr>
      </w:pPr>
    </w:p>
    <w:p w14:paraId="13D8C415" w14:textId="77777777" w:rsidR="00E75F1F" w:rsidRDefault="009725EF" w:rsidP="00015198">
      <w:pPr>
        <w:spacing w:after="200" w:line="360" w:lineRule="auto"/>
        <w:contextualSpacing/>
        <w:rPr>
          <w:rFonts w:ascii="Calibri" w:eastAsia="Calibri" w:hAnsi="Calibri" w:cs="Times New Roman"/>
          <w:b/>
        </w:rPr>
      </w:pPr>
      <w:r>
        <w:rPr>
          <w:rFonts w:ascii="Calibri" w:eastAsia="Calibri" w:hAnsi="Calibri" w:cs="Times New Roman"/>
          <w:b/>
        </w:rPr>
        <w:t>Contribution 2: The development of a novel taxonomy of work engagement interventions</w:t>
      </w:r>
    </w:p>
    <w:p w14:paraId="6AD7BDE4" w14:textId="77777777" w:rsidR="0084073F" w:rsidRDefault="0084073F" w:rsidP="00015198">
      <w:pPr>
        <w:spacing w:after="200" w:line="360" w:lineRule="auto"/>
        <w:contextualSpacing/>
        <w:rPr>
          <w:rFonts w:ascii="Calibri" w:eastAsia="Calibri" w:hAnsi="Calibri" w:cs="Times New Roman"/>
        </w:rPr>
      </w:pPr>
    </w:p>
    <w:p w14:paraId="17C8D47D" w14:textId="08B28045" w:rsidR="00D81921" w:rsidRDefault="00E75F1F" w:rsidP="005852AD">
      <w:pPr>
        <w:spacing w:after="200" w:line="360" w:lineRule="auto"/>
        <w:contextualSpacing/>
        <w:rPr>
          <w:rFonts w:ascii="Calibri" w:eastAsia="Calibri" w:hAnsi="Calibri" w:cs="Times New Roman"/>
        </w:rPr>
      </w:pPr>
      <w:r>
        <w:rPr>
          <w:rFonts w:ascii="Calibri" w:eastAsia="Calibri" w:hAnsi="Calibri" w:cs="Times New Roman"/>
        </w:rPr>
        <w:t>T</w:t>
      </w:r>
      <w:r w:rsidR="00015198" w:rsidRPr="00E6060C">
        <w:rPr>
          <w:rFonts w:ascii="Calibri" w:eastAsia="Calibri" w:hAnsi="Calibri" w:cs="Times New Roman"/>
        </w:rPr>
        <w:t xml:space="preserve">he development of a novel taxonomy of work engagement interventions </w:t>
      </w:r>
      <w:r>
        <w:rPr>
          <w:rFonts w:ascii="Calibri" w:eastAsia="Calibri" w:hAnsi="Calibri" w:cs="Times New Roman"/>
        </w:rPr>
        <w:t xml:space="preserve">is an important contribution </w:t>
      </w:r>
      <w:r w:rsidR="00015198" w:rsidRPr="00E6060C">
        <w:rPr>
          <w:rFonts w:ascii="Calibri" w:eastAsia="Calibri" w:hAnsi="Calibri" w:cs="Times New Roman"/>
        </w:rPr>
        <w:t>which researchers can use to develop streams of research in this area. This would better enable the types of interventions to be compared and contrasted in terms of characteristics and effectiveness. As the numbers of studies within each category increase, it may be possible to extend and develop the taxonomy further</w:t>
      </w:r>
      <w:r>
        <w:rPr>
          <w:rFonts w:ascii="Calibri" w:eastAsia="Calibri" w:hAnsi="Calibri" w:cs="Times New Roman"/>
        </w:rPr>
        <w:t xml:space="preserve">, thus this initial taxonomy provides the foundations </w:t>
      </w:r>
      <w:r w:rsidR="00562A83">
        <w:rPr>
          <w:rFonts w:ascii="Calibri" w:eastAsia="Calibri" w:hAnsi="Calibri" w:cs="Times New Roman"/>
        </w:rPr>
        <w:t>up</w:t>
      </w:r>
      <w:r>
        <w:rPr>
          <w:rFonts w:ascii="Calibri" w:eastAsia="Calibri" w:hAnsi="Calibri" w:cs="Times New Roman"/>
        </w:rPr>
        <w:t>on which future work can build</w:t>
      </w:r>
      <w:r w:rsidR="00015198" w:rsidRPr="00E6060C">
        <w:rPr>
          <w:rFonts w:ascii="Calibri" w:eastAsia="Calibri" w:hAnsi="Calibri" w:cs="Times New Roman"/>
        </w:rPr>
        <w:t>. Repetition studies within each category would particularly be useful to allow a deeper comparison of intervention characteristics between studies t</w:t>
      </w:r>
      <w:r>
        <w:rPr>
          <w:rFonts w:ascii="Calibri" w:eastAsia="Calibri" w:hAnsi="Calibri" w:cs="Times New Roman"/>
        </w:rPr>
        <w:t>han was possible in this study.</w:t>
      </w:r>
      <w:r w:rsidR="0084073F">
        <w:rPr>
          <w:rFonts w:ascii="Calibri" w:eastAsia="Calibri" w:hAnsi="Calibri" w:cs="Times New Roman"/>
        </w:rPr>
        <w:t xml:space="preserve"> In particular, researchers could </w:t>
      </w:r>
      <w:r w:rsidR="00793BD2" w:rsidRPr="00E6060C">
        <w:rPr>
          <w:rFonts w:ascii="Calibri" w:eastAsia="Calibri" w:hAnsi="Calibri" w:cs="Times New Roman"/>
        </w:rPr>
        <w:t>incorporat</w:t>
      </w:r>
      <w:r w:rsidR="0084073F">
        <w:rPr>
          <w:rFonts w:ascii="Calibri" w:eastAsia="Calibri" w:hAnsi="Calibri" w:cs="Times New Roman"/>
        </w:rPr>
        <w:t>e</w:t>
      </w:r>
      <w:r w:rsidR="00793BD2" w:rsidRPr="00E6060C">
        <w:rPr>
          <w:rFonts w:ascii="Calibri" w:eastAsia="Calibri" w:hAnsi="Calibri" w:cs="Times New Roman"/>
        </w:rPr>
        <w:t xml:space="preserve"> group designs within different streams of research according to intervention type</w:t>
      </w:r>
      <w:r w:rsidR="0084073F">
        <w:rPr>
          <w:rFonts w:ascii="Calibri" w:eastAsia="Calibri" w:hAnsi="Calibri" w:cs="Times New Roman"/>
        </w:rPr>
        <w:t>.</w:t>
      </w:r>
      <w:r w:rsidR="00793BD2" w:rsidRPr="00E6060C">
        <w:rPr>
          <w:rFonts w:ascii="Calibri" w:eastAsia="Calibri" w:hAnsi="Calibri" w:cs="Times New Roman"/>
        </w:rPr>
        <w:t xml:space="preserve"> </w:t>
      </w:r>
      <w:r w:rsidR="00793BD2">
        <w:rPr>
          <w:rFonts w:ascii="Calibri" w:eastAsia="Calibri" w:hAnsi="Calibri" w:cs="Times New Roman"/>
        </w:rPr>
        <w:t xml:space="preserve">Further </w:t>
      </w:r>
      <w:r w:rsidR="00793BD2" w:rsidRPr="00E6060C">
        <w:rPr>
          <w:rFonts w:ascii="Calibri" w:eastAsia="Calibri" w:hAnsi="Calibri" w:cs="Times New Roman"/>
        </w:rPr>
        <w:t>research could the</w:t>
      </w:r>
      <w:r w:rsidR="00793BD2">
        <w:rPr>
          <w:rFonts w:ascii="Calibri" w:eastAsia="Calibri" w:hAnsi="Calibri" w:cs="Times New Roman"/>
        </w:rPr>
        <w:t>n</w:t>
      </w:r>
      <w:r w:rsidR="00793BD2" w:rsidRPr="00E6060C">
        <w:rPr>
          <w:rFonts w:ascii="Calibri" w:eastAsia="Calibri" w:hAnsi="Calibri" w:cs="Times New Roman"/>
        </w:rPr>
        <w:t xml:space="preserve"> focus on identifying the characteristics of group interventions which are likely to promote success.</w:t>
      </w:r>
      <w:r w:rsidR="00793BD2">
        <w:rPr>
          <w:rFonts w:ascii="Calibri" w:eastAsia="Calibri" w:hAnsi="Calibri" w:cs="Times New Roman"/>
        </w:rPr>
        <w:t xml:space="preserve"> </w:t>
      </w:r>
      <w:r w:rsidR="004A01BB" w:rsidRPr="004A01BB">
        <w:rPr>
          <w:rFonts w:ascii="Calibri" w:eastAsia="Calibri" w:hAnsi="Calibri" w:cs="Times New Roman"/>
        </w:rPr>
        <w:t xml:space="preserve">Research supports the idea that the social support provided by group interventions, and the opportunity for participating in decision-making and voicing opinions that they allow, are important components of group </w:t>
      </w:r>
      <w:r w:rsidR="004A01BB" w:rsidRPr="004A01BB">
        <w:rPr>
          <w:rFonts w:ascii="Calibri" w:eastAsia="Calibri" w:hAnsi="Calibri" w:cs="Times New Roman"/>
        </w:rPr>
        <w:lastRenderedPageBreak/>
        <w:t xml:space="preserve">interventions which engender success (e.g. Nielsen, 2013). The evidence for, and importance of, these factors within a particular type of group intervention is explored in Study 2 and will be discussed in section 10.2. Finally, cost-benefit analyses would help to determine whether group interventions are also the most economical, which is likely to be of particular concern to organisations, given the current economic climate. </w:t>
      </w:r>
    </w:p>
    <w:p w14:paraId="536924A9" w14:textId="77777777" w:rsidR="003219C7" w:rsidRPr="003219C7" w:rsidRDefault="003219C7" w:rsidP="005852AD">
      <w:pPr>
        <w:spacing w:after="200" w:line="360" w:lineRule="auto"/>
        <w:contextualSpacing/>
        <w:rPr>
          <w:rFonts w:ascii="Calibri" w:eastAsia="Calibri" w:hAnsi="Calibri" w:cs="Times New Roman"/>
        </w:rPr>
      </w:pPr>
    </w:p>
    <w:p w14:paraId="2933E9B1" w14:textId="09956A36" w:rsidR="001F7B6A" w:rsidRPr="00506770" w:rsidRDefault="001F7B6A" w:rsidP="001F7B6A">
      <w:pPr>
        <w:pStyle w:val="Heading3"/>
        <w:spacing w:line="360" w:lineRule="auto"/>
        <w:contextualSpacing/>
      </w:pPr>
      <w:bookmarkStart w:id="538" w:name="_Toc468286040"/>
      <w:r>
        <w:t>Implications of Study 1 for</w:t>
      </w:r>
      <w:r w:rsidR="00D81921">
        <w:t xml:space="preserve"> </w:t>
      </w:r>
      <w:r>
        <w:t>practice</w:t>
      </w:r>
      <w:bookmarkEnd w:id="538"/>
      <w:r w:rsidRPr="00E6060C">
        <w:t xml:space="preserve"> </w:t>
      </w:r>
    </w:p>
    <w:p w14:paraId="79F204A8" w14:textId="06D85485" w:rsidR="00015198" w:rsidRDefault="00015198" w:rsidP="00015198">
      <w:pPr>
        <w:spacing w:after="200" w:line="360" w:lineRule="auto"/>
        <w:contextualSpacing/>
        <w:rPr>
          <w:rFonts w:ascii="Calibri" w:eastAsia="Calibri" w:hAnsi="Calibri" w:cs="Times New Roman"/>
        </w:rPr>
      </w:pPr>
    </w:p>
    <w:p w14:paraId="342F1B74" w14:textId="358DE033" w:rsidR="001F7B6A" w:rsidRDefault="001F7B6A" w:rsidP="00015198">
      <w:pPr>
        <w:spacing w:after="200" w:line="360" w:lineRule="auto"/>
        <w:contextualSpacing/>
        <w:rPr>
          <w:rFonts w:ascii="Calibri" w:eastAsia="Calibri" w:hAnsi="Calibri" w:cs="Times New Roman"/>
        </w:rPr>
      </w:pPr>
      <w:r>
        <w:rPr>
          <w:rFonts w:ascii="Calibri" w:eastAsia="Calibri" w:hAnsi="Calibri" w:cs="Times New Roman"/>
        </w:rPr>
        <w:t xml:space="preserve">There are two key implications for practice which emerged from this study. These are discussed below. </w:t>
      </w:r>
    </w:p>
    <w:p w14:paraId="5660F408" w14:textId="77777777" w:rsidR="001F7B6A" w:rsidRPr="00E6060C" w:rsidRDefault="001F7B6A" w:rsidP="00015198">
      <w:pPr>
        <w:spacing w:after="200" w:line="360" w:lineRule="auto"/>
        <w:contextualSpacing/>
        <w:rPr>
          <w:rFonts w:ascii="Calibri" w:eastAsia="Calibri" w:hAnsi="Calibri" w:cs="Times New Roman"/>
        </w:rPr>
      </w:pPr>
    </w:p>
    <w:p w14:paraId="0E7BE946" w14:textId="44826DB8" w:rsidR="00D32A9D" w:rsidRPr="00D32A9D" w:rsidRDefault="00D32A9D" w:rsidP="00015198">
      <w:pPr>
        <w:spacing w:after="200" w:line="360" w:lineRule="auto"/>
        <w:contextualSpacing/>
        <w:rPr>
          <w:rFonts w:ascii="Calibri" w:eastAsia="Calibri" w:hAnsi="Calibri" w:cs="Times New Roman"/>
        </w:rPr>
      </w:pPr>
      <w:r>
        <w:rPr>
          <w:rFonts w:ascii="Calibri" w:eastAsia="Calibri" w:hAnsi="Calibri" w:cs="Times New Roman"/>
          <w:b/>
        </w:rPr>
        <w:t xml:space="preserve">Implication 1: </w:t>
      </w:r>
      <w:r w:rsidR="002F7524">
        <w:rPr>
          <w:rFonts w:ascii="Calibri" w:eastAsia="Calibri" w:hAnsi="Calibri" w:cs="Times New Roman"/>
          <w:b/>
        </w:rPr>
        <w:t xml:space="preserve">Managers, </w:t>
      </w:r>
      <w:r>
        <w:rPr>
          <w:rFonts w:ascii="Calibri" w:eastAsia="Calibri" w:hAnsi="Calibri" w:cs="Times New Roman"/>
          <w:b/>
        </w:rPr>
        <w:t>organisations</w:t>
      </w:r>
      <w:r w:rsidR="00562A83">
        <w:rPr>
          <w:rFonts w:ascii="Calibri" w:eastAsia="Calibri" w:hAnsi="Calibri" w:cs="Times New Roman"/>
          <w:b/>
        </w:rPr>
        <w:t>,</w:t>
      </w:r>
      <w:r>
        <w:rPr>
          <w:rFonts w:ascii="Calibri" w:eastAsia="Calibri" w:hAnsi="Calibri" w:cs="Times New Roman"/>
          <w:b/>
        </w:rPr>
        <w:t xml:space="preserve"> </w:t>
      </w:r>
      <w:r w:rsidR="002F7524">
        <w:rPr>
          <w:rFonts w:ascii="Calibri" w:eastAsia="Calibri" w:hAnsi="Calibri" w:cs="Times New Roman"/>
          <w:b/>
        </w:rPr>
        <w:t xml:space="preserve">and practitioners </w:t>
      </w:r>
      <w:r>
        <w:rPr>
          <w:rFonts w:ascii="Calibri" w:eastAsia="Calibri" w:hAnsi="Calibri" w:cs="Times New Roman"/>
          <w:b/>
        </w:rPr>
        <w:t>could employ group programmes to increase work engagement</w:t>
      </w:r>
    </w:p>
    <w:p w14:paraId="01887815" w14:textId="77777777" w:rsidR="0047003A" w:rsidRDefault="0047003A" w:rsidP="00015198">
      <w:pPr>
        <w:spacing w:after="200" w:line="360" w:lineRule="auto"/>
        <w:contextualSpacing/>
        <w:rPr>
          <w:rFonts w:ascii="Calibri" w:eastAsia="Calibri" w:hAnsi="Calibri" w:cs="Times New Roman"/>
        </w:rPr>
      </w:pPr>
    </w:p>
    <w:p w14:paraId="54A99D56" w14:textId="29597920" w:rsidR="00015198" w:rsidRPr="00E6060C" w:rsidRDefault="00015198" w:rsidP="00015198">
      <w:pPr>
        <w:spacing w:after="200" w:line="360" w:lineRule="auto"/>
        <w:contextualSpacing/>
        <w:rPr>
          <w:rFonts w:ascii="Calibri" w:eastAsia="Calibri" w:hAnsi="Calibri" w:cs="Times New Roman"/>
        </w:rPr>
      </w:pPr>
      <w:r w:rsidRPr="00E6060C">
        <w:rPr>
          <w:rFonts w:ascii="Calibri" w:eastAsia="Calibri" w:hAnsi="Calibri" w:cs="Times New Roman"/>
        </w:rPr>
        <w:t>A key implication for practice arose from the meta-analytic moderator analysis which suggested that group interventions could be an effective way of taking work engagement intervention research</w:t>
      </w:r>
      <w:r w:rsidR="00D32A9D">
        <w:rPr>
          <w:rFonts w:ascii="Calibri" w:eastAsia="Calibri" w:hAnsi="Calibri" w:cs="Times New Roman"/>
        </w:rPr>
        <w:t xml:space="preserve"> and practice</w:t>
      </w:r>
      <w:r w:rsidRPr="00E6060C">
        <w:rPr>
          <w:rFonts w:ascii="Calibri" w:eastAsia="Calibri" w:hAnsi="Calibri" w:cs="Times New Roman"/>
        </w:rPr>
        <w:t xml:space="preserve"> forward. </w:t>
      </w:r>
      <w:r w:rsidR="00D32A9D">
        <w:rPr>
          <w:rFonts w:ascii="Calibri" w:eastAsia="Calibri" w:hAnsi="Calibri" w:cs="Times New Roman"/>
        </w:rPr>
        <w:t xml:space="preserve">Managers and organisations </w:t>
      </w:r>
      <w:r w:rsidRPr="00E6060C">
        <w:rPr>
          <w:rFonts w:ascii="Calibri" w:eastAsia="Calibri" w:hAnsi="Calibri" w:cs="Times New Roman"/>
        </w:rPr>
        <w:t xml:space="preserve">could </w:t>
      </w:r>
      <w:r w:rsidR="00D32A9D">
        <w:rPr>
          <w:rFonts w:ascii="Calibri" w:eastAsia="Calibri" w:hAnsi="Calibri" w:cs="Times New Roman"/>
        </w:rPr>
        <w:t>employ</w:t>
      </w:r>
      <w:r w:rsidRPr="00E6060C">
        <w:rPr>
          <w:rFonts w:ascii="Calibri" w:eastAsia="Calibri" w:hAnsi="Calibri" w:cs="Times New Roman"/>
        </w:rPr>
        <w:t xml:space="preserve"> group </w:t>
      </w:r>
      <w:r w:rsidR="00D32A9D">
        <w:rPr>
          <w:rFonts w:ascii="Calibri" w:eastAsia="Calibri" w:hAnsi="Calibri" w:cs="Times New Roman"/>
        </w:rPr>
        <w:t xml:space="preserve">programmes </w:t>
      </w:r>
      <w:r w:rsidRPr="00E6060C">
        <w:rPr>
          <w:rFonts w:ascii="Calibri" w:eastAsia="Calibri" w:hAnsi="Calibri" w:cs="Times New Roman"/>
        </w:rPr>
        <w:t xml:space="preserve">within </w:t>
      </w:r>
      <w:r w:rsidR="00D32A9D">
        <w:rPr>
          <w:rFonts w:ascii="Calibri" w:eastAsia="Calibri" w:hAnsi="Calibri" w:cs="Times New Roman"/>
        </w:rPr>
        <w:t xml:space="preserve">the </w:t>
      </w:r>
      <w:r w:rsidRPr="00E6060C">
        <w:rPr>
          <w:rFonts w:ascii="Calibri" w:eastAsia="Calibri" w:hAnsi="Calibri" w:cs="Times New Roman"/>
        </w:rPr>
        <w:t xml:space="preserve">different </w:t>
      </w:r>
      <w:r w:rsidR="00D32A9D">
        <w:rPr>
          <w:rFonts w:ascii="Calibri" w:eastAsia="Calibri" w:hAnsi="Calibri" w:cs="Times New Roman"/>
        </w:rPr>
        <w:t>intervention types</w:t>
      </w:r>
      <w:r w:rsidRPr="00E6060C">
        <w:rPr>
          <w:rFonts w:ascii="Calibri" w:eastAsia="Calibri" w:hAnsi="Calibri" w:cs="Times New Roman"/>
        </w:rPr>
        <w:t xml:space="preserve">, </w:t>
      </w:r>
      <w:r w:rsidR="00D32A9D">
        <w:rPr>
          <w:rFonts w:ascii="Calibri" w:eastAsia="Calibri" w:hAnsi="Calibri" w:cs="Times New Roman"/>
        </w:rPr>
        <w:t>according to</w:t>
      </w:r>
      <w:r w:rsidRPr="00E6060C">
        <w:rPr>
          <w:rFonts w:ascii="Calibri" w:eastAsia="Calibri" w:hAnsi="Calibri" w:cs="Times New Roman"/>
        </w:rPr>
        <w:t xml:space="preserve"> the taxonomy developed by this study. </w:t>
      </w:r>
      <w:r w:rsidR="004A01BB">
        <w:rPr>
          <w:rFonts w:ascii="Calibri" w:eastAsia="Calibri" w:hAnsi="Calibri" w:cs="Times New Roman"/>
        </w:rPr>
        <w:t xml:space="preserve">It would be particularly productive if organisations and researchers worked together to design and implement such interventions, increasing the efficiency with which </w:t>
      </w:r>
      <w:r w:rsidR="00562A83">
        <w:rPr>
          <w:rFonts w:ascii="Calibri" w:eastAsia="Calibri" w:hAnsi="Calibri" w:cs="Times New Roman"/>
        </w:rPr>
        <w:t xml:space="preserve">evidence-based, </w:t>
      </w:r>
      <w:r w:rsidR="004A01BB">
        <w:rPr>
          <w:rFonts w:ascii="Calibri" w:eastAsia="Calibri" w:hAnsi="Calibri" w:cs="Times New Roman"/>
        </w:rPr>
        <w:t>effective group programmes can be developed.</w:t>
      </w:r>
      <w:r w:rsidR="005C796D">
        <w:rPr>
          <w:rFonts w:ascii="Calibri" w:eastAsia="Calibri" w:hAnsi="Calibri" w:cs="Times New Roman"/>
        </w:rPr>
        <w:t xml:space="preserve"> These are likely to be most successful if implication 2 (below) is also considered. </w:t>
      </w:r>
    </w:p>
    <w:p w14:paraId="0A05D346" w14:textId="1D2132F2" w:rsidR="00015198" w:rsidRDefault="00015198" w:rsidP="00015198">
      <w:pPr>
        <w:spacing w:after="200" w:line="360" w:lineRule="auto"/>
        <w:contextualSpacing/>
        <w:rPr>
          <w:rFonts w:ascii="Calibri" w:eastAsia="Calibri" w:hAnsi="Calibri" w:cs="Times New Roman"/>
        </w:rPr>
      </w:pPr>
    </w:p>
    <w:p w14:paraId="1DAC35EC" w14:textId="1EF071F7" w:rsidR="004A01BB" w:rsidRPr="004A01BB" w:rsidRDefault="004A01BB" w:rsidP="00015198">
      <w:pPr>
        <w:spacing w:after="200" w:line="360" w:lineRule="auto"/>
        <w:contextualSpacing/>
        <w:rPr>
          <w:rFonts w:ascii="Calibri" w:eastAsia="Calibri" w:hAnsi="Calibri" w:cs="Times New Roman"/>
          <w:b/>
        </w:rPr>
      </w:pPr>
      <w:r w:rsidRPr="004A01BB">
        <w:rPr>
          <w:rFonts w:ascii="Calibri" w:eastAsia="Calibri" w:hAnsi="Calibri" w:cs="Times New Roman"/>
          <w:b/>
        </w:rPr>
        <w:t>Implicati</w:t>
      </w:r>
      <w:r w:rsidR="002F7524">
        <w:rPr>
          <w:rFonts w:ascii="Calibri" w:eastAsia="Calibri" w:hAnsi="Calibri" w:cs="Times New Roman"/>
          <w:b/>
        </w:rPr>
        <w:t xml:space="preserve">on 2: The need for managers, </w:t>
      </w:r>
      <w:r w:rsidRPr="004A01BB">
        <w:rPr>
          <w:rFonts w:ascii="Calibri" w:eastAsia="Calibri" w:hAnsi="Calibri" w:cs="Times New Roman"/>
          <w:b/>
        </w:rPr>
        <w:t xml:space="preserve">organisations </w:t>
      </w:r>
      <w:r w:rsidR="002F7524">
        <w:rPr>
          <w:rFonts w:ascii="Calibri" w:eastAsia="Calibri" w:hAnsi="Calibri" w:cs="Times New Roman"/>
          <w:b/>
        </w:rPr>
        <w:t xml:space="preserve">and practitioners </w:t>
      </w:r>
      <w:r w:rsidRPr="004A01BB">
        <w:rPr>
          <w:rFonts w:ascii="Calibri" w:eastAsia="Calibri" w:hAnsi="Calibri" w:cs="Times New Roman"/>
          <w:b/>
        </w:rPr>
        <w:t xml:space="preserve">to assess organisational and </w:t>
      </w:r>
      <w:r w:rsidR="00922269">
        <w:rPr>
          <w:rFonts w:ascii="Calibri" w:eastAsia="Calibri" w:hAnsi="Calibri" w:cs="Times New Roman"/>
          <w:b/>
        </w:rPr>
        <w:t>employee</w:t>
      </w:r>
      <w:r w:rsidRPr="004A01BB">
        <w:rPr>
          <w:rFonts w:ascii="Calibri" w:eastAsia="Calibri" w:hAnsi="Calibri" w:cs="Times New Roman"/>
          <w:b/>
        </w:rPr>
        <w:t xml:space="preserve"> readiness for change prior to an intervention and </w:t>
      </w:r>
      <w:r>
        <w:rPr>
          <w:rFonts w:ascii="Calibri" w:eastAsia="Calibri" w:hAnsi="Calibri" w:cs="Times New Roman"/>
          <w:b/>
        </w:rPr>
        <w:t>to provide strong senior manager support</w:t>
      </w:r>
      <w:r w:rsidR="002F7524">
        <w:rPr>
          <w:rFonts w:ascii="Calibri" w:eastAsia="Calibri" w:hAnsi="Calibri" w:cs="Times New Roman"/>
          <w:b/>
        </w:rPr>
        <w:t xml:space="preserve"> for interventions</w:t>
      </w:r>
    </w:p>
    <w:p w14:paraId="36C736AC" w14:textId="77777777" w:rsidR="0047003A" w:rsidRDefault="0047003A" w:rsidP="00015198">
      <w:pPr>
        <w:spacing w:after="200" w:line="360" w:lineRule="auto"/>
        <w:contextualSpacing/>
        <w:rPr>
          <w:rFonts w:ascii="Calibri" w:eastAsia="Calibri" w:hAnsi="Calibri" w:cs="Times New Roman"/>
        </w:rPr>
      </w:pPr>
    </w:p>
    <w:p w14:paraId="1C86CE8B" w14:textId="3719EE99" w:rsidR="00015198" w:rsidRPr="00E6060C" w:rsidRDefault="00015198" w:rsidP="00015198">
      <w:pPr>
        <w:spacing w:after="200" w:line="360" w:lineRule="auto"/>
        <w:contextualSpacing/>
        <w:rPr>
          <w:rFonts w:ascii="Calibri" w:eastAsia="Calibri" w:hAnsi="Calibri" w:cs="Times New Roman"/>
        </w:rPr>
      </w:pPr>
      <w:r w:rsidRPr="00E6060C">
        <w:rPr>
          <w:rFonts w:ascii="Calibri" w:eastAsia="Calibri" w:hAnsi="Calibri" w:cs="Times New Roman"/>
        </w:rPr>
        <w:t>A</w:t>
      </w:r>
      <w:r w:rsidR="004A01BB">
        <w:rPr>
          <w:rFonts w:ascii="Calibri" w:eastAsia="Calibri" w:hAnsi="Calibri" w:cs="Times New Roman"/>
        </w:rPr>
        <w:t>nother</w:t>
      </w:r>
      <w:r w:rsidRPr="00E6060C">
        <w:rPr>
          <w:rFonts w:ascii="Calibri" w:eastAsia="Calibri" w:hAnsi="Calibri" w:cs="Times New Roman"/>
        </w:rPr>
        <w:t xml:space="preserve"> key implication is the need for</w:t>
      </w:r>
      <w:r w:rsidR="004A01BB">
        <w:rPr>
          <w:rFonts w:ascii="Calibri" w:eastAsia="Calibri" w:hAnsi="Calibri" w:cs="Times New Roman"/>
        </w:rPr>
        <w:t xml:space="preserve"> managers</w:t>
      </w:r>
      <w:r w:rsidRPr="00E6060C">
        <w:rPr>
          <w:rFonts w:ascii="Calibri" w:eastAsia="Calibri" w:hAnsi="Calibri" w:cs="Times New Roman"/>
        </w:rPr>
        <w:t xml:space="preserve"> </w:t>
      </w:r>
      <w:r w:rsidR="004A01BB">
        <w:rPr>
          <w:rFonts w:ascii="Calibri" w:eastAsia="Calibri" w:hAnsi="Calibri" w:cs="Times New Roman"/>
        </w:rPr>
        <w:t xml:space="preserve">and </w:t>
      </w:r>
      <w:r w:rsidRPr="00E6060C">
        <w:rPr>
          <w:rFonts w:ascii="Calibri" w:eastAsia="Calibri" w:hAnsi="Calibri" w:cs="Times New Roman"/>
        </w:rPr>
        <w:t>organisations to assess organisational and participant readiness for change prior to an intervention</w:t>
      </w:r>
      <w:r w:rsidR="002F7524">
        <w:rPr>
          <w:rFonts w:ascii="Calibri" w:eastAsia="Calibri" w:hAnsi="Calibri" w:cs="Times New Roman"/>
        </w:rPr>
        <w:t>. A</w:t>
      </w:r>
      <w:r w:rsidRPr="00E6060C">
        <w:rPr>
          <w:rFonts w:ascii="Calibri" w:eastAsia="Calibri" w:hAnsi="Calibri" w:cs="Times New Roman"/>
        </w:rPr>
        <w:t xml:space="preserve">longside this, </w:t>
      </w:r>
      <w:r w:rsidR="002F7524">
        <w:rPr>
          <w:rFonts w:ascii="Calibri" w:eastAsia="Calibri" w:hAnsi="Calibri" w:cs="Times New Roman"/>
        </w:rPr>
        <w:t>managers and senior managers need to offer strong support</w:t>
      </w:r>
      <w:r w:rsidRPr="00E6060C">
        <w:rPr>
          <w:rFonts w:ascii="Calibri" w:eastAsia="Calibri" w:hAnsi="Calibri" w:cs="Times New Roman"/>
        </w:rPr>
        <w:t xml:space="preserve"> for the intervention. Several studies highlighted organisation wide factors which are likely to have impeded the ability to implement interventions effectively due to the impact on participant workload, motivation, and morale. These </w:t>
      </w:r>
      <w:r w:rsidR="005707E0">
        <w:rPr>
          <w:rFonts w:ascii="Calibri" w:eastAsia="Calibri" w:hAnsi="Calibri" w:cs="Times New Roman"/>
        </w:rPr>
        <w:t>are</w:t>
      </w:r>
      <w:r w:rsidRPr="00E6060C">
        <w:rPr>
          <w:rFonts w:ascii="Calibri" w:eastAsia="Calibri" w:hAnsi="Calibri" w:cs="Times New Roman"/>
        </w:rPr>
        <w:t xml:space="preserve"> discussed in the limitations section and will not be elaborated upon here, however, examples include mergers, organisational restructuring, redundancy, and a general climate of job insecurity and change. If the organisational climate is not conducive to change, and employees do not </w:t>
      </w:r>
      <w:r>
        <w:rPr>
          <w:rFonts w:ascii="Calibri" w:eastAsia="Calibri" w:hAnsi="Calibri" w:cs="Times New Roman"/>
        </w:rPr>
        <w:t xml:space="preserve">maintain the motivation to </w:t>
      </w:r>
      <w:r>
        <w:rPr>
          <w:rFonts w:ascii="Calibri" w:eastAsia="Calibri" w:hAnsi="Calibri" w:cs="Times New Roman"/>
        </w:rPr>
        <w:lastRenderedPageBreak/>
        <w:t xml:space="preserve">change throughout the intervention, </w:t>
      </w:r>
      <w:r w:rsidRPr="00E6060C">
        <w:rPr>
          <w:rFonts w:ascii="Calibri" w:eastAsia="Calibri" w:hAnsi="Calibri" w:cs="Times New Roman"/>
        </w:rPr>
        <w:t xml:space="preserve">change is unlikely to happen (Nielsen, Randall et al., 2010). Research has shown that managers have an important role in conveying intervention benefits to their employees and actively motivating them to participate. Support is necessary from the top down, with top level managers needing to convey their belief in the value of the intervention to the senior and middle level managers below them and all remaining managerial levels. Without this, employees are unlikely to feel supported to attend interventions and actively engage, and may not understand why doing so is important (Nielsen, Randall et al., 2010). Lack of support from top management was indeed cited by several participants as to why they were unable or unmotivated to take part (e.g. Rigotti et al., 2014; Strijk et al., 2013). Organisations, practitioners, and researchers who are serious about increasing the work engagement of employees, then, must first assess whether the organisational climate is appropriate for change, and whether the buy-in of managers and employees can be gained. </w:t>
      </w:r>
    </w:p>
    <w:p w14:paraId="5EFE0BFA" w14:textId="77777777" w:rsidR="00015198" w:rsidRDefault="00015198" w:rsidP="00E6060C">
      <w:pPr>
        <w:spacing w:before="200" w:line="360" w:lineRule="auto"/>
        <w:contextualSpacing/>
        <w:rPr>
          <w:rFonts w:ascii="Calibri" w:eastAsia="Calibri" w:hAnsi="Calibri" w:cs="Times New Roman"/>
        </w:rPr>
      </w:pPr>
    </w:p>
    <w:p w14:paraId="3127AACF" w14:textId="1F62382D" w:rsidR="00E6060C" w:rsidRPr="00B7614E" w:rsidRDefault="00E6060C" w:rsidP="0009618B">
      <w:pPr>
        <w:pStyle w:val="Heading3"/>
      </w:pPr>
      <w:bookmarkStart w:id="539" w:name="_Ref453593658"/>
      <w:bookmarkStart w:id="540" w:name="_Toc468286041"/>
      <w:r w:rsidRPr="00B7614E">
        <w:t>Limitations</w:t>
      </w:r>
      <w:bookmarkEnd w:id="539"/>
      <w:bookmarkEnd w:id="540"/>
      <w:r w:rsidRPr="00B7614E">
        <w:t xml:space="preserve"> </w:t>
      </w:r>
      <w:bookmarkEnd w:id="525"/>
    </w:p>
    <w:p w14:paraId="59D08A7C" w14:textId="77777777" w:rsidR="00E6060C" w:rsidRPr="00E6060C" w:rsidRDefault="00E6060C" w:rsidP="00E6060C">
      <w:pPr>
        <w:spacing w:after="200" w:line="360" w:lineRule="auto"/>
        <w:contextualSpacing/>
        <w:rPr>
          <w:rFonts w:ascii="Calibri" w:eastAsia="Calibri" w:hAnsi="Calibri" w:cs="Times New Roman"/>
        </w:rPr>
      </w:pPr>
    </w:p>
    <w:p w14:paraId="305DA0BC" w14:textId="42D025E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There were four key limitations which related to Study 1: the low number of studies included in the meta-analyses, the potential for misclassification of studies into categories, heterogeneity between the studies, and study quality. In terms of sample size, the number of interventions which were captured by the systematic search was limited, making it difficult to draw conclusions about their effectiveness. In particular, the study sample size affected the number which could be categorised into each of the four categories of intervention type, and made it difficult to determine whether particular types were more effective than other types. The sample size of the narrative systematic review (</w:t>
      </w:r>
      <w:r w:rsidRPr="00E6060C">
        <w:rPr>
          <w:rFonts w:ascii="Calibri" w:eastAsia="Calibri" w:hAnsi="Calibri" w:cs="Times New Roman"/>
          <w:i/>
        </w:rPr>
        <w:t>k</w:t>
      </w:r>
      <w:r w:rsidRPr="00E6060C">
        <w:rPr>
          <w:rFonts w:ascii="Calibri" w:eastAsia="Calibri" w:hAnsi="Calibri" w:cs="Times New Roman"/>
        </w:rPr>
        <w:t>=33) was reduced in order to conduct meta-analyses, which are only possible with studies meeting certain methodological criteria (</w:t>
      </w:r>
      <w:r w:rsidRPr="00E6060C">
        <w:rPr>
          <w:rFonts w:ascii="Calibri" w:eastAsia="Calibri" w:hAnsi="Calibri" w:cs="Times New Roman"/>
          <w:i/>
        </w:rPr>
        <w:t>k</w:t>
      </w:r>
      <w:r w:rsidRPr="00E6060C">
        <w:rPr>
          <w:rFonts w:ascii="Calibri" w:eastAsia="Calibri" w:hAnsi="Calibri" w:cs="Times New Roman"/>
        </w:rPr>
        <w:t xml:space="preserve">=20). Categorising these twenty studies according to outcome, type, style, and other characteristics, enabling all three aims of the meta-analysis to be investigated, resulted in sometimes very small numbers within subcategories. Low sample sizes can decrease the robustness of the results and in this case prevented moderator analyses from being conducted within subcategories, limiting the extent to which conclusions could be drawn. Nevertheless, small numbers of studies within subcategories are not unusual in organizational psychology research (e.g. </w:t>
      </w:r>
      <w:r w:rsidR="00E067D9" w:rsidRPr="00C53B72">
        <w:t>Maricuţoiu</w:t>
      </w:r>
      <w:r w:rsidRPr="00E6060C">
        <w:rPr>
          <w:rFonts w:ascii="Calibri" w:eastAsia="Calibri" w:hAnsi="Calibri" w:cs="Times New Roman"/>
        </w:rPr>
        <w:t xml:space="preserve"> et al., 2014; Richardson &amp; Rothstein, 2008)</w:t>
      </w:r>
      <w:r w:rsidRPr="00E6060C">
        <w:rPr>
          <w:rFonts w:ascii="Times New Roman" w:eastAsia="Calibri" w:hAnsi="Times New Roman" w:cs="Times New Roman"/>
          <w:sz w:val="24"/>
          <w:szCs w:val="24"/>
        </w:rPr>
        <w:t xml:space="preserve"> </w:t>
      </w:r>
      <w:r w:rsidRPr="00E6060C">
        <w:rPr>
          <w:rFonts w:ascii="Calibri" w:eastAsia="Calibri" w:hAnsi="Calibri" w:cs="Times New Roman"/>
        </w:rPr>
        <w:t>and sensitivity analyses di</w:t>
      </w:r>
      <w:r w:rsidR="006C5FC3">
        <w:rPr>
          <w:rFonts w:ascii="Calibri" w:eastAsia="Calibri" w:hAnsi="Calibri" w:cs="Times New Roman"/>
        </w:rPr>
        <w:t xml:space="preserve">d not indicate biased results. With time, the number of intervention studies is likely to increase which will reduce the effect of a low sample size on the results of future meta-analyses. </w:t>
      </w:r>
    </w:p>
    <w:p w14:paraId="12EC1AD3" w14:textId="77777777" w:rsidR="00E6060C" w:rsidRPr="00E6060C" w:rsidRDefault="00E6060C" w:rsidP="00E6060C">
      <w:pPr>
        <w:spacing w:after="200" w:line="360" w:lineRule="auto"/>
        <w:contextualSpacing/>
        <w:rPr>
          <w:rFonts w:ascii="Calibri" w:eastAsia="Calibri" w:hAnsi="Calibri" w:cs="Times New Roman"/>
        </w:rPr>
      </w:pPr>
    </w:p>
    <w:p w14:paraId="06CDD1EB" w14:textId="2A2E8C58"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In terms of misclassification of studies into categories, it is possible that erroneous judgements could have been made regarding which intervention should be classified as which type. This is because </w:t>
      </w:r>
      <w:r w:rsidRPr="00E6060C">
        <w:rPr>
          <w:rFonts w:ascii="Calibri" w:eastAsia="Calibri" w:hAnsi="Calibri" w:cs="Times New Roman"/>
        </w:rPr>
        <w:lastRenderedPageBreak/>
        <w:t xml:space="preserve">most studies contained a number of different intervention components and involved a number of different styles of delivery. Inconsistent or poor judgements would have had implications for the results. However, a significant percentage of the 33 studies (61%, </w:t>
      </w:r>
      <w:r w:rsidRPr="00E6060C">
        <w:rPr>
          <w:rFonts w:ascii="Calibri" w:eastAsia="Calibri" w:hAnsi="Calibri" w:cs="Times New Roman"/>
          <w:i/>
        </w:rPr>
        <w:t>k</w:t>
      </w:r>
      <w:r w:rsidRPr="00E6060C">
        <w:rPr>
          <w:rFonts w:ascii="Calibri" w:eastAsia="Calibri" w:hAnsi="Calibri" w:cs="Times New Roman"/>
        </w:rPr>
        <w:t>=20, i.e. all those included in the meta-analysis), were double coded by an independent researcher according to a detailed coding guide (Appendix 2), and agreement reached 100%, limiting this possibility.</w:t>
      </w:r>
      <w:r w:rsidR="006C5FC3">
        <w:rPr>
          <w:rFonts w:ascii="Calibri" w:eastAsia="Calibri" w:hAnsi="Calibri" w:cs="Times New Roman"/>
        </w:rPr>
        <w:t xml:space="preserve"> Future studies could consider employing three coders, in order to further mitigate against these effects. </w:t>
      </w:r>
    </w:p>
    <w:p w14:paraId="536B03AA" w14:textId="1CF6D81E"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terms of heterogeneity, there was considerable variation between the studies in terms of content, style, location, organisation recruited, and participant sample, amongst other factors. Meta-analytic moderator analysis revealed that heterogeneity was still high even when studies were classified within subgroups. This suggests that other moderators could help to explain the results, however, an investigation of these was not possible for the reasons discussed above. High heterogeneity, therefore, compounded the ability to draw conclusions, such as which characteristics might be most effective f</w:t>
      </w:r>
      <w:r w:rsidR="00DA6BCE">
        <w:rPr>
          <w:rFonts w:ascii="Calibri" w:eastAsia="Calibri" w:hAnsi="Calibri" w:cs="Times New Roman"/>
        </w:rPr>
        <w:t xml:space="preserve">or increasing work engagement. As the field matures, this issue could resolve itself somewhat. For example, if researchers adopt the taxonomy presented in this study, conduct repetition studies, and develop interventions based on those already conducted, it is likely that the heterogeneity between studies will decrease.  </w:t>
      </w:r>
    </w:p>
    <w:p w14:paraId="4B787D8E" w14:textId="77777777" w:rsidR="00E6060C" w:rsidRPr="00E6060C" w:rsidRDefault="00E6060C" w:rsidP="00E6060C">
      <w:pPr>
        <w:spacing w:after="200" w:line="360" w:lineRule="auto"/>
        <w:contextualSpacing/>
        <w:rPr>
          <w:rFonts w:ascii="Calibri" w:eastAsia="Calibri" w:hAnsi="Calibri" w:cs="Times New Roman"/>
        </w:rPr>
      </w:pPr>
    </w:p>
    <w:p w14:paraId="5482E00C" w14:textId="002A800A" w:rsidR="00B50C43"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terms of quality, the discussion of Aim 3 emphasised the considerable variety between the studies and discussed these factors in relation to literature in-depth. A similar discussion will not be repeated here, however, it is important to note that the quality of the studies was a limitation affecting the degree to which conclusions about the effectiveness of work engagement interventions could be drawn. In summary, factors affecting study quality included designs which prevented an assessment of effect either across time or between groups (i.e. they lacked a control or comparison / referent group, respectively), poor response and attrition rates, poor fidelity, compliance and reach, and unplanned, adverse events such as redundancy, job insecurity, and corporate mergers. The results of evaluation surveys, which were completed by participants in some studies, suggested that lack of support from top management, lack of time to attend interventions, competing demands taking priority, sickness absence, annual leave, and inconveniently timed or located interventions</w:t>
      </w:r>
      <w:r w:rsidR="00922269">
        <w:rPr>
          <w:rFonts w:ascii="Calibri" w:eastAsia="Calibri" w:hAnsi="Calibri" w:cs="Times New Roman"/>
        </w:rPr>
        <w:t>,</w:t>
      </w:r>
      <w:r w:rsidRPr="00E6060C">
        <w:rPr>
          <w:rFonts w:ascii="Calibri" w:eastAsia="Calibri" w:hAnsi="Calibri" w:cs="Times New Roman"/>
        </w:rPr>
        <w:t xml:space="preserve"> were reasons why participants were not able or unmotivated to attend. These factors served to highlight the difficulties associated with conducting intervention research in organisations, and reiterated findings from the literature (discussed in relation to Aim 3 above; section </w:t>
      </w:r>
      <w:r w:rsidR="00B51840">
        <w:rPr>
          <w:rFonts w:ascii="Calibri" w:eastAsia="Calibri" w:hAnsi="Calibri" w:cs="Times New Roman"/>
        </w:rPr>
        <w:fldChar w:fldCharType="begin"/>
      </w:r>
      <w:r w:rsidR="00B51840">
        <w:rPr>
          <w:rFonts w:ascii="Calibri" w:eastAsia="Calibri" w:hAnsi="Calibri" w:cs="Times New Roman"/>
        </w:rPr>
        <w:instrText xml:space="preserve"> REF _Ref453594153 \r \h </w:instrText>
      </w:r>
      <w:r w:rsidR="00B51840">
        <w:rPr>
          <w:rFonts w:ascii="Calibri" w:eastAsia="Calibri" w:hAnsi="Calibri" w:cs="Times New Roman"/>
        </w:rPr>
      </w:r>
      <w:r w:rsidR="00B51840">
        <w:rPr>
          <w:rFonts w:ascii="Calibri" w:eastAsia="Calibri" w:hAnsi="Calibri" w:cs="Times New Roman"/>
        </w:rPr>
        <w:fldChar w:fldCharType="separate"/>
      </w:r>
      <w:r w:rsidR="00152F6D">
        <w:rPr>
          <w:rFonts w:ascii="Calibri" w:eastAsia="Calibri" w:hAnsi="Calibri" w:cs="Times New Roman"/>
        </w:rPr>
        <w:t>10.1.3</w:t>
      </w:r>
      <w:r w:rsidR="00B51840">
        <w:rPr>
          <w:rFonts w:ascii="Calibri" w:eastAsia="Calibri" w:hAnsi="Calibri" w:cs="Times New Roman"/>
        </w:rPr>
        <w:fldChar w:fldCharType="end"/>
      </w:r>
      <w:r w:rsidRPr="00E6060C">
        <w:rPr>
          <w:rFonts w:ascii="Calibri" w:eastAsia="Calibri" w:hAnsi="Calibri" w:cs="Times New Roman"/>
        </w:rPr>
        <w:t>).</w:t>
      </w:r>
      <w:r w:rsidR="00922269">
        <w:rPr>
          <w:rFonts w:ascii="Calibri" w:eastAsia="Calibri" w:hAnsi="Calibri" w:cs="Times New Roman"/>
        </w:rPr>
        <w:t xml:space="preserve"> </w:t>
      </w:r>
    </w:p>
    <w:p w14:paraId="46D90946" w14:textId="77777777" w:rsidR="00B50C43" w:rsidRDefault="00B50C43" w:rsidP="00E6060C">
      <w:pPr>
        <w:spacing w:after="200" w:line="360" w:lineRule="auto"/>
        <w:contextualSpacing/>
        <w:rPr>
          <w:rFonts w:ascii="Calibri" w:eastAsia="Calibri" w:hAnsi="Calibri" w:cs="Times New Roman"/>
        </w:rPr>
      </w:pPr>
    </w:p>
    <w:p w14:paraId="68758088" w14:textId="3403EF28" w:rsidR="00E6060C" w:rsidRPr="00E6060C" w:rsidRDefault="00B50C43" w:rsidP="00E6060C">
      <w:pPr>
        <w:spacing w:after="200" w:line="360" w:lineRule="auto"/>
        <w:contextualSpacing/>
        <w:rPr>
          <w:rFonts w:ascii="Calibri" w:eastAsia="Calibri" w:hAnsi="Calibri" w:cs="Times New Roman"/>
        </w:rPr>
      </w:pPr>
      <w:r>
        <w:rPr>
          <w:rFonts w:ascii="Calibri" w:eastAsia="Calibri" w:hAnsi="Calibri" w:cs="Times New Roman"/>
        </w:rPr>
        <w:t xml:space="preserve">To reduce the effects of poor study quality, future studies could endeavour at the outset to </w:t>
      </w:r>
      <w:r w:rsidR="00922269">
        <w:rPr>
          <w:rFonts w:ascii="Calibri" w:eastAsia="Calibri" w:hAnsi="Calibri" w:cs="Times New Roman"/>
        </w:rPr>
        <w:t>adopt</w:t>
      </w:r>
      <w:r>
        <w:rPr>
          <w:rFonts w:ascii="Calibri" w:eastAsia="Calibri" w:hAnsi="Calibri" w:cs="Times New Roman"/>
        </w:rPr>
        <w:t xml:space="preserve"> high quality designs, that is, those which are multi-wave, and contain a comparison group as well as </w:t>
      </w:r>
      <w:r>
        <w:rPr>
          <w:rFonts w:ascii="Calibri" w:eastAsia="Calibri" w:hAnsi="Calibri" w:cs="Times New Roman"/>
        </w:rPr>
        <w:lastRenderedPageBreak/>
        <w:t xml:space="preserve">an intervention group. In addition, studies could adhere to </w:t>
      </w:r>
      <w:r w:rsidR="00922269">
        <w:rPr>
          <w:rFonts w:ascii="Calibri" w:eastAsia="Calibri" w:hAnsi="Calibri" w:cs="Times New Roman"/>
        </w:rPr>
        <w:t>the second implication for practice highlighted above, namely, to assess organisational and employee readiness for change prior to interventions, and attempt to gain and maintain strong senior manager support for interventions</w:t>
      </w:r>
      <w:r>
        <w:rPr>
          <w:rFonts w:ascii="Calibri" w:eastAsia="Calibri" w:hAnsi="Calibri" w:cs="Times New Roman"/>
        </w:rPr>
        <w:t xml:space="preserve">. </w:t>
      </w:r>
      <w:r w:rsidR="00922269">
        <w:rPr>
          <w:rFonts w:ascii="Calibri" w:eastAsia="Calibri" w:hAnsi="Calibri" w:cs="Times New Roman"/>
        </w:rPr>
        <w:t>Furthermore, endeavouring to conduct process evaluations, highlighted in relation to research contribution 1, would enable a deeper exploration of which factors may have contributed to the success, or otherwise, of interventions</w:t>
      </w:r>
      <w:r>
        <w:rPr>
          <w:rFonts w:ascii="Calibri" w:eastAsia="Calibri" w:hAnsi="Calibri" w:cs="Times New Roman"/>
        </w:rPr>
        <w:t xml:space="preserve">, and guard against erroneous conclusions based on purely statistical results. Together, the careful design, implementation, and evaluation of intervention studies is likely to be </w:t>
      </w:r>
      <w:r w:rsidR="003304BE">
        <w:rPr>
          <w:rFonts w:ascii="Calibri" w:eastAsia="Calibri" w:hAnsi="Calibri" w:cs="Times New Roman"/>
        </w:rPr>
        <w:t>imperative for improving study quality.</w:t>
      </w:r>
      <w:r>
        <w:rPr>
          <w:rFonts w:ascii="Calibri" w:eastAsia="Calibri" w:hAnsi="Calibri" w:cs="Times New Roman"/>
        </w:rPr>
        <w:t xml:space="preserve">  </w:t>
      </w:r>
      <w:r w:rsidR="00922269">
        <w:rPr>
          <w:rFonts w:ascii="Calibri" w:eastAsia="Calibri" w:hAnsi="Calibri" w:cs="Times New Roman"/>
        </w:rPr>
        <w:t xml:space="preserve">  </w:t>
      </w:r>
    </w:p>
    <w:p w14:paraId="2B3FB235" w14:textId="6A2A480F" w:rsidR="00DD3B05" w:rsidRDefault="00DD3B05" w:rsidP="00DD3B05">
      <w:pPr>
        <w:spacing w:after="200" w:line="360" w:lineRule="auto"/>
        <w:contextualSpacing/>
        <w:rPr>
          <w:rFonts w:ascii="Calibri" w:eastAsia="Calibri" w:hAnsi="Calibri" w:cs="Times New Roman"/>
        </w:rPr>
      </w:pPr>
    </w:p>
    <w:p w14:paraId="40E714DB" w14:textId="2D86F0C8" w:rsidR="00E6060C" w:rsidRPr="00E6060C" w:rsidRDefault="00E6060C" w:rsidP="00B7614E">
      <w:pPr>
        <w:pStyle w:val="Thesisheading2"/>
      </w:pPr>
      <w:bookmarkStart w:id="541" w:name="_Ref468108657"/>
      <w:bookmarkStart w:id="542" w:name="_Toc468286042"/>
      <w:r w:rsidRPr="00E6060C">
        <w:t>Study 2: Evaluating the effectiveness of a participatory action research intervention to increase work engagement in nursing staff on acute elderly NHS wards</w:t>
      </w:r>
      <w:bookmarkEnd w:id="541"/>
      <w:bookmarkEnd w:id="542"/>
      <w:r w:rsidRPr="00E6060C">
        <w:t xml:space="preserve"> </w:t>
      </w:r>
    </w:p>
    <w:p w14:paraId="2C4A1682" w14:textId="77777777" w:rsidR="005C6176" w:rsidRDefault="005C6176" w:rsidP="005C6176"/>
    <w:p w14:paraId="3B59EDF7" w14:textId="15D81B8E" w:rsidR="0072579D" w:rsidRPr="0072579D" w:rsidRDefault="005C6176" w:rsidP="0009618B">
      <w:pPr>
        <w:pStyle w:val="Heading3"/>
        <w:rPr>
          <w:vanish/>
          <w:specVanish/>
        </w:rPr>
      </w:pPr>
      <w:bookmarkStart w:id="543" w:name="_Toc468286043"/>
      <w:r w:rsidRPr="0009618B">
        <w:t>Aim 1</w:t>
      </w:r>
      <w:bookmarkEnd w:id="543"/>
    </w:p>
    <w:p w14:paraId="2C67476D" w14:textId="4E6D4EC1" w:rsidR="0072579D" w:rsidRPr="0009618B" w:rsidRDefault="00E92138" w:rsidP="0072579D">
      <w:pPr>
        <w:rPr>
          <w:rFonts w:asciiTheme="majorHAnsi" w:eastAsia="Calibri" w:hAnsiTheme="majorHAnsi" w:cs="Times New Roman"/>
          <w:b/>
          <w:sz w:val="26"/>
          <w:szCs w:val="26"/>
        </w:rPr>
      </w:pPr>
      <w:r>
        <w:rPr>
          <w:rFonts w:asciiTheme="majorHAnsi" w:hAnsiTheme="majorHAnsi"/>
          <w:b/>
          <w:sz w:val="26"/>
          <w:szCs w:val="26"/>
        </w:rPr>
        <w:t xml:space="preserve">: </w:t>
      </w:r>
      <w:r w:rsidR="00E6060C" w:rsidRPr="0009618B">
        <w:rPr>
          <w:rFonts w:asciiTheme="majorHAnsi" w:hAnsiTheme="majorHAnsi"/>
          <w:b/>
          <w:sz w:val="26"/>
          <w:szCs w:val="26"/>
        </w:rPr>
        <w:t xml:space="preserve">To evaluate whether a </w:t>
      </w:r>
      <w:r w:rsidR="00597B3B">
        <w:rPr>
          <w:rFonts w:asciiTheme="majorHAnsi" w:hAnsiTheme="majorHAnsi"/>
          <w:b/>
          <w:sz w:val="26"/>
          <w:szCs w:val="26"/>
        </w:rPr>
        <w:t>group-level</w:t>
      </w:r>
      <w:r w:rsidR="00E6060C" w:rsidRPr="0009618B">
        <w:rPr>
          <w:rFonts w:asciiTheme="majorHAnsi" w:hAnsiTheme="majorHAnsi"/>
          <w:b/>
          <w:sz w:val="26"/>
          <w:szCs w:val="26"/>
        </w:rPr>
        <w:t xml:space="preserve"> participatory action research intervention with nursing staff on acute elderly NHS wards is effective for increasin</w:t>
      </w:r>
      <w:r w:rsidR="00760744" w:rsidRPr="0009618B">
        <w:rPr>
          <w:rFonts w:asciiTheme="majorHAnsi" w:hAnsiTheme="majorHAnsi"/>
          <w:b/>
          <w:sz w:val="26"/>
          <w:szCs w:val="26"/>
        </w:rPr>
        <w:t xml:space="preserve">g work engagement and </w:t>
      </w:r>
      <w:r w:rsidR="001D6140">
        <w:rPr>
          <w:rFonts w:asciiTheme="majorHAnsi" w:hAnsiTheme="majorHAnsi"/>
          <w:b/>
          <w:sz w:val="26"/>
          <w:szCs w:val="26"/>
        </w:rPr>
        <w:t>well-being</w:t>
      </w:r>
      <w:r w:rsidR="0072579D" w:rsidRPr="0009618B">
        <w:rPr>
          <w:rFonts w:asciiTheme="majorHAnsi" w:eastAsia="Calibri" w:hAnsiTheme="majorHAnsi" w:cs="Times New Roman"/>
          <w:b/>
          <w:sz w:val="26"/>
          <w:szCs w:val="26"/>
        </w:rPr>
        <w:t xml:space="preserve"> </w:t>
      </w:r>
    </w:p>
    <w:p w14:paraId="5EEDE2C3" w14:textId="77777777" w:rsidR="0072579D" w:rsidRDefault="0072579D" w:rsidP="00E6060C">
      <w:pPr>
        <w:spacing w:after="200" w:line="360" w:lineRule="auto"/>
        <w:contextualSpacing/>
        <w:rPr>
          <w:rFonts w:ascii="Calibri" w:eastAsia="Calibri" w:hAnsi="Calibri" w:cs="Times New Roman"/>
        </w:rPr>
      </w:pPr>
    </w:p>
    <w:p w14:paraId="36F572CE" w14:textId="52B22382"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Study 2 aimed to evaluate the effectiveness of a participatory action research intervention for increasing work engagement and </w:t>
      </w:r>
      <w:r w:rsidR="001D6140">
        <w:rPr>
          <w:rFonts w:ascii="Calibri" w:eastAsia="Calibri" w:hAnsi="Calibri" w:cs="Times New Roman"/>
        </w:rPr>
        <w:t>well-being</w:t>
      </w:r>
      <w:r w:rsidRPr="00E6060C">
        <w:rPr>
          <w:rFonts w:ascii="Calibri" w:eastAsia="Calibri" w:hAnsi="Calibri" w:cs="Times New Roman"/>
        </w:rPr>
        <w:t xml:space="preserve"> in nursing staff on acute elderly NHS wards. Results of repeated measures ANOVA, based on a matched sample (N=45), revealed that there was a significant difference between intervention and control groups pre- and post- intervention for the work-related basic need, relatedness, when </w:t>
      </w:r>
      <w:r w:rsidR="00D409F0">
        <w:rPr>
          <w:rFonts w:ascii="Calibri" w:eastAsia="Calibri" w:hAnsi="Calibri" w:cs="Times New Roman"/>
        </w:rPr>
        <w:t xml:space="preserve">controlling for </w:t>
      </w:r>
      <w:r w:rsidRPr="00E6060C">
        <w:rPr>
          <w:rFonts w:ascii="Calibri" w:eastAsia="Calibri" w:hAnsi="Calibri" w:cs="Times New Roman"/>
        </w:rPr>
        <w:t>role</w:t>
      </w:r>
      <w:r w:rsidR="00D409F0">
        <w:rPr>
          <w:rFonts w:ascii="Calibri" w:eastAsia="Calibri" w:hAnsi="Calibri" w:cs="Times New Roman"/>
        </w:rPr>
        <w:t>.</w:t>
      </w:r>
      <w:r w:rsidRPr="00E6060C">
        <w:rPr>
          <w:rFonts w:ascii="Calibri" w:eastAsia="Calibri" w:hAnsi="Calibri" w:cs="Times New Roman"/>
        </w:rPr>
        <w:t xml:space="preserve"> There was a borderline significant difference for competence. However, these results were not in the expected direction, with an increase in relatedness and competence being observed for the control group and a decrease being observed for the intervention group. These results indicate that neither work engagement nor </w:t>
      </w:r>
      <w:r w:rsidR="001D6140">
        <w:rPr>
          <w:rFonts w:ascii="Calibri" w:eastAsia="Calibri" w:hAnsi="Calibri" w:cs="Times New Roman"/>
        </w:rPr>
        <w:t>well-being</w:t>
      </w:r>
      <w:r w:rsidRPr="00E6060C">
        <w:rPr>
          <w:rFonts w:ascii="Calibri" w:eastAsia="Calibri" w:hAnsi="Calibri" w:cs="Times New Roman"/>
        </w:rPr>
        <w:t xml:space="preserve"> increased a</w:t>
      </w:r>
      <w:r w:rsidR="00211547">
        <w:rPr>
          <w:rFonts w:ascii="Calibri" w:eastAsia="Calibri" w:hAnsi="Calibri" w:cs="Times New Roman"/>
        </w:rPr>
        <w:t>s a result of the intervention.</w:t>
      </w:r>
    </w:p>
    <w:p w14:paraId="01421CAF" w14:textId="77777777" w:rsidR="00E6060C" w:rsidRPr="00E6060C" w:rsidRDefault="00E6060C" w:rsidP="00E6060C">
      <w:pPr>
        <w:spacing w:after="200" w:line="360" w:lineRule="auto"/>
        <w:contextualSpacing/>
        <w:rPr>
          <w:rFonts w:ascii="Calibri" w:eastAsia="Calibri" w:hAnsi="Calibri" w:cs="Times New Roman"/>
        </w:rPr>
      </w:pPr>
    </w:p>
    <w:p w14:paraId="605322DD" w14:textId="28B0F760"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decrease in relatedness in the intervention group suggests that individuals felt significantly less connected to others than those in the control group did, </w:t>
      </w:r>
      <w:r w:rsidR="0022229A">
        <w:rPr>
          <w:rFonts w:ascii="Calibri" w:eastAsia="Calibri" w:hAnsi="Calibri" w:cs="Times New Roman"/>
        </w:rPr>
        <w:t>between the pre- and post-</w:t>
      </w:r>
      <w:r w:rsidRPr="00E6060C">
        <w:rPr>
          <w:rFonts w:ascii="Calibri" w:eastAsia="Calibri" w:hAnsi="Calibri" w:cs="Times New Roman"/>
        </w:rPr>
        <w:t xml:space="preserve"> intervention</w:t>
      </w:r>
      <w:r w:rsidR="0022229A">
        <w:rPr>
          <w:rFonts w:ascii="Calibri" w:eastAsia="Calibri" w:hAnsi="Calibri" w:cs="Times New Roman"/>
        </w:rPr>
        <w:t xml:space="preserve"> measurements</w:t>
      </w:r>
      <w:r w:rsidRPr="00E6060C">
        <w:rPr>
          <w:rFonts w:ascii="Calibri" w:eastAsia="Calibri" w:hAnsi="Calibri" w:cs="Times New Roman"/>
        </w:rPr>
        <w:t xml:space="preserve">. According to </w:t>
      </w:r>
      <w:r w:rsidR="00A43B59">
        <w:rPr>
          <w:rFonts w:ascii="Calibri" w:eastAsia="Calibri" w:hAnsi="Calibri" w:cs="Times New Roman"/>
        </w:rPr>
        <w:t>JD-R</w:t>
      </w:r>
      <w:r w:rsidR="003714D5">
        <w:rPr>
          <w:rFonts w:ascii="Calibri" w:eastAsia="Calibri" w:hAnsi="Calibri" w:cs="Times New Roman"/>
        </w:rPr>
        <w:t xml:space="preserve"> theory (Bakker </w:t>
      </w:r>
      <w:r w:rsidR="00A859E7">
        <w:rPr>
          <w:rFonts w:ascii="Calibri" w:eastAsia="Calibri" w:hAnsi="Calibri" w:cs="Times New Roman"/>
        </w:rPr>
        <w:t>&amp;</w:t>
      </w:r>
      <w:r w:rsidRPr="00E6060C">
        <w:rPr>
          <w:rFonts w:ascii="Calibri" w:eastAsia="Calibri" w:hAnsi="Calibri" w:cs="Times New Roman"/>
        </w:rPr>
        <w:t xml:space="preserve"> Demerouti, 2008), need satisfaction mediates between resources and work engagement, hence it is not surprising that an increase in work engagement was not observed following decreased satisfaction of the need for relatedness. It is possible that Social Identity Theory (SIT) may explain these results, in the same way that Nielsen (2013) applied this theory to explain why interventions work. Nielsen posits that individuals who perceive themselves as sharing the characteristics of the ‘in-group’ will experience a sense of </w:t>
      </w:r>
      <w:r w:rsidRPr="00E6060C">
        <w:rPr>
          <w:rFonts w:ascii="Calibri" w:eastAsia="Calibri" w:hAnsi="Calibri" w:cs="Times New Roman"/>
        </w:rPr>
        <w:lastRenderedPageBreak/>
        <w:t>identity with that group. In terms of this intervention, the ‘in-group’ could have been perceived to be those invited to attend intervention workshops, that is, those actively involved in the intervention. This could have led to a decreased sense of belonging, or relatedness, for those working on the intervention wards but not actively participating in the intervention, that is, members of the ‘out-group’.</w:t>
      </w:r>
    </w:p>
    <w:p w14:paraId="280ED5B3" w14:textId="77777777" w:rsidR="008214C1" w:rsidRPr="00E6060C" w:rsidRDefault="008214C1" w:rsidP="00E6060C">
      <w:pPr>
        <w:spacing w:after="200" w:line="360" w:lineRule="auto"/>
        <w:contextualSpacing/>
        <w:rPr>
          <w:rFonts w:ascii="Calibri" w:eastAsia="Calibri" w:hAnsi="Calibri" w:cs="Times New Roman"/>
        </w:rPr>
      </w:pPr>
    </w:p>
    <w:p w14:paraId="1C3460D7" w14:textId="180AE9FD" w:rsidR="00D60094"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Indeed, only twelve people (38.7%) who responded at both time points from the intervention wards (n=31) reported having taken an active part in the project, and only eight reported having attended any of the workshops (25.8%). Four were not aware of the project (12.9%). Therefore, the intervention sample consisted of a majority who had not taken an active part in the project or who were not even aware of it. These respondents may not have had the opportunity to develop a sense of togetherness with their ward team in the same way that those who were involved may have done, leading them to feel ‘left out’</w:t>
      </w:r>
      <w:r w:rsidR="00A859E7">
        <w:rPr>
          <w:rFonts w:ascii="Calibri" w:eastAsia="Calibri" w:hAnsi="Calibri" w:cs="Times New Roman"/>
        </w:rPr>
        <w:t>,</w:t>
      </w:r>
      <w:r w:rsidRPr="00E6060C">
        <w:rPr>
          <w:rFonts w:ascii="Calibri" w:eastAsia="Calibri" w:hAnsi="Calibri" w:cs="Times New Roman"/>
        </w:rPr>
        <w:t xml:space="preserve"> and decreasing their sense of belonging to the ward team. This could plausibly explain why relatedness decreased significantly more in the intervention group of the matched sample than in the control group, where in- and out- groups related to project involvement would not have had the opportunity to form. </w:t>
      </w:r>
      <w:r w:rsidR="00A81930">
        <w:rPr>
          <w:rFonts w:ascii="Calibri" w:eastAsia="Calibri" w:hAnsi="Calibri" w:cs="Times New Roman"/>
        </w:rPr>
        <w:t xml:space="preserve">It was not possible to </w:t>
      </w:r>
      <w:r w:rsidR="00D60094">
        <w:rPr>
          <w:rFonts w:ascii="Calibri" w:eastAsia="Calibri" w:hAnsi="Calibri" w:cs="Times New Roman"/>
        </w:rPr>
        <w:t xml:space="preserve">confirm this hypothesis by </w:t>
      </w:r>
      <w:r w:rsidR="00A81930">
        <w:rPr>
          <w:rFonts w:ascii="Calibri" w:eastAsia="Calibri" w:hAnsi="Calibri" w:cs="Times New Roman"/>
        </w:rPr>
        <w:t>ask</w:t>
      </w:r>
      <w:r w:rsidR="00D60094">
        <w:rPr>
          <w:rFonts w:ascii="Calibri" w:eastAsia="Calibri" w:hAnsi="Calibri" w:cs="Times New Roman"/>
        </w:rPr>
        <w:t>ing the participants themselves to respond to further questionnaires, or take part in interviews, d</w:t>
      </w:r>
      <w:r w:rsidR="00A81930">
        <w:rPr>
          <w:rFonts w:ascii="Calibri" w:eastAsia="Calibri" w:hAnsi="Calibri" w:cs="Times New Roman"/>
        </w:rPr>
        <w:t>ue to lack of time and other resources</w:t>
      </w:r>
      <w:r w:rsidR="00D60094">
        <w:rPr>
          <w:rFonts w:ascii="Calibri" w:eastAsia="Calibri" w:hAnsi="Calibri" w:cs="Times New Roman"/>
        </w:rPr>
        <w:t>. These factors were</w:t>
      </w:r>
      <w:r w:rsidR="00A81930">
        <w:rPr>
          <w:rFonts w:ascii="Calibri" w:eastAsia="Calibri" w:hAnsi="Calibri" w:cs="Times New Roman"/>
        </w:rPr>
        <w:t xml:space="preserve"> reported </w:t>
      </w:r>
      <w:r w:rsidR="00D60094">
        <w:rPr>
          <w:rFonts w:ascii="Calibri" w:eastAsia="Calibri" w:hAnsi="Calibri" w:cs="Times New Roman"/>
        </w:rPr>
        <w:t xml:space="preserve">in </w:t>
      </w:r>
      <w:r w:rsidR="00A81930">
        <w:rPr>
          <w:rFonts w:ascii="Calibri" w:eastAsia="Calibri" w:hAnsi="Calibri" w:cs="Times New Roman"/>
        </w:rPr>
        <w:t>both</w:t>
      </w:r>
      <w:r w:rsidR="00D60094">
        <w:rPr>
          <w:rFonts w:ascii="Calibri" w:eastAsia="Calibri" w:hAnsi="Calibri" w:cs="Times New Roman"/>
        </w:rPr>
        <w:t xml:space="preserve"> </w:t>
      </w:r>
      <w:r w:rsidR="00A81930">
        <w:rPr>
          <w:rFonts w:ascii="Calibri" w:eastAsia="Calibri" w:hAnsi="Calibri" w:cs="Times New Roman"/>
        </w:rPr>
        <w:t>the method and</w:t>
      </w:r>
      <w:r w:rsidR="00D60094">
        <w:rPr>
          <w:rFonts w:ascii="Calibri" w:eastAsia="Calibri" w:hAnsi="Calibri" w:cs="Times New Roman"/>
        </w:rPr>
        <w:t xml:space="preserve"> results chapters (Chapter 7, section </w:t>
      </w:r>
      <w:r w:rsidR="00D60094">
        <w:rPr>
          <w:rFonts w:ascii="Calibri" w:eastAsia="Calibri" w:hAnsi="Calibri" w:cs="Times New Roman"/>
        </w:rPr>
        <w:fldChar w:fldCharType="begin"/>
      </w:r>
      <w:r w:rsidR="00D60094">
        <w:rPr>
          <w:rFonts w:ascii="Calibri" w:eastAsia="Calibri" w:hAnsi="Calibri" w:cs="Times New Roman"/>
        </w:rPr>
        <w:instrText xml:space="preserve"> REF _Ref453589240 \n \h </w:instrText>
      </w:r>
      <w:r w:rsidR="00D60094">
        <w:rPr>
          <w:rFonts w:ascii="Calibri" w:eastAsia="Calibri" w:hAnsi="Calibri" w:cs="Times New Roman"/>
        </w:rPr>
      </w:r>
      <w:r w:rsidR="00D60094">
        <w:rPr>
          <w:rFonts w:ascii="Calibri" w:eastAsia="Calibri" w:hAnsi="Calibri" w:cs="Times New Roman"/>
        </w:rPr>
        <w:fldChar w:fldCharType="separate"/>
      </w:r>
      <w:r w:rsidR="00152F6D">
        <w:rPr>
          <w:rFonts w:ascii="Calibri" w:eastAsia="Calibri" w:hAnsi="Calibri" w:cs="Times New Roman"/>
        </w:rPr>
        <w:t>7.7.2</w:t>
      </w:r>
      <w:r w:rsidR="00D60094">
        <w:rPr>
          <w:rFonts w:ascii="Calibri" w:eastAsia="Calibri" w:hAnsi="Calibri" w:cs="Times New Roman"/>
        </w:rPr>
        <w:fldChar w:fldCharType="end"/>
      </w:r>
      <w:r w:rsidR="00D60094">
        <w:rPr>
          <w:rFonts w:ascii="Calibri" w:eastAsia="Calibri" w:hAnsi="Calibri" w:cs="Times New Roman"/>
        </w:rPr>
        <w:t xml:space="preserve"> &amp;</w:t>
      </w:r>
      <w:r w:rsidR="00A81930">
        <w:rPr>
          <w:rFonts w:ascii="Calibri" w:eastAsia="Calibri" w:hAnsi="Calibri" w:cs="Times New Roman"/>
        </w:rPr>
        <w:t xml:space="preserve"> Chapter 8, section </w:t>
      </w:r>
      <w:r w:rsidR="00A81930">
        <w:rPr>
          <w:rFonts w:ascii="Calibri" w:eastAsia="Calibri" w:hAnsi="Calibri" w:cs="Times New Roman"/>
        </w:rPr>
        <w:fldChar w:fldCharType="begin"/>
      </w:r>
      <w:r w:rsidR="00A81930">
        <w:rPr>
          <w:rFonts w:ascii="Calibri" w:eastAsia="Calibri" w:hAnsi="Calibri" w:cs="Times New Roman"/>
        </w:rPr>
        <w:instrText xml:space="preserve"> REF _Ref453588796 \n \h </w:instrText>
      </w:r>
      <w:r w:rsidR="00A81930">
        <w:rPr>
          <w:rFonts w:ascii="Calibri" w:eastAsia="Calibri" w:hAnsi="Calibri" w:cs="Times New Roman"/>
        </w:rPr>
      </w:r>
      <w:r w:rsidR="00A81930">
        <w:rPr>
          <w:rFonts w:ascii="Calibri" w:eastAsia="Calibri" w:hAnsi="Calibri" w:cs="Times New Roman"/>
        </w:rPr>
        <w:fldChar w:fldCharType="separate"/>
      </w:r>
      <w:r w:rsidR="00152F6D">
        <w:rPr>
          <w:rFonts w:ascii="Calibri" w:eastAsia="Calibri" w:hAnsi="Calibri" w:cs="Times New Roman"/>
        </w:rPr>
        <w:t>8.1</w:t>
      </w:r>
      <w:r w:rsidR="00A81930">
        <w:rPr>
          <w:rFonts w:ascii="Calibri" w:eastAsia="Calibri" w:hAnsi="Calibri" w:cs="Times New Roman"/>
        </w:rPr>
        <w:fldChar w:fldCharType="end"/>
      </w:r>
      <w:r w:rsidR="00D60094">
        <w:rPr>
          <w:rFonts w:ascii="Calibri" w:eastAsia="Calibri" w:hAnsi="Calibri" w:cs="Times New Roman"/>
        </w:rPr>
        <w:t>, respectively)</w:t>
      </w:r>
      <w:r w:rsidR="00A81930">
        <w:rPr>
          <w:rFonts w:ascii="Calibri" w:eastAsia="Calibri" w:hAnsi="Calibri" w:cs="Times New Roman"/>
        </w:rPr>
        <w:t>.</w:t>
      </w:r>
    </w:p>
    <w:p w14:paraId="3100DDA3" w14:textId="77777777" w:rsidR="00D60094" w:rsidRDefault="00D60094" w:rsidP="00E6060C">
      <w:pPr>
        <w:spacing w:after="200" w:line="360" w:lineRule="auto"/>
        <w:contextualSpacing/>
        <w:rPr>
          <w:rFonts w:ascii="Calibri" w:eastAsia="Calibri" w:hAnsi="Calibri" w:cs="Times New Roman"/>
        </w:rPr>
      </w:pPr>
    </w:p>
    <w:p w14:paraId="304D0C39" w14:textId="7B4BEA9C" w:rsidR="00E6060C" w:rsidRPr="00E6060C" w:rsidRDefault="00125B9C" w:rsidP="00E6060C">
      <w:pPr>
        <w:spacing w:after="200" w:line="360" w:lineRule="auto"/>
        <w:contextualSpacing/>
        <w:rPr>
          <w:rFonts w:ascii="Calibri" w:eastAsia="Calibri" w:hAnsi="Calibri" w:cs="Times New Roman"/>
        </w:rPr>
      </w:pPr>
      <w:r>
        <w:rPr>
          <w:rFonts w:ascii="Calibri" w:eastAsia="Calibri" w:hAnsi="Calibri" w:cs="Times New Roman"/>
        </w:rPr>
        <w:t>A more likely explanation</w:t>
      </w:r>
      <w:r w:rsidR="00D60094">
        <w:rPr>
          <w:rFonts w:ascii="Calibri" w:eastAsia="Calibri" w:hAnsi="Calibri" w:cs="Times New Roman"/>
        </w:rPr>
        <w:t xml:space="preserve"> for the unexpected results observed in the matched sample</w:t>
      </w:r>
      <w:r>
        <w:rPr>
          <w:rFonts w:ascii="Calibri" w:eastAsia="Calibri" w:hAnsi="Calibri" w:cs="Times New Roman"/>
        </w:rPr>
        <w:t xml:space="preserve"> is that</w:t>
      </w:r>
      <w:r w:rsidR="00E6060C" w:rsidRPr="00E6060C">
        <w:rPr>
          <w:rFonts w:ascii="Calibri" w:eastAsia="Calibri" w:hAnsi="Calibri" w:cs="Times New Roman"/>
        </w:rPr>
        <w:t xml:space="preserve"> with only 45 cases, the statistical power of the ANOVA which was conducted was not strong enough to detect effects in each of the research variables</w:t>
      </w:r>
      <w:r w:rsidR="00A859E7">
        <w:rPr>
          <w:rFonts w:ascii="Calibri" w:eastAsia="Calibri" w:hAnsi="Calibri" w:cs="Times New Roman"/>
        </w:rPr>
        <w:t>,</w:t>
      </w:r>
      <w:r>
        <w:rPr>
          <w:rFonts w:ascii="Calibri" w:eastAsia="Calibri" w:hAnsi="Calibri" w:cs="Times New Roman"/>
        </w:rPr>
        <w:t xml:space="preserve"> leading to Type I or Type II errors</w:t>
      </w:r>
      <w:r w:rsidR="00E6060C" w:rsidRPr="00E6060C">
        <w:rPr>
          <w:rFonts w:ascii="Calibri" w:eastAsia="Calibri" w:hAnsi="Calibri" w:cs="Times New Roman"/>
        </w:rPr>
        <w:t xml:space="preserve">, or that the small sample size of the matched sample was not representative of all of the nursing staff on the intervention and control wards present at both Time 1 and Time 2. </w:t>
      </w:r>
      <w:r w:rsidR="00EE458A">
        <w:rPr>
          <w:rFonts w:ascii="Calibri" w:eastAsia="Calibri" w:hAnsi="Calibri" w:cs="Times New Roman"/>
        </w:rPr>
        <w:t>In addition, it may be that regression</w:t>
      </w:r>
      <w:r w:rsidR="00A859E7">
        <w:rPr>
          <w:rFonts w:ascii="Calibri" w:eastAsia="Calibri" w:hAnsi="Calibri" w:cs="Times New Roman"/>
        </w:rPr>
        <w:t xml:space="preserve"> to the mean</w:t>
      </w:r>
      <w:r w:rsidR="00F04913">
        <w:rPr>
          <w:rFonts w:ascii="Calibri" w:eastAsia="Calibri" w:hAnsi="Calibri" w:cs="Times New Roman"/>
        </w:rPr>
        <w:t xml:space="preserve"> occurr</w:t>
      </w:r>
      <w:r w:rsidR="00A859E7">
        <w:rPr>
          <w:rFonts w:ascii="Calibri" w:eastAsia="Calibri" w:hAnsi="Calibri" w:cs="Times New Roman"/>
        </w:rPr>
        <w:t>ed</w:t>
      </w:r>
      <w:r w:rsidR="00F04913">
        <w:rPr>
          <w:rFonts w:ascii="Calibri" w:eastAsia="Calibri" w:hAnsi="Calibri" w:cs="Times New Roman"/>
        </w:rPr>
        <w:t>, where scores on a</w:t>
      </w:r>
      <w:r w:rsidR="00EE458A">
        <w:rPr>
          <w:rFonts w:ascii="Calibri" w:eastAsia="Calibri" w:hAnsi="Calibri" w:cs="Times New Roman"/>
        </w:rPr>
        <w:t xml:space="preserve"> variable which were not similar to the population mean on the first measurement </w:t>
      </w:r>
      <w:r w:rsidR="00F04913">
        <w:rPr>
          <w:rFonts w:ascii="Calibri" w:eastAsia="Calibri" w:hAnsi="Calibri" w:cs="Times New Roman"/>
        </w:rPr>
        <w:t>move towards the</w:t>
      </w:r>
      <w:r w:rsidR="00EE458A">
        <w:rPr>
          <w:rFonts w:ascii="Calibri" w:eastAsia="Calibri" w:hAnsi="Calibri" w:cs="Times New Roman"/>
        </w:rPr>
        <w:t xml:space="preserve"> population </w:t>
      </w:r>
      <w:r w:rsidR="00F04913">
        <w:rPr>
          <w:rFonts w:ascii="Calibri" w:eastAsia="Calibri" w:hAnsi="Calibri" w:cs="Times New Roman"/>
        </w:rPr>
        <w:t>mean on the second measurement (Bland &amp; Altman, 1994)</w:t>
      </w:r>
      <w:r w:rsidR="00EE458A">
        <w:rPr>
          <w:rFonts w:ascii="Calibri" w:eastAsia="Calibri" w:hAnsi="Calibri" w:cs="Times New Roman"/>
        </w:rPr>
        <w:t xml:space="preserve">. </w:t>
      </w:r>
      <w:r w:rsidR="00E6060C" w:rsidRPr="00E6060C">
        <w:rPr>
          <w:rFonts w:ascii="Calibri" w:eastAsia="Calibri" w:hAnsi="Calibri" w:cs="Times New Roman"/>
        </w:rPr>
        <w:t>These factors are discussed further in the limitations section below</w:t>
      </w:r>
      <w:r w:rsidR="00491E5C">
        <w:rPr>
          <w:rFonts w:ascii="Calibri" w:eastAsia="Calibri" w:hAnsi="Calibri" w:cs="Times New Roman"/>
        </w:rPr>
        <w:t xml:space="preserve"> and due to them, it is considered inappropriate to interpret the</w:t>
      </w:r>
      <w:r w:rsidR="00901BC2">
        <w:rPr>
          <w:rFonts w:ascii="Calibri" w:eastAsia="Calibri" w:hAnsi="Calibri" w:cs="Times New Roman"/>
        </w:rPr>
        <w:t xml:space="preserve">se results </w:t>
      </w:r>
      <w:r w:rsidR="00491E5C">
        <w:rPr>
          <w:rFonts w:ascii="Calibri" w:eastAsia="Calibri" w:hAnsi="Calibri" w:cs="Times New Roman"/>
        </w:rPr>
        <w:t xml:space="preserve">further. The results from analysing the complete data set were considered robust enough to warrant interpretation, however, and these shall now be discussed. </w:t>
      </w:r>
    </w:p>
    <w:p w14:paraId="16DAB7B5" w14:textId="77777777" w:rsidR="00E6060C" w:rsidRPr="00E6060C" w:rsidRDefault="00E6060C" w:rsidP="00E6060C">
      <w:pPr>
        <w:spacing w:after="200" w:line="360" w:lineRule="auto"/>
        <w:contextualSpacing/>
        <w:rPr>
          <w:rFonts w:ascii="Calibri" w:eastAsia="Calibri" w:hAnsi="Calibri" w:cs="Times New Roman"/>
        </w:rPr>
      </w:pPr>
    </w:p>
    <w:p w14:paraId="5FC65BCA" w14:textId="6B397DE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In an attempt to increase the representativeness </w:t>
      </w:r>
      <w:r w:rsidR="00F04913">
        <w:rPr>
          <w:rFonts w:ascii="Calibri" w:eastAsia="Calibri" w:hAnsi="Calibri" w:cs="Times New Roman"/>
        </w:rPr>
        <w:t xml:space="preserve">and robustness </w:t>
      </w:r>
      <w:r w:rsidRPr="00E6060C">
        <w:rPr>
          <w:rFonts w:ascii="Calibri" w:eastAsia="Calibri" w:hAnsi="Calibri" w:cs="Times New Roman"/>
        </w:rPr>
        <w:t>of the results</w:t>
      </w:r>
      <w:r w:rsidR="003A44C6">
        <w:rPr>
          <w:rFonts w:ascii="Calibri" w:eastAsia="Calibri" w:hAnsi="Calibri" w:cs="Times New Roman"/>
        </w:rPr>
        <w:t>,</w:t>
      </w:r>
      <w:r w:rsidRPr="00E6060C">
        <w:rPr>
          <w:rFonts w:ascii="Calibri" w:eastAsia="Calibri" w:hAnsi="Calibri" w:cs="Times New Roman"/>
        </w:rPr>
        <w:t xml:space="preserve"> multilevel modelling using the com</w:t>
      </w:r>
      <w:r w:rsidR="00363714">
        <w:rPr>
          <w:rFonts w:ascii="Calibri" w:eastAsia="Calibri" w:hAnsi="Calibri" w:cs="Times New Roman"/>
        </w:rPr>
        <w:t>bined, unmatched sample (N=262</w:t>
      </w:r>
      <w:r w:rsidRPr="00E6060C">
        <w:rPr>
          <w:rFonts w:ascii="Calibri" w:eastAsia="Calibri" w:hAnsi="Calibri" w:cs="Times New Roman"/>
        </w:rPr>
        <w:t>) was employed.</w:t>
      </w:r>
      <w:r w:rsidR="003A44C6">
        <w:rPr>
          <w:rFonts w:ascii="Calibri" w:eastAsia="Calibri" w:hAnsi="Calibri" w:cs="Times New Roman"/>
        </w:rPr>
        <w:t xml:space="preserve"> This meant that the responses from </w:t>
      </w:r>
      <w:r w:rsidR="003A44C6">
        <w:rPr>
          <w:rFonts w:ascii="Calibri" w:eastAsia="Calibri" w:hAnsi="Calibri" w:cs="Times New Roman"/>
        </w:rPr>
        <w:lastRenderedPageBreak/>
        <w:t>all respondents across the ward</w:t>
      </w:r>
      <w:r w:rsidR="005218AF">
        <w:rPr>
          <w:rFonts w:ascii="Calibri" w:eastAsia="Calibri" w:hAnsi="Calibri" w:cs="Times New Roman"/>
        </w:rPr>
        <w:t>s could be used, and thus a more representative picture of the feelings of the staff across the intervention and control wards could be investigated.</w:t>
      </w:r>
      <w:r w:rsidRPr="00E6060C">
        <w:rPr>
          <w:rFonts w:ascii="Calibri" w:eastAsia="Calibri" w:hAnsi="Calibri" w:cs="Times New Roman"/>
        </w:rPr>
        <w:t xml:space="preserve"> Increasing the sample size had the added advantage of increasing the statistical power of the results, further increasing robustness. Results revealed a significant difference between control and intervention groups across time for high activation unpleasant affect (HAUA; reflecting anxiety). </w:t>
      </w:r>
      <w:r w:rsidR="003A604B">
        <w:rPr>
          <w:rFonts w:ascii="Calibri" w:eastAsia="Calibri" w:hAnsi="Calibri" w:cs="Times New Roman"/>
        </w:rPr>
        <w:t>More specifically, t</w:t>
      </w:r>
      <w:r w:rsidRPr="00E6060C">
        <w:rPr>
          <w:rFonts w:ascii="Calibri" w:eastAsia="Calibri" w:hAnsi="Calibri" w:cs="Times New Roman"/>
        </w:rPr>
        <w:t xml:space="preserve">he mean on this variable for those in the intervention group increased between Time 1 and Time 2, indicating less anxiety, whereas the mean for those in the control group decreased, indicating greater anxiety. </w:t>
      </w:r>
      <w:r w:rsidR="005218AF">
        <w:rPr>
          <w:rFonts w:ascii="Calibri" w:eastAsia="Calibri" w:hAnsi="Calibri" w:cs="Times New Roman"/>
        </w:rPr>
        <w:t>Although at first it seems that these results contradict those obtained from the restricted, matched sample, they are in fact simply different, as there is no longer a significant negative effect of relatedness, but an increase in anxiety</w:t>
      </w:r>
      <w:r w:rsidR="00A859E7">
        <w:rPr>
          <w:rFonts w:ascii="Calibri" w:eastAsia="Calibri" w:hAnsi="Calibri" w:cs="Times New Roman"/>
        </w:rPr>
        <w:t>,</w:t>
      </w:r>
      <w:r w:rsidR="005218AF">
        <w:rPr>
          <w:rFonts w:ascii="Calibri" w:eastAsia="Calibri" w:hAnsi="Calibri" w:cs="Times New Roman"/>
        </w:rPr>
        <w:t xml:space="preserve"> suggesting</w:t>
      </w:r>
      <w:r w:rsidRPr="00E6060C">
        <w:rPr>
          <w:rFonts w:ascii="Calibri" w:eastAsia="Calibri" w:hAnsi="Calibri" w:cs="Times New Roman"/>
        </w:rPr>
        <w:t xml:space="preserve"> that </w:t>
      </w:r>
      <w:r w:rsidR="001D6140">
        <w:rPr>
          <w:rFonts w:ascii="Calibri" w:eastAsia="Calibri" w:hAnsi="Calibri" w:cs="Times New Roman"/>
        </w:rPr>
        <w:t>well-being</w:t>
      </w:r>
      <w:r w:rsidRPr="00E6060C">
        <w:rPr>
          <w:rFonts w:ascii="Calibri" w:eastAsia="Calibri" w:hAnsi="Calibri" w:cs="Times New Roman"/>
        </w:rPr>
        <w:t>, in terms of anxiety, improved over the course of the intervention.</w:t>
      </w:r>
      <w:r w:rsidR="003714D5" w:rsidRPr="003714D5">
        <w:rPr>
          <w:rFonts w:ascii="Calibri" w:eastAsia="Calibri" w:hAnsi="Calibri" w:cs="Times New Roman"/>
        </w:rPr>
        <w:t xml:space="preserve"> </w:t>
      </w:r>
      <w:r w:rsidR="003714D5" w:rsidRPr="00E6060C">
        <w:rPr>
          <w:rFonts w:ascii="Calibri" w:eastAsia="Calibri" w:hAnsi="Calibri" w:cs="Times New Roman"/>
        </w:rPr>
        <w:t>Given the increased representativeness and statistical power associated with this analysis, more weight should be placed on these results than those obtained from the small, potentially biased, matched sample.</w:t>
      </w:r>
      <w:r w:rsidRPr="00E6060C">
        <w:rPr>
          <w:rFonts w:ascii="Calibri" w:eastAsia="Calibri" w:hAnsi="Calibri" w:cs="Times New Roman"/>
        </w:rPr>
        <w:t xml:space="preserve"> No effects were observed for work engagement. </w:t>
      </w:r>
      <w:r w:rsidR="003714D5">
        <w:rPr>
          <w:rFonts w:ascii="Calibri" w:eastAsia="Calibri" w:hAnsi="Calibri" w:cs="Times New Roman"/>
        </w:rPr>
        <w:t xml:space="preserve">Due to the thorough and careful </w:t>
      </w:r>
      <w:r w:rsidR="00947024">
        <w:rPr>
          <w:rFonts w:ascii="Calibri" w:eastAsia="Calibri" w:hAnsi="Calibri" w:cs="Times New Roman"/>
        </w:rPr>
        <w:t>evaluation</w:t>
      </w:r>
      <w:r w:rsidR="003714D5">
        <w:rPr>
          <w:rFonts w:ascii="Calibri" w:eastAsia="Calibri" w:hAnsi="Calibri" w:cs="Times New Roman"/>
        </w:rPr>
        <w:t xml:space="preserve"> of the results, </w:t>
      </w:r>
      <w:r w:rsidRPr="00E6060C">
        <w:rPr>
          <w:rFonts w:ascii="Calibri" w:eastAsia="Calibri" w:hAnsi="Calibri" w:cs="Times New Roman"/>
        </w:rPr>
        <w:t xml:space="preserve">Aim 1, to </w:t>
      </w:r>
      <w:r w:rsidR="005707E0">
        <w:rPr>
          <w:rFonts w:ascii="Calibri" w:eastAsia="Calibri" w:hAnsi="Calibri" w:cs="Times New Roman"/>
        </w:rPr>
        <w:t>evaluate</w:t>
      </w:r>
      <w:r w:rsidR="005707E0" w:rsidRPr="00E6060C">
        <w:rPr>
          <w:rFonts w:ascii="Calibri" w:eastAsia="Calibri" w:hAnsi="Calibri" w:cs="Times New Roman"/>
        </w:rPr>
        <w:t xml:space="preserve"> </w:t>
      </w:r>
      <w:r w:rsidRPr="00E6060C">
        <w:rPr>
          <w:rFonts w:ascii="Calibri" w:eastAsia="Calibri" w:hAnsi="Calibri" w:cs="Times New Roman"/>
        </w:rPr>
        <w:t xml:space="preserve">the effectiveness of a participatory action research (PAR) intervention on work engagement and </w:t>
      </w:r>
      <w:r w:rsidR="001D6140">
        <w:rPr>
          <w:rFonts w:ascii="Calibri" w:eastAsia="Calibri" w:hAnsi="Calibri" w:cs="Times New Roman"/>
        </w:rPr>
        <w:t>well-being</w:t>
      </w:r>
      <w:r w:rsidRPr="00E6060C">
        <w:rPr>
          <w:rFonts w:ascii="Calibri" w:eastAsia="Calibri" w:hAnsi="Calibri" w:cs="Times New Roman"/>
        </w:rPr>
        <w:t xml:space="preserve">, was </w:t>
      </w:r>
      <w:r w:rsidR="00947024">
        <w:rPr>
          <w:rFonts w:ascii="Calibri" w:eastAsia="Calibri" w:hAnsi="Calibri" w:cs="Times New Roman"/>
        </w:rPr>
        <w:t xml:space="preserve">completely </w:t>
      </w:r>
      <w:r w:rsidRPr="00E6060C">
        <w:rPr>
          <w:rFonts w:ascii="Calibri" w:eastAsia="Calibri" w:hAnsi="Calibri" w:cs="Times New Roman"/>
        </w:rPr>
        <w:t>fulfilled</w:t>
      </w:r>
      <w:r w:rsidR="00947024">
        <w:rPr>
          <w:rFonts w:ascii="Calibri" w:eastAsia="Calibri" w:hAnsi="Calibri" w:cs="Times New Roman"/>
        </w:rPr>
        <w:t>.</w:t>
      </w:r>
    </w:p>
    <w:p w14:paraId="57BC47B2" w14:textId="77777777" w:rsidR="00E6060C" w:rsidRPr="00E6060C" w:rsidRDefault="00E6060C" w:rsidP="00E6060C">
      <w:pPr>
        <w:spacing w:after="200" w:line="360" w:lineRule="auto"/>
        <w:contextualSpacing/>
        <w:rPr>
          <w:rFonts w:ascii="Calibri" w:eastAsia="Calibri" w:hAnsi="Calibri" w:cs="Times New Roman"/>
        </w:rPr>
      </w:pPr>
    </w:p>
    <w:p w14:paraId="35C08F74" w14:textId="6AF8BDCF" w:rsidR="00E6060C" w:rsidRDefault="002275AC" w:rsidP="00E6060C">
      <w:pPr>
        <w:spacing w:after="200" w:line="360" w:lineRule="auto"/>
        <w:contextualSpacing/>
        <w:rPr>
          <w:rFonts w:ascii="Calibri" w:eastAsia="Calibri" w:hAnsi="Calibri" w:cs="Times New Roman"/>
        </w:rPr>
      </w:pPr>
      <w:r>
        <w:rPr>
          <w:rFonts w:ascii="Calibri" w:eastAsia="Calibri" w:hAnsi="Calibri" w:cs="Times New Roman"/>
        </w:rPr>
        <w:t>A</w:t>
      </w:r>
      <w:r w:rsidR="00E6060C" w:rsidRPr="00E6060C">
        <w:rPr>
          <w:rFonts w:ascii="Calibri" w:eastAsia="Calibri" w:hAnsi="Calibri" w:cs="Times New Roman"/>
        </w:rPr>
        <w:t xml:space="preserve">nxiety </w:t>
      </w:r>
      <w:r>
        <w:rPr>
          <w:rFonts w:ascii="Calibri" w:eastAsia="Calibri" w:hAnsi="Calibri" w:cs="Times New Roman"/>
        </w:rPr>
        <w:t xml:space="preserve">may have </w:t>
      </w:r>
      <w:r w:rsidR="00E6060C" w:rsidRPr="00E6060C">
        <w:rPr>
          <w:rFonts w:ascii="Calibri" w:eastAsia="Calibri" w:hAnsi="Calibri" w:cs="Times New Roman"/>
        </w:rPr>
        <w:t>reduced significantly more in the intervention group than in the control group</w:t>
      </w:r>
      <w:r>
        <w:rPr>
          <w:rFonts w:ascii="Calibri" w:eastAsia="Calibri" w:hAnsi="Calibri" w:cs="Times New Roman"/>
        </w:rPr>
        <w:t xml:space="preserve"> due to staff being aware that </w:t>
      </w:r>
      <w:r w:rsidR="00E6060C" w:rsidRPr="00E6060C">
        <w:rPr>
          <w:rFonts w:ascii="Calibri" w:eastAsia="Calibri" w:hAnsi="Calibri" w:cs="Times New Roman"/>
        </w:rPr>
        <w:t>positive changes were being attempted</w:t>
      </w:r>
      <w:r w:rsidR="00A859E7">
        <w:rPr>
          <w:rFonts w:ascii="Calibri" w:eastAsia="Calibri" w:hAnsi="Calibri" w:cs="Times New Roman"/>
        </w:rPr>
        <w:t>,</w:t>
      </w:r>
      <w:r w:rsidR="008F4519">
        <w:rPr>
          <w:rFonts w:ascii="Calibri" w:eastAsia="Calibri" w:hAnsi="Calibri" w:cs="Times New Roman"/>
        </w:rPr>
        <w:t xml:space="preserve"> and expecting</w:t>
      </w:r>
      <w:r w:rsidR="00E6060C" w:rsidRPr="00E6060C">
        <w:rPr>
          <w:rFonts w:ascii="Calibri" w:eastAsia="Calibri" w:hAnsi="Calibri" w:cs="Times New Roman"/>
        </w:rPr>
        <w:t xml:space="preserve"> things </w:t>
      </w:r>
      <w:r w:rsidR="008F4519">
        <w:rPr>
          <w:rFonts w:ascii="Calibri" w:eastAsia="Calibri" w:hAnsi="Calibri" w:cs="Times New Roman"/>
        </w:rPr>
        <w:t>to change for the better</w:t>
      </w:r>
      <w:r w:rsidR="00E6060C" w:rsidRPr="00E6060C">
        <w:rPr>
          <w:rFonts w:ascii="Calibri" w:eastAsia="Calibri" w:hAnsi="Calibri" w:cs="Times New Roman"/>
        </w:rPr>
        <w:t xml:space="preserve">. </w:t>
      </w:r>
      <w:r w:rsidR="008F4519">
        <w:rPr>
          <w:rFonts w:ascii="Calibri" w:eastAsia="Calibri" w:hAnsi="Calibri" w:cs="Times New Roman"/>
        </w:rPr>
        <w:t>It is possible that d</w:t>
      </w:r>
      <w:r w:rsidR="00E6060C" w:rsidRPr="00E6060C">
        <w:rPr>
          <w:rFonts w:ascii="Calibri" w:eastAsia="Calibri" w:hAnsi="Calibri" w:cs="Times New Roman"/>
        </w:rPr>
        <w:t xml:space="preserve">ecreased anxiety may have ‘spread’ between employees on these wards in the same way that Bakker (2011) suggests engagement may be transferred via emotional contagion theory. </w:t>
      </w:r>
      <w:r w:rsidR="008F4519">
        <w:rPr>
          <w:rFonts w:ascii="Calibri" w:eastAsia="Calibri" w:hAnsi="Calibri" w:cs="Times New Roman"/>
        </w:rPr>
        <w:t>Collecting data at several time points during the intervention and following it would have en</w:t>
      </w:r>
      <w:r w:rsidR="00F42670">
        <w:rPr>
          <w:rFonts w:ascii="Calibri" w:eastAsia="Calibri" w:hAnsi="Calibri" w:cs="Times New Roman"/>
        </w:rPr>
        <w:t xml:space="preserve">abled this theory to be tested and </w:t>
      </w:r>
      <w:r w:rsidR="008F4519">
        <w:rPr>
          <w:rFonts w:ascii="Calibri" w:eastAsia="Calibri" w:hAnsi="Calibri" w:cs="Times New Roman"/>
        </w:rPr>
        <w:t>provid</w:t>
      </w:r>
      <w:r w:rsidR="00F42670">
        <w:rPr>
          <w:rFonts w:ascii="Calibri" w:eastAsia="Calibri" w:hAnsi="Calibri" w:cs="Times New Roman"/>
        </w:rPr>
        <w:t>ed</w:t>
      </w:r>
      <w:r w:rsidR="008F4519">
        <w:rPr>
          <w:rFonts w:ascii="Calibri" w:eastAsia="Calibri" w:hAnsi="Calibri" w:cs="Times New Roman"/>
        </w:rPr>
        <w:t xml:space="preserve"> a picture of whether or not anxiety increased linearly during the intervention and the results were sustainable. </w:t>
      </w:r>
      <w:r w:rsidR="003C0A65">
        <w:rPr>
          <w:rFonts w:ascii="Calibri" w:eastAsia="Calibri" w:hAnsi="Calibri" w:cs="Times New Roman"/>
        </w:rPr>
        <w:t>This could be one way of taking work engagement intervention research forward.</w:t>
      </w:r>
    </w:p>
    <w:p w14:paraId="0083023B" w14:textId="77777777" w:rsidR="008F4519" w:rsidRPr="00E6060C" w:rsidRDefault="008F4519" w:rsidP="00E6060C">
      <w:pPr>
        <w:spacing w:after="200" w:line="360" w:lineRule="auto"/>
        <w:contextualSpacing/>
        <w:rPr>
          <w:rFonts w:ascii="Calibri" w:eastAsia="Calibri" w:hAnsi="Calibri" w:cs="Times New Roman"/>
        </w:rPr>
      </w:pPr>
    </w:p>
    <w:p w14:paraId="374C2FBB" w14:textId="45852016"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lack of further effects may be due to inadequate implementation of the intervention. Regrettably, it was not possible to conduct an in-depth process evaluation, despite the value of such process evaluations for exploring the reasons for why and how interventions work (see Nielsen, Taris et al., 2010, Nielsen, Randall et al., 2010, and Ch</w:t>
      </w:r>
      <w:r w:rsidR="00C86E2C">
        <w:rPr>
          <w:rFonts w:ascii="Calibri" w:eastAsia="Calibri" w:hAnsi="Calibri" w:cs="Times New Roman"/>
        </w:rPr>
        <w:t>apter 3</w:t>
      </w:r>
      <w:r w:rsidRPr="00E6060C">
        <w:rPr>
          <w:rFonts w:ascii="Calibri" w:eastAsia="Calibri" w:hAnsi="Calibri" w:cs="Times New Roman"/>
        </w:rPr>
        <w:t xml:space="preserve"> of this thesis), due to a lack of resourc</w:t>
      </w:r>
      <w:r w:rsidR="00C86E2C">
        <w:rPr>
          <w:rFonts w:ascii="Calibri" w:eastAsia="Calibri" w:hAnsi="Calibri" w:cs="Times New Roman"/>
        </w:rPr>
        <w:t xml:space="preserve">es (see Method, section </w:t>
      </w:r>
      <w:r w:rsidR="00903FE1">
        <w:rPr>
          <w:rFonts w:ascii="Calibri" w:eastAsia="Calibri" w:hAnsi="Calibri" w:cs="Times New Roman"/>
        </w:rPr>
        <w:fldChar w:fldCharType="begin"/>
      </w:r>
      <w:r w:rsidR="00903FE1">
        <w:rPr>
          <w:rFonts w:ascii="Calibri" w:eastAsia="Calibri" w:hAnsi="Calibri" w:cs="Times New Roman"/>
        </w:rPr>
        <w:instrText xml:space="preserve"> REF _Ref453596151 \r \h </w:instrText>
      </w:r>
      <w:r w:rsidR="00903FE1">
        <w:rPr>
          <w:rFonts w:ascii="Calibri" w:eastAsia="Calibri" w:hAnsi="Calibri" w:cs="Times New Roman"/>
        </w:rPr>
      </w:r>
      <w:r w:rsidR="00903FE1">
        <w:rPr>
          <w:rFonts w:ascii="Calibri" w:eastAsia="Calibri" w:hAnsi="Calibri" w:cs="Times New Roman"/>
        </w:rPr>
        <w:fldChar w:fldCharType="separate"/>
      </w:r>
      <w:r w:rsidR="00152F6D">
        <w:rPr>
          <w:rFonts w:ascii="Calibri" w:eastAsia="Calibri" w:hAnsi="Calibri" w:cs="Times New Roman"/>
        </w:rPr>
        <w:t>7.7.2</w:t>
      </w:r>
      <w:r w:rsidR="00903FE1">
        <w:rPr>
          <w:rFonts w:ascii="Calibri" w:eastAsia="Calibri" w:hAnsi="Calibri" w:cs="Times New Roman"/>
        </w:rPr>
        <w:fldChar w:fldCharType="end"/>
      </w:r>
      <w:r w:rsidRPr="00E6060C">
        <w:rPr>
          <w:rFonts w:ascii="Calibri" w:eastAsia="Calibri" w:hAnsi="Calibri" w:cs="Times New Roman"/>
        </w:rPr>
        <w:t>). Nevertheless, it was clear from informal reports from managers and employees that several factors relating to implementation are likely to have impacted on the success of the intervention. These included attrition of wards, ongoing projects which may have had effects impacting the effect of this study</w:t>
      </w:r>
      <w:r w:rsidR="00A859E7">
        <w:rPr>
          <w:rFonts w:ascii="Calibri" w:eastAsia="Calibri" w:hAnsi="Calibri" w:cs="Times New Roman"/>
        </w:rPr>
        <w:t>,</w:t>
      </w:r>
      <w:r w:rsidRPr="00E6060C">
        <w:rPr>
          <w:rFonts w:ascii="Calibri" w:eastAsia="Calibri" w:hAnsi="Calibri" w:cs="Times New Roman"/>
        </w:rPr>
        <w:t xml:space="preserve"> and which could not be statistically controlled, and a sense that </w:t>
      </w:r>
      <w:r w:rsidRPr="00E6060C">
        <w:rPr>
          <w:rFonts w:ascii="Calibri" w:eastAsia="Calibri" w:hAnsi="Calibri" w:cs="Times New Roman"/>
        </w:rPr>
        <w:lastRenderedPageBreak/>
        <w:t>this project was not a priority or strongly supported by management. Nurses and Sisters also reported high work demands preventing them attending Communities of Practice workshops and requested that the</w:t>
      </w:r>
      <w:r w:rsidR="00A859E7">
        <w:rPr>
          <w:rFonts w:ascii="Calibri" w:eastAsia="Calibri" w:hAnsi="Calibri" w:cs="Times New Roman"/>
        </w:rPr>
        <w:t>se</w:t>
      </w:r>
      <w:r w:rsidRPr="00E6060C">
        <w:rPr>
          <w:rFonts w:ascii="Calibri" w:eastAsia="Calibri" w:hAnsi="Calibri" w:cs="Times New Roman"/>
        </w:rPr>
        <w:t xml:space="preserve"> be stopped. The hospital was also placed under special measures during the intervention, which</w:t>
      </w:r>
      <w:r w:rsidR="00A859E7">
        <w:rPr>
          <w:rFonts w:ascii="Calibri" w:eastAsia="Calibri" w:hAnsi="Calibri" w:cs="Times New Roman"/>
        </w:rPr>
        <w:t xml:space="preserve"> is</w:t>
      </w:r>
      <w:r w:rsidRPr="00E6060C">
        <w:rPr>
          <w:rFonts w:ascii="Calibri" w:eastAsia="Calibri" w:hAnsi="Calibri" w:cs="Times New Roman"/>
        </w:rPr>
        <w:t xml:space="preserve"> likely </w:t>
      </w:r>
      <w:r w:rsidR="00A859E7">
        <w:rPr>
          <w:rFonts w:ascii="Calibri" w:eastAsia="Calibri" w:hAnsi="Calibri" w:cs="Times New Roman"/>
        </w:rPr>
        <w:t xml:space="preserve">to have </w:t>
      </w:r>
      <w:r w:rsidRPr="00E6060C">
        <w:rPr>
          <w:rFonts w:ascii="Calibri" w:eastAsia="Calibri" w:hAnsi="Calibri" w:cs="Times New Roman"/>
        </w:rPr>
        <w:t xml:space="preserve">negatively impacted staff morale and the hospital climate in general, decreasing staff motivation generally to participate. This suggests that the hospital climate was not conducive to change, and that the intervention participants were not ready to invest themselves in creating change of the type associated with this intervention. </w:t>
      </w:r>
    </w:p>
    <w:p w14:paraId="00CFE391" w14:textId="77777777" w:rsidR="00E6060C" w:rsidRPr="00E6060C" w:rsidRDefault="00E6060C" w:rsidP="00E6060C">
      <w:pPr>
        <w:spacing w:after="200" w:line="360" w:lineRule="auto"/>
        <w:contextualSpacing/>
        <w:rPr>
          <w:rFonts w:ascii="Calibri" w:eastAsia="Calibri" w:hAnsi="Calibri" w:cs="Times New Roman"/>
        </w:rPr>
      </w:pPr>
    </w:p>
    <w:p w14:paraId="63B9F9EE" w14:textId="179FEAA6" w:rsidR="006E744C" w:rsidRPr="00E6060C" w:rsidRDefault="00E6060C" w:rsidP="006E744C">
      <w:pPr>
        <w:spacing w:after="200" w:line="360" w:lineRule="auto"/>
        <w:contextualSpacing/>
        <w:rPr>
          <w:rFonts w:ascii="Calibri" w:eastAsia="Calibri" w:hAnsi="Calibri" w:cs="Times New Roman"/>
        </w:rPr>
      </w:pPr>
      <w:r w:rsidRPr="00E6060C">
        <w:rPr>
          <w:rFonts w:ascii="Calibri" w:eastAsia="Calibri" w:hAnsi="Calibri" w:cs="Times New Roman"/>
        </w:rPr>
        <w:t>In support, Nielsen found that understanding the benefits of an intervention was positively related to participation (Nielsen et al., 2007; Nielsen, Randall et al., 2010), suggesting that if individuals in th</w:t>
      </w:r>
      <w:r w:rsidR="00261F67">
        <w:rPr>
          <w:rFonts w:ascii="Calibri" w:eastAsia="Calibri" w:hAnsi="Calibri" w:cs="Times New Roman"/>
        </w:rPr>
        <w:t>e</w:t>
      </w:r>
      <w:r w:rsidRPr="00E6060C">
        <w:rPr>
          <w:rFonts w:ascii="Calibri" w:eastAsia="Calibri" w:hAnsi="Calibri" w:cs="Times New Roman"/>
        </w:rPr>
        <w:t xml:space="preserve"> intervention did not understand why the intervention was important, they would have been less motivated to participate. Therefore, if senior managers were not able</w:t>
      </w:r>
      <w:r w:rsidR="00A859E7">
        <w:rPr>
          <w:rFonts w:ascii="Calibri" w:eastAsia="Calibri" w:hAnsi="Calibri" w:cs="Times New Roman"/>
        </w:rPr>
        <w:t xml:space="preserve"> to emphasise the importance </w:t>
      </w:r>
      <w:r w:rsidRPr="00E6060C">
        <w:rPr>
          <w:rFonts w:ascii="Calibri" w:eastAsia="Calibri" w:hAnsi="Calibri" w:cs="Times New Roman"/>
        </w:rPr>
        <w:t xml:space="preserve">and benefits of the intervention, individuals may have chosen not to participate. </w:t>
      </w:r>
      <w:r w:rsidR="00F42670">
        <w:rPr>
          <w:rFonts w:ascii="Calibri" w:eastAsia="Calibri" w:hAnsi="Calibri" w:cs="Times New Roman"/>
        </w:rPr>
        <w:t xml:space="preserve">As discussed earlier in relation to study 1, </w:t>
      </w:r>
      <w:r w:rsidRPr="00E6060C">
        <w:rPr>
          <w:rFonts w:ascii="Calibri" w:eastAsia="Calibri" w:hAnsi="Calibri" w:cs="Times New Roman"/>
        </w:rPr>
        <w:t>Nielsen (2010) highlights the importance of participant readiness to change</w:t>
      </w:r>
      <w:r w:rsidR="00A859E7">
        <w:rPr>
          <w:rFonts w:ascii="Calibri" w:eastAsia="Calibri" w:hAnsi="Calibri" w:cs="Times New Roman"/>
        </w:rPr>
        <w:t>,</w:t>
      </w:r>
      <w:r w:rsidRPr="00E6060C">
        <w:rPr>
          <w:rFonts w:ascii="Calibri" w:eastAsia="Calibri" w:hAnsi="Calibri" w:cs="Times New Roman"/>
        </w:rPr>
        <w:t xml:space="preserve"> and in particular, senior manager support, for the success of interventions</w:t>
      </w:r>
      <w:r w:rsidR="00F42670">
        <w:rPr>
          <w:rFonts w:ascii="Calibri" w:eastAsia="Calibri" w:hAnsi="Calibri" w:cs="Times New Roman"/>
        </w:rPr>
        <w:t xml:space="preserve">. This </w:t>
      </w:r>
      <w:r w:rsidRPr="00E6060C">
        <w:rPr>
          <w:rFonts w:ascii="Calibri" w:eastAsia="Calibri" w:hAnsi="Calibri" w:cs="Times New Roman"/>
        </w:rPr>
        <w:t>suggest</w:t>
      </w:r>
      <w:r w:rsidR="00F42670">
        <w:rPr>
          <w:rFonts w:ascii="Calibri" w:eastAsia="Calibri" w:hAnsi="Calibri" w:cs="Times New Roman"/>
        </w:rPr>
        <w:t>s</w:t>
      </w:r>
      <w:r w:rsidRPr="00E6060C">
        <w:rPr>
          <w:rFonts w:ascii="Calibri" w:eastAsia="Calibri" w:hAnsi="Calibri" w:cs="Times New Roman"/>
        </w:rPr>
        <w:t xml:space="preserve"> that a lack of senior manager support, as reported informally by intervention staff, may indeed have been at least partially responsible for the lack of intervention effects. In addition, Nielsen, Randall et al. (2010) </w:t>
      </w:r>
      <w:r w:rsidR="00F42670">
        <w:rPr>
          <w:rFonts w:ascii="Calibri" w:eastAsia="Calibri" w:hAnsi="Calibri" w:cs="Times New Roman"/>
        </w:rPr>
        <w:t>emphasise</w:t>
      </w:r>
      <w:r w:rsidRPr="00E6060C">
        <w:rPr>
          <w:rFonts w:ascii="Calibri" w:eastAsia="Calibri" w:hAnsi="Calibri" w:cs="Times New Roman"/>
        </w:rPr>
        <w:t xml:space="preserve"> the need for whole organisations to be ready for change, not just intervention participants, and urge researchers to assess employee understanding of the benefits of change</w:t>
      </w:r>
      <w:r w:rsidR="00A859E7">
        <w:rPr>
          <w:rFonts w:ascii="Calibri" w:eastAsia="Calibri" w:hAnsi="Calibri" w:cs="Times New Roman"/>
        </w:rPr>
        <w:t>,</w:t>
      </w:r>
      <w:r w:rsidRPr="00E6060C">
        <w:rPr>
          <w:rFonts w:ascii="Calibri" w:eastAsia="Calibri" w:hAnsi="Calibri" w:cs="Times New Roman"/>
        </w:rPr>
        <w:t xml:space="preserve"> and organisational readiness for change</w:t>
      </w:r>
      <w:r w:rsidR="00A859E7">
        <w:rPr>
          <w:rFonts w:ascii="Calibri" w:eastAsia="Calibri" w:hAnsi="Calibri" w:cs="Times New Roman"/>
        </w:rPr>
        <w:t>,</w:t>
      </w:r>
      <w:r w:rsidRPr="00E6060C">
        <w:rPr>
          <w:rFonts w:ascii="Calibri" w:eastAsia="Calibri" w:hAnsi="Calibri" w:cs="Times New Roman"/>
        </w:rPr>
        <w:t xml:space="preserve"> prior to conducting interventions. Accordingly, the low staff morale and generally poor hospital climate observed in this study, in addition to poor participation rates and competing demands from numerous hospital-wide</w:t>
      </w:r>
      <w:r w:rsidR="006E744C">
        <w:rPr>
          <w:rFonts w:ascii="Calibri" w:eastAsia="Calibri" w:hAnsi="Calibri" w:cs="Times New Roman"/>
        </w:rPr>
        <w:t xml:space="preserve"> projects, supports this view.</w:t>
      </w:r>
      <w:r w:rsidR="006E744C" w:rsidRPr="006E744C">
        <w:rPr>
          <w:rFonts w:ascii="Calibri" w:eastAsia="Calibri" w:hAnsi="Calibri" w:cs="Times New Roman"/>
        </w:rPr>
        <w:t xml:space="preserve"> </w:t>
      </w:r>
      <w:r w:rsidR="006E744C">
        <w:rPr>
          <w:rFonts w:ascii="Calibri" w:eastAsia="Calibri" w:hAnsi="Calibri" w:cs="Times New Roman"/>
        </w:rPr>
        <w:t>I</w:t>
      </w:r>
      <w:r w:rsidR="006E744C" w:rsidRPr="00E6060C">
        <w:rPr>
          <w:rFonts w:ascii="Calibri" w:eastAsia="Calibri" w:hAnsi="Calibri" w:cs="Times New Roman"/>
        </w:rPr>
        <w:t>t is therefore strongly recommended that future studies endeavour to include an investigation into the implementation of inte</w:t>
      </w:r>
      <w:r w:rsidR="00A009A4">
        <w:rPr>
          <w:rFonts w:ascii="Calibri" w:eastAsia="Calibri" w:hAnsi="Calibri" w:cs="Times New Roman"/>
        </w:rPr>
        <w:t>rventions as a matter of course.</w:t>
      </w:r>
    </w:p>
    <w:p w14:paraId="00B430A8" w14:textId="240DDB0C" w:rsidR="0072579D" w:rsidRDefault="0072579D">
      <w:pPr>
        <w:spacing w:after="160"/>
        <w:rPr>
          <w:rFonts w:ascii="Calibri" w:eastAsia="Calibri" w:hAnsi="Calibri" w:cs="Times New Roman"/>
        </w:rPr>
      </w:pPr>
    </w:p>
    <w:p w14:paraId="78497426" w14:textId="485D130B" w:rsidR="0072579D" w:rsidRPr="0072579D" w:rsidRDefault="00E6060C" w:rsidP="0009618B">
      <w:pPr>
        <w:pStyle w:val="Heading3"/>
        <w:rPr>
          <w:vanish/>
          <w:specVanish/>
        </w:rPr>
      </w:pPr>
      <w:bookmarkStart w:id="544" w:name="_Toc468286044"/>
      <w:r w:rsidRPr="00E6060C">
        <w:t>Aim 2</w:t>
      </w:r>
      <w:bookmarkEnd w:id="544"/>
    </w:p>
    <w:p w14:paraId="7D682D3F" w14:textId="43684E57" w:rsidR="00E6060C" w:rsidRPr="0009618B" w:rsidRDefault="00E92138" w:rsidP="0072579D">
      <w:pPr>
        <w:rPr>
          <w:rFonts w:asciiTheme="majorHAnsi" w:eastAsia="Calibri" w:hAnsiTheme="majorHAnsi" w:cs="Times New Roman"/>
          <w:b/>
          <w:sz w:val="26"/>
          <w:szCs w:val="26"/>
        </w:rPr>
      </w:pPr>
      <w:r>
        <w:rPr>
          <w:rFonts w:asciiTheme="majorHAnsi" w:hAnsiTheme="majorHAnsi"/>
          <w:b/>
          <w:sz w:val="26"/>
          <w:szCs w:val="26"/>
        </w:rPr>
        <w:t xml:space="preserve">: </w:t>
      </w:r>
      <w:r w:rsidR="00E6060C" w:rsidRPr="0009618B">
        <w:rPr>
          <w:rFonts w:asciiTheme="majorHAnsi" w:hAnsiTheme="majorHAnsi"/>
          <w:b/>
          <w:sz w:val="26"/>
          <w:szCs w:val="26"/>
        </w:rPr>
        <w:t xml:space="preserve">To evaluate whether satisfaction of the three core needs of </w:t>
      </w:r>
      <w:r w:rsidR="00C17CB1">
        <w:rPr>
          <w:rFonts w:asciiTheme="majorHAnsi" w:hAnsiTheme="majorHAnsi"/>
          <w:b/>
          <w:sz w:val="26"/>
          <w:szCs w:val="26"/>
        </w:rPr>
        <w:t>Self-Determination Theory</w:t>
      </w:r>
      <w:r w:rsidR="00E6060C" w:rsidRPr="0009618B">
        <w:rPr>
          <w:rFonts w:asciiTheme="majorHAnsi" w:hAnsiTheme="majorHAnsi"/>
          <w:b/>
          <w:sz w:val="26"/>
          <w:szCs w:val="26"/>
        </w:rPr>
        <w:t>, autonomy, competence, and relatedness, mediates the relationship between the job resources, social support, influence in decision-making and perceived balance between resources and demands, and work engagement</w:t>
      </w:r>
    </w:p>
    <w:p w14:paraId="09058D6E" w14:textId="77777777" w:rsidR="0072579D" w:rsidRDefault="0072579D" w:rsidP="00E6060C">
      <w:pPr>
        <w:spacing w:after="200" w:line="360" w:lineRule="auto"/>
        <w:contextualSpacing/>
        <w:rPr>
          <w:rFonts w:ascii="Calibri" w:eastAsia="Calibri" w:hAnsi="Calibri" w:cs="Times New Roman"/>
        </w:rPr>
      </w:pPr>
    </w:p>
    <w:p w14:paraId="209CD538" w14:textId="201564C1"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 second aim of Study 2 was to investigate whether the three basic work-related needs, autonomy, competence and relatedness, mediate between the predictors, social support, influence in decision-making, perceived balance between having resources and the presence of demands, and the outcome, work engagement. The results revealed that autonomy, competence</w:t>
      </w:r>
      <w:r w:rsidR="009229B7">
        <w:rPr>
          <w:rFonts w:ascii="Calibri" w:eastAsia="Calibri" w:hAnsi="Calibri" w:cs="Times New Roman"/>
        </w:rPr>
        <w:t>,</w:t>
      </w:r>
      <w:r w:rsidRPr="00E6060C">
        <w:rPr>
          <w:rFonts w:ascii="Calibri" w:eastAsia="Calibri" w:hAnsi="Calibri" w:cs="Times New Roman"/>
        </w:rPr>
        <w:t xml:space="preserve"> and relatedness </w:t>
      </w:r>
      <w:r w:rsidRPr="00E6060C">
        <w:rPr>
          <w:rFonts w:ascii="Calibri" w:eastAsia="Calibri" w:hAnsi="Calibri" w:cs="Times New Roman"/>
        </w:rPr>
        <w:lastRenderedPageBreak/>
        <w:t>significantly mediated the relationships between social support and influence in decision-making and work engagement when controlling for time and gender. Autonomy and competence also significantly mediated the relationship between resources and demands and work engagement, when controlling for time and gender, however, relatedness did not. This is in accordance with Van den Broeck</w:t>
      </w:r>
      <w:r w:rsidR="00AF46EE">
        <w:rPr>
          <w:rFonts w:ascii="Calibri" w:eastAsia="Calibri" w:hAnsi="Calibri" w:cs="Times New Roman"/>
        </w:rPr>
        <w:t xml:space="preserve"> and colleagues’ </w:t>
      </w:r>
      <w:r w:rsidRPr="00E6060C">
        <w:rPr>
          <w:rFonts w:ascii="Calibri" w:eastAsia="Calibri" w:hAnsi="Calibri" w:cs="Times New Roman"/>
        </w:rPr>
        <w:t xml:space="preserve">(2016) meta-analysis which found that there was an insignificant relationship between the need for relatedness and workload and emotional demands. This suggests that whether or not individuals feel a sense of belonging with their colleagues, and a sense of team cohesion on their ward, is not related to their perception of demands and resources. Thus, employees may perceive the balance between having resources and demands to be in favour of demands, but individuals may still feel like they belong on their ward, and are part of the team, encouraging work engagement. This could be explained by a buffering effect of resources, whereby sufficient resources protect against the negative effects of high demands, as proposed by the JD-R model (Bakker &amp; Demerouti, 2007; 2008). </w:t>
      </w:r>
    </w:p>
    <w:p w14:paraId="3BAC82DC" w14:textId="77777777" w:rsidR="00E6060C" w:rsidRPr="00E6060C" w:rsidRDefault="00E6060C" w:rsidP="00E6060C">
      <w:pPr>
        <w:spacing w:after="200" w:line="360" w:lineRule="auto"/>
        <w:contextualSpacing/>
        <w:rPr>
          <w:rFonts w:ascii="Calibri" w:eastAsia="Calibri" w:hAnsi="Calibri" w:cs="Times New Roman"/>
        </w:rPr>
      </w:pPr>
    </w:p>
    <w:p w14:paraId="642510A1" w14:textId="7777777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Both the strongest absolute and relative indirect effect sizes were observed for the relationship between resources and demands and work engagement mediated by autonomy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=.18 &amp;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=.65 respectively). The absolute indirect effect size may be compared with the other absolute indirect effects observed by this study, as it is a standardised measure (Preacher &amp; Kelley, 2011). Its strength suggests that the balance between resources and demands is more important for autonomy satisfaction and work engagement than either social support or participation in-decision making were for satisfaction of the three needs and work engagement. The relative indirect effect size, which measures the ratio of the indirect effect to the total effect (Preacher &amp; Kelley, 2011) suggests that this effect contributes substantially towards the total effect. </w:t>
      </w:r>
    </w:p>
    <w:p w14:paraId="7CFBE11A" w14:textId="77777777" w:rsidR="00E6060C" w:rsidRPr="00E6060C" w:rsidRDefault="00E6060C" w:rsidP="00E6060C">
      <w:pPr>
        <w:spacing w:after="200" w:line="360" w:lineRule="auto"/>
        <w:contextualSpacing/>
        <w:rPr>
          <w:rFonts w:ascii="Calibri" w:eastAsia="Calibri" w:hAnsi="Calibri" w:cs="Times New Roman"/>
        </w:rPr>
      </w:pPr>
    </w:p>
    <w:p w14:paraId="65F7A2DF" w14:textId="7704FE2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Taken together, these results suggest that a good balance between work demands</w:t>
      </w:r>
      <w:r w:rsidR="009229B7">
        <w:rPr>
          <w:rFonts w:ascii="Calibri" w:eastAsia="Calibri" w:hAnsi="Calibri" w:cs="Times New Roman"/>
        </w:rPr>
        <w:t>,</w:t>
      </w:r>
      <w:r w:rsidRPr="00E6060C">
        <w:rPr>
          <w:rFonts w:ascii="Calibri" w:eastAsia="Calibri" w:hAnsi="Calibri" w:cs="Times New Roman"/>
        </w:rPr>
        <w:t xml:space="preserve"> such as numerous tasks to accomplish within a certain time frame, and having resources</w:t>
      </w:r>
      <w:r w:rsidR="009229B7">
        <w:rPr>
          <w:rFonts w:ascii="Calibri" w:eastAsia="Calibri" w:hAnsi="Calibri" w:cs="Times New Roman"/>
        </w:rPr>
        <w:t>,</w:t>
      </w:r>
      <w:r w:rsidRPr="00E6060C">
        <w:rPr>
          <w:rFonts w:ascii="Calibri" w:eastAsia="Calibri" w:hAnsi="Calibri" w:cs="Times New Roman"/>
        </w:rPr>
        <w:t xml:space="preserve"> such as adequate time, staff, and practical equipment to complete those tasks, is particularly important for employees’ sense of control over their jobs. This makes intuitive sense, as having the resources with which to complete tasks means that staff can carry out their jobs without feeling pressured, rushed, that they are having to ‘make do’ with sub-standard equipment or that they are simply not able to complete certain tasks due to inadequate levels of staffing. This is supported theoretically, with Bakker and Demerouti (2007) suggesting that having adequate resources provides an extrinsic motivational role </w:t>
      </w:r>
      <w:r w:rsidR="0083787D">
        <w:rPr>
          <w:rFonts w:ascii="Calibri" w:eastAsia="Calibri" w:hAnsi="Calibri" w:cs="Times New Roman"/>
        </w:rPr>
        <w:t>leading to work engagement as they are</w:t>
      </w:r>
      <w:r w:rsidRPr="00E6060C">
        <w:rPr>
          <w:rFonts w:ascii="Calibri" w:eastAsia="Calibri" w:hAnsi="Calibri" w:cs="Times New Roman"/>
        </w:rPr>
        <w:t xml:space="preserve"> necessary for work goals to be achieved. A sense of autonomy is likely to arise from feeling free to carry out ones’ job to the best of one’s ability and in </w:t>
      </w:r>
      <w:r w:rsidRPr="00E6060C">
        <w:rPr>
          <w:rFonts w:ascii="Calibri" w:eastAsia="Calibri" w:hAnsi="Calibri" w:cs="Times New Roman"/>
        </w:rPr>
        <w:lastRenderedPageBreak/>
        <w:t xml:space="preserve">the manner that the individual wishes. The relationships between job resources, job demands, including workload, autonomy and work engagement are supported in the literature, most recently by Van den Broeck </w:t>
      </w:r>
      <w:r w:rsidR="00AF46EE">
        <w:rPr>
          <w:rFonts w:ascii="Calibri" w:eastAsia="Calibri" w:hAnsi="Calibri" w:cs="Times New Roman"/>
        </w:rPr>
        <w:t>and colleagues’</w:t>
      </w:r>
      <w:r w:rsidRPr="00E6060C">
        <w:rPr>
          <w:rFonts w:ascii="Calibri" w:eastAsia="Calibri" w:hAnsi="Calibri" w:cs="Times New Roman"/>
        </w:rPr>
        <w:t xml:space="preserve"> (2016) large meta-analysis involving 99 studies and 119 separate samples. The sense of autonomy created by a good balance between resources and demands is also likely to be associated with positive emotions and impact on work engagement through broaden-and-build theory (Fredrickson, 2001), allowing individuals the space to not only think about how everyday work-related problems may be solved but also how to create new opportunities and challenges for themselves. Thus, individuals may engage in job crafting (Bakker, 2011) as a result of an increased sense of autonomy and work engagement. </w:t>
      </w:r>
    </w:p>
    <w:p w14:paraId="68302BBC" w14:textId="77777777" w:rsidR="00E6060C" w:rsidRPr="00E6060C" w:rsidRDefault="00E6060C" w:rsidP="00E6060C">
      <w:pPr>
        <w:spacing w:after="200" w:line="360" w:lineRule="auto"/>
        <w:contextualSpacing/>
        <w:rPr>
          <w:rFonts w:ascii="Calibri" w:eastAsia="Calibri" w:hAnsi="Calibri" w:cs="Times New Roman"/>
        </w:rPr>
      </w:pPr>
    </w:p>
    <w:p w14:paraId="1B0ACCA0" w14:textId="739390D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The weakest absolute indirect effect size was observed for the relationship between resources and demands and work engagement mediated by competence, however, it may still be practically significant (</w:t>
      </w:r>
      <w:r w:rsidRPr="00E6060C">
        <w:rPr>
          <w:rFonts w:ascii="Calibri" w:eastAsia="Calibri" w:hAnsi="Calibri" w:cs="Times New Roman"/>
          <w:i/>
          <w:iCs/>
        </w:rPr>
        <w:t>ab</w:t>
      </w:r>
      <w:r w:rsidRPr="00E6060C">
        <w:rPr>
          <w:rFonts w:ascii="Calibri" w:eastAsia="Calibri" w:hAnsi="Calibri" w:cs="Times New Roman"/>
          <w:i/>
          <w:iCs/>
          <w:vertAlign w:val="subscript"/>
        </w:rPr>
        <w:t>cs</w:t>
      </w:r>
      <w:r w:rsidRPr="00E6060C">
        <w:rPr>
          <w:rFonts w:ascii="Calibri" w:eastAsia="Calibri" w:hAnsi="Calibri" w:cs="Times New Roman"/>
        </w:rPr>
        <w:t xml:space="preserve">=.03). A significant result was expected given that, intuitively, having the resources with which to carry out work tasks is likely to increase one’s sense of competence on the job. This is evidenced by relationships between resources, demands and competence, as well as work engagement, apparent in the literature (e.g. Van den Broeck </w:t>
      </w:r>
      <w:r w:rsidR="00B64DD5">
        <w:rPr>
          <w:rFonts w:ascii="Calibri" w:eastAsia="Calibri" w:hAnsi="Calibri" w:cs="Times New Roman"/>
        </w:rPr>
        <w:t>et al.,</w:t>
      </w:r>
      <w:r w:rsidRPr="00E6060C">
        <w:rPr>
          <w:rFonts w:ascii="Calibri" w:eastAsia="Calibri" w:hAnsi="Calibri" w:cs="Times New Roman"/>
        </w:rPr>
        <w:t xml:space="preserve"> 2016). It is possible that competence was a weaker mediator than autonomy due to other factors being more important for a sense of competence than the simple presence of basic resources with which to complete tasks coupled with manageable demands. For example, Van den Broeck et al. (2010) suggest that satisfaction of the need for competence is dependent on a sense of mastery over tasks. However, simply being able to complete everyday work tasks which are well within the capabilities of the employee may not develop this sense of mastery to the extent that other factors might, such as the successful accomplishment of new challenges, learning and training, and new opportunities requiring the development of different skills and competencies. Indeed, Bakker and Demerouti (2007) suggest that constructive feedback, growth</w:t>
      </w:r>
      <w:r w:rsidR="009229B7">
        <w:rPr>
          <w:rFonts w:ascii="Calibri" w:eastAsia="Calibri" w:hAnsi="Calibri" w:cs="Times New Roman"/>
        </w:rPr>
        <w:t>,</w:t>
      </w:r>
      <w:r w:rsidRPr="00E6060C">
        <w:rPr>
          <w:rFonts w:ascii="Calibri" w:eastAsia="Calibri" w:hAnsi="Calibri" w:cs="Times New Roman"/>
        </w:rPr>
        <w:t xml:space="preserve"> and learning play an intrinsic motivational role leading to work engagement through the satisfaction of the need for competence. This suggests that having adequate basic resources to carry out work tasks</w:t>
      </w:r>
      <w:r w:rsidR="009229B7">
        <w:rPr>
          <w:rFonts w:ascii="Calibri" w:eastAsia="Calibri" w:hAnsi="Calibri" w:cs="Times New Roman"/>
        </w:rPr>
        <w:t>,</w:t>
      </w:r>
      <w:r w:rsidRPr="00E6060C">
        <w:rPr>
          <w:rFonts w:ascii="Calibri" w:eastAsia="Calibri" w:hAnsi="Calibri" w:cs="Times New Roman"/>
        </w:rPr>
        <w:t xml:space="preserve"> coupled with manageable demands</w:t>
      </w:r>
      <w:r w:rsidR="009229B7">
        <w:rPr>
          <w:rFonts w:ascii="Calibri" w:eastAsia="Calibri" w:hAnsi="Calibri" w:cs="Times New Roman"/>
        </w:rPr>
        <w:t>,</w:t>
      </w:r>
      <w:r w:rsidRPr="00E6060C">
        <w:rPr>
          <w:rFonts w:ascii="Calibri" w:eastAsia="Calibri" w:hAnsi="Calibri" w:cs="Times New Roman"/>
        </w:rPr>
        <w:t xml:space="preserve"> is somewhat necessary for </w:t>
      </w:r>
      <w:r w:rsidR="009229B7">
        <w:rPr>
          <w:rFonts w:ascii="Calibri" w:eastAsia="Calibri" w:hAnsi="Calibri" w:cs="Times New Roman"/>
        </w:rPr>
        <w:t xml:space="preserve">the </w:t>
      </w:r>
      <w:r w:rsidRPr="00E6060C">
        <w:rPr>
          <w:rFonts w:ascii="Calibri" w:eastAsia="Calibri" w:hAnsi="Calibri" w:cs="Times New Roman"/>
        </w:rPr>
        <w:t xml:space="preserve">satisfaction of the need for competence but that factors leading to greater growth and learning are likely to play a larger role in engendering motivation at work and subsequent work engagement. </w:t>
      </w:r>
    </w:p>
    <w:p w14:paraId="0858DD3C" w14:textId="77777777" w:rsidR="00E6060C" w:rsidRPr="00E6060C" w:rsidRDefault="00E6060C" w:rsidP="00E6060C">
      <w:pPr>
        <w:spacing w:after="200" w:line="360" w:lineRule="auto"/>
        <w:contextualSpacing/>
        <w:rPr>
          <w:rFonts w:ascii="Calibri" w:eastAsia="Calibri" w:hAnsi="Calibri" w:cs="Times New Roman"/>
        </w:rPr>
      </w:pPr>
    </w:p>
    <w:p w14:paraId="3857E824" w14:textId="4BD5DBC9"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absolute indirect effect size for the relationship between resources and demands and work engagement mediated by relatedness cannot be interpreted as there was no significant indirect effect indicating mediation. This was in keeping with Van den Broeck </w:t>
      </w:r>
      <w:r w:rsidR="00AF46EE">
        <w:rPr>
          <w:rFonts w:ascii="Calibri" w:eastAsia="Calibri" w:hAnsi="Calibri" w:cs="Times New Roman"/>
        </w:rPr>
        <w:t>and colleagues’</w:t>
      </w:r>
      <w:r w:rsidRPr="00E6060C">
        <w:rPr>
          <w:rFonts w:ascii="Calibri" w:eastAsia="Calibri" w:hAnsi="Calibri" w:cs="Times New Roman"/>
        </w:rPr>
        <w:t xml:space="preserve"> meta-analysis, </w:t>
      </w:r>
      <w:r w:rsidRPr="00E6060C">
        <w:rPr>
          <w:rFonts w:ascii="Calibri" w:eastAsia="Calibri" w:hAnsi="Calibri" w:cs="Times New Roman"/>
        </w:rPr>
        <w:lastRenderedPageBreak/>
        <w:t>which found no relationship between workload, emotional demands and relatedness. This is likely because simply having adequate basic resources and manageable demands is unlikely to significantly affect the quality of the relationships that individuals build with others on their ward. Rather, the literature suggests that social support from colleagues and supervisors is much more likely to engender a sense of relatedness, or belonging, with one’s work team, group</w:t>
      </w:r>
      <w:r w:rsidR="009229B7">
        <w:rPr>
          <w:rFonts w:ascii="Calibri" w:eastAsia="Calibri" w:hAnsi="Calibri" w:cs="Times New Roman"/>
        </w:rPr>
        <w:t>,</w:t>
      </w:r>
      <w:r w:rsidRPr="00E6060C">
        <w:rPr>
          <w:rFonts w:ascii="Calibri" w:eastAsia="Calibri" w:hAnsi="Calibri" w:cs="Times New Roman"/>
        </w:rPr>
        <w:t xml:space="preserve"> or department and lead to work engagement (e.g. Bakker and Demerouti, 2007; Van</w:t>
      </w:r>
      <w:r w:rsidR="009229B7">
        <w:rPr>
          <w:rFonts w:ascii="Calibri" w:eastAsia="Calibri" w:hAnsi="Calibri" w:cs="Times New Roman"/>
        </w:rPr>
        <w:t xml:space="preserve"> den Broeck, 2008; 2010; 2016).</w:t>
      </w:r>
    </w:p>
    <w:p w14:paraId="06548ED9" w14:textId="77777777" w:rsidR="009229B7" w:rsidRPr="00E6060C" w:rsidRDefault="009229B7" w:rsidP="00E6060C">
      <w:pPr>
        <w:spacing w:after="200" w:line="360" w:lineRule="auto"/>
        <w:contextualSpacing/>
        <w:rPr>
          <w:rFonts w:ascii="Calibri" w:eastAsia="Calibri" w:hAnsi="Calibri" w:cs="Times New Roman"/>
        </w:rPr>
      </w:pPr>
    </w:p>
    <w:p w14:paraId="1F7190BC" w14:textId="34949C11"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Although the strongest relative indirect effect was observed for the relationship between resources and demands and work engagement mediated by autonomy, the weakest relative indirect effect was observed for the relationship between social support and work engagement mediated by competence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=.10). This indicates that this indirect effect contributes towards the total effect </w:t>
      </w:r>
      <w:r w:rsidR="009229B7">
        <w:rPr>
          <w:rFonts w:ascii="Calibri" w:eastAsia="Calibri" w:hAnsi="Calibri" w:cs="Times New Roman"/>
          <w:iCs/>
        </w:rPr>
        <w:t>less</w:t>
      </w:r>
      <w:r w:rsidRPr="00E6060C">
        <w:rPr>
          <w:rFonts w:ascii="Calibri" w:eastAsia="Calibri" w:hAnsi="Calibri" w:cs="Times New Roman"/>
          <w:iCs/>
        </w:rPr>
        <w:t xml:space="preserve"> than participation in decision-making or the balance between resources and demands did towards their respective total effects. </w:t>
      </w:r>
      <w:r w:rsidRPr="00E6060C">
        <w:rPr>
          <w:rFonts w:ascii="Calibri" w:eastAsia="Calibri" w:hAnsi="Calibri" w:cs="Times New Roman"/>
        </w:rPr>
        <w:t xml:space="preserve">This suggests that it may be better to direct attention to these other job resources in an attempt to meet the need for competence. However, as the effect size does not convey practical significance (Preacher &amp; Kelley, 2011), the result may still be practically significant. In particular, social support may encourage the satisfaction of competence through the opportunity for colleagues and supervisors to provide positive feedback and recognition. Feedback has been highlighted in the literature as a factor encouraging competence and work engagement (e.g. Bakker and Demerouti, 2007) and relationships between these variables have been evidenced empirically (e.g. Van den Broeck et al., 2008; 2010; 2016).  </w:t>
      </w:r>
    </w:p>
    <w:p w14:paraId="62CA4619" w14:textId="77777777" w:rsidR="00E6060C" w:rsidRPr="00E6060C" w:rsidRDefault="00E6060C" w:rsidP="00E6060C">
      <w:pPr>
        <w:spacing w:after="200" w:line="360" w:lineRule="auto"/>
        <w:contextualSpacing/>
        <w:rPr>
          <w:rFonts w:ascii="Calibri" w:eastAsia="Calibri" w:hAnsi="Calibri" w:cs="Times New Roman"/>
        </w:rPr>
      </w:pPr>
    </w:p>
    <w:p w14:paraId="04F02A11" w14:textId="6B2710E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It is important to note a limitation of the relative indirect effect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highlighted by Preacher and Kelley (2011). This is that it is possible that other mediators could be correlated with one or more of the three explored in this study, and thus the relative indirect effect sizes (</w:t>
      </w:r>
      <w:r w:rsidRPr="00E6060C">
        <w:rPr>
          <w:rFonts w:ascii="Calibri" w:eastAsia="Calibri" w:hAnsi="Calibri" w:cs="Times New Roman"/>
          <w:i/>
        </w:rPr>
        <w:t>P</w:t>
      </w:r>
      <w:r w:rsidRPr="00E6060C">
        <w:rPr>
          <w:rFonts w:ascii="Calibri" w:eastAsia="Calibri" w:hAnsi="Calibri" w:cs="Times New Roman"/>
          <w:vertAlign w:val="subscript"/>
        </w:rPr>
        <w:t>M</w:t>
      </w:r>
      <w:r w:rsidRPr="00E6060C">
        <w:rPr>
          <w:rFonts w:ascii="Calibri" w:eastAsia="Calibri" w:hAnsi="Calibri" w:cs="Times New Roman"/>
        </w:rPr>
        <w:t xml:space="preserve">) observed here may portray an inflated view of the strength of the effects. This is because each relative indirect effect would be divided into unique parts in the presence of another, correlated mediator, and thus the relative indirect effect size related to the mediator already in the model would be reduced. For example, in the relationship between participation in decision-making and work engagement mediated by competence, it is plausible that the personal resource, self-efficacy, might act as another mediator correlated with competence. Conservation of Resources theory (Hobfoll, 2002) suggests that in environments rich in resources individuals tend to accumulate resources. Thus, the opportunity to regularly participate in decision-making could increase self-efficacy and correlate with competence due to an increased belief in the ability to carry out one’s job efficiently and effectively and impact on the work environment. It may encourage individuals to take on new </w:t>
      </w:r>
      <w:r w:rsidRPr="00E6060C">
        <w:rPr>
          <w:rFonts w:ascii="Calibri" w:eastAsia="Calibri" w:hAnsi="Calibri" w:cs="Times New Roman"/>
        </w:rPr>
        <w:lastRenderedPageBreak/>
        <w:t>opportunities and challenges, also leading to work engagement. Self-efficacy, as well as other personal resources such as self-esteem, optimism</w:t>
      </w:r>
      <w:r w:rsidR="00772C6E">
        <w:rPr>
          <w:rFonts w:ascii="Calibri" w:eastAsia="Calibri" w:hAnsi="Calibri" w:cs="Times New Roman"/>
        </w:rPr>
        <w:t>,</w:t>
      </w:r>
      <w:r w:rsidRPr="00E6060C">
        <w:rPr>
          <w:rFonts w:ascii="Calibri" w:eastAsia="Calibri" w:hAnsi="Calibri" w:cs="Times New Roman"/>
        </w:rPr>
        <w:t xml:space="preserve"> and resilience, have indeed been found to mediate between job resources and work engagement (e.g. Xanthopoulou, Bakker, Demerouti, &amp; Schaufeli, 2007; Llorens, Schaufeli, Bakker, &amp; Salanova, 2007; Xanthopoulou et al., 2009</w:t>
      </w:r>
      <w:r w:rsidR="00DF21FC">
        <w:rPr>
          <w:rFonts w:ascii="Calibri" w:eastAsia="Calibri" w:hAnsi="Calibri" w:cs="Times New Roman"/>
        </w:rPr>
        <w:t>a</w:t>
      </w:r>
      <w:r w:rsidRPr="00E6060C">
        <w:rPr>
          <w:rFonts w:ascii="Calibri" w:eastAsia="Calibri" w:hAnsi="Calibri" w:cs="Times New Roman"/>
        </w:rPr>
        <w:t xml:space="preserve">).  </w:t>
      </w:r>
    </w:p>
    <w:p w14:paraId="387A36E4" w14:textId="32F9D517"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It is possible that the presence of both significant indirect and direct effects indicates partial mediation. This suggests that other pathways may lead to work engagement, besides through the satisfaction of needs. The possibility of other mediators has been discussed above, and will not be discussed again here. However, other pathways also exist. For example, it may be that each predictor is able to increase work engagement directly through one of the four mechanisms highlighted by Bakker (2011). For instance, social support could increase work engagement through broaden-and-build theory (Fredrickson, 2001). Feeling supported by others could increase the number of positive emotions that individual’s feel, increasing a sense of </w:t>
      </w:r>
      <w:r w:rsidR="001D6140">
        <w:rPr>
          <w:rFonts w:ascii="Calibri" w:eastAsia="Calibri" w:hAnsi="Calibri" w:cs="Times New Roman"/>
        </w:rPr>
        <w:t>well-being</w:t>
      </w:r>
      <w:r w:rsidRPr="00E6060C">
        <w:rPr>
          <w:rFonts w:ascii="Calibri" w:eastAsia="Calibri" w:hAnsi="Calibri" w:cs="Times New Roman"/>
        </w:rPr>
        <w:t xml:space="preserve"> and freeing up cognitive resources to focus on the job and think laterally about how to resolve work problems. This can have motivational potential leading to work engagement. Contagion theory may also have a role, with those experiencing positive emotions and work engagement ‘passing on’ their enthusiasm and motivation for the</w:t>
      </w:r>
      <w:r w:rsidR="00261F67">
        <w:rPr>
          <w:rFonts w:ascii="Calibri" w:eastAsia="Calibri" w:hAnsi="Calibri" w:cs="Times New Roman"/>
        </w:rPr>
        <w:t>ir</w:t>
      </w:r>
      <w:r w:rsidRPr="00E6060C">
        <w:rPr>
          <w:rFonts w:ascii="Calibri" w:eastAsia="Calibri" w:hAnsi="Calibri" w:cs="Times New Roman"/>
        </w:rPr>
        <w:t xml:space="preserve"> job</w:t>
      </w:r>
      <w:r w:rsidR="00261F67">
        <w:rPr>
          <w:rFonts w:ascii="Calibri" w:eastAsia="Calibri" w:hAnsi="Calibri" w:cs="Times New Roman"/>
        </w:rPr>
        <w:t>s</w:t>
      </w:r>
      <w:r w:rsidRPr="00E6060C">
        <w:rPr>
          <w:rFonts w:ascii="Calibri" w:eastAsia="Calibri" w:hAnsi="Calibri" w:cs="Times New Roman"/>
        </w:rPr>
        <w:t xml:space="preserve"> to those around them, through the display of those positive emotions</w:t>
      </w:r>
      <w:r w:rsidR="00772C6E">
        <w:rPr>
          <w:rFonts w:ascii="Calibri" w:eastAsia="Calibri" w:hAnsi="Calibri" w:cs="Times New Roman"/>
        </w:rPr>
        <w:t>,</w:t>
      </w:r>
      <w:r w:rsidRPr="00E6060C">
        <w:rPr>
          <w:rFonts w:ascii="Calibri" w:eastAsia="Calibri" w:hAnsi="Calibri" w:cs="Times New Roman"/>
        </w:rPr>
        <w:t xml:space="preserve"> or espousing positive thoughts about the job to others. The increased cognitive resources available could allow individuals to partake in job crafting, by seeking out new challenges and opportunities in which they can engage further and develop their skills and competencies.     </w:t>
      </w:r>
    </w:p>
    <w:p w14:paraId="4398AD4F" w14:textId="77777777" w:rsidR="00E6060C" w:rsidRPr="00E6060C" w:rsidRDefault="00E6060C" w:rsidP="00E6060C">
      <w:pPr>
        <w:spacing w:after="200" w:line="360" w:lineRule="auto"/>
        <w:contextualSpacing/>
        <w:rPr>
          <w:rFonts w:ascii="Calibri" w:eastAsia="Calibri" w:hAnsi="Calibri" w:cs="Times New Roman"/>
        </w:rPr>
      </w:pPr>
    </w:p>
    <w:p w14:paraId="533D796E" w14:textId="73EB6F24"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Participation in decision-making may directly increase work engagement through similar means to social support. Being allowed the opportunity to voice opinions and be involved in directing the outcome of change could equally increase individuals’ experience of positive emotions, increasing </w:t>
      </w:r>
      <w:r w:rsidR="001D6140">
        <w:rPr>
          <w:rFonts w:ascii="Calibri" w:eastAsia="Calibri" w:hAnsi="Calibri" w:cs="Times New Roman"/>
        </w:rPr>
        <w:t>well-being</w:t>
      </w:r>
      <w:r w:rsidRPr="00E6060C">
        <w:rPr>
          <w:rFonts w:ascii="Calibri" w:eastAsia="Calibri" w:hAnsi="Calibri" w:cs="Times New Roman"/>
        </w:rPr>
        <w:t xml:space="preserve"> and individuals’ ability to think more broadly about how to resolve work problems. Job crafting may result as individuals create or see opportunities they may not have done previously, or may not have had the energy to think about or take advantage of previously. In these ways, both social support and participation in decision-making may act as direct predictors of work engagement.   </w:t>
      </w:r>
    </w:p>
    <w:p w14:paraId="7868409B" w14:textId="77777777" w:rsidR="00E6060C" w:rsidRPr="00E6060C" w:rsidRDefault="00E6060C" w:rsidP="00E6060C">
      <w:pPr>
        <w:spacing w:after="200" w:line="360" w:lineRule="auto"/>
        <w:contextualSpacing/>
        <w:rPr>
          <w:rFonts w:ascii="Calibri" w:eastAsia="Calibri" w:hAnsi="Calibri" w:cs="Times New Roman"/>
        </w:rPr>
      </w:pPr>
    </w:p>
    <w:p w14:paraId="52837DBB" w14:textId="46103484"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Taken together, these results support </w:t>
      </w:r>
      <w:r w:rsidR="00A43B59">
        <w:rPr>
          <w:rFonts w:ascii="Calibri" w:eastAsia="Calibri" w:hAnsi="Calibri" w:cs="Times New Roman"/>
        </w:rPr>
        <w:t>JD-R</w:t>
      </w:r>
      <w:r w:rsidRPr="00E6060C">
        <w:rPr>
          <w:rFonts w:ascii="Calibri" w:eastAsia="Calibri" w:hAnsi="Calibri" w:cs="Times New Roman"/>
        </w:rPr>
        <w:t xml:space="preserve"> theory as in general each of the three needs mediated between resources and work engagement, as hypothesised by Bakker and Demerouti (2007; 2008) and others (e.g. Van den Broeck </w:t>
      </w:r>
      <w:r w:rsidR="00B64DD5">
        <w:rPr>
          <w:rFonts w:ascii="Calibri" w:eastAsia="Calibri" w:hAnsi="Calibri" w:cs="Times New Roman"/>
        </w:rPr>
        <w:t>et al.,</w:t>
      </w:r>
      <w:r w:rsidRPr="00E6060C">
        <w:rPr>
          <w:rFonts w:ascii="Calibri" w:eastAsia="Calibri" w:hAnsi="Calibri" w:cs="Times New Roman"/>
        </w:rPr>
        <w:t xml:space="preserve"> 2010). More specifically, the results suggest that individuals who feel supported by their colleagues experience satisfaction of the needs for autonomy, competence and relatedness, leading to work engagement. Positive relationships between these </w:t>
      </w:r>
      <w:r w:rsidRPr="00E6060C">
        <w:rPr>
          <w:rFonts w:ascii="Calibri" w:eastAsia="Calibri" w:hAnsi="Calibri" w:cs="Times New Roman"/>
        </w:rPr>
        <w:lastRenderedPageBreak/>
        <w:t xml:space="preserve">variables have been found in previous studies (e.g. Van den Broeck </w:t>
      </w:r>
      <w:r w:rsidR="00B64DD5">
        <w:rPr>
          <w:rFonts w:ascii="Calibri" w:eastAsia="Calibri" w:hAnsi="Calibri" w:cs="Times New Roman"/>
        </w:rPr>
        <w:t>et al.,</w:t>
      </w:r>
      <w:r w:rsidRPr="00E6060C">
        <w:rPr>
          <w:rFonts w:ascii="Calibri" w:eastAsia="Calibri" w:hAnsi="Calibri" w:cs="Times New Roman"/>
        </w:rPr>
        <w:t xml:space="preserve"> 2010; 2016). Nielsen (2013) also suggests that social support is important for creating a sense of togetherness and belonging to a group, such as a ward team. As stated above, feeling part of a group could lead to an increase in individuals’ experience of positive emotions and the ability of individuals to impact on and influence their work tasks, in accordance with broaden-and-build theory (Fredrickson, 2000). Colleagues may also provide positive feedback, helping individuals grow and learn, increasing their sense of competence, and their motivation to engage in work tasks (Bakker &amp; Demerouti, 2007; 2008).</w:t>
      </w:r>
    </w:p>
    <w:p w14:paraId="197B5FDA" w14:textId="77777777" w:rsidR="00E6060C" w:rsidRPr="00E6060C" w:rsidRDefault="00E6060C" w:rsidP="00E6060C">
      <w:pPr>
        <w:spacing w:after="200" w:line="360" w:lineRule="auto"/>
        <w:contextualSpacing/>
        <w:rPr>
          <w:rFonts w:ascii="Calibri" w:eastAsia="Calibri" w:hAnsi="Calibri" w:cs="Times New Roman"/>
        </w:rPr>
      </w:pPr>
    </w:p>
    <w:p w14:paraId="2D18FDC5" w14:textId="182227DE"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terms of influence in decision-making, it is likely that feeling involved in the decision making process within an organisation, and feeling that that involvement will actually have an impact on the outcome of decisions, makes individuals feel more in control of their work environment, leading to increased motivation at work (Bakker &amp; Demerouti, 2007; 2008). Having an impact on decisions may also make individuals feel a greater sense of competence as they feel that they have contributed useful ideas. There currently appears to be no research investigating the relationship between participation in decision-making and satisfaction of the need for competence directly, however, Nielsen, Randall et al. (2010) suggest that self-esteem may increase as a result of participatory interventions, and this could be due to the sense of competence engendered by others valuing one’s ideas and influencing the content and course of interventions. Likewise, Strauss and Parker (2014) suggest that being proactive, which could involve actively choosing to participate in decision-making, is associated with self-esteem, which is in turn associated with competence. Increases in personal resources such as self-efficacy and self-esteem could lead to job crafting, in accordance with Bakker (2011), further increasing work engagement. Being able to participate in decision-making in groups, and in so doing impact successfully on one’s environment, may also make individuals feel an increased sense of belonging at work, as their ideas are heard by others, valued</w:t>
      </w:r>
      <w:r w:rsidR="00772C6E">
        <w:rPr>
          <w:rFonts w:ascii="Calibri" w:eastAsia="Calibri" w:hAnsi="Calibri" w:cs="Times New Roman"/>
        </w:rPr>
        <w:t>,</w:t>
      </w:r>
      <w:r w:rsidRPr="00E6060C">
        <w:rPr>
          <w:rFonts w:ascii="Calibri" w:eastAsia="Calibri" w:hAnsi="Calibri" w:cs="Times New Roman"/>
        </w:rPr>
        <w:t xml:space="preserve"> and potentially realised. This may encourage them to engage in work. </w:t>
      </w:r>
    </w:p>
    <w:p w14:paraId="32CC44A9" w14:textId="77777777" w:rsidR="00E6060C" w:rsidRPr="00E6060C" w:rsidRDefault="00E6060C" w:rsidP="00E6060C">
      <w:pPr>
        <w:spacing w:after="200" w:line="360" w:lineRule="auto"/>
        <w:contextualSpacing/>
        <w:rPr>
          <w:rFonts w:ascii="Calibri" w:eastAsia="Calibri" w:hAnsi="Calibri" w:cs="Times New Roman"/>
        </w:rPr>
      </w:pPr>
    </w:p>
    <w:p w14:paraId="3F4CDD8D" w14:textId="425AB8A2" w:rsidR="00E35690" w:rsidRDefault="00E6060C" w:rsidP="00BB0757">
      <w:pPr>
        <w:spacing w:after="200" w:line="360" w:lineRule="auto"/>
        <w:contextualSpacing/>
        <w:rPr>
          <w:rFonts w:ascii="Calibri" w:eastAsia="Calibri" w:hAnsi="Calibri" w:cs="Times New Roman"/>
        </w:rPr>
      </w:pPr>
      <w:r w:rsidRPr="00E6060C">
        <w:rPr>
          <w:rFonts w:ascii="Calibri" w:eastAsia="Calibri" w:hAnsi="Calibri" w:cs="Times New Roman"/>
        </w:rPr>
        <w:t xml:space="preserve">In terms of resources and demands, the results suggest that the balance between resources and demands is important for satisfying the need for autonomy and competence, and </w:t>
      </w:r>
      <w:r w:rsidR="00772C6E">
        <w:rPr>
          <w:rFonts w:ascii="Calibri" w:eastAsia="Calibri" w:hAnsi="Calibri" w:cs="Times New Roman"/>
        </w:rPr>
        <w:t xml:space="preserve">that </w:t>
      </w:r>
      <w:r w:rsidRPr="00E6060C">
        <w:rPr>
          <w:rFonts w:ascii="Calibri" w:eastAsia="Calibri" w:hAnsi="Calibri" w:cs="Times New Roman"/>
        </w:rPr>
        <w:t xml:space="preserve">this can in turn lead to work engagement. According to </w:t>
      </w:r>
      <w:r w:rsidR="00A43B59">
        <w:rPr>
          <w:rFonts w:ascii="Calibri" w:eastAsia="Calibri" w:hAnsi="Calibri" w:cs="Times New Roman"/>
        </w:rPr>
        <w:t>JD-R</w:t>
      </w:r>
      <w:r w:rsidRPr="00E6060C">
        <w:rPr>
          <w:rFonts w:ascii="Calibri" w:eastAsia="Calibri" w:hAnsi="Calibri" w:cs="Times New Roman"/>
        </w:rPr>
        <w:t xml:space="preserve"> th</w:t>
      </w:r>
      <w:r w:rsidR="00772C6E">
        <w:rPr>
          <w:rFonts w:ascii="Calibri" w:eastAsia="Calibri" w:hAnsi="Calibri" w:cs="Times New Roman"/>
        </w:rPr>
        <w:t>eory</w:t>
      </w:r>
      <w:r w:rsidRPr="00E6060C">
        <w:rPr>
          <w:rFonts w:ascii="Calibri" w:eastAsia="Calibri" w:hAnsi="Calibri" w:cs="Times New Roman"/>
        </w:rPr>
        <w:t>, those who perceive a good balance between resources and demands feel in control of their work environment, leading to the satisfaction of the need for autonomy, and feel able to carry out their jobs well due to the presence of those resources, leading to the satisfaction of the need for compe</w:t>
      </w:r>
      <w:r w:rsidR="00772C6E">
        <w:rPr>
          <w:rFonts w:ascii="Calibri" w:eastAsia="Calibri" w:hAnsi="Calibri" w:cs="Times New Roman"/>
        </w:rPr>
        <w:t>tence.</w:t>
      </w:r>
    </w:p>
    <w:p w14:paraId="5B15A999" w14:textId="1BCF0E67" w:rsidR="008214C1" w:rsidRDefault="008214C1" w:rsidP="00BB0757">
      <w:pPr>
        <w:spacing w:after="200" w:line="360" w:lineRule="auto"/>
        <w:contextualSpacing/>
        <w:rPr>
          <w:rFonts w:ascii="Calibri" w:eastAsia="Calibri" w:hAnsi="Calibri" w:cs="Times New Roman"/>
        </w:rPr>
      </w:pPr>
    </w:p>
    <w:p w14:paraId="71685810" w14:textId="49044EA9" w:rsidR="008214C1" w:rsidRDefault="008214C1" w:rsidP="00BB0757">
      <w:pPr>
        <w:pStyle w:val="Heading3"/>
      </w:pPr>
      <w:bookmarkStart w:id="545" w:name="_Toc468286045"/>
      <w:r>
        <w:lastRenderedPageBreak/>
        <w:t>Contributions of Study 2 for theory</w:t>
      </w:r>
      <w:bookmarkEnd w:id="545"/>
    </w:p>
    <w:p w14:paraId="56DAE589" w14:textId="4F6450D6" w:rsidR="008214C1" w:rsidRDefault="008214C1" w:rsidP="00BB0757"/>
    <w:p w14:paraId="567DFE5A" w14:textId="2F7B3101" w:rsidR="008214C1" w:rsidRDefault="005C2054" w:rsidP="00BB0757">
      <w:r>
        <w:t>There are two key contributions of Study 2 for theory, which are discussed below.</w:t>
      </w:r>
    </w:p>
    <w:p w14:paraId="0B31D3D8" w14:textId="77777777" w:rsidR="005C2054" w:rsidRDefault="005C2054" w:rsidP="00BB0757"/>
    <w:p w14:paraId="6C885CC8" w14:textId="57E0A19F" w:rsidR="003369A1" w:rsidRPr="00BB0757" w:rsidRDefault="001E32A3" w:rsidP="00BB0757">
      <w:pPr>
        <w:rPr>
          <w:b/>
        </w:rPr>
      </w:pPr>
      <w:r>
        <w:rPr>
          <w:b/>
        </w:rPr>
        <w:t>Contribution 1: Influence in decision-making as an antecedent of need satisfaction and work engagement</w:t>
      </w:r>
    </w:p>
    <w:p w14:paraId="43FF7AAD" w14:textId="720DBC76" w:rsidR="003369A1" w:rsidRDefault="003369A1" w:rsidP="00BB0757"/>
    <w:p w14:paraId="1403FC6C" w14:textId="41398AB9" w:rsidR="001E32A3" w:rsidRDefault="001E32A3" w:rsidP="00BB0757">
      <w:r>
        <w:t xml:space="preserve">This study is the first to provide evidence for the mediation relationship between the job resource, influence in decision-making, work-related needs, and work engagement, within the context of an intervention. To the best of my knowledge, this has not been tested before in any study, intervention or otherwise. These results provide support for including influence in decision-making as an antecedent in the JD-R model, and suggests the utility of designing work engagement interventions to develop it. </w:t>
      </w:r>
    </w:p>
    <w:p w14:paraId="3A380C6D" w14:textId="78763A02" w:rsidR="005C2054" w:rsidRDefault="005C2054" w:rsidP="00BB0757"/>
    <w:p w14:paraId="68D7EFF9" w14:textId="77777777" w:rsidR="005C2054" w:rsidRDefault="005C2054" w:rsidP="00BB0757">
      <w:pPr>
        <w:rPr>
          <w:b/>
        </w:rPr>
      </w:pPr>
      <w:r>
        <w:rPr>
          <w:b/>
        </w:rPr>
        <w:t>Contribution 2: General support for JD-R theory and SDT as the underlying theory upon which JD-R theory is predicated</w:t>
      </w:r>
    </w:p>
    <w:p w14:paraId="3739F6FE" w14:textId="77777777" w:rsidR="005C2054" w:rsidRDefault="005C2054" w:rsidP="00BB0757">
      <w:pPr>
        <w:rPr>
          <w:b/>
        </w:rPr>
      </w:pPr>
    </w:p>
    <w:p w14:paraId="6A9C5FE7" w14:textId="451DEBC9" w:rsidR="005C2054" w:rsidRPr="00BB0757" w:rsidRDefault="005C2054" w:rsidP="00BB0757">
      <w:pPr>
        <w:rPr>
          <w:b/>
        </w:rPr>
      </w:pPr>
      <w:r>
        <w:t xml:space="preserve">This study provides support for the role of job resources as antecedents of the satisfaction of work-related needs and work engagement. More specifically, it increases the evidence base for the </w:t>
      </w:r>
      <w:r w:rsidR="004E0671">
        <w:t xml:space="preserve">mediation </w:t>
      </w:r>
      <w:r>
        <w:t>relationship between social support, influence in decision-making, and the perceived balance between resources and demands</w:t>
      </w:r>
      <w:r w:rsidR="004E0671">
        <w:t xml:space="preserve"> on the one hand, the mediators (work-related needs), autonomy, relatedness, and competence, and work engagement on the other hand. Few previous studies have tested any of these mediation relationships before (e.g.. Deci et al., 2001), and none to my knowledge has tested the mediation relationship involving influence in decision-making (see contribution 1). This study therefore adds important evidence for JD-R theory and SDT as the underlying mechanism. </w:t>
      </w:r>
    </w:p>
    <w:p w14:paraId="63A23C36" w14:textId="634F6F52" w:rsidR="008214C1" w:rsidRDefault="008214C1" w:rsidP="00BB0757"/>
    <w:p w14:paraId="796E8769" w14:textId="77777777" w:rsidR="00AC1675" w:rsidRPr="008214C1" w:rsidRDefault="00AC1675" w:rsidP="00BB0757"/>
    <w:p w14:paraId="742DA5D4" w14:textId="742F636C" w:rsidR="001F7B6A" w:rsidRPr="00E6060C" w:rsidRDefault="001F7B6A" w:rsidP="001F7B6A">
      <w:pPr>
        <w:pStyle w:val="Heading3"/>
        <w:spacing w:line="360" w:lineRule="auto"/>
        <w:contextualSpacing/>
      </w:pPr>
      <w:bookmarkStart w:id="546" w:name="_Toc468286046"/>
      <w:r>
        <w:t>C</w:t>
      </w:r>
      <w:r w:rsidRPr="00E6060C">
        <w:t>ontribution</w:t>
      </w:r>
      <w:r>
        <w:t>s of Study 2 for</w:t>
      </w:r>
      <w:r w:rsidR="00D81921">
        <w:t xml:space="preserve"> </w:t>
      </w:r>
      <w:r w:rsidR="001E32A3">
        <w:t xml:space="preserve">future </w:t>
      </w:r>
      <w:r w:rsidRPr="00E6060C">
        <w:t>research</w:t>
      </w:r>
      <w:bookmarkEnd w:id="546"/>
      <w:r w:rsidRPr="00E6060C">
        <w:t xml:space="preserve"> </w:t>
      </w:r>
    </w:p>
    <w:p w14:paraId="163FA729" w14:textId="24D3C8CE" w:rsidR="001F7B6A" w:rsidRDefault="001F7B6A" w:rsidP="001F7B6A">
      <w:pPr>
        <w:spacing w:after="200" w:line="360" w:lineRule="auto"/>
        <w:contextualSpacing/>
        <w:rPr>
          <w:rFonts w:ascii="Calibri" w:eastAsia="Calibri" w:hAnsi="Calibri" w:cs="Times New Roman"/>
        </w:rPr>
      </w:pPr>
    </w:p>
    <w:p w14:paraId="5BFCA95C" w14:textId="5B4ADFC8" w:rsidR="00D81921" w:rsidRPr="00E6060C" w:rsidRDefault="00D81921" w:rsidP="00D81921">
      <w:pPr>
        <w:spacing w:after="200" w:line="360" w:lineRule="auto"/>
        <w:contextualSpacing/>
        <w:rPr>
          <w:rFonts w:ascii="Calibri" w:eastAsia="Calibri" w:hAnsi="Calibri" w:cs="Times New Roman"/>
        </w:rPr>
      </w:pPr>
      <w:r w:rsidRPr="00E6060C">
        <w:rPr>
          <w:rFonts w:ascii="Calibri" w:eastAsia="Calibri" w:hAnsi="Calibri" w:cs="Times New Roman"/>
        </w:rPr>
        <w:t>T</w:t>
      </w:r>
      <w:r w:rsidR="001A33CA">
        <w:rPr>
          <w:rFonts w:ascii="Calibri" w:eastAsia="Calibri" w:hAnsi="Calibri" w:cs="Times New Roman"/>
        </w:rPr>
        <w:t>hree</w:t>
      </w:r>
      <w:r w:rsidRPr="00E6060C">
        <w:rPr>
          <w:rFonts w:ascii="Calibri" w:eastAsia="Calibri" w:hAnsi="Calibri" w:cs="Times New Roman"/>
        </w:rPr>
        <w:t xml:space="preserve"> specific </w:t>
      </w:r>
      <w:r>
        <w:rPr>
          <w:rFonts w:ascii="Calibri" w:eastAsia="Calibri" w:hAnsi="Calibri" w:cs="Times New Roman"/>
        </w:rPr>
        <w:t xml:space="preserve">contributions </w:t>
      </w:r>
      <w:r w:rsidRPr="00E6060C">
        <w:rPr>
          <w:rFonts w:ascii="Calibri" w:eastAsia="Calibri" w:hAnsi="Calibri" w:cs="Times New Roman"/>
        </w:rPr>
        <w:t>for research</w:t>
      </w:r>
      <w:r>
        <w:rPr>
          <w:rFonts w:ascii="Calibri" w:eastAsia="Calibri" w:hAnsi="Calibri" w:cs="Times New Roman"/>
        </w:rPr>
        <w:t>,</w:t>
      </w:r>
      <w:r w:rsidRPr="00E6060C">
        <w:rPr>
          <w:rFonts w:ascii="Calibri" w:eastAsia="Calibri" w:hAnsi="Calibri" w:cs="Times New Roman"/>
        </w:rPr>
        <w:t xml:space="preserve"> </w:t>
      </w:r>
      <w:r>
        <w:rPr>
          <w:rFonts w:ascii="Calibri" w:eastAsia="Calibri" w:hAnsi="Calibri" w:cs="Times New Roman"/>
        </w:rPr>
        <w:t xml:space="preserve">each with associated </w:t>
      </w:r>
      <w:r w:rsidR="005A23E0">
        <w:rPr>
          <w:rFonts w:ascii="Calibri" w:eastAsia="Calibri" w:hAnsi="Calibri" w:cs="Times New Roman"/>
        </w:rPr>
        <w:t>implications</w:t>
      </w:r>
      <w:r>
        <w:rPr>
          <w:rFonts w:ascii="Calibri" w:eastAsia="Calibri" w:hAnsi="Calibri" w:cs="Times New Roman"/>
        </w:rPr>
        <w:t xml:space="preserve">, emerged from this study. These </w:t>
      </w:r>
      <w:r w:rsidRPr="00E6060C">
        <w:rPr>
          <w:rFonts w:ascii="Calibri" w:eastAsia="Calibri" w:hAnsi="Calibri" w:cs="Times New Roman"/>
        </w:rPr>
        <w:t xml:space="preserve">are discussed below. </w:t>
      </w:r>
    </w:p>
    <w:p w14:paraId="45001495" w14:textId="77777777" w:rsidR="00D81921" w:rsidRDefault="00D81921" w:rsidP="001F7B6A">
      <w:pPr>
        <w:spacing w:after="200" w:line="360" w:lineRule="auto"/>
        <w:contextualSpacing/>
        <w:rPr>
          <w:rFonts w:ascii="Calibri" w:eastAsia="Calibri" w:hAnsi="Calibri" w:cs="Times New Roman"/>
        </w:rPr>
      </w:pPr>
    </w:p>
    <w:p w14:paraId="467FB84F" w14:textId="46A1BE2B" w:rsidR="00D81921" w:rsidRPr="00D81921" w:rsidRDefault="00D81921" w:rsidP="001F7B6A">
      <w:pPr>
        <w:spacing w:after="200" w:line="360" w:lineRule="auto"/>
        <w:contextualSpacing/>
        <w:rPr>
          <w:rFonts w:ascii="Calibri" w:eastAsia="Calibri" w:hAnsi="Calibri" w:cs="Times New Roman"/>
          <w:b/>
        </w:rPr>
      </w:pPr>
      <w:r>
        <w:rPr>
          <w:rFonts w:ascii="Calibri" w:eastAsia="Calibri" w:hAnsi="Calibri" w:cs="Times New Roman"/>
          <w:b/>
        </w:rPr>
        <w:t xml:space="preserve">Contribution 1: This is the first study to evaluate the success </w:t>
      </w:r>
      <w:r w:rsidRPr="00D81921">
        <w:rPr>
          <w:rFonts w:ascii="Calibri" w:eastAsia="Calibri" w:hAnsi="Calibri" w:cs="Times New Roman"/>
          <w:b/>
        </w:rPr>
        <w:t xml:space="preserve">of a </w:t>
      </w:r>
      <w:r w:rsidR="005A23E0">
        <w:rPr>
          <w:rFonts w:ascii="Calibri" w:eastAsia="Calibri" w:hAnsi="Calibri" w:cs="Times New Roman"/>
          <w:b/>
        </w:rPr>
        <w:t>participatory action research</w:t>
      </w:r>
      <w:r w:rsidRPr="00D81921">
        <w:rPr>
          <w:rFonts w:ascii="Calibri" w:eastAsia="Calibri" w:hAnsi="Calibri" w:cs="Times New Roman"/>
          <w:b/>
        </w:rPr>
        <w:t xml:space="preserve"> approach for increasing the work engagement and well-being of nursing staff</w:t>
      </w:r>
    </w:p>
    <w:p w14:paraId="51FD21FE" w14:textId="103CF793" w:rsidR="00D81921" w:rsidRDefault="00D81921" w:rsidP="001F7B6A">
      <w:pPr>
        <w:spacing w:after="200" w:line="360" w:lineRule="auto"/>
        <w:contextualSpacing/>
        <w:rPr>
          <w:rFonts w:ascii="Calibri" w:eastAsia="Calibri" w:hAnsi="Calibri" w:cs="Times New Roman"/>
        </w:rPr>
      </w:pPr>
    </w:p>
    <w:p w14:paraId="1814FE26" w14:textId="1FDA4A9C" w:rsidR="00D81921" w:rsidRPr="00E6060C" w:rsidRDefault="005A23E0" w:rsidP="00D81921">
      <w:pPr>
        <w:spacing w:after="200" w:line="360" w:lineRule="auto"/>
        <w:contextualSpacing/>
        <w:rPr>
          <w:rFonts w:ascii="Calibri" w:eastAsia="Calibri" w:hAnsi="Calibri" w:cs="Times New Roman"/>
        </w:rPr>
      </w:pPr>
      <w:r>
        <w:rPr>
          <w:rFonts w:ascii="Calibri" w:eastAsia="Calibri" w:hAnsi="Calibri" w:cs="Times New Roman"/>
        </w:rPr>
        <w:t xml:space="preserve">Study 2 is the </w:t>
      </w:r>
      <w:r w:rsidRPr="005A23E0">
        <w:rPr>
          <w:rFonts w:ascii="Calibri" w:eastAsia="Calibri" w:hAnsi="Calibri" w:cs="Times New Roman"/>
        </w:rPr>
        <w:t xml:space="preserve">first to evaluate the success of a </w:t>
      </w:r>
      <w:r>
        <w:rPr>
          <w:rFonts w:ascii="Calibri" w:eastAsia="Calibri" w:hAnsi="Calibri" w:cs="Times New Roman"/>
        </w:rPr>
        <w:t>group, participatory action research (</w:t>
      </w:r>
      <w:r w:rsidRPr="005A23E0">
        <w:rPr>
          <w:rFonts w:ascii="Calibri" w:eastAsia="Calibri" w:hAnsi="Calibri" w:cs="Times New Roman"/>
        </w:rPr>
        <w:t>PAR</w:t>
      </w:r>
      <w:r>
        <w:rPr>
          <w:rFonts w:ascii="Calibri" w:eastAsia="Calibri" w:hAnsi="Calibri" w:cs="Times New Roman"/>
        </w:rPr>
        <w:t>)</w:t>
      </w:r>
      <w:r w:rsidRPr="005A23E0">
        <w:rPr>
          <w:rFonts w:ascii="Calibri" w:eastAsia="Calibri" w:hAnsi="Calibri" w:cs="Times New Roman"/>
        </w:rPr>
        <w:t xml:space="preserve"> approach for increasing the work engagement and well-being of nursing staff</w:t>
      </w:r>
      <w:r>
        <w:rPr>
          <w:rFonts w:ascii="Calibri" w:eastAsia="Calibri" w:hAnsi="Calibri" w:cs="Times New Roman"/>
        </w:rPr>
        <w:t>. This is novel research which suggest</w:t>
      </w:r>
      <w:r w:rsidR="00261F67">
        <w:rPr>
          <w:rFonts w:ascii="Calibri" w:eastAsia="Calibri" w:hAnsi="Calibri" w:cs="Times New Roman"/>
        </w:rPr>
        <w:t>s</w:t>
      </w:r>
      <w:r>
        <w:rPr>
          <w:rFonts w:ascii="Calibri" w:eastAsia="Calibri" w:hAnsi="Calibri" w:cs="Times New Roman"/>
        </w:rPr>
        <w:t xml:space="preserve"> that such an intervention may have positive effects on well-being. An important implication</w:t>
      </w:r>
      <w:r w:rsidR="00D81921" w:rsidRPr="005A23E0">
        <w:rPr>
          <w:rFonts w:ascii="Calibri" w:eastAsia="Calibri" w:hAnsi="Calibri" w:cs="Times New Roman"/>
        </w:rPr>
        <w:t xml:space="preserve"> </w:t>
      </w:r>
      <w:r>
        <w:rPr>
          <w:rFonts w:ascii="Calibri" w:eastAsia="Calibri" w:hAnsi="Calibri" w:cs="Times New Roman"/>
        </w:rPr>
        <w:t xml:space="preserve">for research </w:t>
      </w:r>
      <w:r w:rsidR="00D81921" w:rsidRPr="005A23E0">
        <w:rPr>
          <w:rFonts w:ascii="Calibri" w:eastAsia="Calibri" w:hAnsi="Calibri" w:cs="Times New Roman"/>
        </w:rPr>
        <w:t>echoes one that emerged from Study 1; the necessity for organisational intervention</w:t>
      </w:r>
      <w:r w:rsidR="00D81921" w:rsidRPr="00E6060C">
        <w:rPr>
          <w:rFonts w:ascii="Calibri" w:eastAsia="Calibri" w:hAnsi="Calibri" w:cs="Times New Roman"/>
        </w:rPr>
        <w:t xml:space="preserve"> studies to incorporate full process evaluations for exploring how and why interventions work. </w:t>
      </w:r>
      <w:r>
        <w:rPr>
          <w:rFonts w:ascii="Calibri" w:eastAsia="Calibri" w:hAnsi="Calibri" w:cs="Times New Roman"/>
        </w:rPr>
        <w:t>This adds to</w:t>
      </w:r>
      <w:r w:rsidR="00D81921" w:rsidRPr="00E6060C">
        <w:rPr>
          <w:rFonts w:ascii="Calibri" w:eastAsia="Calibri" w:hAnsi="Calibri" w:cs="Times New Roman"/>
        </w:rPr>
        <w:t xml:space="preserve"> a growing body of research which calls for the thorough evaluation of factors which may </w:t>
      </w:r>
      <w:r w:rsidR="00D81921" w:rsidRPr="00E6060C">
        <w:rPr>
          <w:rFonts w:ascii="Calibri" w:eastAsia="Calibri" w:hAnsi="Calibri" w:cs="Times New Roman"/>
        </w:rPr>
        <w:lastRenderedPageBreak/>
        <w:t xml:space="preserve">have affected intervention implementation as an essential part of evaluating the effectiveness of interventions, alongside a traditional statistical analysis of intervention effects (see Nielsen </w:t>
      </w:r>
      <w:r w:rsidR="00D81921">
        <w:rPr>
          <w:rFonts w:ascii="Calibri" w:eastAsia="Calibri" w:hAnsi="Calibri" w:cs="Times New Roman"/>
        </w:rPr>
        <w:t>et al.,</w:t>
      </w:r>
      <w:r w:rsidR="00D81921" w:rsidRPr="00E6060C">
        <w:rPr>
          <w:rFonts w:ascii="Calibri" w:eastAsia="Calibri" w:hAnsi="Calibri" w:cs="Times New Roman"/>
        </w:rPr>
        <w:t xml:space="preserve"> 2007; Nielsen, Randall et al., 2010; and Ch</w:t>
      </w:r>
      <w:r w:rsidR="00D81921">
        <w:rPr>
          <w:rFonts w:ascii="Calibri" w:eastAsia="Calibri" w:hAnsi="Calibri" w:cs="Times New Roman"/>
        </w:rPr>
        <w:t>apter 3</w:t>
      </w:r>
      <w:r w:rsidR="00D81921" w:rsidRPr="00E6060C">
        <w:rPr>
          <w:rFonts w:ascii="Calibri" w:eastAsia="Calibri" w:hAnsi="Calibri" w:cs="Times New Roman"/>
        </w:rPr>
        <w:t xml:space="preserve">). Researchers should endeavour to negotiate the inclusion of an evaluation of implementation with organisations from the outset, presenting it as an essential part of determining the effectiveness of interventions. </w:t>
      </w:r>
    </w:p>
    <w:p w14:paraId="7866A4AF" w14:textId="77777777" w:rsidR="00D81921" w:rsidRPr="00E6060C" w:rsidRDefault="00D81921" w:rsidP="00D81921">
      <w:pPr>
        <w:spacing w:after="200" w:line="360" w:lineRule="auto"/>
        <w:contextualSpacing/>
        <w:rPr>
          <w:rFonts w:ascii="Calibri" w:eastAsia="Calibri" w:hAnsi="Calibri" w:cs="Times New Roman"/>
        </w:rPr>
      </w:pPr>
    </w:p>
    <w:p w14:paraId="14C8C636" w14:textId="00D1C2B3" w:rsidR="00D81921" w:rsidRPr="00E6060C" w:rsidRDefault="005A23E0" w:rsidP="00D81921">
      <w:pPr>
        <w:spacing w:after="200" w:line="360" w:lineRule="auto"/>
        <w:contextualSpacing/>
        <w:rPr>
          <w:rFonts w:ascii="Calibri" w:eastAsia="Calibri" w:hAnsi="Calibri" w:cs="Times New Roman"/>
        </w:rPr>
      </w:pPr>
      <w:r>
        <w:rPr>
          <w:rFonts w:ascii="Calibri" w:eastAsia="Calibri" w:hAnsi="Calibri" w:cs="Times New Roman"/>
        </w:rPr>
        <w:t>Another implication for</w:t>
      </w:r>
      <w:r w:rsidR="00D81921" w:rsidRPr="00E6060C">
        <w:rPr>
          <w:rFonts w:ascii="Calibri" w:eastAsia="Calibri" w:hAnsi="Calibri" w:cs="Times New Roman"/>
        </w:rPr>
        <w:t xml:space="preserve"> research also echoes one indicated by Study 1 and concerns the need for longitudinal designs with several waves of data to be commonly incorporated into intervention research designs. Interventions are useful for testing theory (Randall &amp; Nielsen, 2010) </w:t>
      </w:r>
      <w:r w:rsidR="00D81921">
        <w:rPr>
          <w:rFonts w:ascii="Calibri" w:eastAsia="Calibri" w:hAnsi="Calibri" w:cs="Times New Roman"/>
        </w:rPr>
        <w:t>and</w:t>
      </w:r>
      <w:r w:rsidR="00D81921" w:rsidRPr="00E6060C">
        <w:rPr>
          <w:rFonts w:ascii="Calibri" w:eastAsia="Calibri" w:hAnsi="Calibri" w:cs="Times New Roman"/>
        </w:rPr>
        <w:t xml:space="preserve"> by collecting data over several time points</w:t>
      </w:r>
      <w:r w:rsidR="00D81921">
        <w:rPr>
          <w:rFonts w:ascii="Calibri" w:eastAsia="Calibri" w:hAnsi="Calibri" w:cs="Times New Roman"/>
        </w:rPr>
        <w:t xml:space="preserve">, </w:t>
      </w:r>
      <w:r w:rsidR="00D81921" w:rsidRPr="00E6060C">
        <w:rPr>
          <w:rFonts w:ascii="Calibri" w:eastAsia="Calibri" w:hAnsi="Calibri" w:cs="Times New Roman"/>
        </w:rPr>
        <w:t>changes in variables can be measured over time allowing causal relationships between variables to be assessed. Studies with both intervention and control or comparison groups can further determine whether those effects are in fact due to the intervention or whether they are due to confounding variables</w:t>
      </w:r>
      <w:r w:rsidR="00D81921">
        <w:rPr>
          <w:rFonts w:ascii="Calibri" w:eastAsia="Calibri" w:hAnsi="Calibri" w:cs="Times New Roman"/>
        </w:rPr>
        <w:t>,</w:t>
      </w:r>
      <w:r w:rsidR="00D81921" w:rsidRPr="00E6060C">
        <w:rPr>
          <w:rFonts w:ascii="Calibri" w:eastAsia="Calibri" w:hAnsi="Calibri" w:cs="Times New Roman"/>
        </w:rPr>
        <w:t xml:space="preserve"> or would be found if no intervention had occurred at all (Briner &amp; Walshe, 2015). This serves to increase the robustness of the results. Many of the intervention studies identified by the systematic review in Study 1 were two-wave, as was this study, and some did not incorporate a comparison control or were cross-sectional. Whilst it is often difficult to collect several waves of data, more waves would enable an exploration of how the effects of interventions play out over time, which could have implications for theory and the design of future studies. For example, it may be that intervention effects take longer to emerge than expected, which could be one reason why some interventions which measured outcomes immediately following the intervention failed to find any statistically significant effects in work engagement (e.g. Rickard et al., 2012; Naruse et al., 2014; Biggs, 2011). One way of furthering work engagement intervention research is therefore to incorporate several waves of data collection.  </w:t>
      </w:r>
    </w:p>
    <w:p w14:paraId="0DF26F83" w14:textId="77777777" w:rsidR="00D81921" w:rsidRDefault="00D81921" w:rsidP="001F7B6A">
      <w:pPr>
        <w:spacing w:after="200" w:line="360" w:lineRule="auto"/>
        <w:contextualSpacing/>
        <w:rPr>
          <w:rFonts w:ascii="Calibri" w:eastAsia="Calibri" w:hAnsi="Calibri" w:cs="Times New Roman"/>
        </w:rPr>
      </w:pPr>
    </w:p>
    <w:p w14:paraId="5D00EE56" w14:textId="19996851" w:rsidR="00D81921" w:rsidRPr="00D81921" w:rsidRDefault="00D81921" w:rsidP="001F7B6A">
      <w:pPr>
        <w:spacing w:after="200" w:line="360" w:lineRule="auto"/>
        <w:contextualSpacing/>
        <w:rPr>
          <w:rFonts w:ascii="Calibri" w:eastAsia="Calibri" w:hAnsi="Calibri" w:cs="Times New Roman"/>
          <w:b/>
        </w:rPr>
      </w:pPr>
      <w:r w:rsidRPr="00D81921">
        <w:rPr>
          <w:rFonts w:ascii="Calibri" w:eastAsia="Calibri" w:hAnsi="Calibri" w:cs="Times New Roman"/>
          <w:b/>
        </w:rPr>
        <w:t>Contribution 2:</w:t>
      </w:r>
      <w:r>
        <w:rPr>
          <w:rFonts w:ascii="Calibri" w:eastAsia="Calibri" w:hAnsi="Calibri" w:cs="Times New Roman"/>
          <w:b/>
        </w:rPr>
        <w:t xml:space="preserve"> </w:t>
      </w:r>
      <w:r w:rsidRPr="00D81921">
        <w:rPr>
          <w:rFonts w:ascii="Calibri" w:eastAsia="Calibri" w:hAnsi="Calibri" w:cs="Times New Roman"/>
          <w:b/>
        </w:rPr>
        <w:t>This study is</w:t>
      </w:r>
      <w:r w:rsidR="001F7B6A" w:rsidRPr="00D81921">
        <w:rPr>
          <w:rFonts w:ascii="Calibri" w:eastAsia="Calibri" w:hAnsi="Calibri" w:cs="Times New Roman"/>
          <w:b/>
        </w:rPr>
        <w:t xml:space="preserve"> the first </w:t>
      </w:r>
      <w:r w:rsidRPr="00D81921">
        <w:rPr>
          <w:rFonts w:ascii="Calibri" w:eastAsia="Calibri" w:hAnsi="Calibri" w:cs="Times New Roman"/>
          <w:b/>
        </w:rPr>
        <w:t xml:space="preserve">intervention </w:t>
      </w:r>
      <w:r w:rsidR="001F7B6A" w:rsidRPr="00D81921">
        <w:rPr>
          <w:rFonts w:ascii="Calibri" w:eastAsia="Calibri" w:hAnsi="Calibri" w:cs="Times New Roman"/>
          <w:b/>
        </w:rPr>
        <w:t>study to assess whether the three core, work-related needs mediate between the job resources, social support, participation in decision-making, and resources and demands, and work engagement</w:t>
      </w:r>
    </w:p>
    <w:p w14:paraId="63B09A03" w14:textId="77777777" w:rsidR="00D81921" w:rsidRDefault="00D81921" w:rsidP="001F7B6A">
      <w:pPr>
        <w:spacing w:after="200" w:line="360" w:lineRule="auto"/>
        <w:contextualSpacing/>
        <w:rPr>
          <w:rFonts w:ascii="Calibri" w:eastAsia="Calibri" w:hAnsi="Calibri" w:cs="Times New Roman"/>
        </w:rPr>
      </w:pPr>
    </w:p>
    <w:p w14:paraId="22FC8E29" w14:textId="70CC0AEF" w:rsidR="001F7B6A" w:rsidRPr="00E6060C" w:rsidRDefault="00991E5F" w:rsidP="001F7B6A">
      <w:pPr>
        <w:spacing w:after="200" w:line="360" w:lineRule="auto"/>
        <w:contextualSpacing/>
        <w:rPr>
          <w:rFonts w:ascii="Calibri" w:eastAsia="Calibri" w:hAnsi="Calibri" w:cs="Times New Roman"/>
        </w:rPr>
      </w:pPr>
      <w:r>
        <w:rPr>
          <w:rFonts w:ascii="Calibri" w:eastAsia="Calibri" w:hAnsi="Calibri" w:cs="Times New Roman"/>
        </w:rPr>
        <w:t>Study 2</w:t>
      </w:r>
      <w:r w:rsidR="00D81921" w:rsidRPr="00D81921">
        <w:rPr>
          <w:rFonts w:ascii="Calibri" w:eastAsia="Calibri" w:hAnsi="Calibri" w:cs="Times New Roman"/>
        </w:rPr>
        <w:t xml:space="preserve"> is the first intervention study to assess whether the three core, work-related needs</w:t>
      </w:r>
      <w:r>
        <w:rPr>
          <w:rFonts w:ascii="Calibri" w:eastAsia="Calibri" w:hAnsi="Calibri" w:cs="Times New Roman"/>
        </w:rPr>
        <w:t xml:space="preserve"> </w:t>
      </w:r>
      <w:r w:rsidR="00D81921" w:rsidRPr="00D81921">
        <w:rPr>
          <w:rFonts w:ascii="Calibri" w:eastAsia="Calibri" w:hAnsi="Calibri" w:cs="Times New Roman"/>
        </w:rPr>
        <w:t>mediate between the job resources, social support, participation in decision-making, and resources and demands, and work engagement</w:t>
      </w:r>
      <w:r>
        <w:rPr>
          <w:rFonts w:ascii="Calibri" w:eastAsia="Calibri" w:hAnsi="Calibri" w:cs="Times New Roman"/>
        </w:rPr>
        <w:t>,</w:t>
      </w:r>
      <w:r w:rsidR="00D81921">
        <w:rPr>
          <w:rFonts w:ascii="Calibri" w:eastAsia="Calibri" w:hAnsi="Calibri" w:cs="Times New Roman"/>
        </w:rPr>
        <w:t xml:space="preserve"> </w:t>
      </w:r>
      <w:r w:rsidR="001F7B6A" w:rsidRPr="00D81921">
        <w:rPr>
          <w:rFonts w:ascii="Calibri" w:eastAsia="Calibri" w:hAnsi="Calibri" w:cs="Times New Roman"/>
        </w:rPr>
        <w:t>and thus adds</w:t>
      </w:r>
      <w:r w:rsidR="001F7B6A" w:rsidRPr="00E6060C">
        <w:rPr>
          <w:rFonts w:ascii="Calibri" w:eastAsia="Calibri" w:hAnsi="Calibri" w:cs="Times New Roman"/>
        </w:rPr>
        <w:t xml:space="preserve"> novel and incremental value to the evidence base. Previous studies have relied on correlations (e.g. Van den Broeck et al., 2010) or meta-analytic techniques to investigate these relationships (e.g. Van den Broeck et al., 2016), and participation in decision-making has not previously been investigated in relation to needs at all. </w:t>
      </w:r>
    </w:p>
    <w:p w14:paraId="34D24A56" w14:textId="7F9A392F" w:rsidR="001F7B6A" w:rsidRDefault="001F7B6A" w:rsidP="001F7B6A">
      <w:pPr>
        <w:spacing w:after="200" w:line="360" w:lineRule="auto"/>
        <w:contextualSpacing/>
        <w:rPr>
          <w:rFonts w:ascii="Calibri" w:eastAsia="Calibri" w:hAnsi="Calibri" w:cs="Times New Roman"/>
        </w:rPr>
      </w:pPr>
    </w:p>
    <w:p w14:paraId="5EF9CE0E" w14:textId="26EDDBF8" w:rsidR="001F7B6A" w:rsidRPr="00E6060C" w:rsidRDefault="00E35690" w:rsidP="001F7B6A">
      <w:pPr>
        <w:spacing w:after="200" w:line="360" w:lineRule="auto"/>
        <w:contextualSpacing/>
        <w:rPr>
          <w:rFonts w:ascii="Calibri" w:eastAsia="Calibri" w:hAnsi="Calibri" w:cs="Times New Roman"/>
        </w:rPr>
      </w:pPr>
      <w:r>
        <w:rPr>
          <w:rFonts w:ascii="Calibri" w:eastAsia="Calibri" w:hAnsi="Calibri" w:cs="Times New Roman"/>
        </w:rPr>
        <w:t>T</w:t>
      </w:r>
      <w:r w:rsidR="00991E5F">
        <w:rPr>
          <w:rFonts w:ascii="Calibri" w:eastAsia="Calibri" w:hAnsi="Calibri" w:cs="Times New Roman"/>
        </w:rPr>
        <w:t xml:space="preserve">his research </w:t>
      </w:r>
      <w:r w:rsidR="001F7B6A" w:rsidRPr="00E6060C">
        <w:rPr>
          <w:rFonts w:ascii="Calibri" w:eastAsia="Calibri" w:hAnsi="Calibri" w:cs="Times New Roman"/>
        </w:rPr>
        <w:t xml:space="preserve">strongly indicated the need for longitudinal designs to test need theory, with a paucity of such studies currently available in the literature. This echoes Van den Broeck </w:t>
      </w:r>
      <w:r w:rsidR="001F7B6A">
        <w:rPr>
          <w:rFonts w:ascii="Calibri" w:eastAsia="Calibri" w:hAnsi="Calibri" w:cs="Times New Roman"/>
        </w:rPr>
        <w:t>and colleagues’</w:t>
      </w:r>
      <w:r w:rsidR="001F7B6A" w:rsidRPr="00E6060C">
        <w:rPr>
          <w:rFonts w:ascii="Calibri" w:eastAsia="Calibri" w:hAnsi="Calibri" w:cs="Times New Roman"/>
        </w:rPr>
        <w:t xml:space="preserve"> (2016) recommendation that the methods of studies investigating the mediation relationships between resources, needs</w:t>
      </w:r>
      <w:r w:rsidR="00991E5F">
        <w:rPr>
          <w:rFonts w:ascii="Calibri" w:eastAsia="Calibri" w:hAnsi="Calibri" w:cs="Times New Roman"/>
        </w:rPr>
        <w:t>,</w:t>
      </w:r>
      <w:r w:rsidR="001F7B6A" w:rsidRPr="00E6060C">
        <w:rPr>
          <w:rFonts w:ascii="Calibri" w:eastAsia="Calibri" w:hAnsi="Calibri" w:cs="Times New Roman"/>
        </w:rPr>
        <w:t xml:space="preserve"> and outcomes need to be improved. They found that the vast majority of the data they collected, including antecedents and outcomes as well as the needs themselves, was cross-sectional and had used self-report measures only. This meant that it was susceptible to common method variance, in which any effects observed are exacerbated (Podsakoff et al., 2003). They advocate the use of longitudinal or cross-lagged designs, as well as daily diary studies, to overcome this and investigate the direction of the relationships involved. Whilst this study had intended to use a longitudinal design, in accordance with their recommendation, the failure to obtain a sufficiently large matched sample precluded this possibility and highlights the difficulty in carrying out this type of organisational research in practice. Nevertheless, researchers should aspire towards conducting longitudinal research in order to further research in this area.</w:t>
      </w:r>
    </w:p>
    <w:p w14:paraId="3062E686" w14:textId="6AC46ADD" w:rsidR="001F7B6A" w:rsidRDefault="001F7B6A" w:rsidP="001F7B6A">
      <w:pPr>
        <w:spacing w:after="200" w:line="360" w:lineRule="auto"/>
        <w:contextualSpacing/>
        <w:rPr>
          <w:rFonts w:ascii="Calibri" w:eastAsia="Calibri" w:hAnsi="Calibri" w:cs="Times New Roman"/>
        </w:rPr>
      </w:pPr>
    </w:p>
    <w:p w14:paraId="0C448F1C" w14:textId="33C5E8B3" w:rsidR="001A33CA" w:rsidRDefault="001A33CA" w:rsidP="001A33CA">
      <w:pPr>
        <w:spacing w:after="200" w:line="360" w:lineRule="auto"/>
        <w:contextualSpacing/>
        <w:rPr>
          <w:rFonts w:ascii="Calibri" w:eastAsia="Calibri" w:hAnsi="Calibri" w:cs="Times New Roman"/>
          <w:b/>
        </w:rPr>
      </w:pPr>
      <w:r>
        <w:rPr>
          <w:rFonts w:ascii="Calibri" w:eastAsia="Calibri" w:hAnsi="Calibri" w:cs="Times New Roman"/>
          <w:b/>
        </w:rPr>
        <w:t>Contribution 3: The i</w:t>
      </w:r>
      <w:r w:rsidRPr="001A33CA">
        <w:rPr>
          <w:rFonts w:ascii="Calibri" w:eastAsia="Calibri" w:hAnsi="Calibri" w:cs="Times New Roman"/>
          <w:b/>
        </w:rPr>
        <w:t xml:space="preserve">ncremental support </w:t>
      </w:r>
      <w:r>
        <w:rPr>
          <w:rFonts w:ascii="Calibri" w:eastAsia="Calibri" w:hAnsi="Calibri" w:cs="Times New Roman"/>
          <w:b/>
        </w:rPr>
        <w:t>provided b</w:t>
      </w:r>
      <w:r w:rsidRPr="001A33CA">
        <w:rPr>
          <w:rFonts w:ascii="Calibri" w:eastAsia="Calibri" w:hAnsi="Calibri" w:cs="Times New Roman"/>
          <w:b/>
        </w:rPr>
        <w:t xml:space="preserve">y the mediation analyses for the Job Demands-Resources model and </w:t>
      </w:r>
      <w:r>
        <w:rPr>
          <w:rFonts w:ascii="Calibri" w:eastAsia="Calibri" w:hAnsi="Calibri" w:cs="Times New Roman"/>
          <w:b/>
        </w:rPr>
        <w:t xml:space="preserve">the key theory underlying it, </w:t>
      </w:r>
      <w:r w:rsidRPr="001A33CA">
        <w:rPr>
          <w:rFonts w:ascii="Calibri" w:eastAsia="Calibri" w:hAnsi="Calibri" w:cs="Times New Roman"/>
          <w:b/>
        </w:rPr>
        <w:t>Self-Determination Theory</w:t>
      </w:r>
    </w:p>
    <w:p w14:paraId="7B93CE2F" w14:textId="77777777" w:rsidR="001A33CA" w:rsidRPr="001A33CA" w:rsidRDefault="001A33CA" w:rsidP="001A33CA">
      <w:pPr>
        <w:spacing w:after="200" w:line="360" w:lineRule="auto"/>
        <w:contextualSpacing/>
        <w:rPr>
          <w:rFonts w:ascii="Calibri" w:eastAsia="Calibri" w:hAnsi="Calibri" w:cs="Times New Roman"/>
          <w:b/>
        </w:rPr>
      </w:pPr>
    </w:p>
    <w:p w14:paraId="6E617005" w14:textId="496D2856" w:rsidR="00991E5F" w:rsidRDefault="00991E5F" w:rsidP="001F7B6A">
      <w:pPr>
        <w:spacing w:after="200" w:line="360" w:lineRule="auto"/>
        <w:contextualSpacing/>
        <w:rPr>
          <w:rFonts w:ascii="Calibri" w:eastAsia="Calibri" w:hAnsi="Calibri" w:cs="Times New Roman"/>
        </w:rPr>
      </w:pPr>
      <w:r>
        <w:rPr>
          <w:rFonts w:ascii="Calibri" w:eastAsia="Calibri" w:hAnsi="Calibri" w:cs="Times New Roman"/>
        </w:rPr>
        <w:t>The mediation analyses also provided</w:t>
      </w:r>
      <w:r w:rsidR="001F7B6A" w:rsidRPr="00E6060C">
        <w:rPr>
          <w:rFonts w:ascii="Calibri" w:eastAsia="Calibri" w:hAnsi="Calibri" w:cs="Times New Roman"/>
        </w:rPr>
        <w:t xml:space="preserve"> incremental support for the </w:t>
      </w:r>
      <w:r w:rsidR="001F7B6A">
        <w:rPr>
          <w:rFonts w:ascii="Calibri" w:eastAsia="Calibri" w:hAnsi="Calibri" w:cs="Times New Roman"/>
        </w:rPr>
        <w:t>Job Demands-Resources</w:t>
      </w:r>
      <w:r w:rsidR="001F7B6A" w:rsidRPr="00E6060C">
        <w:rPr>
          <w:rFonts w:ascii="Calibri" w:eastAsia="Calibri" w:hAnsi="Calibri" w:cs="Times New Roman"/>
        </w:rPr>
        <w:t xml:space="preserve"> model and </w:t>
      </w:r>
      <w:r>
        <w:rPr>
          <w:rFonts w:ascii="Calibri" w:eastAsia="Calibri" w:hAnsi="Calibri" w:cs="Times New Roman"/>
        </w:rPr>
        <w:t>t</w:t>
      </w:r>
      <w:r w:rsidR="001A33CA">
        <w:rPr>
          <w:rFonts w:ascii="Calibri" w:eastAsia="Calibri" w:hAnsi="Calibri" w:cs="Times New Roman"/>
        </w:rPr>
        <w:t xml:space="preserve">he key theory underlying it, </w:t>
      </w:r>
      <w:r w:rsidR="001F7B6A">
        <w:rPr>
          <w:rFonts w:ascii="Calibri" w:eastAsia="Calibri" w:hAnsi="Calibri" w:cs="Times New Roman"/>
        </w:rPr>
        <w:t>Self-Determination Theory</w:t>
      </w:r>
      <w:r w:rsidR="001F7B6A" w:rsidRPr="00E6060C">
        <w:rPr>
          <w:rFonts w:ascii="Calibri" w:eastAsia="Calibri" w:hAnsi="Calibri" w:cs="Times New Roman"/>
        </w:rPr>
        <w:t xml:space="preserve"> (Bakker &amp; Demerouti, 2007). Currently, there are very few mediation studies investigating these relationships, hence repetition studies, such as this one, are much needed to build and extend the evidence base. In particular, the mediation results support Van den Broeck</w:t>
      </w:r>
      <w:r w:rsidR="001F7B6A">
        <w:rPr>
          <w:rFonts w:ascii="Calibri" w:eastAsia="Calibri" w:hAnsi="Calibri" w:cs="Times New Roman"/>
        </w:rPr>
        <w:t xml:space="preserve"> and colleagues’</w:t>
      </w:r>
      <w:r w:rsidR="001F7B6A" w:rsidRPr="00E6060C">
        <w:rPr>
          <w:rFonts w:ascii="Calibri" w:eastAsia="Calibri" w:hAnsi="Calibri" w:cs="Times New Roman"/>
        </w:rPr>
        <w:t xml:space="preserve"> (2016) recent meta-analysis which found positive relationships between a variety of job and personal resources, needs, and outcomes, including </w:t>
      </w:r>
      <w:r>
        <w:rPr>
          <w:rFonts w:ascii="Calibri" w:eastAsia="Calibri" w:hAnsi="Calibri" w:cs="Times New Roman"/>
        </w:rPr>
        <w:t>work engagement. Moreover, S</w:t>
      </w:r>
      <w:r w:rsidR="001F7B6A" w:rsidRPr="00E6060C">
        <w:rPr>
          <w:rFonts w:ascii="Calibri" w:eastAsia="Calibri" w:hAnsi="Calibri" w:cs="Times New Roman"/>
        </w:rPr>
        <w:t>tudy</w:t>
      </w:r>
      <w:r>
        <w:rPr>
          <w:rFonts w:ascii="Calibri" w:eastAsia="Calibri" w:hAnsi="Calibri" w:cs="Times New Roman"/>
        </w:rPr>
        <w:t xml:space="preserve"> 2</w:t>
      </w:r>
      <w:r w:rsidR="001F7B6A" w:rsidRPr="00E6060C">
        <w:rPr>
          <w:rFonts w:ascii="Calibri" w:eastAsia="Calibri" w:hAnsi="Calibri" w:cs="Times New Roman"/>
        </w:rPr>
        <w:t xml:space="preserve"> did not find that relatedness significantly mediated the relationship between resources and demands and work engagement, which echoes Van den Broeck and colleagues’ finding that relatedness did not mediate between workload or cognitive demands and work engagement. These relationships were not previously explicitly tested, however, they should perhaps be expected given that it make</w:t>
      </w:r>
      <w:r w:rsidR="00E35690">
        <w:rPr>
          <w:rFonts w:ascii="Calibri" w:eastAsia="Calibri" w:hAnsi="Calibri" w:cs="Times New Roman"/>
        </w:rPr>
        <w:t>s</w:t>
      </w:r>
      <w:r w:rsidR="001F7B6A" w:rsidRPr="00E6060C">
        <w:rPr>
          <w:rFonts w:ascii="Calibri" w:eastAsia="Calibri" w:hAnsi="Calibri" w:cs="Times New Roman"/>
        </w:rPr>
        <w:t xml:space="preserve"> theoretical sense for a mediation relationship to exist. Simply perceiving a good balance between the presence of resources (e.g. time, practical equipment, staffing levels) and workload is not likely to increase an individual’s sense of togetherness with others on a ward, in a team, or in a department. It is only likely that through engaging with others, participating in discussions</w:t>
      </w:r>
      <w:r w:rsidR="001F7B6A">
        <w:rPr>
          <w:rFonts w:ascii="Calibri" w:eastAsia="Calibri" w:hAnsi="Calibri" w:cs="Times New Roman"/>
        </w:rPr>
        <w:t xml:space="preserve">, </w:t>
      </w:r>
      <w:r w:rsidR="001F7B6A" w:rsidRPr="00E6060C">
        <w:rPr>
          <w:rFonts w:ascii="Calibri" w:eastAsia="Calibri" w:hAnsi="Calibri" w:cs="Times New Roman"/>
        </w:rPr>
        <w:t>providing each other with support,</w:t>
      </w:r>
      <w:r w:rsidR="001F7B6A">
        <w:rPr>
          <w:rFonts w:ascii="Calibri" w:eastAsia="Calibri" w:hAnsi="Calibri" w:cs="Times New Roman"/>
        </w:rPr>
        <w:t xml:space="preserve"> and having managers who are supportive,</w:t>
      </w:r>
      <w:r w:rsidR="001F7B6A" w:rsidRPr="00E6060C">
        <w:rPr>
          <w:rFonts w:ascii="Calibri" w:eastAsia="Calibri" w:hAnsi="Calibri" w:cs="Times New Roman"/>
        </w:rPr>
        <w:t xml:space="preserve"> that a sense of togetherness can be built. This is suggested </w:t>
      </w:r>
      <w:r w:rsidR="001F7B6A" w:rsidRPr="00E6060C">
        <w:rPr>
          <w:rFonts w:ascii="Calibri" w:eastAsia="Calibri" w:hAnsi="Calibri" w:cs="Times New Roman"/>
        </w:rPr>
        <w:lastRenderedPageBreak/>
        <w:t xml:space="preserve">theoretically by </w:t>
      </w:r>
      <w:r w:rsidR="001F7B6A">
        <w:rPr>
          <w:rFonts w:ascii="Calibri" w:eastAsia="Calibri" w:hAnsi="Calibri" w:cs="Times New Roman"/>
        </w:rPr>
        <w:t>JD-R</w:t>
      </w:r>
      <w:r w:rsidR="001F7B6A" w:rsidRPr="00E6060C">
        <w:rPr>
          <w:rFonts w:ascii="Calibri" w:eastAsia="Calibri" w:hAnsi="Calibri" w:cs="Times New Roman"/>
        </w:rPr>
        <w:t xml:space="preserve"> theory (Bakker &amp; Demerouti, 2007)</w:t>
      </w:r>
      <w:r w:rsidR="001F7B6A">
        <w:rPr>
          <w:rFonts w:ascii="Calibri" w:eastAsia="Calibri" w:hAnsi="Calibri" w:cs="Times New Roman"/>
        </w:rPr>
        <w:t>,</w:t>
      </w:r>
      <w:r w:rsidR="001F7B6A" w:rsidRPr="00E6060C">
        <w:rPr>
          <w:rFonts w:ascii="Calibri" w:eastAsia="Calibri" w:hAnsi="Calibri" w:cs="Times New Roman"/>
        </w:rPr>
        <w:t xml:space="preserve"> and empirically by the positive mediation relationships between relatedness, social support, participation in decision-making, and work engagement observed in this study, and similar positive relationships observed in previous studies (Van den Broeck et al. 2010; 2016). </w:t>
      </w:r>
    </w:p>
    <w:p w14:paraId="34AE440B" w14:textId="77777777" w:rsidR="00991E5F" w:rsidRDefault="00991E5F" w:rsidP="001F7B6A">
      <w:pPr>
        <w:spacing w:after="200" w:line="360" w:lineRule="auto"/>
        <w:contextualSpacing/>
        <w:rPr>
          <w:rFonts w:ascii="Calibri" w:eastAsia="Calibri" w:hAnsi="Calibri" w:cs="Times New Roman"/>
        </w:rPr>
      </w:pPr>
    </w:p>
    <w:p w14:paraId="5D326AAF" w14:textId="0AE13858" w:rsidR="001F7B6A" w:rsidRPr="00E6060C" w:rsidRDefault="001F7B6A" w:rsidP="001F7B6A">
      <w:pPr>
        <w:spacing w:after="200" w:line="360" w:lineRule="auto"/>
        <w:contextualSpacing/>
        <w:rPr>
          <w:rFonts w:ascii="Calibri" w:eastAsia="Calibri" w:hAnsi="Calibri" w:cs="Times New Roman"/>
        </w:rPr>
      </w:pPr>
      <w:r w:rsidRPr="00E6060C">
        <w:rPr>
          <w:rFonts w:ascii="Calibri" w:eastAsia="Calibri" w:hAnsi="Calibri" w:cs="Times New Roman"/>
        </w:rPr>
        <w:t xml:space="preserve">Furthermore, this study extends support to a job resource which has not previously been tested in mediation analyses investigating the relationships between job resources, needs and work engagement, </w:t>
      </w:r>
      <w:r w:rsidR="00E35690">
        <w:rPr>
          <w:rFonts w:ascii="Calibri" w:eastAsia="Calibri" w:hAnsi="Calibri" w:cs="Times New Roman"/>
        </w:rPr>
        <w:t xml:space="preserve">namely, </w:t>
      </w:r>
      <w:r w:rsidRPr="00E6060C">
        <w:rPr>
          <w:rFonts w:ascii="Calibri" w:eastAsia="Calibri" w:hAnsi="Calibri" w:cs="Times New Roman"/>
        </w:rPr>
        <w:t>participation in decision-making. All three needs were able to mediate between this job resource and work engagement, support</w:t>
      </w:r>
      <w:r w:rsidR="00E35690">
        <w:rPr>
          <w:rFonts w:ascii="Calibri" w:eastAsia="Calibri" w:hAnsi="Calibri" w:cs="Times New Roman"/>
        </w:rPr>
        <w:t xml:space="preserve">ing current theory. </w:t>
      </w:r>
    </w:p>
    <w:p w14:paraId="7233AAC4" w14:textId="29E518E2" w:rsidR="001F7B6A" w:rsidRDefault="001F7B6A" w:rsidP="001F7B6A">
      <w:pPr>
        <w:spacing w:after="200" w:line="360" w:lineRule="auto"/>
        <w:contextualSpacing/>
        <w:rPr>
          <w:rFonts w:ascii="Calibri" w:eastAsia="Calibri" w:hAnsi="Calibri" w:cs="Times New Roman"/>
          <w:b/>
        </w:rPr>
      </w:pPr>
    </w:p>
    <w:p w14:paraId="108EF548" w14:textId="6A2F2057" w:rsidR="00D81921" w:rsidRPr="00E6060C" w:rsidRDefault="00D81921" w:rsidP="00D81921">
      <w:pPr>
        <w:pStyle w:val="Heading3"/>
        <w:spacing w:line="360" w:lineRule="auto"/>
        <w:contextualSpacing/>
      </w:pPr>
      <w:bookmarkStart w:id="547" w:name="_Toc468286047"/>
      <w:r>
        <w:t>Implications of Study 2 for practice</w:t>
      </w:r>
      <w:bookmarkEnd w:id="547"/>
      <w:r w:rsidRPr="00E6060C">
        <w:t xml:space="preserve"> </w:t>
      </w:r>
    </w:p>
    <w:p w14:paraId="661E0203" w14:textId="6823FC04" w:rsidR="001F7B6A" w:rsidRDefault="001F7B6A" w:rsidP="001F7B6A">
      <w:pPr>
        <w:spacing w:after="200" w:line="360" w:lineRule="auto"/>
        <w:contextualSpacing/>
        <w:rPr>
          <w:rFonts w:ascii="Calibri" w:eastAsia="Calibri" w:hAnsi="Calibri" w:cs="Times New Roman"/>
        </w:rPr>
      </w:pPr>
    </w:p>
    <w:p w14:paraId="31D46510" w14:textId="02B3C6CC" w:rsidR="00D81921" w:rsidRPr="00E6060C" w:rsidRDefault="00D81921" w:rsidP="00D81921">
      <w:pPr>
        <w:spacing w:after="200" w:line="360" w:lineRule="auto"/>
        <w:contextualSpacing/>
        <w:rPr>
          <w:rFonts w:ascii="Calibri" w:eastAsia="Calibri" w:hAnsi="Calibri" w:cs="Times New Roman"/>
        </w:rPr>
      </w:pPr>
      <w:r w:rsidRPr="00E6060C">
        <w:rPr>
          <w:rFonts w:ascii="Calibri" w:eastAsia="Calibri" w:hAnsi="Calibri" w:cs="Times New Roman"/>
        </w:rPr>
        <w:t>T</w:t>
      </w:r>
      <w:r>
        <w:rPr>
          <w:rFonts w:ascii="Calibri" w:eastAsia="Calibri" w:hAnsi="Calibri" w:cs="Times New Roman"/>
        </w:rPr>
        <w:t>wo</w:t>
      </w:r>
      <w:r w:rsidRPr="00E6060C">
        <w:rPr>
          <w:rFonts w:ascii="Calibri" w:eastAsia="Calibri" w:hAnsi="Calibri" w:cs="Times New Roman"/>
        </w:rPr>
        <w:t xml:space="preserve"> specific </w:t>
      </w:r>
      <w:r>
        <w:rPr>
          <w:rFonts w:ascii="Calibri" w:eastAsia="Calibri" w:hAnsi="Calibri" w:cs="Times New Roman"/>
        </w:rPr>
        <w:t xml:space="preserve">implications for practice emerged from this study. These </w:t>
      </w:r>
      <w:r w:rsidRPr="00E6060C">
        <w:rPr>
          <w:rFonts w:ascii="Calibri" w:eastAsia="Calibri" w:hAnsi="Calibri" w:cs="Times New Roman"/>
        </w:rPr>
        <w:t xml:space="preserve">are discussed below. </w:t>
      </w:r>
    </w:p>
    <w:p w14:paraId="47880908" w14:textId="17A171BA" w:rsidR="00D81921" w:rsidRDefault="00D81921" w:rsidP="001F7B6A">
      <w:pPr>
        <w:spacing w:after="200" w:line="360" w:lineRule="auto"/>
        <w:contextualSpacing/>
        <w:rPr>
          <w:rFonts w:ascii="Calibri" w:eastAsia="Calibri" w:hAnsi="Calibri" w:cs="Times New Roman"/>
        </w:rPr>
      </w:pPr>
    </w:p>
    <w:p w14:paraId="27949D33" w14:textId="6684F6D8" w:rsidR="00D81921" w:rsidRPr="001A33CA" w:rsidRDefault="00D81921" w:rsidP="001A33CA">
      <w:pPr>
        <w:spacing w:after="200" w:line="360" w:lineRule="auto"/>
        <w:contextualSpacing/>
        <w:rPr>
          <w:rFonts w:ascii="Calibri" w:eastAsia="Calibri" w:hAnsi="Calibri" w:cs="Times New Roman"/>
          <w:b/>
        </w:rPr>
      </w:pPr>
      <w:r>
        <w:rPr>
          <w:rFonts w:ascii="Calibri" w:eastAsia="Calibri" w:hAnsi="Calibri" w:cs="Times New Roman"/>
          <w:b/>
        </w:rPr>
        <w:t>Implication 1</w:t>
      </w:r>
      <w:r w:rsidRPr="00A865D6">
        <w:rPr>
          <w:rFonts w:ascii="Calibri" w:eastAsia="Calibri" w:hAnsi="Calibri" w:cs="Times New Roman"/>
          <w:b/>
        </w:rPr>
        <w:t>:</w:t>
      </w:r>
      <w:r w:rsidR="001A33CA" w:rsidRPr="00A865D6">
        <w:rPr>
          <w:rFonts w:ascii="Calibri" w:eastAsia="Calibri" w:hAnsi="Calibri" w:cs="Times New Roman"/>
          <w:b/>
        </w:rPr>
        <w:t xml:space="preserve"> The</w:t>
      </w:r>
      <w:r w:rsidR="001A33CA" w:rsidRPr="001A33CA">
        <w:rPr>
          <w:rFonts w:ascii="Calibri" w:eastAsia="Calibri" w:hAnsi="Calibri" w:cs="Times New Roman"/>
          <w:b/>
        </w:rPr>
        <w:t xml:space="preserve"> need to assess participant and organisation readiness for change prior to implementing interventions.</w:t>
      </w:r>
    </w:p>
    <w:p w14:paraId="24FEFE9B" w14:textId="77777777" w:rsidR="001A33CA" w:rsidRDefault="001A33CA" w:rsidP="001F7B6A">
      <w:pPr>
        <w:spacing w:after="200" w:line="360" w:lineRule="auto"/>
        <w:contextualSpacing/>
        <w:rPr>
          <w:rFonts w:ascii="Calibri" w:eastAsia="Calibri" w:hAnsi="Calibri" w:cs="Times New Roman"/>
        </w:rPr>
      </w:pPr>
    </w:p>
    <w:p w14:paraId="28402055" w14:textId="76A07860" w:rsidR="001F7B6A" w:rsidRDefault="001F7B6A" w:rsidP="001F7B6A">
      <w:pPr>
        <w:spacing w:after="200" w:line="360" w:lineRule="auto"/>
        <w:contextualSpacing/>
        <w:rPr>
          <w:rFonts w:ascii="Calibri" w:eastAsia="Calibri" w:hAnsi="Calibri" w:cs="Times New Roman"/>
        </w:rPr>
      </w:pPr>
      <w:r w:rsidRPr="00E6060C">
        <w:rPr>
          <w:rFonts w:ascii="Calibri" w:eastAsia="Calibri" w:hAnsi="Calibri" w:cs="Times New Roman"/>
        </w:rPr>
        <w:t>The first implication</w:t>
      </w:r>
      <w:r w:rsidR="001A33CA">
        <w:rPr>
          <w:rFonts w:ascii="Calibri" w:eastAsia="Calibri" w:hAnsi="Calibri" w:cs="Times New Roman"/>
        </w:rPr>
        <w:t xml:space="preserve"> for practice</w:t>
      </w:r>
      <w:r w:rsidRPr="00E6060C">
        <w:rPr>
          <w:rFonts w:ascii="Calibri" w:eastAsia="Calibri" w:hAnsi="Calibri" w:cs="Times New Roman"/>
        </w:rPr>
        <w:t xml:space="preserve"> repeats one arising from Study 1; the need to assess participant and organisation readiness for change prior to implementing interventions.</w:t>
      </w:r>
      <w:r>
        <w:rPr>
          <w:rFonts w:ascii="Calibri" w:eastAsia="Calibri" w:hAnsi="Calibri" w:cs="Times New Roman"/>
        </w:rPr>
        <w:t xml:space="preserve"> As this point has been elaborated upon previously, it will not be discussed further here. I</w:t>
      </w:r>
      <w:r w:rsidRPr="00E6060C">
        <w:rPr>
          <w:rFonts w:ascii="Calibri" w:eastAsia="Calibri" w:hAnsi="Calibri" w:cs="Times New Roman"/>
        </w:rPr>
        <w:t>ntervention research is likely always to remain fraught with difficulties and unexpected events, therefore, this study echoes previous recommendations to incorporate careful planning and thorough evaluation of intervention implementation to increase the robustness and rigour of intervention research and explore the reasons for how and why interventions work (Briner &amp; Walshe, 2015; Nielsen, 2013; Nielsen, Taris et al., 2010; Nielsen, Randall et al., 2010).</w:t>
      </w:r>
    </w:p>
    <w:p w14:paraId="686C8FB6" w14:textId="74430F87" w:rsidR="001A33CA" w:rsidRDefault="001F7B6A" w:rsidP="001F7B6A">
      <w:pPr>
        <w:spacing w:after="200" w:line="360" w:lineRule="auto"/>
        <w:contextualSpacing/>
        <w:rPr>
          <w:rFonts w:ascii="Calibri" w:eastAsia="Calibri" w:hAnsi="Calibri" w:cs="Times New Roman"/>
        </w:rPr>
      </w:pPr>
      <w:r w:rsidRPr="00E6060C">
        <w:rPr>
          <w:rFonts w:ascii="Calibri" w:eastAsia="Calibri" w:hAnsi="Calibri" w:cs="Times New Roman"/>
        </w:rPr>
        <w:t xml:space="preserve"> </w:t>
      </w:r>
    </w:p>
    <w:p w14:paraId="4BB7913F" w14:textId="2E84A2C6" w:rsidR="001A33CA" w:rsidRPr="001A33CA" w:rsidRDefault="001A33CA" w:rsidP="001F7B6A">
      <w:pPr>
        <w:spacing w:after="200" w:line="360" w:lineRule="auto"/>
        <w:contextualSpacing/>
        <w:rPr>
          <w:rFonts w:ascii="Calibri" w:eastAsia="Calibri" w:hAnsi="Calibri" w:cs="Times New Roman"/>
          <w:b/>
        </w:rPr>
      </w:pPr>
      <w:r>
        <w:rPr>
          <w:rFonts w:ascii="Calibri" w:eastAsia="Calibri" w:hAnsi="Calibri" w:cs="Times New Roman"/>
          <w:b/>
        </w:rPr>
        <w:t>Implication 2: Managers and organisations should consider need satisfaction when designing jobs</w:t>
      </w:r>
    </w:p>
    <w:p w14:paraId="6E36E634" w14:textId="77777777" w:rsidR="001A33CA" w:rsidRDefault="001A33CA" w:rsidP="001F7B6A">
      <w:pPr>
        <w:spacing w:after="200" w:line="360" w:lineRule="auto"/>
        <w:contextualSpacing/>
        <w:rPr>
          <w:rFonts w:ascii="Calibri" w:eastAsia="Calibri" w:hAnsi="Calibri" w:cs="Times New Roman"/>
        </w:rPr>
      </w:pPr>
    </w:p>
    <w:p w14:paraId="0E07ECAE" w14:textId="59E98241" w:rsidR="001F7B6A" w:rsidRDefault="001F7B6A" w:rsidP="001F7B6A">
      <w:pPr>
        <w:spacing w:after="200" w:line="360" w:lineRule="auto"/>
        <w:contextualSpacing/>
        <w:rPr>
          <w:rFonts w:ascii="Calibri" w:eastAsia="Calibri" w:hAnsi="Calibri" w:cs="Times New Roman"/>
        </w:rPr>
      </w:pPr>
      <w:r w:rsidRPr="00E6060C">
        <w:rPr>
          <w:rFonts w:ascii="Calibri" w:eastAsia="Calibri" w:hAnsi="Calibri" w:cs="Times New Roman"/>
        </w:rPr>
        <w:t>The second implication relates to the mediation results, which strongly indicated the benefit of considering need satisfaction when designing jobs if employers want to encourage high levels of work engagement amongst their employees. The positive mediation relationships found between resources, needs</w:t>
      </w:r>
      <w:r>
        <w:rPr>
          <w:rFonts w:ascii="Calibri" w:eastAsia="Calibri" w:hAnsi="Calibri" w:cs="Times New Roman"/>
        </w:rPr>
        <w:t>,</w:t>
      </w:r>
      <w:r w:rsidRPr="00E6060C">
        <w:rPr>
          <w:rFonts w:ascii="Calibri" w:eastAsia="Calibri" w:hAnsi="Calibri" w:cs="Times New Roman"/>
        </w:rPr>
        <w:t xml:space="preserve"> and work engagement suggest that managers could consider how best autonomy, competence and relatedness could be achieved within their particular teams and departments. </w:t>
      </w:r>
      <w:r>
        <w:rPr>
          <w:rFonts w:ascii="Calibri" w:eastAsia="Calibri" w:hAnsi="Calibri" w:cs="Times New Roman"/>
        </w:rPr>
        <w:t xml:space="preserve">Although there is already a large body of research indicating the importance of these and related </w:t>
      </w:r>
      <w:r>
        <w:rPr>
          <w:rFonts w:ascii="Calibri" w:eastAsia="Calibri" w:hAnsi="Calibri" w:cs="Times New Roman"/>
        </w:rPr>
        <w:lastRenderedPageBreak/>
        <w:t xml:space="preserve">variables, such as self-efficacy, accomplishment, and social support, for positive employee and organisational outcomes </w:t>
      </w:r>
      <w:r w:rsidRPr="00BF2709">
        <w:rPr>
          <w:rFonts w:ascii="Calibri" w:eastAsia="Calibri" w:hAnsi="Calibri" w:cs="Times New Roman"/>
        </w:rPr>
        <w:t>(</w:t>
      </w:r>
      <w:r w:rsidRPr="00397E67">
        <w:rPr>
          <w:rFonts w:ascii="Calibri" w:eastAsia="Calibri" w:hAnsi="Calibri" w:cs="Times New Roman"/>
        </w:rPr>
        <w:t>e.g. Bakker &amp; Demerouti, 2007; 2008; Halbesleben, 2010</w:t>
      </w:r>
      <w:r w:rsidRPr="00BF2709">
        <w:rPr>
          <w:rFonts w:ascii="Calibri" w:eastAsia="Calibri" w:hAnsi="Calibri" w:cs="Times New Roman"/>
        </w:rPr>
        <w:t>)</w:t>
      </w:r>
      <w:r>
        <w:rPr>
          <w:rFonts w:ascii="Calibri" w:eastAsia="Calibri" w:hAnsi="Calibri" w:cs="Times New Roman"/>
        </w:rPr>
        <w:t xml:space="preserve">, few mediation studies testing the specific relationships between the three needs, job resources, and work engagement, exist. Therefore, Study 2 adds incremental evidence to the current evidence base, and suggests that future research investigating autonomy, competence, and relatedness, as defined by SDT, should be grounded within SDT theory as opposed to investigated as ‘stand-alone’ variables. This would serve to develop JD-R theory further. </w:t>
      </w:r>
    </w:p>
    <w:p w14:paraId="610F82FC" w14:textId="77777777" w:rsidR="001F7B6A" w:rsidRDefault="001F7B6A" w:rsidP="001F7B6A">
      <w:pPr>
        <w:spacing w:after="200" w:line="360" w:lineRule="auto"/>
        <w:contextualSpacing/>
        <w:rPr>
          <w:rFonts w:ascii="Calibri" w:eastAsia="Calibri" w:hAnsi="Calibri" w:cs="Times New Roman"/>
        </w:rPr>
      </w:pPr>
    </w:p>
    <w:p w14:paraId="2B20EB18" w14:textId="77C17395" w:rsidR="001F7B6A" w:rsidRPr="00E6060C" w:rsidRDefault="001F7B6A" w:rsidP="001F7B6A">
      <w:pPr>
        <w:spacing w:after="200" w:line="360" w:lineRule="auto"/>
        <w:contextualSpacing/>
        <w:rPr>
          <w:rFonts w:ascii="Calibri" w:eastAsia="Calibri" w:hAnsi="Calibri" w:cs="Times New Roman"/>
        </w:rPr>
      </w:pPr>
      <w:r>
        <w:rPr>
          <w:rFonts w:ascii="Calibri" w:eastAsia="Calibri" w:hAnsi="Calibri" w:cs="Times New Roman"/>
        </w:rPr>
        <w:t>F</w:t>
      </w:r>
      <w:r w:rsidRPr="00E6060C">
        <w:rPr>
          <w:rFonts w:ascii="Calibri" w:eastAsia="Calibri" w:hAnsi="Calibri" w:cs="Times New Roman"/>
        </w:rPr>
        <w:t>uture work engagement intervention research will be particularly important for identifying methods and strategies</w:t>
      </w:r>
      <w:r>
        <w:rPr>
          <w:rFonts w:ascii="Calibri" w:eastAsia="Calibri" w:hAnsi="Calibri" w:cs="Times New Roman"/>
        </w:rPr>
        <w:t xml:space="preserve"> which managers can employ to aid employees’ satisfaction of the three needs</w:t>
      </w:r>
      <w:r w:rsidRPr="00E6060C">
        <w:rPr>
          <w:rFonts w:ascii="Calibri" w:eastAsia="Calibri" w:hAnsi="Calibri" w:cs="Times New Roman"/>
        </w:rPr>
        <w:t>, however, one way could be for managers to conduct regular</w:t>
      </w:r>
      <w:r>
        <w:rPr>
          <w:rFonts w:ascii="Calibri" w:eastAsia="Calibri" w:hAnsi="Calibri" w:cs="Times New Roman"/>
        </w:rPr>
        <w:t xml:space="preserve"> appraisals and </w:t>
      </w:r>
      <w:r w:rsidRPr="00E6060C">
        <w:rPr>
          <w:rFonts w:ascii="Calibri" w:eastAsia="Calibri" w:hAnsi="Calibri" w:cs="Times New Roman"/>
        </w:rPr>
        <w:t>informal</w:t>
      </w:r>
      <w:r>
        <w:rPr>
          <w:rFonts w:ascii="Calibri" w:eastAsia="Calibri" w:hAnsi="Calibri" w:cs="Times New Roman"/>
        </w:rPr>
        <w:t>,</w:t>
      </w:r>
      <w:r w:rsidRPr="00E6060C">
        <w:rPr>
          <w:rFonts w:ascii="Calibri" w:eastAsia="Calibri" w:hAnsi="Calibri" w:cs="Times New Roman"/>
        </w:rPr>
        <w:t xml:space="preserve"> one-to-one meetin</w:t>
      </w:r>
      <w:r>
        <w:rPr>
          <w:rFonts w:ascii="Calibri" w:eastAsia="Calibri" w:hAnsi="Calibri" w:cs="Times New Roman"/>
        </w:rPr>
        <w:t>gs with employees</w:t>
      </w:r>
      <w:r w:rsidRPr="00E6060C">
        <w:rPr>
          <w:rFonts w:ascii="Calibri" w:eastAsia="Calibri" w:hAnsi="Calibri" w:cs="Times New Roman"/>
        </w:rPr>
        <w:t>, in which they discuss employees’ needs and goals and provide constructive, positive feedback. Working towards goals and challenges is likely to develop individuals’ sense of mastery over tasks and their environment, satisfying their need for competence, whilst having the freedom to do so in the manner which they perceive best is likely to satisfy their need for autonomy (Van den Broeck, 2016). Building close relationships with their supervisors, in which individuals feel valued and cared for, could also encourage a sense of relatedness (Van den Broeck, 2016). Some interventions involving goal setting, problem solving and / or action planning components have demonstrated significant or borderline significant positive effects on work engagement suggesting the utility of this method (e.g. Biggs et al., 201</w:t>
      </w:r>
      <w:r w:rsidR="00A54063">
        <w:rPr>
          <w:rFonts w:ascii="Calibri" w:eastAsia="Calibri" w:hAnsi="Calibri" w:cs="Times New Roman"/>
        </w:rPr>
        <w:t>4</w:t>
      </w:r>
      <w:r w:rsidRPr="00E6060C">
        <w:rPr>
          <w:rFonts w:ascii="Calibri" w:eastAsia="Calibri" w:hAnsi="Calibri" w:cs="Times New Roman"/>
        </w:rPr>
        <w:t>; Rigotti et al., 2014; Ouweneel et al., 2013).</w:t>
      </w:r>
    </w:p>
    <w:p w14:paraId="6A15BF33" w14:textId="77777777" w:rsidR="001A33CA" w:rsidRDefault="001A33CA" w:rsidP="00772C6E">
      <w:pPr>
        <w:spacing w:after="200" w:line="360" w:lineRule="auto"/>
        <w:contextualSpacing/>
        <w:rPr>
          <w:rFonts w:ascii="Calibri" w:eastAsia="Calibri" w:hAnsi="Calibri" w:cs="Times New Roman"/>
        </w:rPr>
      </w:pPr>
    </w:p>
    <w:p w14:paraId="0E189CBA" w14:textId="14B1B86C" w:rsidR="001F7B6A" w:rsidRDefault="001F7B6A" w:rsidP="00772C6E">
      <w:pPr>
        <w:spacing w:after="200" w:line="360" w:lineRule="auto"/>
        <w:contextualSpacing/>
        <w:rPr>
          <w:rFonts w:ascii="Calibri" w:eastAsia="Calibri" w:hAnsi="Calibri" w:cs="Times New Roman"/>
        </w:rPr>
      </w:pPr>
      <w:r w:rsidRPr="00E6060C">
        <w:rPr>
          <w:rFonts w:ascii="Calibri" w:eastAsia="Calibri" w:hAnsi="Calibri" w:cs="Times New Roman"/>
        </w:rPr>
        <w:t>Another particular focus could be increasing resources such as social support and participation in decision-making, which this study found to mediate between all three needs and work engagement, and ensuring a manageable balance between resources and demands for individuals.</w:t>
      </w:r>
      <w:r>
        <w:rPr>
          <w:rFonts w:ascii="Calibri" w:eastAsia="Calibri" w:hAnsi="Calibri" w:cs="Times New Roman"/>
        </w:rPr>
        <w:t xml:space="preserve"> Although there is a large body of research supporting the importance of participation in decision-making for positive individual and organisational outcomes, exemplified by research into participatory interventions (e.g.</w:t>
      </w:r>
      <w:r w:rsidR="00261F67">
        <w:rPr>
          <w:rFonts w:ascii="Calibri" w:eastAsia="Calibri" w:hAnsi="Calibri" w:cs="Times New Roman"/>
        </w:rPr>
        <w:t xml:space="preserve"> </w:t>
      </w:r>
      <w:r>
        <w:rPr>
          <w:rFonts w:ascii="Calibri" w:eastAsia="Calibri" w:hAnsi="Calibri" w:cs="Times New Roman"/>
        </w:rPr>
        <w:t>Nielsen, Randall et al</w:t>
      </w:r>
      <w:r w:rsidR="00261F67">
        <w:rPr>
          <w:rFonts w:ascii="Calibri" w:eastAsia="Calibri" w:hAnsi="Calibri" w:cs="Times New Roman"/>
        </w:rPr>
        <w:t>.</w:t>
      </w:r>
      <w:r>
        <w:rPr>
          <w:rFonts w:ascii="Calibri" w:eastAsia="Calibri" w:hAnsi="Calibri" w:cs="Times New Roman"/>
        </w:rPr>
        <w:t>, 2010, Park et al</w:t>
      </w:r>
      <w:r w:rsidR="00261F67">
        <w:rPr>
          <w:rFonts w:ascii="Calibri" w:eastAsia="Calibri" w:hAnsi="Calibri" w:cs="Times New Roman"/>
        </w:rPr>
        <w:t>.</w:t>
      </w:r>
      <w:r>
        <w:rPr>
          <w:rFonts w:ascii="Calibri" w:eastAsia="Calibri" w:hAnsi="Calibri" w:cs="Times New Roman"/>
        </w:rPr>
        <w:t xml:space="preserve">, 2004), few studies have empirically investigated this relationship in relation to work engagement. </w:t>
      </w:r>
      <w:r w:rsidRPr="00636109">
        <w:rPr>
          <w:rFonts w:ascii="Calibri" w:eastAsia="Calibri" w:hAnsi="Calibri" w:cs="Times New Roman"/>
        </w:rPr>
        <w:t>Therefore, this study provides much needed incremental evidence extending the current evidence base. Managers could help increase these resourc</w:t>
      </w:r>
      <w:r>
        <w:rPr>
          <w:rFonts w:ascii="Calibri" w:eastAsia="Calibri" w:hAnsi="Calibri" w:cs="Times New Roman"/>
        </w:rPr>
        <w:t>es</w:t>
      </w:r>
      <w:r w:rsidRPr="00E6060C">
        <w:rPr>
          <w:rFonts w:ascii="Calibri" w:eastAsia="Calibri" w:hAnsi="Calibri" w:cs="Times New Roman"/>
        </w:rPr>
        <w:t xml:space="preserve"> by allowing employees the freedom to conduct their work in the way they see best, providing them with information about change, time to voice opinions and actively participate in that change, and again providing positive feedback about their work on a regular basis. They could also encourage team rapport through team building exercises, regular informal team meetings</w:t>
      </w:r>
      <w:r>
        <w:rPr>
          <w:rFonts w:ascii="Calibri" w:eastAsia="Calibri" w:hAnsi="Calibri" w:cs="Times New Roman"/>
        </w:rPr>
        <w:t>,</w:t>
      </w:r>
      <w:r w:rsidRPr="00E6060C">
        <w:rPr>
          <w:rFonts w:ascii="Calibri" w:eastAsia="Calibri" w:hAnsi="Calibri" w:cs="Times New Roman"/>
        </w:rPr>
        <w:t xml:space="preserve"> and </w:t>
      </w:r>
      <w:r w:rsidRPr="00E6060C">
        <w:rPr>
          <w:rFonts w:ascii="Calibri" w:eastAsia="Calibri" w:hAnsi="Calibri" w:cs="Times New Roman"/>
        </w:rPr>
        <w:lastRenderedPageBreak/>
        <w:t>daily chats. The relationships between the job resources, social support, autonomy</w:t>
      </w:r>
      <w:r>
        <w:rPr>
          <w:rFonts w:ascii="Calibri" w:eastAsia="Calibri" w:hAnsi="Calibri" w:cs="Times New Roman"/>
        </w:rPr>
        <w:t>,</w:t>
      </w:r>
      <w:r w:rsidRPr="00E6060C">
        <w:rPr>
          <w:rFonts w:ascii="Calibri" w:eastAsia="Calibri" w:hAnsi="Calibri" w:cs="Times New Roman"/>
        </w:rPr>
        <w:t xml:space="preserve"> and feedback, and work engagement, have been supported by previous studies investigating the mediation relationships between job resources, needs and work engagement (Vansteenkiste et al., 2007; Van den Broeck et al., 2010; 2015) as well as other, longitudinal, studies investigating these relationships over three or more points in time (Hakanan &amp; Schaufeli, 2012; Schaufeli et al., 2009</w:t>
      </w:r>
      <w:r>
        <w:rPr>
          <w:rFonts w:ascii="Calibri" w:eastAsia="Calibri" w:hAnsi="Calibri" w:cs="Times New Roman"/>
        </w:rPr>
        <w:t>).</w:t>
      </w:r>
    </w:p>
    <w:p w14:paraId="57ED777B" w14:textId="77777777" w:rsidR="001F7B6A" w:rsidRPr="00E6060C" w:rsidRDefault="001F7B6A" w:rsidP="00772C6E">
      <w:pPr>
        <w:spacing w:after="200" w:line="360" w:lineRule="auto"/>
        <w:contextualSpacing/>
        <w:rPr>
          <w:rFonts w:ascii="Calibri" w:eastAsia="Calibri" w:hAnsi="Calibri" w:cs="Times New Roman"/>
        </w:rPr>
      </w:pPr>
    </w:p>
    <w:p w14:paraId="0D858000" w14:textId="5F7213B0" w:rsidR="00E6060C" w:rsidRPr="00E6060C" w:rsidRDefault="00E6060C" w:rsidP="00772C6E">
      <w:pPr>
        <w:pStyle w:val="Heading3"/>
        <w:spacing w:line="360" w:lineRule="auto"/>
        <w:contextualSpacing/>
      </w:pPr>
      <w:bookmarkStart w:id="548" w:name="_Toc468286048"/>
      <w:r w:rsidRPr="00E6060C">
        <w:t>Limitations</w:t>
      </w:r>
      <w:bookmarkEnd w:id="548"/>
    </w:p>
    <w:p w14:paraId="558C3B7E" w14:textId="77777777" w:rsidR="00E6060C" w:rsidRPr="00E6060C" w:rsidRDefault="00E6060C" w:rsidP="00772C6E">
      <w:pPr>
        <w:spacing w:after="200" w:line="360" w:lineRule="auto"/>
        <w:contextualSpacing/>
        <w:rPr>
          <w:rFonts w:ascii="Calibri" w:eastAsia="Calibri" w:hAnsi="Calibri" w:cs="Times New Roman"/>
        </w:rPr>
      </w:pPr>
    </w:p>
    <w:p w14:paraId="7FD33327" w14:textId="731C67AF" w:rsidR="00E6060C" w:rsidRPr="00E6060C" w:rsidRDefault="00E6060C" w:rsidP="00772C6E">
      <w:pPr>
        <w:spacing w:after="200" w:line="360" w:lineRule="auto"/>
        <w:contextualSpacing/>
        <w:rPr>
          <w:rFonts w:ascii="Calibri" w:eastAsia="Calibri" w:hAnsi="Calibri" w:cs="Times New Roman"/>
        </w:rPr>
      </w:pPr>
      <w:r w:rsidRPr="00E6060C">
        <w:rPr>
          <w:rFonts w:ascii="Calibri" w:eastAsia="Calibri" w:hAnsi="Calibri" w:cs="Times New Roman"/>
        </w:rPr>
        <w:t xml:space="preserve">There were three key limitations of the intervention study, which may have impacted the results of the statistical evaluation of the intervention effects, and the mediation analyses, the latter of which were also based on the intervention sample. These were: 1) poor implementation of the intervention; 2) a low matched sample size; and 3) the cross-sectional nature of the sample used for the mediation analyses. In terms of the first limitation, it was unfortunately not possible to conduct a full process evaluation in order to explore how and why the intervention did not produce the expected effects on resources, need satisfaction and work engagement, due to limited resources. This highlights how difficult it is to conduct intervention research. Nevertheless, it was possible to obtain some information through a limited number of evaluation questions which were added to the staff questionnaire following the intervention, and through informal discussion with participating nursing staff. The results obtained here should be interpreted in light of these issues, which indicated that implementation of the intervention was poor. </w:t>
      </w:r>
    </w:p>
    <w:p w14:paraId="645E4BF6" w14:textId="77777777" w:rsidR="00E6060C" w:rsidRPr="00E6060C" w:rsidRDefault="00E6060C" w:rsidP="00E6060C">
      <w:pPr>
        <w:spacing w:after="200" w:line="360" w:lineRule="auto"/>
        <w:contextualSpacing/>
        <w:rPr>
          <w:rFonts w:ascii="Calibri" w:eastAsia="Calibri" w:hAnsi="Calibri" w:cs="Times New Roman"/>
        </w:rPr>
      </w:pPr>
    </w:p>
    <w:p w14:paraId="0AD38218" w14:textId="77777777" w:rsidR="00F812AF" w:rsidRDefault="00E6060C" w:rsidP="00F812AF">
      <w:pPr>
        <w:spacing w:after="200" w:line="360" w:lineRule="auto"/>
        <w:contextualSpacing/>
        <w:rPr>
          <w:rFonts w:ascii="Calibri" w:eastAsia="Calibri" w:hAnsi="Calibri" w:cs="Times New Roman"/>
        </w:rPr>
      </w:pPr>
      <w:r w:rsidRPr="00E6060C">
        <w:rPr>
          <w:rFonts w:ascii="Calibri" w:eastAsia="Calibri" w:hAnsi="Calibri" w:cs="Times New Roman"/>
        </w:rPr>
        <w:t xml:space="preserve">As stated in the discussion above, one of these issues included NHS driven projects being run alongside the intervention, which competed with staff time and added to </w:t>
      </w:r>
      <w:r w:rsidR="002C74CE">
        <w:rPr>
          <w:rFonts w:ascii="Calibri" w:eastAsia="Calibri" w:hAnsi="Calibri" w:cs="Times New Roman"/>
        </w:rPr>
        <w:t>staff</w:t>
      </w:r>
      <w:r w:rsidRPr="00E6060C">
        <w:rPr>
          <w:rFonts w:ascii="Calibri" w:eastAsia="Calibri" w:hAnsi="Calibri" w:cs="Times New Roman"/>
        </w:rPr>
        <w:t xml:space="preserve"> perception</w:t>
      </w:r>
      <w:r w:rsidR="002C74CE">
        <w:rPr>
          <w:rFonts w:ascii="Calibri" w:eastAsia="Calibri" w:hAnsi="Calibri" w:cs="Times New Roman"/>
        </w:rPr>
        <w:t>s</w:t>
      </w:r>
      <w:r w:rsidRPr="00E6060C">
        <w:rPr>
          <w:rFonts w:ascii="Calibri" w:eastAsia="Calibri" w:hAnsi="Calibri" w:cs="Times New Roman"/>
        </w:rPr>
        <w:t xml:space="preserve"> of an already high workload. Other issues included a lack of management support for the project, the attrition of three intervention wards and one control ward by the end of the intervention, inconsistent and minimal staff attendance at core workshops, and the request for staff nurse and ward sister Communities of Practice workshops to be stopped altogether. These issues were set </w:t>
      </w:r>
      <w:r w:rsidR="002C74CE">
        <w:rPr>
          <w:rFonts w:ascii="Calibri" w:eastAsia="Calibri" w:hAnsi="Calibri" w:cs="Times New Roman"/>
        </w:rPr>
        <w:t>with</w:t>
      </w:r>
      <w:r w:rsidRPr="00E6060C">
        <w:rPr>
          <w:rFonts w:ascii="Calibri" w:eastAsia="Calibri" w:hAnsi="Calibri" w:cs="Times New Roman"/>
        </w:rPr>
        <w:t>in the wider context of staff shortages,</w:t>
      </w:r>
      <w:r w:rsidR="002C74CE">
        <w:rPr>
          <w:rFonts w:ascii="Calibri" w:eastAsia="Calibri" w:hAnsi="Calibri" w:cs="Times New Roman"/>
        </w:rPr>
        <w:t xml:space="preserve"> and</w:t>
      </w:r>
      <w:r w:rsidRPr="00E6060C">
        <w:rPr>
          <w:rFonts w:ascii="Calibri" w:eastAsia="Calibri" w:hAnsi="Calibri" w:cs="Times New Roman"/>
        </w:rPr>
        <w:t xml:space="preserve"> the hospital being placed on special measures and receiving attention in the </w:t>
      </w:r>
      <w:r w:rsidR="002C74CE">
        <w:rPr>
          <w:rFonts w:ascii="Calibri" w:eastAsia="Calibri" w:hAnsi="Calibri" w:cs="Times New Roman"/>
        </w:rPr>
        <w:t>media</w:t>
      </w:r>
      <w:r w:rsidRPr="00E6060C">
        <w:rPr>
          <w:rFonts w:ascii="Calibri" w:eastAsia="Calibri" w:hAnsi="Calibri" w:cs="Times New Roman"/>
        </w:rPr>
        <w:t xml:space="preserve">. Staff reported feeling under stress and strain as a result of these wider issues and felt that engaging in another project was unrealistic, particularly one not considered a priority by NHS management but which would require more of their resources and time when their workload was already perceived to be high. It is therefore perhaps unsurprising that few significant statistical effects were observed. As an in-depth process evaluation was not possible, it is impossible to determine whether more effects would have been observed had the intervention </w:t>
      </w:r>
      <w:r w:rsidRPr="00E6060C">
        <w:rPr>
          <w:rFonts w:ascii="Calibri" w:eastAsia="Calibri" w:hAnsi="Calibri" w:cs="Times New Roman"/>
        </w:rPr>
        <w:lastRenderedPageBreak/>
        <w:t xml:space="preserve">been implemented according to plan. Therefore, a conclusion cannot be drawn about the potential ability of the intervention per se to generate positive effects in other, more amenable, circumstances. </w:t>
      </w:r>
    </w:p>
    <w:p w14:paraId="56D17850" w14:textId="77777777" w:rsidR="00F812AF" w:rsidRDefault="00F812AF" w:rsidP="00F812AF">
      <w:pPr>
        <w:spacing w:after="200" w:line="360" w:lineRule="auto"/>
        <w:contextualSpacing/>
        <w:rPr>
          <w:rFonts w:ascii="Calibri" w:eastAsia="Calibri" w:hAnsi="Calibri" w:cs="Times New Roman"/>
        </w:rPr>
      </w:pPr>
    </w:p>
    <w:p w14:paraId="109512AF" w14:textId="5CD5D025" w:rsidR="00E6060C" w:rsidRPr="00E6060C" w:rsidRDefault="00F812AF" w:rsidP="00E6060C">
      <w:pPr>
        <w:spacing w:after="200" w:line="360" w:lineRule="auto"/>
        <w:contextualSpacing/>
        <w:rPr>
          <w:rFonts w:ascii="Calibri" w:eastAsia="Calibri" w:hAnsi="Calibri" w:cs="Times New Roman"/>
        </w:rPr>
      </w:pPr>
      <w:r>
        <w:rPr>
          <w:rFonts w:ascii="Calibri" w:eastAsia="Calibri" w:hAnsi="Calibri" w:cs="Times New Roman"/>
        </w:rPr>
        <w:t>To mitigate against the effects of poor study implementation, future studies could negotiate the inclusion of process evaluations with organisations prior to conducting interventions, as a matter of course. This is also discussed in relation to the first contribution for research, above. In addition</w:t>
      </w:r>
      <w:r w:rsidR="006F54AF">
        <w:rPr>
          <w:rFonts w:ascii="Calibri" w:eastAsia="Calibri" w:hAnsi="Calibri" w:cs="Times New Roman"/>
        </w:rPr>
        <w:t xml:space="preserve">, </w:t>
      </w:r>
      <w:r>
        <w:rPr>
          <w:rFonts w:ascii="Calibri" w:eastAsia="Calibri" w:hAnsi="Calibri" w:cs="Times New Roman"/>
        </w:rPr>
        <w:t>t</w:t>
      </w:r>
      <w:r w:rsidRPr="00E6060C">
        <w:rPr>
          <w:rFonts w:ascii="Calibri" w:eastAsia="Calibri" w:hAnsi="Calibri" w:cs="Times New Roman"/>
        </w:rPr>
        <w:t xml:space="preserve">he success of future intervention studies is likely to depend on </w:t>
      </w:r>
      <w:r w:rsidR="00963B7E">
        <w:rPr>
          <w:rFonts w:ascii="Calibri" w:eastAsia="Calibri" w:hAnsi="Calibri" w:cs="Times New Roman"/>
        </w:rPr>
        <w:t xml:space="preserve">strong management support and thus </w:t>
      </w:r>
      <w:r w:rsidRPr="00E6060C">
        <w:rPr>
          <w:rFonts w:ascii="Calibri" w:eastAsia="Calibri" w:hAnsi="Calibri" w:cs="Times New Roman"/>
        </w:rPr>
        <w:t>the positive nurturing</w:t>
      </w:r>
      <w:r>
        <w:rPr>
          <w:rFonts w:ascii="Calibri" w:eastAsia="Calibri" w:hAnsi="Calibri" w:cs="Times New Roman"/>
        </w:rPr>
        <w:t xml:space="preserve"> of researcher-manager relationships </w:t>
      </w:r>
      <w:r w:rsidRPr="00E6060C">
        <w:rPr>
          <w:rFonts w:ascii="Calibri" w:eastAsia="Calibri" w:hAnsi="Calibri" w:cs="Times New Roman"/>
        </w:rPr>
        <w:t>(e.g. Nielsen, Randall et al., 2010; Nielsen, 2013; see also Chapter 3)</w:t>
      </w:r>
      <w:r w:rsidR="00963B7E">
        <w:rPr>
          <w:rFonts w:ascii="Calibri" w:eastAsia="Calibri" w:hAnsi="Calibri" w:cs="Times New Roman"/>
        </w:rPr>
        <w:t>.</w:t>
      </w:r>
    </w:p>
    <w:p w14:paraId="41FA6FC8" w14:textId="77777777" w:rsidR="00E6060C" w:rsidRPr="00E6060C" w:rsidRDefault="00E6060C" w:rsidP="00E6060C">
      <w:pPr>
        <w:spacing w:after="200" w:line="360" w:lineRule="auto"/>
        <w:contextualSpacing/>
        <w:rPr>
          <w:rFonts w:ascii="Calibri" w:eastAsia="Calibri" w:hAnsi="Calibri" w:cs="Times New Roman"/>
        </w:rPr>
      </w:pPr>
    </w:p>
    <w:p w14:paraId="3F9F2BF1" w14:textId="423F49B0"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In terms of the second limitation, the low sample size of the matched sample may have reduced the statistical power of the ANOVAs conducted to evaluate the intervention. This may have prevented effects from being detected</w:t>
      </w:r>
      <w:r w:rsidR="002C74CE">
        <w:rPr>
          <w:rFonts w:ascii="Calibri" w:eastAsia="Calibri" w:hAnsi="Calibri" w:cs="Times New Roman"/>
        </w:rPr>
        <w:t>,</w:t>
      </w:r>
      <w:r w:rsidRPr="00E6060C">
        <w:rPr>
          <w:rFonts w:ascii="Calibri" w:eastAsia="Calibri" w:hAnsi="Calibri" w:cs="Times New Roman"/>
        </w:rPr>
        <w:t xml:space="preserve"> and resulted in Type II errors, or the erroneous acceptance of the null hypotheses (that there are no differences for any of the research variable scores between groups across time) when effects were actually present (Tabachnik &amp; Fidell, 2007). Alternatively, Type I errors may have resulted, or the erroneous rejection of null hypotheses when effects were not actually present, and may have led to the erroneous detection of the unexpected effects observed here. Though the Type I error rate remains fixed whatever the sample size, all statistical tests carry a risk of this type of error due to the nature of significance testing, where, typically, a researcher will assign an alpha level of .05 (95%) to a test. All </w:t>
      </w:r>
      <w:r w:rsidRPr="00E6060C">
        <w:rPr>
          <w:rFonts w:ascii="Calibri" w:eastAsia="Calibri" w:hAnsi="Calibri" w:cs="Times New Roman"/>
          <w:i/>
        </w:rPr>
        <w:t>p</w:t>
      </w:r>
      <w:r w:rsidRPr="00E6060C">
        <w:rPr>
          <w:rFonts w:ascii="Calibri" w:eastAsia="Calibri" w:hAnsi="Calibri" w:cs="Times New Roman"/>
        </w:rPr>
        <w:t xml:space="preserve">-values below this cut-off are regarded as significant and all </w:t>
      </w:r>
      <w:r w:rsidRPr="00E6060C">
        <w:rPr>
          <w:rFonts w:ascii="Calibri" w:eastAsia="Calibri" w:hAnsi="Calibri" w:cs="Times New Roman"/>
          <w:i/>
        </w:rPr>
        <w:t>p</w:t>
      </w:r>
      <w:r w:rsidRPr="00E6060C">
        <w:rPr>
          <w:rFonts w:ascii="Calibri" w:eastAsia="Calibri" w:hAnsi="Calibri" w:cs="Times New Roman"/>
        </w:rPr>
        <w:t xml:space="preserve">-values above this value are regarded as non-significant (Tabachnik &amp; Fidell, 2007). This means that for any one test (e.g. an ANOVA, as in this case), there is a 5% chance that a test will produce significant results when the true population value is not significant. Conducting repetition studies would help to clarify whether either Type I or Type II errors were responsible for the unexpected effects observed here. </w:t>
      </w:r>
    </w:p>
    <w:p w14:paraId="58657FAF" w14:textId="77777777" w:rsidR="00E6060C" w:rsidRPr="00E6060C" w:rsidRDefault="00E6060C" w:rsidP="00E6060C">
      <w:pPr>
        <w:spacing w:after="200" w:line="360" w:lineRule="auto"/>
        <w:contextualSpacing/>
        <w:rPr>
          <w:rFonts w:ascii="Calibri" w:eastAsia="Calibri" w:hAnsi="Calibri" w:cs="Times New Roman"/>
        </w:rPr>
      </w:pPr>
    </w:p>
    <w:p w14:paraId="48E0532F" w14:textId="5AD121BB" w:rsid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Furthermore, and to reiterate another point made in the discussion of Study 2, the small sample size of the matched sample may not have been representative of all of the nursing staff on the intervention and control wards which were present at both Time 1 and Time 2. This means that the decrease in relatedness observed in the intervention group, and the increase observed in the control group</w:t>
      </w:r>
      <w:r w:rsidR="00A940C7">
        <w:rPr>
          <w:rFonts w:ascii="Calibri" w:eastAsia="Calibri" w:hAnsi="Calibri" w:cs="Times New Roman"/>
        </w:rPr>
        <w:t>,</w:t>
      </w:r>
      <w:r w:rsidRPr="00E6060C">
        <w:rPr>
          <w:rFonts w:ascii="Calibri" w:eastAsia="Calibri" w:hAnsi="Calibri" w:cs="Times New Roman"/>
        </w:rPr>
        <w:t xml:space="preserve"> may have been caused by biased results, that is, results which reflected only the views of a small subset of respondents, as opposed to the whole nursing population present on all of the intervention and control wards. It is also possible that those who responded at both time points did </w:t>
      </w:r>
      <w:r w:rsidRPr="00E6060C">
        <w:rPr>
          <w:rFonts w:ascii="Calibri" w:eastAsia="Calibri" w:hAnsi="Calibri" w:cs="Times New Roman"/>
        </w:rPr>
        <w:lastRenderedPageBreak/>
        <w:t xml:space="preserve">not actually take part in the intervention, and hence did not benefit from it, leading to the failure to find positive effects. </w:t>
      </w:r>
      <w:r w:rsidR="00A940C7">
        <w:rPr>
          <w:rFonts w:ascii="Calibri" w:eastAsia="Calibri" w:hAnsi="Calibri" w:cs="Times New Roman"/>
        </w:rPr>
        <w:t xml:space="preserve">Again, enlisting strong manager support for the intervention may go some way towards increasing response rates. </w:t>
      </w:r>
    </w:p>
    <w:p w14:paraId="4A9FBD13" w14:textId="16C4B8F6" w:rsidR="00F04913" w:rsidRDefault="00F04913" w:rsidP="00E6060C">
      <w:pPr>
        <w:spacing w:after="200" w:line="360" w:lineRule="auto"/>
        <w:contextualSpacing/>
        <w:rPr>
          <w:rFonts w:ascii="Calibri" w:eastAsia="Calibri" w:hAnsi="Calibri" w:cs="Times New Roman"/>
        </w:rPr>
      </w:pPr>
    </w:p>
    <w:p w14:paraId="13F86F5D" w14:textId="6B9AD093" w:rsidR="00F04913" w:rsidRPr="00597B71" w:rsidRDefault="00F04913" w:rsidP="00E6060C">
      <w:pPr>
        <w:spacing w:after="200" w:line="360" w:lineRule="auto"/>
        <w:contextualSpacing/>
        <w:rPr>
          <w:rFonts w:ascii="Calibri" w:eastAsia="Calibri" w:hAnsi="Calibri" w:cs="Times New Roman"/>
        </w:rPr>
      </w:pPr>
      <w:r>
        <w:rPr>
          <w:rFonts w:ascii="Calibri" w:eastAsia="Calibri" w:hAnsi="Calibri" w:cs="Times New Roman"/>
        </w:rPr>
        <w:t xml:space="preserve">Finally, the results observed </w:t>
      </w:r>
      <w:r w:rsidR="003A1023">
        <w:rPr>
          <w:rFonts w:ascii="Calibri" w:eastAsia="Calibri" w:hAnsi="Calibri" w:cs="Times New Roman"/>
        </w:rPr>
        <w:t>by the small sample size may be due to regression to the mean. As indicated in the discussion above, this refers to when the mean on a variable, in this case, work engagement, moves towards the population mean on the second measurement from a more extreme value on the first measurement</w:t>
      </w:r>
      <w:r w:rsidR="00597B71">
        <w:rPr>
          <w:rFonts w:ascii="Calibri" w:eastAsia="Calibri" w:hAnsi="Calibri" w:cs="Times New Roman"/>
        </w:rPr>
        <w:t xml:space="preserve"> (Bland &amp; Altman, 1994)</w:t>
      </w:r>
      <w:r w:rsidR="003A1023">
        <w:rPr>
          <w:rFonts w:ascii="Calibri" w:eastAsia="Calibri" w:hAnsi="Calibri" w:cs="Times New Roman"/>
        </w:rPr>
        <w:t xml:space="preserve">. Here, the population mean refers to the entire sample of healthcare workers which were surveyed. So, it may be that the </w:t>
      </w:r>
      <w:r w:rsidR="00597B71">
        <w:rPr>
          <w:rFonts w:ascii="Calibri" w:eastAsia="Calibri" w:hAnsi="Calibri" w:cs="Times New Roman"/>
        </w:rPr>
        <w:t>14</w:t>
      </w:r>
      <w:r w:rsidR="003A1023">
        <w:rPr>
          <w:rFonts w:ascii="Calibri" w:eastAsia="Calibri" w:hAnsi="Calibri" w:cs="Times New Roman"/>
        </w:rPr>
        <w:t xml:space="preserve"> respondents in the control group of the matched sample happened to score lower than </w:t>
      </w:r>
      <w:r w:rsidR="00597B71">
        <w:rPr>
          <w:rFonts w:ascii="Calibri" w:eastAsia="Calibri" w:hAnsi="Calibri" w:cs="Times New Roman"/>
        </w:rPr>
        <w:t xml:space="preserve">the </w:t>
      </w:r>
      <w:r w:rsidR="003A1023">
        <w:rPr>
          <w:rFonts w:ascii="Calibri" w:eastAsia="Calibri" w:hAnsi="Calibri" w:cs="Times New Roman"/>
        </w:rPr>
        <w:t xml:space="preserve">average </w:t>
      </w:r>
      <w:r w:rsidR="00597B71">
        <w:rPr>
          <w:rFonts w:ascii="Calibri" w:eastAsia="Calibri" w:hAnsi="Calibri" w:cs="Times New Roman"/>
        </w:rPr>
        <w:t xml:space="preserve">score </w:t>
      </w:r>
      <w:r w:rsidR="003A1023">
        <w:rPr>
          <w:rFonts w:ascii="Calibri" w:eastAsia="Calibri" w:hAnsi="Calibri" w:cs="Times New Roman"/>
        </w:rPr>
        <w:t xml:space="preserve">on work engagement prior to the intervention but scored </w:t>
      </w:r>
      <w:r w:rsidR="00597B71">
        <w:rPr>
          <w:rFonts w:ascii="Calibri" w:eastAsia="Calibri" w:hAnsi="Calibri" w:cs="Times New Roman"/>
        </w:rPr>
        <w:t>closer to the average on the second, post intervention measurement</w:t>
      </w:r>
      <w:r w:rsidR="003A1023">
        <w:rPr>
          <w:rFonts w:ascii="Calibri" w:eastAsia="Calibri" w:hAnsi="Calibri" w:cs="Times New Roman"/>
        </w:rPr>
        <w:t xml:space="preserve">. </w:t>
      </w:r>
      <w:r w:rsidR="00597B71">
        <w:rPr>
          <w:rFonts w:ascii="Calibri" w:eastAsia="Calibri" w:hAnsi="Calibri" w:cs="Times New Roman"/>
        </w:rPr>
        <w:t xml:space="preserve">Scores for the 31 respondents in the intervention group did not change much, hence these may represent the average score on both occasions. This statistical artefact occurs when the correlation between two measures is not perfect (i.e. </w:t>
      </w:r>
      <w:r w:rsidR="00597B71">
        <w:rPr>
          <w:rFonts w:ascii="Calibri" w:eastAsia="Calibri" w:hAnsi="Calibri" w:cs="Times New Roman"/>
          <w:i/>
        </w:rPr>
        <w:t xml:space="preserve">r </w:t>
      </w:r>
      <w:r w:rsidR="00597B71" w:rsidRPr="00597B71">
        <w:rPr>
          <w:rFonts w:ascii="Calibri" w:eastAsia="Calibri" w:hAnsi="Calibri" w:cs="Times New Roman"/>
        </w:rPr>
        <w:t>≠</w:t>
      </w:r>
      <w:r w:rsidR="00597B71">
        <w:rPr>
          <w:rFonts w:ascii="Calibri" w:eastAsia="Calibri" w:hAnsi="Calibri" w:cs="Times New Roman"/>
        </w:rPr>
        <w:t xml:space="preserve">1) and thus always occurs in practice (Bland &amp; Altman, 1994). </w:t>
      </w:r>
      <w:r w:rsidR="00530C68">
        <w:rPr>
          <w:rFonts w:ascii="Calibri" w:eastAsia="Calibri" w:hAnsi="Calibri" w:cs="Times New Roman"/>
        </w:rPr>
        <w:t>It may</w:t>
      </w:r>
      <w:r w:rsidR="002C74CE">
        <w:rPr>
          <w:rFonts w:ascii="Calibri" w:eastAsia="Calibri" w:hAnsi="Calibri" w:cs="Times New Roman"/>
        </w:rPr>
        <w:t>,</w:t>
      </w:r>
      <w:r w:rsidR="00530C68">
        <w:rPr>
          <w:rFonts w:ascii="Calibri" w:eastAsia="Calibri" w:hAnsi="Calibri" w:cs="Times New Roman"/>
        </w:rPr>
        <w:t xml:space="preserve"> therefore</w:t>
      </w:r>
      <w:r w:rsidR="002C74CE">
        <w:rPr>
          <w:rFonts w:ascii="Calibri" w:eastAsia="Calibri" w:hAnsi="Calibri" w:cs="Times New Roman"/>
        </w:rPr>
        <w:t>,</w:t>
      </w:r>
      <w:r w:rsidR="00530C68">
        <w:rPr>
          <w:rFonts w:ascii="Calibri" w:eastAsia="Calibri" w:hAnsi="Calibri" w:cs="Times New Roman"/>
        </w:rPr>
        <w:t xml:space="preserve"> be that this artefact explains the results as opposed to the intervention itself. The above three paragraphs clearly indicate why the results of the matched sample should be viewed with particular caution and more emphasis placed on those obtained using the complete sample. Having said this, there w</w:t>
      </w:r>
      <w:r w:rsidR="00460668">
        <w:rPr>
          <w:rFonts w:ascii="Calibri" w:eastAsia="Calibri" w:hAnsi="Calibri" w:cs="Times New Roman"/>
        </w:rPr>
        <w:t>ere</w:t>
      </w:r>
      <w:r w:rsidR="00530C68">
        <w:rPr>
          <w:rFonts w:ascii="Calibri" w:eastAsia="Calibri" w:hAnsi="Calibri" w:cs="Times New Roman"/>
        </w:rPr>
        <w:t xml:space="preserve"> also limitations associated with </w:t>
      </w:r>
      <w:r w:rsidR="00460668">
        <w:rPr>
          <w:rFonts w:ascii="Calibri" w:eastAsia="Calibri" w:hAnsi="Calibri" w:cs="Times New Roman"/>
        </w:rPr>
        <w:t xml:space="preserve">analysis of the complete sample, </w:t>
      </w:r>
      <w:r w:rsidR="00530C68">
        <w:rPr>
          <w:rFonts w:ascii="Calibri" w:eastAsia="Calibri" w:hAnsi="Calibri" w:cs="Times New Roman"/>
        </w:rPr>
        <w:t xml:space="preserve">as </w:t>
      </w:r>
      <w:r w:rsidR="00460668">
        <w:rPr>
          <w:rFonts w:ascii="Calibri" w:eastAsia="Calibri" w:hAnsi="Calibri" w:cs="Times New Roman"/>
        </w:rPr>
        <w:t>discussed below.</w:t>
      </w:r>
    </w:p>
    <w:p w14:paraId="60E42084" w14:textId="77777777" w:rsidR="00E6060C" w:rsidRPr="00E6060C" w:rsidRDefault="00E6060C" w:rsidP="00E6060C">
      <w:pPr>
        <w:spacing w:after="200" w:line="360" w:lineRule="auto"/>
        <w:contextualSpacing/>
        <w:rPr>
          <w:rFonts w:ascii="Calibri" w:eastAsia="Calibri" w:hAnsi="Calibri" w:cs="Times New Roman"/>
        </w:rPr>
      </w:pPr>
    </w:p>
    <w:p w14:paraId="75E9404C" w14:textId="5BFB20EC" w:rsidR="00E6060C" w:rsidRDefault="00E6060C" w:rsidP="001F7B6A">
      <w:pPr>
        <w:spacing w:after="200" w:line="360" w:lineRule="auto"/>
        <w:contextualSpacing/>
        <w:rPr>
          <w:rFonts w:ascii="Calibri" w:eastAsia="Calibri" w:hAnsi="Calibri" w:cs="Times New Roman"/>
        </w:rPr>
      </w:pPr>
      <w:r w:rsidRPr="00E6060C">
        <w:rPr>
          <w:rFonts w:ascii="Calibri" w:eastAsia="Calibri" w:hAnsi="Calibri" w:cs="Times New Roman"/>
        </w:rPr>
        <w:t>In terms of the third limitation, conclusions from the results obtained from analysis of the larger, unmatched, sample, were limited by the cross-sectional nature of the sample, which precluded inferences regarding causality. Furthermore, it was not possible to perform mediation analyses on a matched sample due to the small sample size of the matched sample collected, which would not have been representative of all of the wards</w:t>
      </w:r>
      <w:r w:rsidR="002C74CE">
        <w:rPr>
          <w:rFonts w:ascii="Calibri" w:eastAsia="Calibri" w:hAnsi="Calibri" w:cs="Times New Roman"/>
        </w:rPr>
        <w:t>,</w:t>
      </w:r>
      <w:r w:rsidRPr="00E6060C">
        <w:rPr>
          <w:rFonts w:ascii="Calibri" w:eastAsia="Calibri" w:hAnsi="Calibri" w:cs="Times New Roman"/>
        </w:rPr>
        <w:t xml:space="preserve"> or enabled a robust statistical analysis to be conducted. To overcome this as far as possible, the analyses were performed on the complete sample which included those who had responded at one time point only, as well as those who had responded at both time points. Hence, the results were based on both longitudinal and cross-sectional data</w:t>
      </w:r>
      <w:r w:rsidR="002C74CE">
        <w:rPr>
          <w:rFonts w:ascii="Calibri" w:eastAsia="Calibri" w:hAnsi="Calibri" w:cs="Times New Roman"/>
        </w:rPr>
        <w:t xml:space="preserve">, limiting </w:t>
      </w:r>
      <w:r w:rsidRPr="00E6060C">
        <w:rPr>
          <w:rFonts w:ascii="Calibri" w:eastAsia="Calibri" w:hAnsi="Calibri" w:cs="Times New Roman"/>
        </w:rPr>
        <w:t xml:space="preserve">the </w:t>
      </w:r>
      <w:r w:rsidR="002C74CE">
        <w:rPr>
          <w:rFonts w:ascii="Calibri" w:eastAsia="Calibri" w:hAnsi="Calibri" w:cs="Times New Roman"/>
        </w:rPr>
        <w:t xml:space="preserve">causal </w:t>
      </w:r>
      <w:r w:rsidRPr="00E6060C">
        <w:rPr>
          <w:rFonts w:ascii="Calibri" w:eastAsia="Calibri" w:hAnsi="Calibri" w:cs="Times New Roman"/>
        </w:rPr>
        <w:t>conclusions which can be drawn</w:t>
      </w:r>
      <w:r w:rsidR="002C74CE">
        <w:rPr>
          <w:rFonts w:ascii="Calibri" w:eastAsia="Calibri" w:hAnsi="Calibri" w:cs="Times New Roman"/>
        </w:rPr>
        <w:t>.</w:t>
      </w:r>
      <w:r w:rsidRPr="00E6060C">
        <w:rPr>
          <w:rFonts w:ascii="Calibri" w:eastAsia="Calibri" w:hAnsi="Calibri" w:cs="Times New Roman"/>
        </w:rPr>
        <w:t xml:space="preserve"> This is disappointing, given the intention of the study to contribute towards the developing evidence base by exploring the longitudinal relationships between job resources, need satisfaction, and work engagement. Nevertheless, this study is still able to offer incremental evidence by supporting previous studies which have also found positive relationships between resources, needs, and engagem</w:t>
      </w:r>
      <w:r w:rsidR="00A940C7">
        <w:rPr>
          <w:rFonts w:ascii="Calibri" w:eastAsia="Calibri" w:hAnsi="Calibri" w:cs="Times New Roman"/>
        </w:rPr>
        <w:t xml:space="preserve">ent. To confirm these results, and investigate causality, </w:t>
      </w:r>
      <w:r w:rsidR="00EA245A">
        <w:rPr>
          <w:rFonts w:ascii="Calibri" w:eastAsia="Calibri" w:hAnsi="Calibri" w:cs="Times New Roman"/>
        </w:rPr>
        <w:t xml:space="preserve">future research needs to employ </w:t>
      </w:r>
      <w:r w:rsidR="00A940C7">
        <w:rPr>
          <w:rFonts w:ascii="Calibri" w:eastAsia="Calibri" w:hAnsi="Calibri" w:cs="Times New Roman"/>
        </w:rPr>
        <w:t xml:space="preserve">longitudinal designs </w:t>
      </w:r>
      <w:r w:rsidR="00EA245A">
        <w:rPr>
          <w:rFonts w:ascii="Calibri" w:eastAsia="Calibri" w:hAnsi="Calibri" w:cs="Times New Roman"/>
        </w:rPr>
        <w:t>with</w:t>
      </w:r>
      <w:r w:rsidR="00A940C7">
        <w:rPr>
          <w:rFonts w:ascii="Calibri" w:eastAsia="Calibri" w:hAnsi="Calibri" w:cs="Times New Roman"/>
        </w:rPr>
        <w:t xml:space="preserve"> several waves.</w:t>
      </w:r>
      <w:r w:rsidR="00EA245A">
        <w:rPr>
          <w:rFonts w:ascii="Calibri" w:eastAsia="Calibri" w:hAnsi="Calibri" w:cs="Times New Roman"/>
        </w:rPr>
        <w:t xml:space="preserve"> This is an </w:t>
      </w:r>
      <w:r w:rsidR="00EA245A">
        <w:rPr>
          <w:rFonts w:ascii="Calibri" w:eastAsia="Calibri" w:hAnsi="Calibri" w:cs="Times New Roman"/>
        </w:rPr>
        <w:lastRenderedPageBreak/>
        <w:t xml:space="preserve">important research direction which is discussed in relation to </w:t>
      </w:r>
      <w:r w:rsidR="00407EEB">
        <w:rPr>
          <w:rFonts w:ascii="Calibri" w:eastAsia="Calibri" w:hAnsi="Calibri" w:cs="Times New Roman"/>
        </w:rPr>
        <w:t xml:space="preserve">the second </w:t>
      </w:r>
      <w:r w:rsidR="00846510">
        <w:rPr>
          <w:rFonts w:ascii="Calibri" w:eastAsia="Calibri" w:hAnsi="Calibri" w:cs="Times New Roman"/>
        </w:rPr>
        <w:t xml:space="preserve">contribution </w:t>
      </w:r>
      <w:r w:rsidR="00407EEB">
        <w:rPr>
          <w:rFonts w:ascii="Calibri" w:eastAsia="Calibri" w:hAnsi="Calibri" w:cs="Times New Roman"/>
        </w:rPr>
        <w:t xml:space="preserve">for research, </w:t>
      </w:r>
      <w:r w:rsidR="00EA245A">
        <w:rPr>
          <w:rFonts w:ascii="Calibri" w:eastAsia="Calibri" w:hAnsi="Calibri" w:cs="Times New Roman"/>
        </w:rPr>
        <w:t>above</w:t>
      </w:r>
      <w:r w:rsidR="00407EEB">
        <w:rPr>
          <w:rFonts w:ascii="Calibri" w:eastAsia="Calibri" w:hAnsi="Calibri" w:cs="Times New Roman"/>
        </w:rPr>
        <w:t>, and the benefits of which are particularly discussed in relation to the first contribution for research.</w:t>
      </w:r>
    </w:p>
    <w:p w14:paraId="4C2AE882" w14:textId="77777777" w:rsidR="00C35076" w:rsidRDefault="00C35076" w:rsidP="001F7B6A">
      <w:pPr>
        <w:spacing w:after="200" w:line="360" w:lineRule="auto"/>
        <w:contextualSpacing/>
        <w:rPr>
          <w:rFonts w:ascii="Calibri" w:eastAsia="Calibri" w:hAnsi="Calibri" w:cs="Times New Roman"/>
        </w:rPr>
      </w:pPr>
    </w:p>
    <w:p w14:paraId="0F0E73F3" w14:textId="52C3BE61" w:rsidR="00E6060C" w:rsidRPr="00E6060C" w:rsidRDefault="00E6060C" w:rsidP="00B01116">
      <w:pPr>
        <w:pStyle w:val="Thesisheading2"/>
        <w:spacing w:line="360" w:lineRule="auto"/>
        <w:contextualSpacing/>
      </w:pPr>
      <w:bookmarkStart w:id="549" w:name="_Toc468286049"/>
      <w:r w:rsidRPr="00E6060C">
        <w:t>Overall conclusion</w:t>
      </w:r>
      <w:bookmarkEnd w:id="549"/>
    </w:p>
    <w:p w14:paraId="3882E37B" w14:textId="77777777" w:rsidR="00E6060C" w:rsidRPr="00E6060C" w:rsidRDefault="00E6060C" w:rsidP="00B01116">
      <w:pPr>
        <w:spacing w:after="200" w:line="360" w:lineRule="auto"/>
        <w:contextualSpacing/>
        <w:rPr>
          <w:rFonts w:ascii="Calibri" w:eastAsia="Calibri" w:hAnsi="Calibri" w:cs="Times New Roman"/>
        </w:rPr>
      </w:pPr>
    </w:p>
    <w:p w14:paraId="105DB3FD" w14:textId="300F8EFE"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narrative systematic review and meta-analysis found that interventions to increase work engagement in employees can work, and that group interventions may be most effective. </w:t>
      </w:r>
      <w:r w:rsidR="00D35F71" w:rsidRPr="00E6060C">
        <w:rPr>
          <w:rFonts w:ascii="Calibri" w:eastAsia="Calibri" w:hAnsi="Calibri" w:cs="Times New Roman"/>
        </w:rPr>
        <w:t xml:space="preserve">This suggests the benefit of working in groups for increasing resources, work engagement, and </w:t>
      </w:r>
      <w:r w:rsidR="00D35F71">
        <w:rPr>
          <w:rFonts w:ascii="Calibri" w:eastAsia="Calibri" w:hAnsi="Calibri" w:cs="Times New Roman"/>
        </w:rPr>
        <w:t>well-being</w:t>
      </w:r>
      <w:r w:rsidR="00D35F71" w:rsidRPr="00E6060C">
        <w:rPr>
          <w:rFonts w:ascii="Calibri" w:eastAsia="Calibri" w:hAnsi="Calibri" w:cs="Times New Roman"/>
        </w:rPr>
        <w:t>. Developing group interventions could therefore be an effective way of taking work engagement intervention research forward.</w:t>
      </w:r>
      <w:r w:rsidR="00D35F71">
        <w:rPr>
          <w:rFonts w:ascii="Calibri" w:eastAsia="Calibri" w:hAnsi="Calibri" w:cs="Times New Roman"/>
        </w:rPr>
        <w:t xml:space="preserve"> Crucially, the review</w:t>
      </w:r>
      <w:r w:rsidRPr="00E6060C">
        <w:rPr>
          <w:rFonts w:ascii="Calibri" w:eastAsia="Calibri" w:hAnsi="Calibri" w:cs="Times New Roman"/>
        </w:rPr>
        <w:t xml:space="preserve"> also highlighted the issues that implementing interventions may have on their effectiveness</w:t>
      </w:r>
      <w:r w:rsidR="00454A90">
        <w:rPr>
          <w:rFonts w:ascii="Calibri" w:eastAsia="Calibri" w:hAnsi="Calibri" w:cs="Times New Roman"/>
        </w:rPr>
        <w:t>,</w:t>
      </w:r>
      <w:r w:rsidRPr="00E6060C">
        <w:rPr>
          <w:rFonts w:ascii="Calibri" w:eastAsia="Calibri" w:hAnsi="Calibri" w:cs="Times New Roman"/>
        </w:rPr>
        <w:t xml:space="preserve"> and the value in incorporating in-depth process evaluations alongside statistical evaluations as a matter of course. Furthermore, the importance of strong senior manager support, close relationships between researchers and partner organisations, and the readiness of organisations and participants to change</w:t>
      </w:r>
      <w:r w:rsidR="00945CC5">
        <w:rPr>
          <w:rFonts w:ascii="Calibri" w:eastAsia="Calibri" w:hAnsi="Calibri" w:cs="Times New Roman"/>
        </w:rPr>
        <w:t>,</w:t>
      </w:r>
      <w:r w:rsidRPr="00E6060C">
        <w:rPr>
          <w:rFonts w:ascii="Calibri" w:eastAsia="Calibri" w:hAnsi="Calibri" w:cs="Times New Roman"/>
        </w:rPr>
        <w:t xml:space="preserve"> were indicated to be imperative for intervention success. These factors and the value of process evaluations were again emphasised by the findings from the participatory action group intervention with nursing staff on acute elderly care wards. This study </w:t>
      </w:r>
      <w:r w:rsidR="001A77E5">
        <w:rPr>
          <w:rFonts w:ascii="Calibri" w:eastAsia="Calibri" w:hAnsi="Calibri" w:cs="Times New Roman"/>
        </w:rPr>
        <w:t>revealed a confusing set of results, with</w:t>
      </w:r>
      <w:r w:rsidRPr="00E6060C">
        <w:rPr>
          <w:rFonts w:ascii="Calibri" w:eastAsia="Calibri" w:hAnsi="Calibri" w:cs="Times New Roman"/>
        </w:rPr>
        <w:t xml:space="preserve"> no effect on work engagement, </w:t>
      </w:r>
      <w:r w:rsidR="001A77E5">
        <w:rPr>
          <w:rFonts w:ascii="Calibri" w:eastAsia="Calibri" w:hAnsi="Calibri" w:cs="Times New Roman"/>
        </w:rPr>
        <w:t xml:space="preserve">a </w:t>
      </w:r>
      <w:r w:rsidR="001A77E5" w:rsidRPr="00E6060C">
        <w:rPr>
          <w:rFonts w:ascii="Calibri" w:eastAsia="Calibri" w:hAnsi="Calibri" w:cs="Times New Roman"/>
        </w:rPr>
        <w:t xml:space="preserve">decrease in relatedness in the intervention group compared to the control group </w:t>
      </w:r>
      <w:r w:rsidR="001A77E5">
        <w:rPr>
          <w:rFonts w:ascii="Calibri" w:eastAsia="Calibri" w:hAnsi="Calibri" w:cs="Times New Roman"/>
        </w:rPr>
        <w:t xml:space="preserve">when the matched sample was analysed, and </w:t>
      </w:r>
      <w:r w:rsidRPr="00E6060C">
        <w:rPr>
          <w:rFonts w:ascii="Calibri" w:eastAsia="Calibri" w:hAnsi="Calibri" w:cs="Times New Roman"/>
        </w:rPr>
        <w:t>a decrease in anxiety in the intervention group compared to the control group when the complete sample w</w:t>
      </w:r>
      <w:r w:rsidR="001A77E5">
        <w:rPr>
          <w:rFonts w:ascii="Calibri" w:eastAsia="Calibri" w:hAnsi="Calibri" w:cs="Times New Roman"/>
        </w:rPr>
        <w:t>as</w:t>
      </w:r>
      <w:r w:rsidRPr="00E6060C">
        <w:rPr>
          <w:rFonts w:ascii="Calibri" w:eastAsia="Calibri" w:hAnsi="Calibri" w:cs="Times New Roman"/>
        </w:rPr>
        <w:t xml:space="preserve"> analys</w:t>
      </w:r>
      <w:r w:rsidR="001A77E5">
        <w:rPr>
          <w:rFonts w:ascii="Calibri" w:eastAsia="Calibri" w:hAnsi="Calibri" w:cs="Times New Roman"/>
        </w:rPr>
        <w:t>ed, suggesting an increase in well-being</w:t>
      </w:r>
      <w:r w:rsidRPr="00E6060C">
        <w:rPr>
          <w:rFonts w:ascii="Calibri" w:eastAsia="Calibri" w:hAnsi="Calibri" w:cs="Times New Roman"/>
        </w:rPr>
        <w:t xml:space="preserve">. </w:t>
      </w:r>
      <w:r w:rsidR="001A77E5">
        <w:rPr>
          <w:rFonts w:ascii="Calibri" w:eastAsia="Calibri" w:hAnsi="Calibri" w:cs="Times New Roman"/>
        </w:rPr>
        <w:t xml:space="preserve">It is likely that </w:t>
      </w:r>
      <w:r w:rsidR="00077BBF">
        <w:rPr>
          <w:rFonts w:ascii="Calibri" w:eastAsia="Calibri" w:hAnsi="Calibri" w:cs="Times New Roman"/>
        </w:rPr>
        <w:t xml:space="preserve">these </w:t>
      </w:r>
      <w:r w:rsidR="009F571F">
        <w:rPr>
          <w:rFonts w:ascii="Calibri" w:eastAsia="Calibri" w:hAnsi="Calibri" w:cs="Times New Roman"/>
        </w:rPr>
        <w:t xml:space="preserve">confusing </w:t>
      </w:r>
      <w:r w:rsidR="00077BBF">
        <w:rPr>
          <w:rFonts w:ascii="Calibri" w:eastAsia="Calibri" w:hAnsi="Calibri" w:cs="Times New Roman"/>
        </w:rPr>
        <w:t xml:space="preserve">results may have been </w:t>
      </w:r>
      <w:r w:rsidR="00077BBF" w:rsidRPr="00E6060C">
        <w:rPr>
          <w:rFonts w:ascii="Calibri" w:eastAsia="Calibri" w:hAnsi="Calibri" w:cs="Times New Roman"/>
        </w:rPr>
        <w:t xml:space="preserve">due to issues of </w:t>
      </w:r>
      <w:r w:rsidR="009F571F">
        <w:rPr>
          <w:rFonts w:ascii="Calibri" w:eastAsia="Calibri" w:hAnsi="Calibri" w:cs="Times New Roman"/>
        </w:rPr>
        <w:t xml:space="preserve">study </w:t>
      </w:r>
      <w:r w:rsidR="00077BBF" w:rsidRPr="00E6060C">
        <w:rPr>
          <w:rFonts w:ascii="Calibri" w:eastAsia="Calibri" w:hAnsi="Calibri" w:cs="Times New Roman"/>
        </w:rPr>
        <w:t xml:space="preserve">implementation, as opposed to the design of the intervention or the theory upon which it was predicated. </w:t>
      </w:r>
      <w:r w:rsidR="00077BBF">
        <w:rPr>
          <w:rFonts w:ascii="Calibri" w:eastAsia="Calibri" w:hAnsi="Calibri" w:cs="Times New Roman"/>
        </w:rPr>
        <w:t>Indeed, i</w:t>
      </w:r>
      <w:r w:rsidRPr="00E6060C">
        <w:rPr>
          <w:rFonts w:ascii="Calibri" w:eastAsia="Calibri" w:hAnsi="Calibri" w:cs="Times New Roman"/>
        </w:rPr>
        <w:t>nformal anecdotes, hospital wide change initiatives, the general climate of the hospital</w:t>
      </w:r>
      <w:r w:rsidR="00945CC5">
        <w:rPr>
          <w:rFonts w:ascii="Calibri" w:eastAsia="Calibri" w:hAnsi="Calibri" w:cs="Times New Roman"/>
        </w:rPr>
        <w:t>,</w:t>
      </w:r>
      <w:r w:rsidRPr="00E6060C">
        <w:rPr>
          <w:rFonts w:ascii="Calibri" w:eastAsia="Calibri" w:hAnsi="Calibri" w:cs="Times New Roman"/>
        </w:rPr>
        <w:t xml:space="preserve"> and media intere</w:t>
      </w:r>
      <w:r w:rsidR="009F571F">
        <w:rPr>
          <w:rFonts w:ascii="Calibri" w:eastAsia="Calibri" w:hAnsi="Calibri" w:cs="Times New Roman"/>
        </w:rPr>
        <w:t xml:space="preserve">st in standards of care </w:t>
      </w:r>
      <w:r w:rsidRPr="00E6060C">
        <w:rPr>
          <w:rFonts w:ascii="Calibri" w:eastAsia="Calibri" w:hAnsi="Calibri" w:cs="Times New Roman"/>
        </w:rPr>
        <w:t>all serv</w:t>
      </w:r>
      <w:r w:rsidR="00077BBF">
        <w:rPr>
          <w:rFonts w:ascii="Calibri" w:eastAsia="Calibri" w:hAnsi="Calibri" w:cs="Times New Roman"/>
        </w:rPr>
        <w:t>ed</w:t>
      </w:r>
      <w:r w:rsidRPr="00E6060C">
        <w:rPr>
          <w:rFonts w:ascii="Calibri" w:eastAsia="Calibri" w:hAnsi="Calibri" w:cs="Times New Roman"/>
        </w:rPr>
        <w:t xml:space="preserve"> to accentuate the diffic</w:t>
      </w:r>
      <w:r w:rsidR="009F571F">
        <w:rPr>
          <w:rFonts w:ascii="Calibri" w:eastAsia="Calibri" w:hAnsi="Calibri" w:cs="Times New Roman"/>
        </w:rPr>
        <w:t xml:space="preserve">ulties and challenges involved </w:t>
      </w:r>
      <w:r w:rsidR="00077BBF">
        <w:rPr>
          <w:rFonts w:ascii="Calibri" w:eastAsia="Calibri" w:hAnsi="Calibri" w:cs="Times New Roman"/>
        </w:rPr>
        <w:t>in</w:t>
      </w:r>
      <w:r w:rsidRPr="00E6060C">
        <w:rPr>
          <w:rFonts w:ascii="Calibri" w:eastAsia="Calibri" w:hAnsi="Calibri" w:cs="Times New Roman"/>
        </w:rPr>
        <w:t xml:space="preserve"> organisational intervention research</w:t>
      </w:r>
      <w:r w:rsidR="00077BBF">
        <w:rPr>
          <w:rFonts w:ascii="Calibri" w:eastAsia="Calibri" w:hAnsi="Calibri" w:cs="Times New Roman"/>
        </w:rPr>
        <w:t xml:space="preserve"> in general</w:t>
      </w:r>
      <w:r w:rsidRPr="00E6060C">
        <w:rPr>
          <w:rFonts w:ascii="Calibri" w:eastAsia="Calibri" w:hAnsi="Calibri" w:cs="Times New Roman"/>
        </w:rPr>
        <w:t xml:space="preserve">. This research supports a stream of research advocating the use of flexible designs, process evaluations, and gaining the buy-in of senior managers and employees (e.g. Briner &amp; Walshe, 2015; Nielsen, 2013; Nielsen et al., 2007; Nielsen, Randall et al., 2010; Nielsen, Taris et al., 2010). </w:t>
      </w:r>
    </w:p>
    <w:p w14:paraId="75CE9D44" w14:textId="77777777" w:rsidR="00E6060C" w:rsidRPr="00E6060C" w:rsidRDefault="00E6060C" w:rsidP="00E6060C">
      <w:pPr>
        <w:spacing w:after="200" w:line="360" w:lineRule="auto"/>
        <w:contextualSpacing/>
        <w:rPr>
          <w:rFonts w:ascii="Calibri" w:eastAsia="Calibri" w:hAnsi="Calibri" w:cs="Times New Roman"/>
        </w:rPr>
      </w:pPr>
    </w:p>
    <w:p w14:paraId="127427ED" w14:textId="0537F72C" w:rsidR="00E6060C" w:rsidRPr="00E6060C" w:rsidRDefault="00E6060C" w:rsidP="00E6060C">
      <w:pPr>
        <w:spacing w:after="200" w:line="360" w:lineRule="auto"/>
        <w:contextualSpacing/>
        <w:rPr>
          <w:rFonts w:ascii="Calibri" w:eastAsia="Calibri" w:hAnsi="Calibri" w:cs="Times New Roman"/>
        </w:rPr>
      </w:pPr>
      <w:r w:rsidRPr="00E6060C">
        <w:rPr>
          <w:rFonts w:ascii="Calibri" w:eastAsia="Calibri" w:hAnsi="Calibri" w:cs="Times New Roman"/>
        </w:rPr>
        <w:t xml:space="preserve">The results from the mediation analyses revealed that the three work-related needs, autonomy, competence and relatedness, mediated between social support and influence in decision-making and work engagement, and that autonomy and competence mediated between resources and demands and work engagement. This provides important incremental support for the </w:t>
      </w:r>
      <w:r w:rsidR="00A43B59">
        <w:rPr>
          <w:rFonts w:ascii="Calibri" w:eastAsia="Calibri" w:hAnsi="Calibri" w:cs="Times New Roman"/>
        </w:rPr>
        <w:t>Job Demands-</w:t>
      </w:r>
      <w:r w:rsidR="00A43B59">
        <w:rPr>
          <w:rFonts w:ascii="Calibri" w:eastAsia="Calibri" w:hAnsi="Calibri" w:cs="Times New Roman"/>
        </w:rPr>
        <w:lastRenderedPageBreak/>
        <w:t>Resources</w:t>
      </w:r>
      <w:r w:rsidR="00945CC5">
        <w:rPr>
          <w:rFonts w:ascii="Calibri" w:eastAsia="Calibri" w:hAnsi="Calibri" w:cs="Times New Roman"/>
        </w:rPr>
        <w:t xml:space="preserve"> model and </w:t>
      </w:r>
      <w:r w:rsidR="00C17CB1">
        <w:rPr>
          <w:rFonts w:ascii="Calibri" w:eastAsia="Calibri" w:hAnsi="Calibri" w:cs="Times New Roman"/>
        </w:rPr>
        <w:t>Self-Determination Theory</w:t>
      </w:r>
      <w:r w:rsidRPr="00E6060C">
        <w:rPr>
          <w:rFonts w:ascii="Calibri" w:eastAsia="Calibri" w:hAnsi="Calibri" w:cs="Times New Roman"/>
        </w:rPr>
        <w:t xml:space="preserve"> as an explanatory underlying mechanism. In addition, the mediation relationships between influence in decision-making, needs, and work engagement had not previously been tested, hence this study contributes substantially to the evidence base. The practical significance of these results for work engagement intervention research is of particular importance, as they suggest that interventions which serve to satisfy individuals’ needs for autonomy, competence, and relatedness by increasing job resources are most likely to be effective. This should be considered in the design of future interventions, in addition to the recommendations outlined in the previous paragraph. </w:t>
      </w:r>
    </w:p>
    <w:p w14:paraId="0D2C6A12" w14:textId="77777777" w:rsidR="00E6060C" w:rsidRPr="00E6060C" w:rsidRDefault="00E6060C" w:rsidP="00E6060C">
      <w:pPr>
        <w:spacing w:after="200" w:line="360" w:lineRule="auto"/>
        <w:contextualSpacing/>
        <w:rPr>
          <w:rFonts w:ascii="Calibri" w:eastAsia="Calibri" w:hAnsi="Calibri" w:cs="Times New Roman"/>
        </w:rPr>
      </w:pPr>
    </w:p>
    <w:p w14:paraId="08041286" w14:textId="0C360995" w:rsidR="00D35F71" w:rsidRDefault="00E6060C" w:rsidP="00D35F71">
      <w:pPr>
        <w:spacing w:after="200" w:line="360" w:lineRule="auto"/>
        <w:contextualSpacing/>
        <w:rPr>
          <w:rFonts w:ascii="Calibri" w:eastAsia="Calibri" w:hAnsi="Calibri" w:cs="Times New Roman"/>
        </w:rPr>
      </w:pPr>
      <w:r w:rsidRPr="00E6060C">
        <w:rPr>
          <w:rFonts w:ascii="Calibri" w:eastAsia="Calibri" w:hAnsi="Calibri" w:cs="Times New Roman"/>
        </w:rPr>
        <w:t>Viewed as a whole, Study 1 and Study 2 offer substantive and important contributions for theory and future research and practice. Study 1 is the first systematic review and meta-analysis of work engagement interventions, offering a novel taxonomy for organising future streams of research as well as providing the first indication that such interventions can be effective. The value of including process evaluations alongside statistical evaluations for exploring how and why interventions work was evident, in addition to the need for assessing organisation and participant readiness for change, gaining strong support from senior managers, and close researcher-partner organisation relationships generally. Study 2 reiterated these findings and offered a novel insight into the first participatory action group intervention to be conducted with nursing staff to increase work engagement. No other intervention adopting this method with this population was identified by the systematic review, and the results are inconclusive as to whether or not the intervention per se could be effective in the absence of the challenges faced during this study. The satisfaction of core work-related needs offers a powerful explanatory mechanism for explaining how interventions to increase work engagement could work, and the mediation results observed in Study 2 support this theory. It is hoped that the findings of these studies</w:t>
      </w:r>
      <w:r w:rsidR="00945CC5">
        <w:rPr>
          <w:rFonts w:ascii="Calibri" w:eastAsia="Calibri" w:hAnsi="Calibri" w:cs="Times New Roman"/>
        </w:rPr>
        <w:t>,</w:t>
      </w:r>
      <w:r w:rsidRPr="00E6060C">
        <w:rPr>
          <w:rFonts w:ascii="Calibri" w:eastAsia="Calibri" w:hAnsi="Calibri" w:cs="Times New Roman"/>
        </w:rPr>
        <w:t xml:space="preserve"> and the recommendations for research and practice provided </w:t>
      </w:r>
      <w:r w:rsidR="00D35F71">
        <w:rPr>
          <w:rFonts w:ascii="Calibri" w:eastAsia="Calibri" w:hAnsi="Calibri" w:cs="Times New Roman"/>
        </w:rPr>
        <w:t>in</w:t>
      </w:r>
      <w:r w:rsidRPr="00E6060C">
        <w:rPr>
          <w:rFonts w:ascii="Calibri" w:eastAsia="Calibri" w:hAnsi="Calibri" w:cs="Times New Roman"/>
        </w:rPr>
        <w:t xml:space="preserve"> this chapter</w:t>
      </w:r>
      <w:r w:rsidR="00945CC5">
        <w:rPr>
          <w:rFonts w:ascii="Calibri" w:eastAsia="Calibri" w:hAnsi="Calibri" w:cs="Times New Roman"/>
        </w:rPr>
        <w:t>,</w:t>
      </w:r>
      <w:r w:rsidRPr="00E6060C">
        <w:rPr>
          <w:rFonts w:ascii="Calibri" w:eastAsia="Calibri" w:hAnsi="Calibri" w:cs="Times New Roman"/>
        </w:rPr>
        <w:t xml:space="preserve"> will be adopted by future researchers and practitioners to effectively and efficiently progress the field </w:t>
      </w:r>
      <w:r w:rsidR="005077F1">
        <w:rPr>
          <w:rFonts w:ascii="Calibri" w:eastAsia="Calibri" w:hAnsi="Calibri" w:cs="Times New Roman"/>
        </w:rPr>
        <w:t>of work engagement.</w:t>
      </w:r>
      <w:r w:rsidR="00D35F71">
        <w:rPr>
          <w:rFonts w:ascii="Calibri" w:eastAsia="Calibri" w:hAnsi="Calibri" w:cs="Times New Roman"/>
        </w:rPr>
        <w:t xml:space="preserve"> </w:t>
      </w:r>
    </w:p>
    <w:p w14:paraId="7E126F5C" w14:textId="71351CC1" w:rsidR="005077F1" w:rsidRDefault="005077F1" w:rsidP="00E6060C">
      <w:pPr>
        <w:spacing w:after="200" w:line="360" w:lineRule="auto"/>
        <w:contextualSpacing/>
        <w:rPr>
          <w:rFonts w:ascii="Calibri" w:eastAsia="Calibri" w:hAnsi="Calibri" w:cs="Times New Roman"/>
        </w:rPr>
        <w:sectPr w:rsidR="005077F1">
          <w:pgSz w:w="11906" w:h="16838"/>
          <w:pgMar w:top="1440" w:right="1440" w:bottom="1440" w:left="1440" w:header="708" w:footer="708" w:gutter="0"/>
          <w:cols w:space="708"/>
          <w:docGrid w:linePitch="360"/>
        </w:sectPr>
      </w:pPr>
    </w:p>
    <w:p w14:paraId="320654D3" w14:textId="5C29666F" w:rsidR="00E6060C" w:rsidRPr="00732887" w:rsidRDefault="00E6060C" w:rsidP="00945CC5">
      <w:pPr>
        <w:pStyle w:val="Heading1nonumbers"/>
        <w:spacing w:line="360" w:lineRule="auto"/>
        <w:contextualSpacing/>
      </w:pPr>
      <w:bookmarkStart w:id="550" w:name="_Toc468286050"/>
      <w:r w:rsidRPr="00732887">
        <w:lastRenderedPageBreak/>
        <w:t>References</w:t>
      </w:r>
      <w:bookmarkEnd w:id="550"/>
    </w:p>
    <w:p w14:paraId="37F0EE8E" w14:textId="77777777" w:rsidR="00E6060C" w:rsidRPr="00E6060C" w:rsidRDefault="00E6060C" w:rsidP="00945CC5">
      <w:pPr>
        <w:spacing w:line="360" w:lineRule="auto"/>
        <w:contextualSpacing/>
        <w:rPr>
          <w:rFonts w:ascii="Calibri" w:eastAsia="Calibri" w:hAnsi="Calibri" w:cs="Times New Roman"/>
        </w:rPr>
      </w:pPr>
    </w:p>
    <w:p w14:paraId="30FC9780" w14:textId="77777777" w:rsidR="00E6060C" w:rsidRPr="00E6060C" w:rsidRDefault="00E6060C" w:rsidP="00945CC5">
      <w:pPr>
        <w:spacing w:line="360" w:lineRule="auto"/>
        <w:contextualSpacing/>
        <w:rPr>
          <w:rFonts w:ascii="Calibri" w:eastAsia="Calibri" w:hAnsi="Calibri" w:cs="Times New Roman"/>
        </w:rPr>
      </w:pPr>
      <w:r w:rsidRPr="00E6060C">
        <w:rPr>
          <w:rFonts w:ascii="Calibri" w:eastAsia="Calibri" w:hAnsi="Calibri" w:cs="Times New Roman"/>
        </w:rPr>
        <w:t>*Studies included in the systematic review (</w:t>
      </w:r>
      <w:r w:rsidRPr="00E6060C">
        <w:rPr>
          <w:rFonts w:ascii="Calibri" w:eastAsia="Calibri" w:hAnsi="Calibri" w:cs="Times New Roman"/>
          <w:i/>
        </w:rPr>
        <w:t>K</w:t>
      </w:r>
      <w:r w:rsidRPr="00E6060C">
        <w:rPr>
          <w:rFonts w:ascii="Calibri" w:eastAsia="Calibri" w:hAnsi="Calibri" w:cs="Times New Roman"/>
        </w:rPr>
        <w:t>=33)</w:t>
      </w:r>
    </w:p>
    <w:p w14:paraId="654CE223" w14:textId="77777777" w:rsidR="00E6060C" w:rsidRPr="00E6060C" w:rsidRDefault="00E6060C" w:rsidP="00945CC5">
      <w:pPr>
        <w:spacing w:line="360" w:lineRule="auto"/>
        <w:contextualSpacing/>
        <w:rPr>
          <w:rFonts w:ascii="Calibri" w:eastAsia="Calibri" w:hAnsi="Calibri" w:cs="Times New Roman"/>
        </w:rPr>
      </w:pPr>
      <w:r w:rsidRPr="00E6060C">
        <w:rPr>
          <w:rFonts w:ascii="Calibri" w:eastAsia="Calibri" w:hAnsi="Calibri" w:cs="Times New Roman"/>
        </w:rPr>
        <w:t xml:space="preserve">**Studies included in the systematic review </w:t>
      </w:r>
      <w:r w:rsidRPr="00E6060C">
        <w:rPr>
          <w:rFonts w:ascii="Calibri" w:eastAsia="Calibri" w:hAnsi="Calibri" w:cs="Times New Roman"/>
          <w:i/>
        </w:rPr>
        <w:t>and</w:t>
      </w:r>
      <w:r w:rsidRPr="00E6060C">
        <w:rPr>
          <w:rFonts w:ascii="Calibri" w:eastAsia="Calibri" w:hAnsi="Calibri" w:cs="Times New Roman"/>
        </w:rPr>
        <w:t xml:space="preserve"> the meta-analyses (</w:t>
      </w:r>
      <w:r w:rsidRPr="00E6060C">
        <w:rPr>
          <w:rFonts w:ascii="Calibri" w:eastAsia="Calibri" w:hAnsi="Calibri" w:cs="Times New Roman"/>
          <w:i/>
        </w:rPr>
        <w:t>k</w:t>
      </w:r>
      <w:r w:rsidRPr="00E6060C">
        <w:rPr>
          <w:rFonts w:ascii="Calibri" w:eastAsia="Calibri" w:hAnsi="Calibri" w:cs="Times New Roman"/>
        </w:rPr>
        <w:t>=20)</w:t>
      </w:r>
    </w:p>
    <w:p w14:paraId="518C5459" w14:textId="37965173" w:rsidR="00E6060C" w:rsidRDefault="00E6060C" w:rsidP="00945CC5">
      <w:pPr>
        <w:spacing w:line="360" w:lineRule="auto"/>
        <w:contextualSpacing/>
        <w:rPr>
          <w:rFonts w:ascii="Calibri" w:eastAsia="Calibri" w:hAnsi="Calibri" w:cs="Times New Roman"/>
        </w:rPr>
      </w:pPr>
    </w:p>
    <w:p w14:paraId="5FD6F5F1" w14:textId="34FB1207" w:rsidR="009070C1" w:rsidRDefault="009070C1" w:rsidP="00945CC5">
      <w:pPr>
        <w:spacing w:line="360" w:lineRule="auto"/>
        <w:ind w:left="426" w:hanging="426"/>
        <w:contextualSpacing/>
        <w:rPr>
          <w:rFonts w:ascii="Calibri" w:eastAsia="Calibri" w:hAnsi="Calibri" w:cs="Times New Roman"/>
          <w:lang w:val="sv-SE"/>
        </w:rPr>
      </w:pPr>
      <w:r>
        <w:rPr>
          <w:rFonts w:ascii="Calibri" w:eastAsia="Calibri" w:hAnsi="Calibri" w:cs="Times New Roman"/>
          <w:lang w:val="sv-SE"/>
        </w:rPr>
        <w:t xml:space="preserve">Age UK (2014). </w:t>
      </w:r>
      <w:r>
        <w:rPr>
          <w:rFonts w:ascii="Calibri" w:eastAsia="Calibri" w:hAnsi="Calibri" w:cs="Times New Roman"/>
          <w:i/>
          <w:lang w:val="sv-SE"/>
        </w:rPr>
        <w:t xml:space="preserve">Care in crisis. </w:t>
      </w:r>
      <w:r>
        <w:rPr>
          <w:rFonts w:ascii="Calibri" w:eastAsia="Calibri" w:hAnsi="Calibri" w:cs="Times New Roman"/>
          <w:lang w:val="sv-SE"/>
        </w:rPr>
        <w:t>[Factsheet].</w:t>
      </w:r>
      <w:r w:rsidR="00986D2F">
        <w:rPr>
          <w:rFonts w:ascii="Calibri" w:eastAsia="Calibri" w:hAnsi="Calibri" w:cs="Times New Roman"/>
          <w:lang w:val="sv-SE"/>
        </w:rPr>
        <w:t xml:space="preserve"> Retrieved from </w:t>
      </w:r>
      <w:r w:rsidR="00986D2F" w:rsidRPr="00986D2F">
        <w:rPr>
          <w:rFonts w:ascii="Calibri" w:eastAsia="Calibri" w:hAnsi="Calibri" w:cs="Times New Roman"/>
          <w:lang w:val="sv-SE"/>
        </w:rPr>
        <w:t>http://www.ageuk.org.uk/professional-resources-home/research/reports/care-and-support/care-in-crisis-2014/</w:t>
      </w:r>
    </w:p>
    <w:p w14:paraId="1ECDD051" w14:textId="3B1B4665" w:rsidR="009070C1" w:rsidRPr="00397E67" w:rsidRDefault="009070C1" w:rsidP="00E6060C">
      <w:pPr>
        <w:spacing w:line="360" w:lineRule="auto"/>
        <w:ind w:left="426" w:hanging="426"/>
        <w:contextualSpacing/>
        <w:rPr>
          <w:rFonts w:ascii="Calibri" w:eastAsia="Calibri" w:hAnsi="Calibri" w:cs="Times New Roman"/>
          <w:lang w:val="sv-SE"/>
        </w:rPr>
      </w:pPr>
      <w:r>
        <w:rPr>
          <w:rFonts w:ascii="Calibri" w:eastAsia="Calibri" w:hAnsi="Calibri" w:cs="Times New Roman"/>
          <w:lang w:val="sv-SE"/>
        </w:rPr>
        <w:t xml:space="preserve">Age UK (2016). </w:t>
      </w:r>
      <w:r>
        <w:rPr>
          <w:rFonts w:ascii="Calibri" w:eastAsia="Calibri" w:hAnsi="Calibri" w:cs="Times New Roman"/>
          <w:i/>
          <w:lang w:val="sv-SE"/>
        </w:rPr>
        <w:t xml:space="preserve">Later life in the United Kingdom. </w:t>
      </w:r>
      <w:r>
        <w:rPr>
          <w:rFonts w:ascii="Calibri" w:eastAsia="Calibri" w:hAnsi="Calibri" w:cs="Times New Roman"/>
          <w:lang w:val="sv-SE"/>
        </w:rPr>
        <w:t xml:space="preserve">[Factsheet]. </w:t>
      </w:r>
      <w:r w:rsidR="00746ADD">
        <w:rPr>
          <w:rFonts w:ascii="Calibri" w:eastAsia="Calibri" w:hAnsi="Calibri" w:cs="Times New Roman"/>
          <w:lang w:val="sv-SE"/>
        </w:rPr>
        <w:t xml:space="preserve">Retrieved from </w:t>
      </w:r>
      <w:r w:rsidR="00746ADD" w:rsidRPr="00746ADD">
        <w:rPr>
          <w:rFonts w:ascii="Calibri" w:eastAsia="Calibri" w:hAnsi="Calibri" w:cs="Times New Roman"/>
          <w:lang w:val="sv-SE"/>
        </w:rPr>
        <w:t>http://www.ageuk.org.uk/professional-resources-home/research/reports/care-and-support/</w:t>
      </w:r>
    </w:p>
    <w:p w14:paraId="0F8CA8EF" w14:textId="292580E0"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sv-SE"/>
        </w:rPr>
        <w:t xml:space="preserve">**Aikens, K. A., Astin, J., Pelletier, K. R., Levanovich, K., Baase, C. M., Park, Y. Y., &amp; Bodnar, C. M. (2014). </w:t>
      </w:r>
      <w:r w:rsidRPr="00E6060C">
        <w:rPr>
          <w:rFonts w:ascii="Calibri" w:eastAsia="Calibri" w:hAnsi="Calibri" w:cs="Times New Roman"/>
        </w:rPr>
        <w:t xml:space="preserve">Mindfulness Goes to Work Impact of an Online Workplace Intervention. </w:t>
      </w:r>
      <w:r w:rsidRPr="00E6060C">
        <w:rPr>
          <w:rFonts w:ascii="Calibri" w:eastAsia="Calibri" w:hAnsi="Calibri" w:cs="Times New Roman"/>
          <w:i/>
          <w:iCs/>
        </w:rPr>
        <w:t>Journal of Occupational and Environmental Medicine, 56</w:t>
      </w:r>
      <w:r w:rsidRPr="00E6060C">
        <w:rPr>
          <w:rFonts w:ascii="Calibri" w:eastAsia="Calibri" w:hAnsi="Calibri" w:cs="Times New Roman"/>
        </w:rPr>
        <w:t>(7), 721-731. doi: 10.1097/jom.0000000000000209</w:t>
      </w:r>
    </w:p>
    <w:p w14:paraId="2239A10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Ajzen, I. (2005). </w:t>
      </w:r>
      <w:r w:rsidRPr="00E6060C">
        <w:rPr>
          <w:rFonts w:ascii="Calibri" w:eastAsia="Calibri" w:hAnsi="Calibri" w:cs="Times New Roman"/>
          <w:i/>
          <w:iCs/>
          <w:lang w:eastAsia="en-GB"/>
        </w:rPr>
        <w:t>Attitudes, personality, and behavior</w:t>
      </w:r>
      <w:r w:rsidRPr="00E6060C">
        <w:rPr>
          <w:rFonts w:ascii="Calibri" w:eastAsia="Calibri" w:hAnsi="Calibri" w:cs="Times New Roman"/>
          <w:lang w:eastAsia="en-GB"/>
        </w:rPr>
        <w:t>: McGraw-Hill International.</w:t>
      </w:r>
    </w:p>
    <w:p w14:paraId="17E473D3"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Ambrose, M. L., &amp; Kulik, C. T. (1999). Old friends, new faces: Motivation research in the 1990s. </w:t>
      </w:r>
      <w:r w:rsidRPr="00E6060C">
        <w:rPr>
          <w:rFonts w:ascii="Calibri" w:eastAsia="Calibri" w:hAnsi="Calibri" w:cs="Times New Roman"/>
          <w:i/>
          <w:iCs/>
          <w:lang w:eastAsia="en-GB"/>
        </w:rPr>
        <w:t>Journal of Management, 25</w:t>
      </w:r>
      <w:r w:rsidRPr="00E6060C">
        <w:rPr>
          <w:rFonts w:ascii="Calibri" w:eastAsia="Calibri" w:hAnsi="Calibri" w:cs="Times New Roman"/>
          <w:lang w:eastAsia="en-GB"/>
        </w:rPr>
        <w:t>(3), 231-292. doi: 10.1016/s0149-2063(99)00003-3</w:t>
      </w:r>
    </w:p>
    <w:p w14:paraId="323C220C"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Albrecht, S. L. (2010). Handbook of Employee Engagement: Perspectives, Issues, Research and Practice. Edward Elgar Publishing. </w:t>
      </w:r>
    </w:p>
    <w:p w14:paraId="47F2E945" w14:textId="2BFCFDED"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**Angelo, R. P., &amp; Chambel, M. J. (2013). An intervention with firefighters to promote psychological occupa</w:t>
      </w:r>
      <w:r w:rsidR="00E850E2">
        <w:rPr>
          <w:rFonts w:ascii="Calibri" w:eastAsia="Calibri" w:hAnsi="Calibri" w:cs="Times New Roman"/>
        </w:rPr>
        <w:t>tional health according to the job demands-r</w:t>
      </w:r>
      <w:r w:rsidRPr="00E6060C">
        <w:rPr>
          <w:rFonts w:ascii="Calibri" w:eastAsia="Calibri" w:hAnsi="Calibri" w:cs="Times New Roman"/>
        </w:rPr>
        <w:t xml:space="preserve">esources Model. </w:t>
      </w:r>
      <w:r w:rsidRPr="00E6060C">
        <w:rPr>
          <w:rFonts w:ascii="Calibri" w:eastAsia="Calibri" w:hAnsi="Calibri" w:cs="Times New Roman"/>
          <w:i/>
          <w:iCs/>
        </w:rPr>
        <w:t>Revista De Psicologia Social, 28</w:t>
      </w:r>
      <w:r w:rsidRPr="00E6060C">
        <w:rPr>
          <w:rFonts w:ascii="Calibri" w:eastAsia="Calibri" w:hAnsi="Calibri" w:cs="Times New Roman"/>
        </w:rPr>
        <w:t>(2), 197-210.</w:t>
      </w:r>
    </w:p>
    <w:p w14:paraId="4CEBDDC6"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Avey, J. B., Reichard, R. J., Luthans, F., &amp; Mhatre, K. H. (2011). Meta-analysis of the impact of positive psychological capital on employee attitudes, behaviors, and performance. </w:t>
      </w:r>
      <w:r w:rsidRPr="00E6060C">
        <w:rPr>
          <w:rFonts w:ascii="Calibri" w:eastAsia="Calibri" w:hAnsi="Calibri" w:cs="Times New Roman"/>
          <w:i/>
          <w:iCs/>
        </w:rPr>
        <w:t>Human Resource Development Quarterly, 22</w:t>
      </w:r>
      <w:r w:rsidRPr="00E6060C">
        <w:rPr>
          <w:rFonts w:ascii="Calibri" w:eastAsia="Calibri" w:hAnsi="Calibri" w:cs="Times New Roman"/>
        </w:rPr>
        <w:t>(2), 127-152. doi: 10.1002/hrdq.20070</w:t>
      </w:r>
    </w:p>
    <w:p w14:paraId="0FA7C961" w14:textId="77777777" w:rsidR="00E6060C" w:rsidRPr="00E6060C" w:rsidRDefault="00E6060C" w:rsidP="00E6060C">
      <w:pPr>
        <w:spacing w:line="360" w:lineRule="auto"/>
        <w:ind w:left="426" w:hanging="426"/>
        <w:contextualSpacing/>
        <w:rPr>
          <w:rFonts w:ascii="Calibri" w:eastAsia="Calibri" w:hAnsi="Calibri" w:cs="Times New Roman"/>
          <w:lang w:val="fr-FR" w:eastAsia="en-GB"/>
        </w:rPr>
      </w:pPr>
      <w:r w:rsidRPr="00E6060C">
        <w:rPr>
          <w:rFonts w:ascii="Calibri" w:eastAsia="Calibri" w:hAnsi="Calibri" w:cs="Times New Roman"/>
          <w:lang w:eastAsia="en-GB"/>
        </w:rPr>
        <w:t xml:space="preserve">Bakker, A. B. (2011). An evidence-based model of work engagement. </w:t>
      </w:r>
      <w:r w:rsidRPr="00E6060C">
        <w:rPr>
          <w:rFonts w:ascii="Calibri" w:eastAsia="Calibri" w:hAnsi="Calibri" w:cs="Times New Roman"/>
          <w:i/>
          <w:iCs/>
          <w:lang w:val="fr-FR" w:eastAsia="en-GB"/>
        </w:rPr>
        <w:t>Current Directions in Psychological Science, 20</w:t>
      </w:r>
      <w:r w:rsidRPr="00E6060C">
        <w:rPr>
          <w:rFonts w:ascii="Calibri" w:eastAsia="Calibri" w:hAnsi="Calibri" w:cs="Times New Roman"/>
          <w:lang w:val="fr-FR" w:eastAsia="en-GB"/>
        </w:rPr>
        <w:t>(4), 265-269. doi: 10.1177/0963721411414534</w:t>
      </w:r>
    </w:p>
    <w:p w14:paraId="32E5368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fr-FR" w:eastAsia="en-GB"/>
        </w:rPr>
        <w:t xml:space="preserve">Bakker, A. B., &amp; Demerouti, E. (2007). </w:t>
      </w:r>
      <w:r w:rsidRPr="00E6060C">
        <w:rPr>
          <w:rFonts w:ascii="Calibri" w:eastAsia="Calibri" w:hAnsi="Calibri" w:cs="Times New Roman"/>
          <w:lang w:eastAsia="en-GB"/>
        </w:rPr>
        <w:t xml:space="preserve">The job demands-resources model: State of the art. </w:t>
      </w:r>
      <w:r w:rsidRPr="00E6060C">
        <w:rPr>
          <w:rFonts w:ascii="Calibri" w:eastAsia="Calibri" w:hAnsi="Calibri" w:cs="Times New Roman"/>
          <w:i/>
          <w:iCs/>
          <w:lang w:eastAsia="en-GB"/>
        </w:rPr>
        <w:t>Journal of Managerial Psychology, 22</w:t>
      </w:r>
      <w:r w:rsidRPr="00E6060C">
        <w:rPr>
          <w:rFonts w:ascii="Calibri" w:eastAsia="Calibri" w:hAnsi="Calibri" w:cs="Times New Roman"/>
          <w:lang w:eastAsia="en-GB"/>
        </w:rPr>
        <w:t xml:space="preserve">(3), 309-328. </w:t>
      </w:r>
    </w:p>
    <w:p w14:paraId="1E6A8E6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Bakker, A. B., &amp; Demerouti, E. (2008). </w:t>
      </w:r>
      <w:r w:rsidRPr="00E6060C">
        <w:rPr>
          <w:rFonts w:ascii="Calibri" w:eastAsia="Calibri" w:hAnsi="Calibri" w:cs="Times New Roman"/>
          <w:lang w:eastAsia="en-GB"/>
        </w:rPr>
        <w:t xml:space="preserve">Towards a model of work engagement. </w:t>
      </w:r>
      <w:r w:rsidRPr="00E6060C">
        <w:rPr>
          <w:rFonts w:ascii="Calibri" w:eastAsia="Calibri" w:hAnsi="Calibri" w:cs="Times New Roman"/>
          <w:i/>
          <w:iCs/>
          <w:lang w:eastAsia="en-GB"/>
        </w:rPr>
        <w:t>Career Development International, 13</w:t>
      </w:r>
      <w:r w:rsidRPr="00E6060C">
        <w:rPr>
          <w:rFonts w:ascii="Calibri" w:eastAsia="Calibri" w:hAnsi="Calibri" w:cs="Times New Roman"/>
          <w:lang w:eastAsia="en-GB"/>
        </w:rPr>
        <w:t xml:space="preserve">(3), 209-223. </w:t>
      </w:r>
    </w:p>
    <w:p w14:paraId="78E69ED8" w14:textId="44D3354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Bakker, A. B., &amp; Demerouti, E. (2014). </w:t>
      </w:r>
      <w:r w:rsidR="00E850E2">
        <w:rPr>
          <w:rFonts w:ascii="Calibri" w:eastAsia="Calibri" w:hAnsi="Calibri" w:cs="Times New Roman"/>
          <w:lang w:eastAsia="en-GB"/>
        </w:rPr>
        <w:t>Job demands-r</w:t>
      </w:r>
      <w:r w:rsidR="00A43B59">
        <w:rPr>
          <w:rFonts w:ascii="Calibri" w:eastAsia="Calibri" w:hAnsi="Calibri" w:cs="Times New Roman"/>
          <w:lang w:eastAsia="en-GB"/>
        </w:rPr>
        <w:t>esources</w:t>
      </w:r>
      <w:r w:rsidRPr="00E6060C">
        <w:rPr>
          <w:rFonts w:ascii="Calibri" w:eastAsia="Calibri" w:hAnsi="Calibri" w:cs="Times New Roman"/>
          <w:lang w:eastAsia="en-GB"/>
        </w:rPr>
        <w:t xml:space="preserve"> theory. In Chen, P. Y., &amp; Cooper, C. L. (Eds). </w:t>
      </w:r>
      <w:r w:rsidR="001D6140">
        <w:rPr>
          <w:rFonts w:ascii="Calibri" w:eastAsia="Calibri" w:hAnsi="Calibri" w:cs="Times New Roman"/>
          <w:i/>
          <w:iCs/>
          <w:lang w:eastAsia="en-GB"/>
        </w:rPr>
        <w:t>Well-being</w:t>
      </w:r>
      <w:r w:rsidRPr="00E6060C">
        <w:rPr>
          <w:rFonts w:ascii="Calibri" w:eastAsia="Calibri" w:hAnsi="Calibri" w:cs="Times New Roman"/>
          <w:i/>
          <w:iCs/>
          <w:lang w:eastAsia="en-GB"/>
        </w:rPr>
        <w:t xml:space="preserve">: A Complete Reference Guide, Work and </w:t>
      </w:r>
      <w:r w:rsidR="001D6140">
        <w:rPr>
          <w:rFonts w:ascii="Calibri" w:eastAsia="Calibri" w:hAnsi="Calibri" w:cs="Times New Roman"/>
          <w:i/>
          <w:iCs/>
          <w:lang w:eastAsia="en-GB"/>
        </w:rPr>
        <w:t>Well-being</w:t>
      </w:r>
      <w:r w:rsidRPr="00E6060C">
        <w:rPr>
          <w:rFonts w:ascii="Calibri" w:eastAsia="Calibri" w:hAnsi="Calibri" w:cs="Times New Roman"/>
          <w:i/>
          <w:iCs/>
          <w:lang w:eastAsia="en-GB"/>
        </w:rPr>
        <w:t xml:space="preserve">, (Vol. </w:t>
      </w:r>
      <w:r w:rsidRPr="00E6060C">
        <w:rPr>
          <w:rFonts w:ascii="Calibri" w:eastAsia="Calibri" w:hAnsi="Calibri" w:cs="Times New Roman"/>
          <w:i/>
          <w:lang w:eastAsia="en-GB"/>
        </w:rPr>
        <w:t xml:space="preserve">3), </w:t>
      </w:r>
      <w:r w:rsidRPr="00E6060C">
        <w:rPr>
          <w:rFonts w:ascii="Calibri" w:eastAsia="Calibri" w:hAnsi="Calibri" w:cs="Times New Roman"/>
          <w:lang w:eastAsia="en-GB"/>
        </w:rPr>
        <w:t>Chichester: John Wiley &amp; Sons.</w:t>
      </w:r>
    </w:p>
    <w:p w14:paraId="4268CDF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lastRenderedPageBreak/>
        <w:t xml:space="preserve">Bakker, A. B., Demerouti, E., &amp; Euwema, M. C. (2005). </w:t>
      </w:r>
      <w:r w:rsidRPr="00E6060C">
        <w:rPr>
          <w:rFonts w:ascii="Calibri" w:eastAsia="Calibri" w:hAnsi="Calibri" w:cs="Times New Roman"/>
          <w:lang w:eastAsia="en-GB"/>
        </w:rPr>
        <w:t xml:space="preserve">Job resources buffer the impact of job demands on burnout. </w:t>
      </w:r>
      <w:r w:rsidRPr="00E6060C">
        <w:rPr>
          <w:rFonts w:ascii="Calibri" w:eastAsia="Calibri" w:hAnsi="Calibri" w:cs="Times New Roman"/>
          <w:i/>
          <w:iCs/>
          <w:lang w:eastAsia="en-GB"/>
        </w:rPr>
        <w:t>Journal of Occupational Health Psychology, 10</w:t>
      </w:r>
      <w:r w:rsidRPr="00E6060C">
        <w:rPr>
          <w:rFonts w:ascii="Calibri" w:eastAsia="Calibri" w:hAnsi="Calibri" w:cs="Times New Roman"/>
          <w:lang w:eastAsia="en-GB"/>
        </w:rPr>
        <w:t>(2), 170-180. doi: 10.1037/1076-8998.10.2.170</w:t>
      </w:r>
    </w:p>
    <w:p w14:paraId="49B23C32" w14:textId="48D527CC"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Bakker, A.B., Demerouti, E., &amp; Verbeke (2004).</w:t>
      </w:r>
      <w:r w:rsidRPr="00E6060C">
        <w:rPr>
          <w:rFonts w:ascii="Calibri" w:eastAsia="Calibri" w:hAnsi="Calibri" w:cs="Eurostile"/>
          <w:color w:val="231F20"/>
        </w:rPr>
        <w:t xml:space="preserve"> </w:t>
      </w:r>
      <w:r w:rsidR="00E850E2">
        <w:rPr>
          <w:rFonts w:ascii="Calibri" w:eastAsia="Calibri" w:hAnsi="Calibri" w:cs="Times New Roman"/>
          <w:lang w:eastAsia="en-GB"/>
        </w:rPr>
        <w:t>Using the job d</w:t>
      </w:r>
      <w:r w:rsidRPr="00E6060C">
        <w:rPr>
          <w:rFonts w:ascii="Calibri" w:eastAsia="Calibri" w:hAnsi="Calibri" w:cs="Times New Roman"/>
          <w:lang w:eastAsia="en-GB"/>
        </w:rPr>
        <w:t xml:space="preserve">emands-resources model to predict burnout and performance. </w:t>
      </w:r>
      <w:r w:rsidRPr="00E6060C">
        <w:rPr>
          <w:rFonts w:ascii="Calibri" w:eastAsia="Calibri" w:hAnsi="Calibri" w:cs="Times New Roman"/>
          <w:i/>
          <w:iCs/>
          <w:lang w:eastAsia="en-GB"/>
        </w:rPr>
        <w:t>Human Resource Management, 43</w:t>
      </w:r>
      <w:r w:rsidRPr="00E6060C">
        <w:rPr>
          <w:rFonts w:ascii="Calibri" w:eastAsia="Calibri" w:hAnsi="Calibri" w:cs="Times New Roman"/>
          <w:lang w:eastAsia="en-GB"/>
        </w:rPr>
        <w:t>(1), 83-104. doi: 10.1002/hrm.20004</w:t>
      </w:r>
    </w:p>
    <w:p w14:paraId="55BC1E3C"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Bakker, A. B., Hakanen, J. J., Demerouti, E., &amp; Xanthopoulou, D. (2007). Job resources boost work engagement, particularly when job demands are high. </w:t>
      </w:r>
      <w:r w:rsidRPr="00E6060C">
        <w:rPr>
          <w:rFonts w:ascii="Calibri" w:eastAsia="Calibri" w:hAnsi="Calibri" w:cs="Times New Roman"/>
          <w:i/>
          <w:iCs/>
          <w:lang w:eastAsia="en-GB"/>
        </w:rPr>
        <w:t>Journal of Educational Psychology, 99</w:t>
      </w:r>
      <w:r w:rsidRPr="00E6060C">
        <w:rPr>
          <w:rFonts w:ascii="Calibri" w:eastAsia="Calibri" w:hAnsi="Calibri" w:cs="Times New Roman"/>
          <w:lang w:eastAsia="en-GB"/>
        </w:rPr>
        <w:t>(2), 274-284. doi: 10.1037/0022-0663.99.2.274</w:t>
      </w:r>
    </w:p>
    <w:p w14:paraId="2CE0B5F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Bakker, A. B., &amp; Leiter, M. P. (2010). </w:t>
      </w:r>
      <w:r w:rsidRPr="00E6060C">
        <w:rPr>
          <w:rFonts w:ascii="Calibri" w:eastAsia="Calibri" w:hAnsi="Calibri" w:cs="Times New Roman"/>
          <w:i/>
          <w:iCs/>
          <w:lang w:eastAsia="en-GB"/>
        </w:rPr>
        <w:t>Work Engagement : A Handbook of Essential Theory and Research.</w:t>
      </w:r>
      <w:r w:rsidRPr="00E6060C">
        <w:rPr>
          <w:rFonts w:ascii="Calibri" w:eastAsia="Calibri" w:hAnsi="Calibri" w:cs="Times New Roman"/>
          <w:iCs/>
          <w:lang w:eastAsia="en-GB"/>
        </w:rPr>
        <w:t xml:space="preserve"> Hoboken: Psychology Press.</w:t>
      </w:r>
    </w:p>
    <w:p w14:paraId="43B2B51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Bakker, A. B., &amp; Sanz-Vergel, A. I. (2013). Weekly work engagement and flourishing: The role of hindrance and challenge job demands. </w:t>
      </w:r>
      <w:r w:rsidRPr="00E6060C">
        <w:rPr>
          <w:rFonts w:ascii="Calibri" w:eastAsia="Calibri" w:hAnsi="Calibri" w:cs="Times New Roman"/>
          <w:i/>
          <w:iCs/>
          <w:lang w:eastAsia="en-GB"/>
        </w:rPr>
        <w:t>Journal of Vocational Behavior, 83</w:t>
      </w:r>
      <w:r w:rsidRPr="00E6060C">
        <w:rPr>
          <w:rFonts w:ascii="Calibri" w:eastAsia="Calibri" w:hAnsi="Calibri" w:cs="Times New Roman"/>
          <w:lang w:eastAsia="en-GB"/>
        </w:rPr>
        <w:t xml:space="preserve">(3), 397-409. </w:t>
      </w:r>
    </w:p>
    <w:p w14:paraId="39D9980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Bakker, A. B., Schaufeli, W. B., Sixma, H. J., Bosveld, W., &amp; Van Dierendonck, D. (2000). </w:t>
      </w:r>
      <w:r w:rsidRPr="00E6060C">
        <w:rPr>
          <w:rFonts w:ascii="Calibri" w:eastAsia="Calibri" w:hAnsi="Calibri" w:cs="Times New Roman"/>
          <w:lang w:eastAsia="en-GB"/>
        </w:rPr>
        <w:t xml:space="preserve">Patient demands, lack of reciprocity, and burnout: A five-year longitudinal study among general practitioners. </w:t>
      </w:r>
      <w:r w:rsidRPr="00E6060C">
        <w:rPr>
          <w:rFonts w:ascii="Calibri" w:eastAsia="Calibri" w:hAnsi="Calibri" w:cs="Times New Roman"/>
          <w:i/>
          <w:iCs/>
          <w:lang w:eastAsia="en-GB"/>
        </w:rPr>
        <w:t>Journal of Organisational Behavior, 21</w:t>
      </w:r>
      <w:r w:rsidRPr="00E6060C">
        <w:rPr>
          <w:rFonts w:ascii="Calibri" w:eastAsia="Calibri" w:hAnsi="Calibri" w:cs="Times New Roman"/>
          <w:lang w:eastAsia="en-GB"/>
        </w:rPr>
        <w:t>(4), 425-441. doi: 10.1002/(sici)1099-1379(200006)21:4&lt;425::aid-job21&gt;3.0.co;2-#</w:t>
      </w:r>
    </w:p>
    <w:p w14:paraId="6BA95319"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Bakker, A. B., Van Emmerik, H., &amp; Euwema, M. C. (2006). Crossover of burnout and engagement in work teams. </w:t>
      </w:r>
      <w:r w:rsidRPr="00E6060C">
        <w:rPr>
          <w:rFonts w:ascii="Calibri" w:eastAsia="Calibri" w:hAnsi="Calibri" w:cs="Times New Roman"/>
          <w:i/>
          <w:iCs/>
          <w:lang w:eastAsia="en-GB"/>
        </w:rPr>
        <w:t>Work and Occupations, 33</w:t>
      </w:r>
      <w:r w:rsidRPr="00E6060C">
        <w:rPr>
          <w:rFonts w:ascii="Calibri" w:eastAsia="Calibri" w:hAnsi="Calibri" w:cs="Times New Roman"/>
          <w:lang w:eastAsia="en-GB"/>
        </w:rPr>
        <w:t>(4), 464-489. doi: 10.1177/0730888406291310</w:t>
      </w:r>
    </w:p>
    <w:p w14:paraId="59E5E62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Bandura, A. (2001). Social cognitive theory: An agentic perspective. </w:t>
      </w:r>
      <w:r w:rsidRPr="00E6060C">
        <w:rPr>
          <w:rFonts w:ascii="Calibri" w:eastAsia="Calibri" w:hAnsi="Calibri" w:cs="Times New Roman"/>
          <w:i/>
          <w:iCs/>
          <w:lang w:eastAsia="en-GB"/>
        </w:rPr>
        <w:t>Annual Review of Psychology, 52</w:t>
      </w:r>
      <w:r w:rsidRPr="00E6060C">
        <w:rPr>
          <w:rFonts w:ascii="Calibri" w:eastAsia="Calibri" w:hAnsi="Calibri" w:cs="Times New Roman"/>
          <w:lang w:eastAsia="en-GB"/>
        </w:rPr>
        <w:t>, 1-26. doi: 10.1146/annurev.psych.52.1.1</w:t>
      </w:r>
    </w:p>
    <w:p w14:paraId="63BA9086"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Baron, R. M., &amp; Kenny, D. A. (1986). The moderator-mediator variable distinction in social psychological research: Conceptual, strategic, and statistical considerations. </w:t>
      </w:r>
      <w:r w:rsidRPr="00E6060C">
        <w:rPr>
          <w:rFonts w:ascii="Calibri" w:eastAsia="Calibri" w:hAnsi="Calibri" w:cs="Times New Roman"/>
          <w:i/>
        </w:rPr>
        <w:t>Journal of Personality &amp; Social Psychology, 51,</w:t>
      </w:r>
      <w:r w:rsidRPr="00E6060C">
        <w:rPr>
          <w:rFonts w:ascii="Calibri" w:eastAsia="Calibri" w:hAnsi="Calibri" w:cs="Times New Roman"/>
        </w:rPr>
        <w:t xml:space="preserve"> 1173–1182.</w:t>
      </w:r>
    </w:p>
    <w:p w14:paraId="07474D49"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**Biggs, A., Brough, P., &amp; Barbour, J. P. (2014). Enhancing work-related attitudes and work engagement: A quasi-experimental study of the impact of an organizational intervention. </w:t>
      </w:r>
      <w:r w:rsidRPr="00E6060C">
        <w:rPr>
          <w:rFonts w:ascii="Calibri" w:eastAsia="Calibri" w:hAnsi="Calibri" w:cs="Times New Roman"/>
          <w:i/>
          <w:iCs/>
        </w:rPr>
        <w:t>International Journal of Stress Management, 21</w:t>
      </w:r>
      <w:r w:rsidRPr="00E6060C">
        <w:rPr>
          <w:rFonts w:ascii="Calibri" w:eastAsia="Calibri" w:hAnsi="Calibri" w:cs="Times New Roman"/>
        </w:rPr>
        <w:t>(1), 43-68. doi: 10.1037/a0034508</w:t>
      </w:r>
    </w:p>
    <w:p w14:paraId="556C8C83" w14:textId="25858241"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**Biggs, A. J. (2011). </w:t>
      </w:r>
      <w:r w:rsidRPr="00E6060C">
        <w:rPr>
          <w:rFonts w:ascii="Calibri" w:eastAsia="Calibri" w:hAnsi="Calibri" w:cs="Times New Roman"/>
          <w:i/>
          <w:iCs/>
        </w:rPr>
        <w:t>A longitudinal evaluation of strain, work engagement, and intervention strategies to address the health of high-risk employees</w:t>
      </w:r>
      <w:r w:rsidRPr="00E6060C">
        <w:rPr>
          <w:rFonts w:ascii="Calibri" w:eastAsia="Calibri" w:hAnsi="Calibri" w:cs="Times New Roman"/>
        </w:rPr>
        <w:t xml:space="preserve">: </w:t>
      </w:r>
      <w:r w:rsidR="00E17437">
        <w:rPr>
          <w:rFonts w:ascii="Calibri" w:eastAsia="Calibri" w:hAnsi="Calibri" w:cs="Times New Roman"/>
        </w:rPr>
        <w:t>(Doctoral</w:t>
      </w:r>
      <w:r w:rsidR="00F9758C">
        <w:rPr>
          <w:rFonts w:ascii="Calibri" w:eastAsia="Calibri" w:hAnsi="Calibri" w:cs="Times New Roman"/>
        </w:rPr>
        <w:t xml:space="preserve"> thesis). </w:t>
      </w:r>
      <w:r w:rsidRPr="00E6060C">
        <w:rPr>
          <w:rFonts w:ascii="Calibri" w:eastAsia="Calibri" w:hAnsi="Calibri" w:cs="Times New Roman"/>
        </w:rPr>
        <w:t>Griffith University</w:t>
      </w:r>
      <w:r w:rsidR="005730CC">
        <w:rPr>
          <w:rFonts w:ascii="Calibri" w:eastAsia="Calibri" w:hAnsi="Calibri" w:cs="Times New Roman"/>
        </w:rPr>
        <w:t>, South East Queensland, Australia.</w:t>
      </w:r>
    </w:p>
    <w:p w14:paraId="405750C3"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*Bishop, M. (2013). Work engagement of older registered nurses: the impact of a caring-based intervention. </w:t>
      </w:r>
      <w:r w:rsidRPr="00E6060C">
        <w:rPr>
          <w:rFonts w:ascii="Calibri" w:eastAsia="Calibri" w:hAnsi="Calibri" w:cs="Times New Roman"/>
          <w:i/>
          <w:iCs/>
        </w:rPr>
        <w:t>Journal of Nursing Management, 21</w:t>
      </w:r>
      <w:r w:rsidRPr="00E6060C">
        <w:rPr>
          <w:rFonts w:ascii="Calibri" w:eastAsia="Calibri" w:hAnsi="Calibri" w:cs="Times New Roman"/>
        </w:rPr>
        <w:t>(7), 941-949. doi: 10.1111/jonm.12182</w:t>
      </w:r>
    </w:p>
    <w:p w14:paraId="3448244A" w14:textId="77777777" w:rsidR="00390C54" w:rsidRDefault="00390C54" w:rsidP="00390C54">
      <w:pPr>
        <w:spacing w:line="360" w:lineRule="auto"/>
        <w:ind w:left="426" w:hanging="426"/>
        <w:contextualSpacing/>
        <w:rPr>
          <w:rFonts w:eastAsia="Times New Roman" w:cs="Times New Roman"/>
          <w:lang w:eastAsia="en-GB"/>
        </w:rPr>
      </w:pPr>
      <w:r>
        <w:rPr>
          <w:rFonts w:eastAsia="Times New Roman" w:cs="Times New Roman"/>
          <w:lang w:eastAsia="en-GB"/>
        </w:rPr>
        <w:lastRenderedPageBreak/>
        <w:t xml:space="preserve">Black, B. (2001). The road to recovery. </w:t>
      </w:r>
      <w:r>
        <w:rPr>
          <w:rFonts w:eastAsia="Times New Roman" w:cs="Times New Roman"/>
          <w:i/>
          <w:lang w:eastAsia="en-GB"/>
        </w:rPr>
        <w:t>Gallup Management Journal, 1</w:t>
      </w:r>
      <w:r>
        <w:rPr>
          <w:rFonts w:eastAsia="Times New Roman" w:cs="Times New Roman"/>
          <w:lang w:eastAsia="en-GB"/>
        </w:rPr>
        <w:t xml:space="preserve">, 10-12. In </w:t>
      </w:r>
      <w:r w:rsidRPr="00316EF6">
        <w:rPr>
          <w:rFonts w:eastAsia="Times New Roman" w:cs="Times New Roman"/>
          <w:lang w:eastAsia="en-GB"/>
        </w:rPr>
        <w:t xml:space="preserve">Clifton, D. O., &amp; Harter, J. K. (2003). Investing in strengths. </w:t>
      </w:r>
      <w:r w:rsidRPr="00316EF6">
        <w:rPr>
          <w:rFonts w:eastAsia="Times New Roman" w:cs="Times New Roman"/>
          <w:i/>
          <w:iCs/>
          <w:lang w:eastAsia="en-GB"/>
        </w:rPr>
        <w:t>Positive organizational scholarship: Foundations of a new discipline</w:t>
      </w:r>
      <w:r w:rsidRPr="00316EF6">
        <w:rPr>
          <w:rFonts w:eastAsia="Times New Roman" w:cs="Times New Roman"/>
          <w:lang w:eastAsia="en-GB"/>
        </w:rPr>
        <w:t>, 111-121</w:t>
      </w:r>
      <w:r>
        <w:rPr>
          <w:rFonts w:eastAsia="Times New Roman" w:cs="Times New Roman"/>
          <w:lang w:eastAsia="en-GB"/>
        </w:rPr>
        <w:t>, p.5</w:t>
      </w:r>
      <w:r w:rsidRPr="00316EF6">
        <w:rPr>
          <w:rFonts w:eastAsia="Times New Roman" w:cs="Times New Roman"/>
          <w:lang w:eastAsia="en-GB"/>
        </w:rPr>
        <w:t>.</w:t>
      </w:r>
    </w:p>
    <w:p w14:paraId="70C21424" w14:textId="770DE891"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Black, A. E., &amp; Deci, E. L. (2000). The effects of instructors' autonomy support and students' autonomous motivation on learning organic chemistry: a </w:t>
      </w:r>
      <w:r w:rsidR="00C17CB1">
        <w:rPr>
          <w:rFonts w:ascii="Calibri" w:eastAsia="Calibri" w:hAnsi="Calibri" w:cs="Times New Roman"/>
          <w:lang w:eastAsia="en-GB"/>
        </w:rPr>
        <w:t>self-determination theory</w:t>
      </w:r>
      <w:r w:rsidRPr="00E6060C">
        <w:rPr>
          <w:rFonts w:ascii="Calibri" w:eastAsia="Calibri" w:hAnsi="Calibri" w:cs="Times New Roman"/>
          <w:lang w:eastAsia="en-GB"/>
        </w:rPr>
        <w:t xml:space="preserve"> perspective. </w:t>
      </w:r>
      <w:r w:rsidRPr="00E6060C">
        <w:rPr>
          <w:rFonts w:ascii="Calibri" w:eastAsia="Calibri" w:hAnsi="Calibri" w:cs="Times New Roman"/>
          <w:i/>
          <w:lang w:eastAsia="en-GB"/>
        </w:rPr>
        <w:t>Science Education,</w:t>
      </w:r>
      <w:r w:rsidRPr="00E6060C">
        <w:rPr>
          <w:rFonts w:ascii="Calibri" w:eastAsia="Calibri" w:hAnsi="Calibri" w:cs="Times New Roman"/>
          <w:lang w:eastAsia="en-GB"/>
        </w:rPr>
        <w:t xml:space="preserve"> </w:t>
      </w:r>
      <w:r w:rsidRPr="00E6060C">
        <w:rPr>
          <w:rFonts w:ascii="Calibri" w:eastAsia="Calibri" w:hAnsi="Calibri" w:cs="Times New Roman"/>
          <w:i/>
          <w:lang w:eastAsia="en-GB"/>
        </w:rPr>
        <w:t>84</w:t>
      </w:r>
      <w:r w:rsidRPr="00E6060C">
        <w:rPr>
          <w:rFonts w:ascii="Calibri" w:eastAsia="Calibri" w:hAnsi="Calibri" w:cs="Times New Roman"/>
          <w:lang w:eastAsia="en-GB"/>
        </w:rPr>
        <w:t xml:space="preserve">, 740-756. </w:t>
      </w:r>
    </w:p>
    <w:p w14:paraId="442C676E" w14:textId="77777777" w:rsidR="00F04913" w:rsidRPr="00F04913" w:rsidRDefault="00F04913" w:rsidP="00F04913">
      <w:pPr>
        <w:spacing w:line="360" w:lineRule="auto"/>
        <w:ind w:left="426" w:hanging="426"/>
        <w:contextualSpacing/>
        <w:rPr>
          <w:rFonts w:eastAsia="Times New Roman" w:cs="Times New Roman"/>
          <w:lang w:eastAsia="en-GB"/>
        </w:rPr>
      </w:pPr>
      <w:r w:rsidRPr="00F04913">
        <w:rPr>
          <w:rFonts w:eastAsia="Times New Roman" w:cs="Times New Roman"/>
          <w:lang w:eastAsia="en-GB"/>
        </w:rPr>
        <w:t xml:space="preserve">Bland, J. M., &amp; Altman, D. G. (1994). Regression towards the mean. </w:t>
      </w:r>
      <w:r w:rsidRPr="00F04913">
        <w:rPr>
          <w:rFonts w:eastAsia="Times New Roman" w:cs="Times New Roman"/>
          <w:i/>
          <w:iCs/>
          <w:lang w:eastAsia="en-GB"/>
        </w:rPr>
        <w:t>BMJ: British Medical Journal</w:t>
      </w:r>
      <w:r w:rsidRPr="00F04913">
        <w:rPr>
          <w:rFonts w:eastAsia="Times New Roman" w:cs="Times New Roman"/>
          <w:lang w:eastAsia="en-GB"/>
        </w:rPr>
        <w:t xml:space="preserve">, </w:t>
      </w:r>
      <w:r w:rsidRPr="00F04913">
        <w:rPr>
          <w:rFonts w:eastAsia="Times New Roman" w:cs="Times New Roman"/>
          <w:i/>
          <w:iCs/>
          <w:lang w:eastAsia="en-GB"/>
        </w:rPr>
        <w:t>308</w:t>
      </w:r>
      <w:r w:rsidRPr="00F04913">
        <w:rPr>
          <w:rFonts w:eastAsia="Times New Roman" w:cs="Times New Roman"/>
          <w:lang w:eastAsia="en-GB"/>
        </w:rPr>
        <w:t>(6942), 1499.</w:t>
      </w:r>
    </w:p>
    <w:p w14:paraId="7AD6C112" w14:textId="4F473F7D" w:rsidR="00390C54" w:rsidRPr="00F56D74" w:rsidRDefault="00390C54" w:rsidP="00390C54">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Blandford, </w:t>
      </w:r>
      <w:r>
        <w:rPr>
          <w:rFonts w:eastAsia="Times New Roman" w:cs="Times New Roman"/>
          <w:lang w:eastAsia="en-GB"/>
        </w:rPr>
        <w:t>M. R. (</w:t>
      </w:r>
      <w:r w:rsidRPr="00F56D74">
        <w:rPr>
          <w:rFonts w:eastAsia="Times New Roman" w:cs="Times New Roman"/>
          <w:lang w:eastAsia="en-GB"/>
        </w:rPr>
        <w:t>2005</w:t>
      </w:r>
      <w:r>
        <w:rPr>
          <w:rFonts w:eastAsia="Times New Roman" w:cs="Times New Roman"/>
          <w:lang w:eastAsia="en-GB"/>
        </w:rPr>
        <w:t xml:space="preserve">). </w:t>
      </w:r>
      <w:r w:rsidRPr="00372814">
        <w:rPr>
          <w:rFonts w:eastAsia="Times New Roman" w:cs="Times New Roman"/>
          <w:i/>
          <w:lang w:eastAsia="en-GB"/>
        </w:rPr>
        <w:t>It’</w:t>
      </w:r>
      <w:r w:rsidR="00AD2512">
        <w:rPr>
          <w:rFonts w:eastAsia="Times New Roman" w:cs="Times New Roman"/>
          <w:i/>
          <w:lang w:eastAsia="en-GB"/>
        </w:rPr>
        <w:t>s all about me: S</w:t>
      </w:r>
      <w:r w:rsidRPr="00372814">
        <w:rPr>
          <w:rFonts w:eastAsia="Times New Roman" w:cs="Times New Roman"/>
          <w:i/>
          <w:lang w:eastAsia="en-GB"/>
        </w:rPr>
        <w:t>ubtle change through personal mastery</w:t>
      </w:r>
      <w:r w:rsidR="0069651E">
        <w:rPr>
          <w:rFonts w:eastAsia="Times New Roman" w:cs="Times New Roman"/>
          <w:lang w:eastAsia="en-GB"/>
        </w:rPr>
        <w:t>. (Master’s</w:t>
      </w:r>
      <w:r>
        <w:rPr>
          <w:rFonts w:eastAsia="Times New Roman" w:cs="Times New Roman"/>
          <w:lang w:eastAsia="en-GB"/>
        </w:rPr>
        <w:t xml:space="preserve"> thesis), Royal Roads University., Victoria, British Columbia, Canada. </w:t>
      </w:r>
    </w:p>
    <w:p w14:paraId="608B97F8"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Times New Roman" w:hAnsi="Calibri" w:cs="Times New Roman"/>
          <w:lang w:eastAsia="en-GB"/>
        </w:rPr>
        <w:t xml:space="preserve">Bond, F., &amp; Bunce, D. (2001). Job control mediates change in a work reorganization </w:t>
      </w:r>
      <w:r w:rsidRPr="00E6060C">
        <w:rPr>
          <w:rFonts w:ascii="Calibri" w:eastAsia="Calibri" w:hAnsi="Calibri" w:cs="Times New Roman"/>
        </w:rPr>
        <w:t xml:space="preserve">intervention for stress reduction. </w:t>
      </w:r>
      <w:r w:rsidRPr="00E6060C">
        <w:rPr>
          <w:rFonts w:ascii="Calibri" w:eastAsia="Calibri" w:hAnsi="Calibri" w:cs="Times New Roman"/>
          <w:i/>
        </w:rPr>
        <w:t>Journal of Occupational Health Psychology, 6,</w:t>
      </w:r>
      <w:r w:rsidRPr="00E6060C">
        <w:rPr>
          <w:rFonts w:ascii="Calibri" w:eastAsia="Calibri" w:hAnsi="Calibri" w:cs="Times New Roman"/>
        </w:rPr>
        <w:t xml:space="preserve"> 290-302.</w:t>
      </w:r>
    </w:p>
    <w:p w14:paraId="6651FEB3"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Borenstein, M., Hedges’, L., Higgins, J., &amp; Rothstein, H. (2011). Comprehensive meta-analysis (Version 2.2.064). Englewood, NJ: Biostat.</w:t>
      </w:r>
    </w:p>
    <w:p w14:paraId="72A511A9" w14:textId="28CF1CE8"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Briner, R. B., &amp; Walshe, N. D. (2015). An evidence-based approach to improving the quality of resource-oriented well-being interventions at work. </w:t>
      </w:r>
      <w:r w:rsidRPr="00E6060C">
        <w:rPr>
          <w:rFonts w:ascii="Calibri" w:eastAsia="Calibri" w:hAnsi="Calibri" w:cs="Times New Roman"/>
          <w:i/>
          <w:iCs/>
          <w:noProof/>
        </w:rPr>
        <w:t>Journal of Occupational and Organizational Psychology</w:t>
      </w:r>
      <w:r w:rsidRPr="00E6060C">
        <w:rPr>
          <w:rFonts w:ascii="Calibri" w:eastAsia="Calibri" w:hAnsi="Calibri" w:cs="Times New Roman"/>
          <w:noProof/>
        </w:rPr>
        <w:t xml:space="preserve">, </w:t>
      </w:r>
      <w:r w:rsidRPr="00E6060C">
        <w:rPr>
          <w:rFonts w:ascii="Calibri" w:eastAsia="Calibri" w:hAnsi="Calibri" w:cs="Times New Roman"/>
          <w:i/>
          <w:iCs/>
          <w:noProof/>
        </w:rPr>
        <w:t>88</w:t>
      </w:r>
      <w:r w:rsidRPr="00E6060C">
        <w:rPr>
          <w:rFonts w:ascii="Calibri" w:eastAsia="Calibri" w:hAnsi="Calibri" w:cs="Times New Roman"/>
          <w:noProof/>
        </w:rPr>
        <w:t>, 563–586. http://doi.org/10.1111/joop.12133</w:t>
      </w:r>
    </w:p>
    <w:p w14:paraId="4FC344F8" w14:textId="77777777" w:rsidR="00C549FC" w:rsidRPr="00C53B72" w:rsidRDefault="00C549FC" w:rsidP="00C549FC">
      <w:pPr>
        <w:spacing w:line="360" w:lineRule="auto"/>
        <w:ind w:left="426" w:hanging="426"/>
        <w:contextualSpacing/>
        <w:rPr>
          <w:rFonts w:cs="Times New Roman"/>
          <w:lang w:eastAsia="en-GB"/>
        </w:rPr>
      </w:pPr>
      <w:r w:rsidRPr="00C53B72">
        <w:rPr>
          <w:rFonts w:cs="Times New Roman"/>
          <w:lang w:eastAsia="en-GB"/>
        </w:rPr>
        <w:t xml:space="preserve">Buckingham, M., &amp; Clifton, D. O. (2001). </w:t>
      </w:r>
      <w:r w:rsidRPr="00C53B72">
        <w:rPr>
          <w:rFonts w:cs="Times New Roman"/>
          <w:i/>
          <w:iCs/>
          <w:lang w:eastAsia="en-GB"/>
        </w:rPr>
        <w:t>Now, discover your strengths</w:t>
      </w:r>
      <w:r w:rsidRPr="00C53B72">
        <w:rPr>
          <w:rFonts w:cs="Times New Roman"/>
          <w:lang w:eastAsia="en-GB"/>
        </w:rPr>
        <w:t>: Simon and Schuster.</w:t>
      </w:r>
    </w:p>
    <w:p w14:paraId="35532451" w14:textId="3CB2386C" w:rsid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Byrne, B. M. (2010). Structural Equation Modelling with AMOS Basic Concepts, Applications, and Programming (2nd edition). Hove: Routledge.</w:t>
      </w:r>
    </w:p>
    <w:p w14:paraId="1C2B632D" w14:textId="7750B527" w:rsidR="00375E27" w:rsidRPr="00E6060C" w:rsidRDefault="00375E27" w:rsidP="008E423B">
      <w:pPr>
        <w:spacing w:line="360" w:lineRule="auto"/>
        <w:ind w:left="426" w:hanging="426"/>
        <w:contextualSpacing/>
        <w:rPr>
          <w:rFonts w:ascii="Calibri" w:eastAsia="Calibri" w:hAnsi="Calibri" w:cs="Times New Roman"/>
          <w:lang w:eastAsia="en-GB"/>
        </w:rPr>
      </w:pPr>
      <w:r w:rsidRPr="00375E27">
        <w:rPr>
          <w:rFonts w:ascii="Calibri" w:eastAsia="Calibri" w:hAnsi="Calibri" w:cs="Times New Roman"/>
          <w:lang w:eastAsia="en-GB"/>
        </w:rPr>
        <w:t xml:space="preserve">Byrne, Z. S., Peters, J. M., </w:t>
      </w:r>
      <w:r>
        <w:rPr>
          <w:rFonts w:ascii="Calibri" w:eastAsia="Calibri" w:hAnsi="Calibri" w:cs="Times New Roman"/>
          <w:lang w:eastAsia="en-GB"/>
        </w:rPr>
        <w:t>&amp; Weston, J. W. (2016). The struggle with employee engagement: Measures and construct clarification using five s</w:t>
      </w:r>
      <w:r w:rsidRPr="00375E27">
        <w:rPr>
          <w:rFonts w:ascii="Calibri" w:eastAsia="Calibri" w:hAnsi="Calibri" w:cs="Times New Roman"/>
          <w:lang w:eastAsia="en-GB"/>
        </w:rPr>
        <w:t>amples.</w:t>
      </w:r>
      <w:r>
        <w:rPr>
          <w:rFonts w:ascii="Calibri" w:eastAsia="Calibri" w:hAnsi="Calibri" w:cs="Times New Roman"/>
          <w:lang w:eastAsia="en-GB"/>
        </w:rPr>
        <w:t xml:space="preserve"> </w:t>
      </w:r>
      <w:r w:rsidRPr="00375E27">
        <w:rPr>
          <w:rFonts w:ascii="Calibri" w:eastAsia="Calibri" w:hAnsi="Calibri" w:cs="Times New Roman"/>
          <w:i/>
          <w:iCs/>
          <w:lang w:eastAsia="en-GB"/>
        </w:rPr>
        <w:t>Journal of Applied</w:t>
      </w:r>
      <w:r>
        <w:rPr>
          <w:rFonts w:ascii="Calibri" w:eastAsia="Calibri" w:hAnsi="Calibri" w:cs="Times New Roman"/>
          <w:i/>
          <w:iCs/>
          <w:lang w:eastAsia="en-GB"/>
        </w:rPr>
        <w:t xml:space="preserve"> </w:t>
      </w:r>
      <w:r w:rsidRPr="00375E27">
        <w:rPr>
          <w:rFonts w:ascii="Calibri" w:eastAsia="Calibri" w:hAnsi="Calibri" w:cs="Times New Roman"/>
          <w:i/>
          <w:iCs/>
          <w:lang w:eastAsia="en-GB"/>
        </w:rPr>
        <w:t>Psychology</w:t>
      </w:r>
      <w:r w:rsidRPr="00375E27">
        <w:rPr>
          <w:rFonts w:ascii="Calibri" w:eastAsia="Calibri" w:hAnsi="Calibri" w:cs="Times New Roman"/>
          <w:lang w:eastAsia="en-GB"/>
        </w:rPr>
        <w:t>. Advance online publication. http://dx.doi.org/10.1037/apl0000124</w:t>
      </w:r>
    </w:p>
    <w:p w14:paraId="23C8AAD7" w14:textId="60B954D2" w:rsidR="009070C1" w:rsidRPr="00E6060C" w:rsidRDefault="00E6060C" w:rsidP="00397E67">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**Calitz, T. M. (2010). </w:t>
      </w:r>
      <w:r w:rsidRPr="00E6060C">
        <w:rPr>
          <w:rFonts w:ascii="Calibri" w:eastAsia="Calibri" w:hAnsi="Calibri" w:cs="Times New Roman"/>
          <w:i/>
          <w:iCs/>
        </w:rPr>
        <w:t>An empowerment programme to regain</w:t>
      </w:r>
      <w:r w:rsidR="001E3ECE">
        <w:rPr>
          <w:rFonts w:ascii="Calibri" w:eastAsia="Calibri" w:hAnsi="Calibri" w:cs="Times New Roman"/>
          <w:i/>
          <w:iCs/>
        </w:rPr>
        <w:t xml:space="preserve"> </w:t>
      </w:r>
      <w:r w:rsidRPr="00E6060C">
        <w:rPr>
          <w:rFonts w:ascii="Calibri" w:eastAsia="Calibri" w:hAnsi="Calibri" w:cs="Times New Roman"/>
          <w:i/>
          <w:iCs/>
        </w:rPr>
        <w:t>positive work engagement for social workers in the North West Province.</w:t>
      </w:r>
      <w:r w:rsidR="00E17437">
        <w:rPr>
          <w:rFonts w:ascii="Calibri" w:eastAsia="Calibri" w:hAnsi="Calibri" w:cs="Times New Roman"/>
        </w:rPr>
        <w:t xml:space="preserve"> (Doctoral</w:t>
      </w:r>
      <w:r w:rsidR="00F9758C">
        <w:rPr>
          <w:rFonts w:ascii="Calibri" w:eastAsia="Calibri" w:hAnsi="Calibri" w:cs="Times New Roman"/>
        </w:rPr>
        <w:t xml:space="preserve"> thesis</w:t>
      </w:r>
      <w:r w:rsidRPr="00E6060C">
        <w:rPr>
          <w:rFonts w:ascii="Calibri" w:eastAsia="Calibri" w:hAnsi="Calibri" w:cs="Times New Roman"/>
        </w:rPr>
        <w:t xml:space="preserve">), Potchefstroom Campus of the North-West University, South Africa. </w:t>
      </w:r>
    </w:p>
    <w:p w14:paraId="43F6167D" w14:textId="5D84E903"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**Carter, R. (2008). </w:t>
      </w:r>
      <w:r w:rsidRPr="00E6060C">
        <w:rPr>
          <w:rFonts w:ascii="Calibri" w:eastAsia="Calibri" w:hAnsi="Calibri" w:cs="Times New Roman"/>
          <w:i/>
          <w:iCs/>
        </w:rPr>
        <w:t xml:space="preserve">Improving </w:t>
      </w:r>
      <w:r w:rsidR="0055496E">
        <w:rPr>
          <w:rFonts w:ascii="Calibri" w:eastAsia="Calibri" w:hAnsi="Calibri" w:cs="Times New Roman"/>
          <w:i/>
          <w:iCs/>
        </w:rPr>
        <w:t>e</w:t>
      </w:r>
      <w:r w:rsidRPr="00E6060C">
        <w:rPr>
          <w:rFonts w:ascii="Calibri" w:eastAsia="Calibri" w:hAnsi="Calibri" w:cs="Times New Roman"/>
          <w:i/>
          <w:iCs/>
        </w:rPr>
        <w:t xml:space="preserve">mployee </w:t>
      </w:r>
      <w:r w:rsidR="0055496E">
        <w:rPr>
          <w:rFonts w:ascii="Calibri" w:eastAsia="Calibri" w:hAnsi="Calibri" w:cs="Times New Roman"/>
          <w:i/>
          <w:iCs/>
        </w:rPr>
        <w:t>engagement and performance: self-efficacy b</w:t>
      </w:r>
      <w:r w:rsidRPr="00E6060C">
        <w:rPr>
          <w:rFonts w:ascii="Calibri" w:eastAsia="Calibri" w:hAnsi="Calibri" w:cs="Times New Roman"/>
          <w:i/>
          <w:iCs/>
        </w:rPr>
        <w:t>a</w:t>
      </w:r>
      <w:r w:rsidR="0055496E">
        <w:rPr>
          <w:rFonts w:ascii="Calibri" w:eastAsia="Calibri" w:hAnsi="Calibri" w:cs="Times New Roman"/>
          <w:i/>
          <w:iCs/>
        </w:rPr>
        <w:t>sed i</w:t>
      </w:r>
      <w:r w:rsidRPr="00E6060C">
        <w:rPr>
          <w:rFonts w:ascii="Calibri" w:eastAsia="Calibri" w:hAnsi="Calibri" w:cs="Times New Roman"/>
          <w:i/>
          <w:iCs/>
        </w:rPr>
        <w:t>ntervention</w:t>
      </w:r>
      <w:r w:rsidR="00E17437">
        <w:rPr>
          <w:rFonts w:ascii="Calibri" w:eastAsia="Calibri" w:hAnsi="Calibri" w:cs="Times New Roman"/>
        </w:rPr>
        <w:t>. (Doctoral</w:t>
      </w:r>
      <w:r w:rsidR="0055496E">
        <w:rPr>
          <w:rFonts w:ascii="Calibri" w:eastAsia="Calibri" w:hAnsi="Calibri" w:cs="Times New Roman"/>
        </w:rPr>
        <w:t xml:space="preserve"> thesis).</w:t>
      </w:r>
      <w:r w:rsidRPr="00E6060C">
        <w:rPr>
          <w:rFonts w:ascii="Calibri" w:eastAsia="Calibri" w:hAnsi="Calibri" w:cs="Times New Roman"/>
        </w:rPr>
        <w:t xml:space="preserve"> </w:t>
      </w:r>
      <w:r w:rsidR="0079494E" w:rsidRPr="00E6060C">
        <w:rPr>
          <w:rFonts w:ascii="Calibri" w:eastAsia="Calibri" w:hAnsi="Calibri" w:cs="Times New Roman"/>
        </w:rPr>
        <w:t>Graduate School of Management</w:t>
      </w:r>
      <w:r w:rsidR="0079494E">
        <w:rPr>
          <w:rFonts w:ascii="Calibri" w:eastAsia="Calibri" w:hAnsi="Calibri" w:cs="Times New Roman"/>
        </w:rPr>
        <w:t>,</w:t>
      </w:r>
      <w:r w:rsidR="0079494E" w:rsidRPr="00E6060C">
        <w:rPr>
          <w:rFonts w:ascii="Calibri" w:eastAsia="Calibri" w:hAnsi="Calibri" w:cs="Times New Roman"/>
        </w:rPr>
        <w:t xml:space="preserve"> </w:t>
      </w:r>
      <w:r w:rsidRPr="00E6060C">
        <w:rPr>
          <w:rFonts w:ascii="Calibri" w:eastAsia="Calibri" w:hAnsi="Calibri" w:cs="Times New Roman"/>
        </w:rPr>
        <w:t>Macquarie University,</w:t>
      </w:r>
      <w:r w:rsidR="0079494E">
        <w:rPr>
          <w:rFonts w:ascii="Calibri" w:eastAsia="Calibri" w:hAnsi="Calibri" w:cs="Times New Roman"/>
        </w:rPr>
        <w:t xml:space="preserve"> Sydney, Australia</w:t>
      </w:r>
      <w:r w:rsidRPr="00E6060C">
        <w:rPr>
          <w:rFonts w:ascii="Calibri" w:eastAsia="Calibri" w:hAnsi="Calibri" w:cs="Times New Roman"/>
        </w:rPr>
        <w:t>.</w:t>
      </w:r>
    </w:p>
    <w:p w14:paraId="198A76C7" w14:textId="2A2BFEFB"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de-DE"/>
        </w:rPr>
        <w:t xml:space="preserve">**Chen, S. S., Westman, M., &amp; Eden, D. (2009). </w:t>
      </w:r>
      <w:r w:rsidR="00C549FC">
        <w:rPr>
          <w:rFonts w:ascii="Calibri" w:eastAsia="Calibri" w:hAnsi="Calibri" w:cs="Times New Roman"/>
        </w:rPr>
        <w:t>Impact of enhanced resources on anticipatory stress and adjustment to new information technology: a field-experimental test of c</w:t>
      </w:r>
      <w:r w:rsidRPr="00E6060C">
        <w:rPr>
          <w:rFonts w:ascii="Calibri" w:eastAsia="Calibri" w:hAnsi="Calibri" w:cs="Times New Roman"/>
        </w:rPr>
        <w:t>onservatio</w:t>
      </w:r>
      <w:r w:rsidR="00C549FC">
        <w:rPr>
          <w:rFonts w:ascii="Calibri" w:eastAsia="Calibri" w:hAnsi="Calibri" w:cs="Times New Roman"/>
        </w:rPr>
        <w:t>n of resources t</w:t>
      </w:r>
      <w:r w:rsidRPr="00E6060C">
        <w:rPr>
          <w:rFonts w:ascii="Calibri" w:eastAsia="Calibri" w:hAnsi="Calibri" w:cs="Times New Roman"/>
        </w:rPr>
        <w:t xml:space="preserve">heory. </w:t>
      </w:r>
      <w:r w:rsidRPr="00E6060C">
        <w:rPr>
          <w:rFonts w:ascii="Calibri" w:eastAsia="Calibri" w:hAnsi="Calibri" w:cs="Times New Roman"/>
          <w:i/>
          <w:iCs/>
        </w:rPr>
        <w:t>Journal of Occupational Health Psychology, 14</w:t>
      </w:r>
      <w:r w:rsidRPr="00E6060C">
        <w:rPr>
          <w:rFonts w:ascii="Calibri" w:eastAsia="Calibri" w:hAnsi="Calibri" w:cs="Times New Roman"/>
        </w:rPr>
        <w:t>(3), 219-230. doi: 10.1037/a0015282</w:t>
      </w:r>
    </w:p>
    <w:p w14:paraId="6FFB7DEB" w14:textId="6AC2FAEA"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lastRenderedPageBreak/>
        <w:t>**Cifre, E., Salanova, M., &amp; Ro</w:t>
      </w:r>
      <w:r w:rsidR="00C549FC">
        <w:rPr>
          <w:rFonts w:ascii="Calibri" w:eastAsia="Calibri" w:hAnsi="Calibri" w:cs="Times New Roman"/>
        </w:rPr>
        <w:t>driguez-Sanchez, A. M. (2011). Dancing between theory and practice: enhancing work engagement through work stress i</w:t>
      </w:r>
      <w:r w:rsidRPr="00E6060C">
        <w:rPr>
          <w:rFonts w:ascii="Calibri" w:eastAsia="Calibri" w:hAnsi="Calibri" w:cs="Times New Roman"/>
        </w:rPr>
        <w:t xml:space="preserve">ntervention. </w:t>
      </w:r>
      <w:r w:rsidRPr="00E6060C">
        <w:rPr>
          <w:rFonts w:ascii="Calibri" w:eastAsia="Calibri" w:hAnsi="Calibri" w:cs="Times New Roman"/>
          <w:i/>
          <w:iCs/>
        </w:rPr>
        <w:t>Human Factors and Ergonomics in Manufacturing &amp; Service Industries, 21</w:t>
      </w:r>
      <w:r w:rsidRPr="00E6060C">
        <w:rPr>
          <w:rFonts w:ascii="Calibri" w:eastAsia="Calibri" w:hAnsi="Calibri" w:cs="Times New Roman"/>
        </w:rPr>
        <w:t>(3), 269-286. doi: 10.1002/hfm.20232</w:t>
      </w:r>
    </w:p>
    <w:p w14:paraId="1E1A811B" w14:textId="4B1619FC" w:rsidR="00E6060C" w:rsidRPr="00E6060C" w:rsidRDefault="00E6060C" w:rsidP="00E6060C">
      <w:pPr>
        <w:spacing w:line="360" w:lineRule="auto"/>
        <w:ind w:left="426" w:hanging="426"/>
        <w:contextualSpacing/>
        <w:rPr>
          <w:rFonts w:ascii="Calibri" w:eastAsia="Calibri" w:hAnsi="Calibri" w:cs="Times New Roman"/>
          <w:lang w:val="fr-FR" w:eastAsia="en-GB"/>
        </w:rPr>
      </w:pPr>
      <w:r w:rsidRPr="00E6060C">
        <w:rPr>
          <w:rFonts w:ascii="Calibri" w:eastAsia="Calibri" w:hAnsi="Calibri" w:cs="Times New Roman"/>
          <w:lang w:eastAsia="en-GB"/>
        </w:rPr>
        <w:t xml:space="preserve">Christian, M. S., Garza, A. S., &amp; Slaughter, </w:t>
      </w:r>
      <w:r w:rsidR="00C549FC">
        <w:rPr>
          <w:rFonts w:ascii="Calibri" w:eastAsia="Calibri" w:hAnsi="Calibri" w:cs="Times New Roman"/>
          <w:lang w:eastAsia="en-GB"/>
        </w:rPr>
        <w:t>J. E. (2011). Work engagement: a</w:t>
      </w:r>
      <w:r w:rsidRPr="00E6060C">
        <w:rPr>
          <w:rFonts w:ascii="Calibri" w:eastAsia="Calibri" w:hAnsi="Calibri" w:cs="Times New Roman"/>
          <w:lang w:eastAsia="en-GB"/>
        </w:rPr>
        <w:t xml:space="preserve"> quantitative review and test of its relations with task and contextual performance. </w:t>
      </w:r>
      <w:r w:rsidRPr="00E6060C">
        <w:rPr>
          <w:rFonts w:ascii="Calibri" w:eastAsia="Calibri" w:hAnsi="Calibri" w:cs="Times New Roman"/>
          <w:i/>
          <w:iCs/>
          <w:lang w:val="fr-FR" w:eastAsia="en-GB"/>
        </w:rPr>
        <w:t>Personnel Psychology, 64</w:t>
      </w:r>
      <w:r w:rsidRPr="00E6060C">
        <w:rPr>
          <w:rFonts w:ascii="Calibri" w:eastAsia="Calibri" w:hAnsi="Calibri" w:cs="Times New Roman"/>
          <w:lang w:val="fr-FR" w:eastAsia="en-GB"/>
        </w:rPr>
        <w:t>(1), 89-136. doi: 10.1111/j.1744-6570.2010.01203.x</w:t>
      </w:r>
    </w:p>
    <w:p w14:paraId="79D7AF7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fr-FR" w:eastAsia="en-GB"/>
        </w:rPr>
        <w:t xml:space="preserve">Clifton, D. O., &amp; Harter, J. K. (2003). </w:t>
      </w:r>
      <w:r w:rsidRPr="00E6060C">
        <w:rPr>
          <w:rFonts w:ascii="Calibri" w:eastAsia="Calibri" w:hAnsi="Calibri" w:cs="Times New Roman"/>
          <w:lang w:eastAsia="en-GB"/>
        </w:rPr>
        <w:t xml:space="preserve">Investing in strengths. </w:t>
      </w:r>
      <w:r w:rsidRPr="00E6060C">
        <w:rPr>
          <w:rFonts w:ascii="Calibri" w:eastAsia="Calibri" w:hAnsi="Calibri" w:cs="Times New Roman"/>
          <w:i/>
          <w:iCs/>
          <w:lang w:eastAsia="en-GB"/>
        </w:rPr>
        <w:t>Positive organisational scholarship: Foundations of a new discipline</w:t>
      </w:r>
      <w:r w:rsidRPr="00E6060C">
        <w:rPr>
          <w:rFonts w:ascii="Calibri" w:eastAsia="Calibri" w:hAnsi="Calibri" w:cs="Times New Roman"/>
          <w:lang w:eastAsia="en-GB"/>
        </w:rPr>
        <w:t xml:space="preserve">, 111-121. </w:t>
      </w:r>
    </w:p>
    <w:p w14:paraId="62734D15" w14:textId="77777777" w:rsidR="00E6060C" w:rsidRPr="003E3A5B" w:rsidRDefault="00E6060C" w:rsidP="003E3A5B">
      <w:pPr>
        <w:shd w:val="clear" w:color="auto" w:fill="FFFFFF" w:themeFill="background1"/>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**Coffeng, J. K., Hendriksen, I. J. M., Duijts, S. F. A., Twisk, J. W. R., Van Mechelen, W., &amp; Boot, C. R. L. (2014). </w:t>
      </w:r>
      <w:r w:rsidRPr="00E6060C">
        <w:rPr>
          <w:rFonts w:ascii="Calibri" w:eastAsia="Calibri" w:hAnsi="Calibri" w:cs="Times New Roman"/>
          <w:lang w:eastAsia="en-GB"/>
        </w:rPr>
        <w:t xml:space="preserve">Effectiveness of a combined social and physical environmental intervention on presenteeism, absenteeism, work performance, and work engagement in office employees. </w:t>
      </w:r>
      <w:r w:rsidRPr="003E3A5B">
        <w:rPr>
          <w:rFonts w:ascii="Calibri" w:eastAsia="Calibri" w:hAnsi="Calibri" w:cs="Times New Roman"/>
          <w:i/>
          <w:iCs/>
          <w:lang w:eastAsia="en-GB"/>
        </w:rPr>
        <w:t>Journal of Occupational and Environmental Medicine, 56</w:t>
      </w:r>
      <w:r w:rsidRPr="003E3A5B">
        <w:rPr>
          <w:rFonts w:ascii="Calibri" w:eastAsia="Calibri" w:hAnsi="Calibri" w:cs="Times New Roman"/>
          <w:lang w:eastAsia="en-GB"/>
        </w:rPr>
        <w:t>(3), 258-265. doi: 10.1097/jom.0000000000000116</w:t>
      </w:r>
    </w:p>
    <w:p w14:paraId="7C610B59" w14:textId="699C946C" w:rsidR="00E6060C" w:rsidRPr="003E3A5B" w:rsidRDefault="00E6060C" w:rsidP="003E3A5B">
      <w:pPr>
        <w:shd w:val="clear" w:color="auto" w:fill="FFFFFF" w:themeFill="background1"/>
        <w:spacing w:line="360" w:lineRule="auto"/>
        <w:ind w:left="426" w:hanging="426"/>
        <w:contextualSpacing/>
        <w:rPr>
          <w:rFonts w:ascii="Calibri" w:eastAsia="Calibri" w:hAnsi="Calibri" w:cs="Times New Roman"/>
        </w:rPr>
      </w:pPr>
      <w:r w:rsidRPr="003E3A5B">
        <w:rPr>
          <w:rFonts w:ascii="Calibri" w:eastAsia="Calibri" w:hAnsi="Calibri" w:cs="Times New Roman"/>
        </w:rPr>
        <w:t xml:space="preserve">Coffeng, J. K., Hendriksen, I. J. M., van Mechelen, W., &amp; Boot, C. R. L. (2013). Process Evaluation of a Worksite Social and Physical Environmental Intervention. </w:t>
      </w:r>
      <w:r w:rsidRPr="003E3A5B">
        <w:rPr>
          <w:rFonts w:ascii="Calibri" w:eastAsia="Calibri" w:hAnsi="Calibri" w:cs="Times New Roman"/>
          <w:i/>
        </w:rPr>
        <w:t>Journal of Occupational and Environmental Medicine, 55</w:t>
      </w:r>
      <w:r w:rsidRPr="003E3A5B">
        <w:rPr>
          <w:rFonts w:ascii="Calibri" w:eastAsia="Calibri" w:hAnsi="Calibri" w:cs="Times New Roman"/>
        </w:rPr>
        <w:t>(12), 1409-1420. doi: 10.1097/JOM.0b013e3182a50053</w:t>
      </w:r>
    </w:p>
    <w:p w14:paraId="2646645C" w14:textId="77777777" w:rsidR="003C26F3" w:rsidRPr="003C26F3" w:rsidRDefault="003C26F3" w:rsidP="003C26F3">
      <w:pPr>
        <w:shd w:val="clear" w:color="auto" w:fill="FFFFFF" w:themeFill="background1"/>
        <w:spacing w:line="360" w:lineRule="auto"/>
        <w:ind w:left="426" w:hanging="426"/>
        <w:contextualSpacing/>
        <w:rPr>
          <w:rFonts w:ascii="Calibri" w:eastAsia="Calibri" w:hAnsi="Calibri" w:cs="Times New Roman"/>
        </w:rPr>
      </w:pPr>
      <w:r w:rsidRPr="003C26F3">
        <w:rPr>
          <w:rFonts w:ascii="Calibri" w:eastAsia="Calibri" w:hAnsi="Calibri" w:cs="Times New Roman"/>
        </w:rPr>
        <w:t xml:space="preserve">Cohen, J. (1960). A coefficient of agreement for nominal scales. </w:t>
      </w:r>
      <w:r w:rsidRPr="003C26F3">
        <w:rPr>
          <w:rFonts w:ascii="Calibri" w:eastAsia="Calibri" w:hAnsi="Calibri" w:cs="Times New Roman"/>
          <w:i/>
          <w:iCs/>
        </w:rPr>
        <w:t>Educational and Psychological Measurement</w:t>
      </w:r>
      <w:r w:rsidRPr="003C26F3">
        <w:rPr>
          <w:rFonts w:ascii="Calibri" w:eastAsia="Calibri" w:hAnsi="Calibri" w:cs="Times New Roman"/>
        </w:rPr>
        <w:t xml:space="preserve">, </w:t>
      </w:r>
      <w:r w:rsidRPr="003C26F3">
        <w:rPr>
          <w:rFonts w:ascii="Calibri" w:eastAsia="Calibri" w:hAnsi="Calibri" w:cs="Times New Roman"/>
          <w:i/>
          <w:iCs/>
        </w:rPr>
        <w:t>20</w:t>
      </w:r>
      <w:r w:rsidRPr="003C26F3">
        <w:rPr>
          <w:rFonts w:ascii="Calibri" w:eastAsia="Calibri" w:hAnsi="Calibri" w:cs="Times New Roman"/>
        </w:rPr>
        <w:t>, 37-46.</w:t>
      </w:r>
    </w:p>
    <w:p w14:paraId="31FD44AD" w14:textId="77777777" w:rsidR="00E6060C" w:rsidRPr="00E6060C" w:rsidRDefault="00E6060C" w:rsidP="003E3A5B">
      <w:pPr>
        <w:shd w:val="clear" w:color="auto" w:fill="FFFFFF" w:themeFill="background1"/>
        <w:spacing w:line="360" w:lineRule="auto"/>
        <w:ind w:left="426" w:hanging="426"/>
        <w:contextualSpacing/>
        <w:rPr>
          <w:rFonts w:ascii="Calibri" w:eastAsia="Calibri" w:hAnsi="Calibri" w:cs="Times New Roman"/>
        </w:rPr>
      </w:pPr>
      <w:r w:rsidRPr="003E3A5B">
        <w:rPr>
          <w:rFonts w:ascii="Calibri" w:eastAsia="Calibri" w:hAnsi="Calibri" w:cs="Times New Roman"/>
        </w:rPr>
        <w:t>Cohen, J. (1988). Statistical power analysis for the behavioral sciences (2nd ed.). Hillsdale, NJ:</w:t>
      </w:r>
      <w:r w:rsidRPr="00E6060C">
        <w:rPr>
          <w:rFonts w:ascii="Calibri" w:eastAsia="Calibri" w:hAnsi="Calibri" w:cs="Times New Roman"/>
        </w:rPr>
        <w:t xml:space="preserve"> Lawrence Erlbaum.</w:t>
      </w:r>
    </w:p>
    <w:p w14:paraId="5C4077B0" w14:textId="77777777" w:rsidR="00E6060C" w:rsidRPr="00E6060C" w:rsidRDefault="00E6060C" w:rsidP="00E6060C">
      <w:pPr>
        <w:spacing w:line="360" w:lineRule="auto"/>
        <w:ind w:left="426" w:hanging="426"/>
        <w:contextualSpacing/>
        <w:rPr>
          <w:rFonts w:ascii="Calibri" w:eastAsia="Calibri" w:hAnsi="Calibri" w:cs="Times New Roman"/>
          <w:i/>
          <w:iCs/>
          <w:lang w:eastAsia="en-GB"/>
        </w:rPr>
      </w:pPr>
      <w:r w:rsidRPr="00E6060C">
        <w:rPr>
          <w:rFonts w:ascii="Calibri" w:eastAsia="Calibri" w:hAnsi="Calibri" w:cs="Times New Roman"/>
          <w:lang w:eastAsia="en-GB"/>
        </w:rPr>
        <w:t xml:space="preserve">Conn, V. S., Hafdahl, A. R., Cooper, P. S., Brown, L. M., &amp; Lusk, S. L. (2009). Meta-analysis of workplace physical activity interventions. </w:t>
      </w:r>
      <w:r w:rsidRPr="00E6060C">
        <w:rPr>
          <w:rFonts w:ascii="Calibri" w:eastAsia="Calibri" w:hAnsi="Calibri" w:cs="Times New Roman"/>
          <w:i/>
          <w:iCs/>
          <w:lang w:eastAsia="en-GB"/>
        </w:rPr>
        <w:t>American journal</w:t>
      </w:r>
      <w:r w:rsidRPr="00E6060C">
        <w:rPr>
          <w:rFonts w:ascii="Calibri" w:eastAsia="Calibri" w:hAnsi="Calibri" w:cs="Arial"/>
          <w:i/>
          <w:iCs/>
          <w:lang w:eastAsia="en-GB"/>
        </w:rPr>
        <w:t xml:space="preserve"> </w:t>
      </w:r>
      <w:r w:rsidRPr="00E6060C">
        <w:rPr>
          <w:rFonts w:ascii="Calibri" w:eastAsia="Calibri" w:hAnsi="Calibri" w:cs="Times New Roman"/>
          <w:i/>
          <w:iCs/>
          <w:lang w:eastAsia="en-GB"/>
        </w:rPr>
        <w:t>of preventive medicine, 37(4), 330-339.</w:t>
      </w:r>
    </w:p>
    <w:p w14:paraId="596EE08A" w14:textId="77777777" w:rsidR="00390C54" w:rsidRPr="00AE7A6E" w:rsidRDefault="00390C54" w:rsidP="00390C54">
      <w:pPr>
        <w:spacing w:line="360" w:lineRule="auto"/>
        <w:ind w:left="426" w:hanging="426"/>
        <w:contextualSpacing/>
        <w:rPr>
          <w:rFonts w:eastAsia="Times New Roman" w:cs="Times New Roman"/>
          <w:lang w:eastAsia="en-GB"/>
        </w:rPr>
      </w:pPr>
      <w:r>
        <w:rPr>
          <w:rFonts w:eastAsia="Times New Roman" w:cs="Times New Roman"/>
          <w:lang w:eastAsia="en-GB"/>
        </w:rPr>
        <w:t xml:space="preserve">Connelly, S. (2002). All together now. </w:t>
      </w:r>
      <w:r>
        <w:rPr>
          <w:rFonts w:eastAsia="Times New Roman" w:cs="Times New Roman"/>
          <w:i/>
          <w:lang w:eastAsia="en-GB"/>
        </w:rPr>
        <w:t xml:space="preserve">Gallup Management Journal, 2, </w:t>
      </w:r>
      <w:r>
        <w:rPr>
          <w:rFonts w:eastAsia="Times New Roman" w:cs="Times New Roman"/>
          <w:lang w:eastAsia="en-GB"/>
        </w:rPr>
        <w:t xml:space="preserve">12-18. In </w:t>
      </w:r>
      <w:r w:rsidRPr="00316EF6">
        <w:rPr>
          <w:rFonts w:eastAsia="Times New Roman" w:cs="Times New Roman"/>
          <w:lang w:eastAsia="en-GB"/>
        </w:rPr>
        <w:t xml:space="preserve">Clifton, D. O., &amp; Harter, J. K. (2003). Investing in strengths. </w:t>
      </w:r>
      <w:r w:rsidRPr="00316EF6">
        <w:rPr>
          <w:rFonts w:eastAsia="Times New Roman" w:cs="Times New Roman"/>
          <w:i/>
          <w:iCs/>
          <w:lang w:eastAsia="en-GB"/>
        </w:rPr>
        <w:t>Positive organizational scholarship: Foundations of a new discipline</w:t>
      </w:r>
      <w:r w:rsidRPr="00316EF6">
        <w:rPr>
          <w:rFonts w:eastAsia="Times New Roman" w:cs="Times New Roman"/>
          <w:lang w:eastAsia="en-GB"/>
        </w:rPr>
        <w:t>, 111-121</w:t>
      </w:r>
      <w:r>
        <w:rPr>
          <w:rFonts w:eastAsia="Times New Roman" w:cs="Times New Roman"/>
          <w:lang w:eastAsia="en-GB"/>
        </w:rPr>
        <w:t>, p. 5</w:t>
      </w:r>
      <w:r w:rsidRPr="00316EF6">
        <w:rPr>
          <w:rFonts w:eastAsia="Times New Roman" w:cs="Times New Roman"/>
          <w:lang w:eastAsia="en-GB"/>
        </w:rPr>
        <w:t>.</w:t>
      </w:r>
    </w:p>
    <w:p w14:paraId="303C88C9" w14:textId="77777777" w:rsidR="00E6060C" w:rsidRPr="00E6060C" w:rsidRDefault="00E6060C" w:rsidP="00E6060C">
      <w:pPr>
        <w:spacing w:line="360" w:lineRule="auto"/>
        <w:ind w:left="426" w:hanging="426"/>
        <w:contextualSpacing/>
        <w:rPr>
          <w:rFonts w:ascii="Calibri" w:eastAsia="Calibri" w:hAnsi="Calibri" w:cs="Times New Roman"/>
          <w:iCs/>
          <w:lang w:eastAsia="en-GB"/>
        </w:rPr>
      </w:pPr>
      <w:r w:rsidRPr="00E6060C">
        <w:rPr>
          <w:rFonts w:ascii="Calibri" w:eastAsia="Calibri" w:hAnsi="Calibri" w:cs="Times New Roman"/>
          <w:iCs/>
          <w:lang w:eastAsia="en-GB"/>
        </w:rPr>
        <w:t xml:space="preserve">Cooper, C., A. Selwood and G. Livingston (2008). The prevalence of elder abuse and neglect: A systematic review, </w:t>
      </w:r>
      <w:r w:rsidRPr="00E6060C">
        <w:rPr>
          <w:rFonts w:ascii="Calibri" w:eastAsia="Calibri" w:hAnsi="Calibri" w:cs="Times New Roman"/>
          <w:i/>
          <w:iCs/>
          <w:lang w:eastAsia="en-GB"/>
        </w:rPr>
        <w:t>Age and Aging, 37</w:t>
      </w:r>
      <w:r w:rsidRPr="00E6060C">
        <w:rPr>
          <w:rFonts w:ascii="Calibri" w:eastAsia="Calibri" w:hAnsi="Calibri" w:cs="Times New Roman"/>
          <w:iCs/>
          <w:lang w:eastAsia="en-GB"/>
        </w:rPr>
        <w:t>, pp. 151–160.</w:t>
      </w:r>
    </w:p>
    <w:p w14:paraId="1D584570"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Cooperrider, D.L. &amp; Srivastva, S. (1987). Appreciative inquiry in organizational life. In Woodman, R. W. &amp; Pasmore, W.A. (Eds). </w:t>
      </w:r>
      <w:r w:rsidRPr="00E6060C">
        <w:rPr>
          <w:rFonts w:ascii="Calibri" w:eastAsia="Calibri" w:hAnsi="Calibri" w:cs="Calibri"/>
          <w:i/>
        </w:rPr>
        <w:t>Research in Organizational Change and Development, Vol. 1</w:t>
      </w:r>
      <w:r w:rsidRPr="00E6060C">
        <w:rPr>
          <w:rFonts w:ascii="Calibri" w:eastAsia="Calibri" w:hAnsi="Calibri" w:cs="Calibri"/>
        </w:rPr>
        <w:t xml:space="preserve"> p129–169. Stamford, CT: JAI Press.</w:t>
      </w:r>
    </w:p>
    <w:p w14:paraId="5E6C98ED" w14:textId="1B75B463"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pt-PT" w:eastAsia="en-GB"/>
        </w:rPr>
        <w:t>Costa, P.</w:t>
      </w:r>
      <w:r w:rsidR="005865A5">
        <w:rPr>
          <w:rFonts w:ascii="Calibri" w:eastAsia="Calibri" w:hAnsi="Calibri" w:cs="Times New Roman"/>
          <w:lang w:val="pt-PT" w:eastAsia="en-GB"/>
        </w:rPr>
        <w:t xml:space="preserve"> L.</w:t>
      </w:r>
      <w:r w:rsidRPr="00E6060C">
        <w:rPr>
          <w:rFonts w:ascii="Calibri" w:eastAsia="Calibri" w:hAnsi="Calibri" w:cs="Times New Roman"/>
          <w:lang w:val="pt-PT" w:eastAsia="en-GB"/>
        </w:rPr>
        <w:t>, Passos, A. M., &amp; Bakker, A.</w:t>
      </w:r>
      <w:r w:rsidR="005865A5">
        <w:rPr>
          <w:rFonts w:ascii="Calibri" w:eastAsia="Calibri" w:hAnsi="Calibri" w:cs="Times New Roman"/>
          <w:lang w:val="pt-PT" w:eastAsia="en-GB"/>
        </w:rPr>
        <w:t xml:space="preserve"> B.</w:t>
      </w:r>
      <w:r w:rsidRPr="00E6060C">
        <w:rPr>
          <w:rFonts w:ascii="Calibri" w:eastAsia="Calibri" w:hAnsi="Calibri" w:cs="Times New Roman"/>
          <w:lang w:val="pt-PT" w:eastAsia="en-GB"/>
        </w:rPr>
        <w:t xml:space="preserve"> (2014a). </w:t>
      </w:r>
      <w:r w:rsidRPr="00E6060C">
        <w:rPr>
          <w:rFonts w:ascii="Calibri" w:eastAsia="Calibri" w:hAnsi="Calibri" w:cs="Times New Roman"/>
          <w:lang w:eastAsia="en-GB"/>
        </w:rPr>
        <w:t xml:space="preserve">Empirical validation of the team work engagement Construct. </w:t>
      </w:r>
      <w:r w:rsidRPr="00E6060C">
        <w:rPr>
          <w:rFonts w:ascii="Calibri" w:eastAsia="Calibri" w:hAnsi="Calibri" w:cs="Times New Roman"/>
          <w:i/>
          <w:iCs/>
          <w:lang w:eastAsia="en-GB"/>
        </w:rPr>
        <w:t>Journal of Personnel Psychology, 13</w:t>
      </w:r>
      <w:r w:rsidRPr="00E6060C">
        <w:rPr>
          <w:rFonts w:ascii="Calibri" w:eastAsia="Calibri" w:hAnsi="Calibri" w:cs="Times New Roman"/>
          <w:lang w:eastAsia="en-GB"/>
        </w:rPr>
        <w:t>(1), 34-45. doi: 10.1027/1866-5888/a000102</w:t>
      </w:r>
    </w:p>
    <w:p w14:paraId="0733A1A1"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lastRenderedPageBreak/>
        <w:t xml:space="preserve">Costa, P. L., Passos, A. M., &amp; Bakker, A. B. (2014b). Team work engagement: A model of emergence. </w:t>
      </w:r>
      <w:r w:rsidRPr="00E6060C">
        <w:rPr>
          <w:rFonts w:ascii="Calibri" w:eastAsia="Calibri" w:hAnsi="Calibri" w:cs="Times New Roman"/>
          <w:i/>
          <w:iCs/>
          <w:lang w:eastAsia="en-GB"/>
        </w:rPr>
        <w:t>Journal of Occupational and Organisational Psychology, 87</w:t>
      </w:r>
      <w:r w:rsidRPr="00E6060C">
        <w:rPr>
          <w:rFonts w:ascii="Calibri" w:eastAsia="Calibri" w:hAnsi="Calibri" w:cs="Times New Roman"/>
          <w:lang w:eastAsia="en-GB"/>
        </w:rPr>
        <w:t>(2), 414-436. doi: 10.1111/joop.12057</w:t>
      </w:r>
    </w:p>
    <w:p w14:paraId="62CC55A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Crawford, E. R., LePine, J. A., &amp; Rich, B. L. (2010). Linking job demands and resources to employee engagement and burnout: A theoretical extension and meta-analytic test. </w:t>
      </w:r>
      <w:r w:rsidRPr="00E6060C">
        <w:rPr>
          <w:rFonts w:ascii="Calibri" w:eastAsia="Calibri" w:hAnsi="Calibri" w:cs="Times New Roman"/>
          <w:i/>
          <w:iCs/>
          <w:lang w:eastAsia="en-GB"/>
        </w:rPr>
        <w:t>American Psychological Association, 95</w:t>
      </w:r>
      <w:r w:rsidRPr="00E6060C">
        <w:rPr>
          <w:rFonts w:ascii="Calibri" w:eastAsia="Calibri" w:hAnsi="Calibri" w:cs="Times New Roman"/>
          <w:lang w:eastAsia="en-GB"/>
        </w:rPr>
        <w:t xml:space="preserve">(5), 834-848. </w:t>
      </w:r>
    </w:p>
    <w:p w14:paraId="53FFFD41"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Csikszentmihalyi, M. (1999). If we are so rich, why aren't we happy? </w:t>
      </w:r>
      <w:r w:rsidRPr="00E6060C">
        <w:rPr>
          <w:rFonts w:ascii="Calibri" w:eastAsia="Calibri" w:hAnsi="Calibri" w:cs="Times New Roman"/>
          <w:i/>
          <w:iCs/>
          <w:lang w:eastAsia="en-GB"/>
        </w:rPr>
        <w:t>American Psychologist, 54</w:t>
      </w:r>
      <w:r w:rsidRPr="00E6060C">
        <w:rPr>
          <w:rFonts w:ascii="Calibri" w:eastAsia="Calibri" w:hAnsi="Calibri" w:cs="Times New Roman"/>
          <w:lang w:eastAsia="en-GB"/>
        </w:rPr>
        <w:t>(10), 821-827. doi: 10.1037/0003-066x.54.10.821</w:t>
      </w:r>
    </w:p>
    <w:p w14:paraId="1EA388EC"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Cummings, T. G., &amp; Worley, C. G. (2001) Organization development and change (7</w:t>
      </w:r>
      <w:r w:rsidRPr="00E6060C">
        <w:rPr>
          <w:rFonts w:ascii="Calibri" w:eastAsia="Calibri" w:hAnsi="Calibri" w:cs="Times New Roman"/>
          <w:vertAlign w:val="superscript"/>
          <w:lang w:eastAsia="en-GB"/>
        </w:rPr>
        <w:t>th</w:t>
      </w:r>
      <w:r w:rsidRPr="00E6060C">
        <w:rPr>
          <w:rFonts w:ascii="Calibri" w:eastAsia="Calibri" w:hAnsi="Calibri" w:cs="Times New Roman"/>
          <w:lang w:eastAsia="en-GB"/>
        </w:rPr>
        <w:t xml:space="preserve"> edition). South-Western College Publishing: Mason, OH, USA.</w:t>
      </w:r>
    </w:p>
    <w:p w14:paraId="02C88534"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DeVellis, R. F. (2006). Classical test theory. </w:t>
      </w:r>
      <w:r w:rsidRPr="00E6060C">
        <w:rPr>
          <w:rFonts w:ascii="Calibri" w:eastAsia="Calibri" w:hAnsi="Calibri" w:cs="Times New Roman"/>
          <w:i/>
          <w:iCs/>
        </w:rPr>
        <w:t>Medical care</w:t>
      </w:r>
      <w:r w:rsidRPr="00E6060C">
        <w:rPr>
          <w:rFonts w:ascii="Calibri" w:eastAsia="Calibri" w:hAnsi="Calibri" w:cs="Times New Roman"/>
        </w:rPr>
        <w:t xml:space="preserve">, </w:t>
      </w:r>
      <w:r w:rsidRPr="00E6060C">
        <w:rPr>
          <w:rFonts w:ascii="Calibri" w:eastAsia="Calibri" w:hAnsi="Calibri" w:cs="Times New Roman"/>
          <w:i/>
          <w:iCs/>
        </w:rPr>
        <w:t>44</w:t>
      </w:r>
      <w:r w:rsidRPr="00E6060C">
        <w:rPr>
          <w:rFonts w:ascii="Calibri" w:eastAsia="Calibri" w:hAnsi="Calibri" w:cs="Times New Roman"/>
        </w:rPr>
        <w:t>(11), S50-S59.</w:t>
      </w:r>
    </w:p>
    <w:p w14:paraId="7004C4C7"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Data Protection Act (1998). Retrieved July 2014 from: http://www.legislation.gov.uk/ukpga/1998/29/introduction</w:t>
      </w:r>
    </w:p>
    <w:p w14:paraId="4FC38936" w14:textId="68CCC567" w:rsidR="008E4D62" w:rsidRDefault="008E4D62" w:rsidP="008E4D62">
      <w:pPr>
        <w:spacing w:line="360" w:lineRule="auto"/>
        <w:ind w:left="426" w:hanging="426"/>
        <w:contextualSpacing/>
        <w:rPr>
          <w:rFonts w:ascii="Calibri" w:eastAsia="Calibri" w:hAnsi="Calibri" w:cs="Times New Roman"/>
          <w:lang w:eastAsia="en-GB"/>
        </w:rPr>
      </w:pPr>
      <w:r w:rsidRPr="008E4D62">
        <w:rPr>
          <w:rFonts w:ascii="Calibri" w:eastAsia="Calibri" w:hAnsi="Calibri" w:cs="Times New Roman"/>
          <w:lang w:eastAsia="en-GB"/>
        </w:rPr>
        <w:t xml:space="preserve">Davies, S., Nolan, M.R., Brown, J. &amp; Wilson, F. (1999). </w:t>
      </w:r>
      <w:r w:rsidRPr="008E4D62">
        <w:rPr>
          <w:rFonts w:ascii="Calibri" w:eastAsia="Calibri" w:hAnsi="Calibri" w:cs="Times New Roman"/>
          <w:i/>
          <w:iCs/>
          <w:lang w:eastAsia="en-GB"/>
        </w:rPr>
        <w:t>Dignity on the ward:</w:t>
      </w:r>
      <w:r>
        <w:rPr>
          <w:rFonts w:ascii="Calibri" w:eastAsia="Calibri" w:hAnsi="Calibri" w:cs="Times New Roman"/>
          <w:i/>
          <w:iCs/>
          <w:lang w:eastAsia="en-GB"/>
        </w:rPr>
        <w:t xml:space="preserve"> </w:t>
      </w:r>
      <w:r w:rsidRPr="008E4D62">
        <w:rPr>
          <w:rFonts w:ascii="Calibri" w:eastAsia="Calibri" w:hAnsi="Calibri" w:cs="Times New Roman"/>
          <w:i/>
          <w:iCs/>
          <w:lang w:eastAsia="en-GB"/>
        </w:rPr>
        <w:t>Promoting excellence in the acute hospital care of older people</w:t>
      </w:r>
      <w:r w:rsidRPr="008E4D62">
        <w:rPr>
          <w:rFonts w:ascii="Calibri" w:eastAsia="Calibri" w:hAnsi="Calibri" w:cs="Times New Roman"/>
          <w:lang w:eastAsia="en-GB"/>
        </w:rPr>
        <w:t xml:space="preserve">. </w:t>
      </w:r>
      <w:r>
        <w:rPr>
          <w:rFonts w:ascii="Calibri" w:eastAsia="Calibri" w:hAnsi="Calibri" w:cs="Times New Roman"/>
          <w:lang w:eastAsia="en-GB"/>
        </w:rPr>
        <w:t>[Research r</w:t>
      </w:r>
      <w:r w:rsidRPr="008E4D62">
        <w:rPr>
          <w:rFonts w:ascii="Calibri" w:eastAsia="Calibri" w:hAnsi="Calibri" w:cs="Times New Roman"/>
          <w:lang w:eastAsia="en-GB"/>
        </w:rPr>
        <w:t>eport</w:t>
      </w:r>
      <w:r>
        <w:rPr>
          <w:rFonts w:ascii="Calibri" w:eastAsia="Calibri" w:hAnsi="Calibri" w:cs="Times New Roman"/>
          <w:lang w:eastAsia="en-GB"/>
        </w:rPr>
        <w:t>].</w:t>
      </w:r>
      <w:r w:rsidRPr="008E4D62">
        <w:rPr>
          <w:rFonts w:ascii="Calibri" w:eastAsia="Calibri" w:hAnsi="Calibri" w:cs="Times New Roman"/>
          <w:lang w:eastAsia="en-GB"/>
        </w:rPr>
        <w:t xml:space="preserve"> Help</w:t>
      </w:r>
      <w:r>
        <w:rPr>
          <w:rFonts w:ascii="Calibri" w:eastAsia="Calibri" w:hAnsi="Calibri" w:cs="Times New Roman"/>
          <w:lang w:eastAsia="en-GB"/>
        </w:rPr>
        <w:t xml:space="preserve"> the Aged [now Age UK] &amp; the Order of St John’s Trust, UK. </w:t>
      </w:r>
    </w:p>
    <w:p w14:paraId="01FE011B" w14:textId="203942C7" w:rsidR="00E6060C" w:rsidRPr="00E6060C" w:rsidRDefault="00E6060C" w:rsidP="008E4D62">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Dawkins, S., Martin, A., Scott, J., &amp; Sanderson, K. (2013). Building on the positives: A psychometric review and critical analysis of the construct of Psychological Capital. </w:t>
      </w:r>
      <w:r w:rsidRPr="00E6060C">
        <w:rPr>
          <w:rFonts w:ascii="Calibri" w:eastAsia="Calibri" w:hAnsi="Calibri" w:cs="Times New Roman"/>
          <w:i/>
          <w:iCs/>
          <w:lang w:eastAsia="en-GB"/>
        </w:rPr>
        <w:t>Journal of Occupational and Organisational Psychology, 86</w:t>
      </w:r>
      <w:r w:rsidRPr="00E6060C">
        <w:rPr>
          <w:rFonts w:ascii="Calibri" w:eastAsia="Calibri" w:hAnsi="Calibri" w:cs="Times New Roman"/>
          <w:lang w:eastAsia="en-GB"/>
        </w:rPr>
        <w:t>(3), 348-370. doi: 10.1111/joop.12007</w:t>
      </w:r>
    </w:p>
    <w:p w14:paraId="087D1133"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de Lange, A. H., Taris, T. W., Kompier, M. A. J., Houtman, I. L. D., &amp; Bongers, P. M. (2005). Different mechanisms to explain the reversed effects of mental health on work characteristics. </w:t>
      </w:r>
      <w:r w:rsidRPr="00E6060C">
        <w:rPr>
          <w:rFonts w:ascii="Calibri" w:eastAsia="Calibri" w:hAnsi="Calibri" w:cs="Times New Roman"/>
          <w:i/>
          <w:iCs/>
          <w:lang w:eastAsia="en-GB"/>
        </w:rPr>
        <w:t>Scandinavian Journal of Work Environment &amp; Health, 31</w:t>
      </w:r>
      <w:r w:rsidRPr="00E6060C">
        <w:rPr>
          <w:rFonts w:ascii="Calibri" w:eastAsia="Calibri" w:hAnsi="Calibri" w:cs="Times New Roman"/>
          <w:lang w:eastAsia="en-GB"/>
        </w:rPr>
        <w:t xml:space="preserve">(1), 3-14. </w:t>
      </w:r>
    </w:p>
    <w:p w14:paraId="4109815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Dear, K. B. G., &amp; Begg, C. B. (1992). An approach to assessing publication bias prior to performing a meta-analysis. </w:t>
      </w:r>
      <w:r w:rsidRPr="00E6060C">
        <w:rPr>
          <w:rFonts w:ascii="Calibri" w:eastAsia="Calibri" w:hAnsi="Calibri" w:cs="Times New Roman"/>
          <w:i/>
          <w:iCs/>
          <w:lang w:eastAsia="en-GB"/>
        </w:rPr>
        <w:t>Statistical Science</w:t>
      </w:r>
      <w:r w:rsidRPr="00E6060C">
        <w:rPr>
          <w:rFonts w:ascii="Calibri" w:eastAsia="Calibri" w:hAnsi="Calibri" w:cs="Times New Roman"/>
          <w:lang w:eastAsia="en-GB"/>
        </w:rPr>
        <w:t xml:space="preserve"> </w:t>
      </w:r>
      <w:r w:rsidRPr="00E6060C">
        <w:rPr>
          <w:rFonts w:ascii="Calibri" w:eastAsia="Calibri" w:hAnsi="Calibri" w:cs="Times New Roman"/>
          <w:i/>
          <w:lang w:eastAsia="en-GB"/>
        </w:rPr>
        <w:t>7,</w:t>
      </w:r>
      <w:r w:rsidRPr="00E6060C">
        <w:rPr>
          <w:rFonts w:ascii="Calibri" w:eastAsia="Calibri" w:hAnsi="Calibri" w:cs="Times New Roman"/>
          <w:lang w:eastAsia="en-GB"/>
        </w:rPr>
        <w:t xml:space="preserve"> 237-245.</w:t>
      </w:r>
    </w:p>
    <w:p w14:paraId="24B3865E"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pl-PL" w:eastAsia="en-GB"/>
        </w:rPr>
        <w:t xml:space="preserve">Deci, E. L., &amp; Ryan, R. M. (2000). </w:t>
      </w:r>
      <w:r w:rsidRPr="00E6060C">
        <w:rPr>
          <w:rFonts w:ascii="Calibri" w:eastAsia="Calibri" w:hAnsi="Calibri" w:cs="Times New Roman"/>
          <w:lang w:eastAsia="en-GB"/>
        </w:rPr>
        <w:t xml:space="preserve">The "what" and "why" of goal pursuits: Human needs and the self-determination of behavior. </w:t>
      </w:r>
      <w:r w:rsidRPr="00E6060C">
        <w:rPr>
          <w:rFonts w:ascii="Calibri" w:eastAsia="Calibri" w:hAnsi="Calibri" w:cs="Times New Roman"/>
          <w:i/>
          <w:iCs/>
          <w:lang w:eastAsia="en-GB"/>
        </w:rPr>
        <w:t>Psychological Inquiry, 11</w:t>
      </w:r>
      <w:r w:rsidRPr="00E6060C">
        <w:rPr>
          <w:rFonts w:ascii="Calibri" w:eastAsia="Calibri" w:hAnsi="Calibri" w:cs="Times New Roman"/>
          <w:lang w:eastAsia="en-GB"/>
        </w:rPr>
        <w:t>(4), 227-268. doi: 10.1207/s15327965pli1104_01</w:t>
      </w:r>
    </w:p>
    <w:p w14:paraId="16368F4E"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Deci, E. L., Ryan, R. M., Gagne, M., Leone, D. R., Usunov, J., &amp; Kornazheva, B. P. (2001). Need satisfaction, motivation, and well-being in the work organisations of a former eastern bloc country: A cross-cultural study of self-determination. </w:t>
      </w:r>
      <w:r w:rsidRPr="00E6060C">
        <w:rPr>
          <w:rFonts w:ascii="Calibri" w:eastAsia="Calibri" w:hAnsi="Calibri" w:cs="Times New Roman"/>
          <w:i/>
          <w:iCs/>
          <w:lang w:eastAsia="en-GB"/>
        </w:rPr>
        <w:t>Personality and Social Psychology Bulletin, 27</w:t>
      </w:r>
      <w:r w:rsidRPr="00E6060C">
        <w:rPr>
          <w:rFonts w:ascii="Calibri" w:eastAsia="Calibri" w:hAnsi="Calibri" w:cs="Times New Roman"/>
          <w:lang w:eastAsia="en-GB"/>
        </w:rPr>
        <w:t>(8), 930-942. doi: 10.1177/0146167201278002</w:t>
      </w:r>
    </w:p>
    <w:p w14:paraId="46245DEE" w14:textId="77777777" w:rsidR="00E6060C" w:rsidRPr="00E6060C" w:rsidRDefault="00E6060C" w:rsidP="00E6060C">
      <w:pPr>
        <w:spacing w:line="360" w:lineRule="auto"/>
        <w:ind w:left="426" w:hanging="426"/>
        <w:contextualSpacing/>
        <w:rPr>
          <w:rFonts w:ascii="Calibri" w:eastAsia="Calibri" w:hAnsi="Calibri" w:cs="Times New Roman"/>
          <w:lang w:val="nl-NL" w:eastAsia="en-GB"/>
        </w:rPr>
      </w:pPr>
      <w:r w:rsidRPr="00E6060C">
        <w:rPr>
          <w:rFonts w:ascii="Calibri" w:eastAsia="Calibri" w:hAnsi="Calibri" w:cs="Times New Roman"/>
          <w:lang w:eastAsia="en-GB"/>
        </w:rPr>
        <w:t xml:space="preserve">Demerouti, E., Bakker, A. B., &amp; Butlers, A. J. (2004). The loss spiral of work pressure, work-home interference and exhaustion: Reciprocal relations in a three-wave study. </w:t>
      </w:r>
      <w:r w:rsidRPr="00E6060C">
        <w:rPr>
          <w:rFonts w:ascii="Calibri" w:eastAsia="Calibri" w:hAnsi="Calibri" w:cs="Times New Roman"/>
          <w:i/>
          <w:iCs/>
          <w:lang w:val="nl-NL" w:eastAsia="en-GB"/>
        </w:rPr>
        <w:t>Journal of Vocational Behavior, 64</w:t>
      </w:r>
      <w:r w:rsidRPr="00E6060C">
        <w:rPr>
          <w:rFonts w:ascii="Calibri" w:eastAsia="Calibri" w:hAnsi="Calibri" w:cs="Times New Roman"/>
          <w:lang w:val="nl-NL" w:eastAsia="en-GB"/>
        </w:rPr>
        <w:t>(1), 131-149. doi: 10.1016/s0001-8791(03)00030-7</w:t>
      </w:r>
    </w:p>
    <w:p w14:paraId="7C344EF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lastRenderedPageBreak/>
        <w:t xml:space="preserve">Demerouti, E., van Eeuwijk, E., Snelder, M., &amp; Wild, U. (2011). </w:t>
      </w:r>
      <w:r w:rsidRPr="00E6060C">
        <w:rPr>
          <w:rFonts w:ascii="Calibri" w:eastAsia="Calibri" w:hAnsi="Calibri" w:cs="Times New Roman"/>
          <w:lang w:eastAsia="en-GB"/>
        </w:rPr>
        <w:t xml:space="preserve">Assessing the effects of a “personal effectiveness” training on psychological capital, assertiveness and self-awareness using self-other agreement. </w:t>
      </w:r>
      <w:r w:rsidRPr="00E6060C">
        <w:rPr>
          <w:rFonts w:ascii="Calibri" w:eastAsia="Calibri" w:hAnsi="Calibri" w:cs="Times New Roman"/>
          <w:i/>
          <w:iCs/>
          <w:lang w:eastAsia="en-GB"/>
        </w:rPr>
        <w:t>Career Development International, 16</w:t>
      </w:r>
      <w:r w:rsidRPr="00E6060C">
        <w:rPr>
          <w:rFonts w:ascii="Calibri" w:eastAsia="Calibri" w:hAnsi="Calibri" w:cs="Times New Roman"/>
          <w:lang w:eastAsia="en-GB"/>
        </w:rPr>
        <w:t xml:space="preserve">(1), 60-81. </w:t>
      </w:r>
    </w:p>
    <w:p w14:paraId="7DC591CC" w14:textId="77777777"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Duval, S., &amp; Tweedie, R. (2000). Trim and Fill: A Simple Funnel-Plot-Based Method of Testing and Adjusting for Publication Bias in Meta-Analysis. </w:t>
      </w:r>
      <w:r w:rsidRPr="00E6060C">
        <w:rPr>
          <w:rFonts w:ascii="Calibri" w:eastAsia="Calibri" w:hAnsi="Calibri" w:cs="Times New Roman"/>
          <w:i/>
          <w:iCs/>
          <w:noProof/>
        </w:rPr>
        <w:t>Biometrics</w:t>
      </w:r>
      <w:r w:rsidRPr="00E6060C">
        <w:rPr>
          <w:rFonts w:ascii="Calibri" w:eastAsia="Calibri" w:hAnsi="Calibri" w:cs="Times New Roman"/>
          <w:noProof/>
        </w:rPr>
        <w:t xml:space="preserve">, </w:t>
      </w:r>
      <w:r w:rsidRPr="00E6060C">
        <w:rPr>
          <w:rFonts w:ascii="Calibri" w:eastAsia="Calibri" w:hAnsi="Calibri" w:cs="Times New Roman"/>
          <w:i/>
          <w:iCs/>
          <w:noProof/>
        </w:rPr>
        <w:t>56</w:t>
      </w:r>
      <w:r w:rsidRPr="00E6060C">
        <w:rPr>
          <w:rFonts w:ascii="Calibri" w:eastAsia="Calibri" w:hAnsi="Calibri" w:cs="Times New Roman"/>
          <w:noProof/>
        </w:rPr>
        <w:t xml:space="preserve">(2), 455–463. Retrieved from </w:t>
      </w:r>
      <w:r w:rsidRPr="00E6060C">
        <w:rPr>
          <w:rFonts w:ascii="Calibri" w:eastAsia="Calibri" w:hAnsi="Calibri" w:cs="Times New Roman"/>
        </w:rPr>
        <w:t>http://www.jstor.org/stable/2676988</w:t>
      </w:r>
    </w:p>
    <w:p w14:paraId="05880BB9" w14:textId="77777777" w:rsidR="00B42B36" w:rsidRDefault="00B42B36"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de-DE"/>
        </w:rPr>
        <w:t xml:space="preserve">*Ebert, D. D., Lehr, D., Smit, F., Zarski, A. C., Riper, H., Heber, E., . . . </w:t>
      </w:r>
      <w:r w:rsidRPr="00E6060C">
        <w:rPr>
          <w:rFonts w:ascii="Calibri" w:eastAsia="Calibri" w:hAnsi="Calibri" w:cs="Times New Roman"/>
        </w:rPr>
        <w:t xml:space="preserve">Berking, M. (2014). Efficacy and cost-effectiveness of minimal guided and unguided internet-based mobile supported stress-management in employees with occupational stress: A three-armed randomised controlled trial. </w:t>
      </w:r>
      <w:r w:rsidRPr="00E6060C">
        <w:rPr>
          <w:rFonts w:ascii="Calibri" w:eastAsia="Calibri" w:hAnsi="Calibri" w:cs="Times New Roman"/>
          <w:i/>
          <w:iCs/>
        </w:rPr>
        <w:t>BMC Public Health, 14</w:t>
      </w:r>
      <w:r w:rsidRPr="00E6060C">
        <w:rPr>
          <w:rFonts w:ascii="Calibri" w:eastAsia="Calibri" w:hAnsi="Calibri" w:cs="Times New Roman"/>
        </w:rPr>
        <w:t>(1). doi: 10.1186/1471-2458-14-807</w:t>
      </w:r>
    </w:p>
    <w:p w14:paraId="1F7730EE" w14:textId="7AB8259E"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Egan, M., Bambra, C., Petticrew, M., &amp; Whitehead, M. (2009). Reviewing evidence on complex social interventions: Appraising implementation in systemic reviews of the health effects of organisational-level workplace interventions. </w:t>
      </w:r>
      <w:r w:rsidRPr="00E6060C">
        <w:rPr>
          <w:rFonts w:ascii="Calibri" w:eastAsia="Calibri" w:hAnsi="Calibri" w:cs="Times New Roman"/>
          <w:i/>
        </w:rPr>
        <w:t>Journal of Epidemiology &amp; Community Health, 63,</w:t>
      </w:r>
      <w:r w:rsidRPr="00E6060C">
        <w:rPr>
          <w:rFonts w:ascii="Calibri" w:eastAsia="Calibri" w:hAnsi="Calibri" w:cs="Times New Roman"/>
        </w:rPr>
        <w:t xml:space="preserve"> p. 4-11.</w:t>
      </w:r>
    </w:p>
    <w:p w14:paraId="3A9CCAA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de-DE" w:eastAsia="en-GB"/>
        </w:rPr>
        <w:t xml:space="preserve">Eisenberger, R., Rhoades, L., &amp; Cameron, J. (1999). </w:t>
      </w:r>
      <w:r w:rsidRPr="00E6060C">
        <w:rPr>
          <w:rFonts w:ascii="Calibri" w:eastAsia="Calibri" w:hAnsi="Calibri" w:cs="Times New Roman"/>
          <w:lang w:eastAsia="en-GB"/>
        </w:rPr>
        <w:t xml:space="preserve">Does pay for performance increase or decrease perceived self-determination and intrinsic motivation? </w:t>
      </w:r>
      <w:r w:rsidRPr="00E6060C">
        <w:rPr>
          <w:rFonts w:ascii="Calibri" w:eastAsia="Calibri" w:hAnsi="Calibri" w:cs="Times New Roman"/>
          <w:i/>
          <w:iCs/>
          <w:lang w:eastAsia="en-GB"/>
        </w:rPr>
        <w:t>Journal of Personality and Social Psychology, 77</w:t>
      </w:r>
      <w:r w:rsidRPr="00E6060C">
        <w:rPr>
          <w:rFonts w:ascii="Calibri" w:eastAsia="Calibri" w:hAnsi="Calibri" w:cs="Times New Roman"/>
          <w:lang w:eastAsia="en-GB"/>
        </w:rPr>
        <w:t>(5), 1026-1040. doi: 10.1037/0022-3514.77.5.1026</w:t>
      </w:r>
    </w:p>
    <w:p w14:paraId="2C16C78D"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Field, A. (2005) </w:t>
      </w:r>
      <w:r w:rsidRPr="00E6060C">
        <w:rPr>
          <w:rFonts w:ascii="Calibri" w:eastAsia="Calibri" w:hAnsi="Calibri" w:cs="Calibri"/>
          <w:i/>
          <w:iCs/>
        </w:rPr>
        <w:t xml:space="preserve">Discovering Statistics Using SPSS </w:t>
      </w:r>
      <w:r w:rsidRPr="00E6060C">
        <w:rPr>
          <w:rFonts w:ascii="Calibri" w:eastAsia="Calibri" w:hAnsi="Calibri" w:cs="Calibri"/>
        </w:rPr>
        <w:t>(Second Edition). London: Sage.</w:t>
      </w:r>
    </w:p>
    <w:p w14:paraId="00F23B20"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eastAsia="en-GB"/>
        </w:rPr>
        <w:t>Field, A. P., &amp; Gillett, R. (2010). How to do a meta</w:t>
      </w:r>
      <w:r w:rsidRPr="00E6060C">
        <w:rPr>
          <w:rFonts w:ascii="Calibri" w:eastAsia="Calibri" w:hAnsi="Calibri" w:cs="Cambria Math"/>
          <w:lang w:eastAsia="en-GB"/>
        </w:rPr>
        <w:t>‐</w:t>
      </w:r>
      <w:r w:rsidRPr="00E6060C">
        <w:rPr>
          <w:rFonts w:ascii="Calibri" w:eastAsia="Calibri" w:hAnsi="Calibri" w:cs="Times New Roman"/>
          <w:lang w:eastAsia="en-GB"/>
        </w:rPr>
        <w:t xml:space="preserve">analysis. </w:t>
      </w:r>
      <w:r w:rsidRPr="00E6060C">
        <w:rPr>
          <w:rFonts w:ascii="Calibri" w:eastAsia="Calibri" w:hAnsi="Calibri" w:cs="Times New Roman"/>
          <w:i/>
          <w:iCs/>
          <w:lang w:eastAsia="en-GB"/>
        </w:rPr>
        <w:t>British Journal of Mathematical and Statistical Psychology, 63</w:t>
      </w:r>
      <w:r w:rsidRPr="00E6060C">
        <w:rPr>
          <w:rFonts w:ascii="Calibri" w:eastAsia="Calibri" w:hAnsi="Calibri" w:cs="Times New Roman"/>
          <w:lang w:eastAsia="en-GB"/>
        </w:rPr>
        <w:t xml:space="preserve">(3), 665-694. </w:t>
      </w:r>
    </w:p>
    <w:p w14:paraId="67D2F85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Fornell, C., &amp; Larcker, D. F. (1981). Evaluating structural equation models with unobservable variables and measurement error. </w:t>
      </w:r>
      <w:r w:rsidRPr="00E6060C">
        <w:rPr>
          <w:rFonts w:ascii="Calibri" w:eastAsia="Calibri" w:hAnsi="Calibri" w:cs="Times New Roman"/>
          <w:i/>
          <w:iCs/>
          <w:lang w:eastAsia="en-GB"/>
        </w:rPr>
        <w:t>Journal of marketing research</w:t>
      </w:r>
      <w:r w:rsidRPr="00E6060C">
        <w:rPr>
          <w:rFonts w:ascii="Calibri" w:eastAsia="Calibri" w:hAnsi="Calibri" w:cs="Times New Roman"/>
          <w:lang w:eastAsia="en-GB"/>
        </w:rPr>
        <w:t xml:space="preserve">, </w:t>
      </w:r>
      <w:r w:rsidRPr="00E6060C">
        <w:rPr>
          <w:rFonts w:ascii="Calibri" w:eastAsia="Calibri" w:hAnsi="Calibri" w:cs="Times New Roman"/>
          <w:i/>
          <w:lang w:eastAsia="en-GB"/>
        </w:rPr>
        <w:t>18</w:t>
      </w:r>
      <w:r w:rsidRPr="00E6060C">
        <w:rPr>
          <w:rFonts w:ascii="Calibri" w:eastAsia="Calibri" w:hAnsi="Calibri" w:cs="Times New Roman"/>
          <w:lang w:eastAsia="en-GB"/>
        </w:rPr>
        <w:t>(1),</w:t>
      </w:r>
      <w:r w:rsidRPr="00E6060C">
        <w:rPr>
          <w:rFonts w:ascii="Calibri" w:eastAsia="Calibri" w:hAnsi="Calibri" w:cs="Times New Roman"/>
          <w:i/>
          <w:lang w:eastAsia="en-GB"/>
        </w:rPr>
        <w:t xml:space="preserve"> </w:t>
      </w:r>
      <w:r w:rsidRPr="00E6060C">
        <w:rPr>
          <w:rFonts w:ascii="Calibri" w:eastAsia="Calibri" w:hAnsi="Calibri" w:cs="Times New Roman"/>
          <w:lang w:eastAsia="en-GB"/>
        </w:rPr>
        <w:t>39-50.</w:t>
      </w:r>
    </w:p>
    <w:p w14:paraId="238EFB67" w14:textId="77777777" w:rsidR="00E6060C" w:rsidRPr="00E6060C" w:rsidRDefault="00E6060C" w:rsidP="00E6060C">
      <w:pPr>
        <w:spacing w:line="360" w:lineRule="auto"/>
        <w:ind w:left="426" w:hanging="426"/>
        <w:contextualSpacing/>
        <w:rPr>
          <w:rFonts w:ascii="Calibri" w:eastAsia="Calibri" w:hAnsi="Calibri" w:cs="Times New Roman"/>
          <w:iCs/>
          <w:lang w:eastAsia="en-GB"/>
        </w:rPr>
      </w:pPr>
      <w:r w:rsidRPr="00E6060C">
        <w:rPr>
          <w:rFonts w:ascii="Calibri" w:eastAsia="Calibri" w:hAnsi="Calibri" w:cs="Times New Roman"/>
          <w:lang w:eastAsia="en-GB"/>
        </w:rPr>
        <w:t xml:space="preserve">Francis, R. (2013). </w:t>
      </w:r>
      <w:r w:rsidRPr="00E6060C">
        <w:rPr>
          <w:rFonts w:ascii="Calibri" w:eastAsia="Calibri" w:hAnsi="Calibri" w:cs="Times New Roman"/>
          <w:i/>
          <w:iCs/>
          <w:lang w:eastAsia="en-GB"/>
        </w:rPr>
        <w:t>Report of the Mid Staffordshire NHS Foundation Trust</w:t>
      </w:r>
      <w:r w:rsidRPr="00E6060C">
        <w:rPr>
          <w:rFonts w:ascii="Calibri" w:eastAsia="Calibri" w:hAnsi="Calibri" w:cs="Times New Roman"/>
          <w:iCs/>
          <w:lang w:eastAsia="en-GB"/>
        </w:rPr>
        <w:t>. Public Inquiry chaired by Francis QC, The Stationery Office, February 2013.</w:t>
      </w:r>
    </w:p>
    <w:p w14:paraId="3F4F67C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Fredrickson, B. L. (1998). What good are positive emotions? </w:t>
      </w:r>
      <w:r w:rsidRPr="00E6060C">
        <w:rPr>
          <w:rFonts w:ascii="Calibri" w:eastAsia="Calibri" w:hAnsi="Calibri" w:cs="Times New Roman"/>
          <w:i/>
          <w:iCs/>
          <w:lang w:eastAsia="en-GB"/>
        </w:rPr>
        <w:t>Review of general psychology, 2</w:t>
      </w:r>
      <w:r w:rsidRPr="00E6060C">
        <w:rPr>
          <w:rFonts w:ascii="Calibri" w:eastAsia="Calibri" w:hAnsi="Calibri" w:cs="Times New Roman"/>
          <w:lang w:eastAsia="en-GB"/>
        </w:rPr>
        <w:t xml:space="preserve">(3), 300. </w:t>
      </w:r>
    </w:p>
    <w:p w14:paraId="644CEA19"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Fredrickson, B. L. (2001). The role of positive emotions in positive psychology - The broaden-and-build theory of positive emotions. </w:t>
      </w:r>
      <w:r w:rsidRPr="00E6060C">
        <w:rPr>
          <w:rFonts w:ascii="Calibri" w:eastAsia="Calibri" w:hAnsi="Calibri" w:cs="Times New Roman"/>
          <w:i/>
          <w:iCs/>
          <w:lang w:eastAsia="en-GB"/>
        </w:rPr>
        <w:t>American Psychologist, 56</w:t>
      </w:r>
      <w:r w:rsidRPr="00E6060C">
        <w:rPr>
          <w:rFonts w:ascii="Calibri" w:eastAsia="Calibri" w:hAnsi="Calibri" w:cs="Times New Roman"/>
          <w:lang w:eastAsia="en-GB"/>
        </w:rPr>
        <w:t>(3), 218-226. doi: 10.1037/0003-066x.56.3.218</w:t>
      </w:r>
    </w:p>
    <w:p w14:paraId="75BDB2BF" w14:textId="0A97D87F"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bCs/>
        </w:rPr>
        <w:t>Gagné</w:t>
      </w:r>
      <w:r w:rsidRPr="00E6060C">
        <w:rPr>
          <w:rFonts w:ascii="Calibri" w:eastAsia="Calibri" w:hAnsi="Calibri" w:cs="Times New Roman"/>
          <w:lang w:eastAsia="en-GB"/>
        </w:rPr>
        <w:t xml:space="preserve">, M., &amp; Deci, E. L. (2005). </w:t>
      </w:r>
      <w:r w:rsidR="00C17CB1">
        <w:rPr>
          <w:rFonts w:ascii="Calibri" w:eastAsia="Calibri" w:hAnsi="Calibri" w:cs="Times New Roman"/>
          <w:lang w:eastAsia="en-GB"/>
        </w:rPr>
        <w:t>Self-determination theory</w:t>
      </w:r>
      <w:r w:rsidRPr="00E6060C">
        <w:rPr>
          <w:rFonts w:ascii="Calibri" w:eastAsia="Calibri" w:hAnsi="Calibri" w:cs="Times New Roman"/>
          <w:lang w:eastAsia="en-GB"/>
        </w:rPr>
        <w:t xml:space="preserve"> and work motivation. </w:t>
      </w:r>
      <w:r w:rsidRPr="00E6060C">
        <w:rPr>
          <w:rFonts w:ascii="Calibri" w:eastAsia="Calibri" w:hAnsi="Calibri" w:cs="Times New Roman"/>
          <w:i/>
          <w:iCs/>
          <w:lang w:eastAsia="en-GB"/>
        </w:rPr>
        <w:t>Journal of Organisational Behavior, 26</w:t>
      </w:r>
      <w:r w:rsidRPr="00E6060C">
        <w:rPr>
          <w:rFonts w:ascii="Calibri" w:eastAsia="Calibri" w:hAnsi="Calibri" w:cs="Times New Roman"/>
          <w:lang w:eastAsia="en-GB"/>
        </w:rPr>
        <w:t>(4), 331-362. doi: 10.1002/job.322</w:t>
      </w:r>
    </w:p>
    <w:p w14:paraId="097F3849"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Ganster, D. C., &amp; Rosen, C. C. (2013). Work stress and employee health A multidisciplinary review. </w:t>
      </w:r>
      <w:r w:rsidRPr="00E6060C">
        <w:rPr>
          <w:rFonts w:ascii="Calibri" w:eastAsia="Calibri" w:hAnsi="Calibri" w:cs="Calibri"/>
          <w:i/>
          <w:iCs/>
        </w:rPr>
        <w:t>Journal of Management</w:t>
      </w:r>
      <w:r w:rsidRPr="00E6060C">
        <w:rPr>
          <w:rFonts w:ascii="Calibri" w:eastAsia="Calibri" w:hAnsi="Calibri" w:cs="Calibri"/>
        </w:rPr>
        <w:t xml:space="preserve">, </w:t>
      </w:r>
      <w:r w:rsidRPr="00E6060C">
        <w:rPr>
          <w:rFonts w:ascii="Calibri" w:eastAsia="Calibri" w:hAnsi="Calibri" w:cs="Calibri"/>
          <w:i/>
        </w:rPr>
        <w:t>39</w:t>
      </w:r>
      <w:r w:rsidRPr="00E6060C">
        <w:rPr>
          <w:rFonts w:ascii="Calibri" w:eastAsia="Calibri" w:hAnsi="Calibri" w:cs="Calibri"/>
        </w:rPr>
        <w:t>(5), 1085-1122. DOI: 10.1177/0149206313475815</w:t>
      </w:r>
    </w:p>
    <w:p w14:paraId="709EF566"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Goldberg, D., &amp; Williams, P. (1991). </w:t>
      </w:r>
      <w:r w:rsidRPr="00E6060C">
        <w:rPr>
          <w:rFonts w:ascii="Calibri" w:eastAsia="Calibri" w:hAnsi="Calibri" w:cs="Calibri"/>
          <w:i/>
          <w:iCs/>
        </w:rPr>
        <w:t>A user’s guide to the general health questionnaire</w:t>
      </w:r>
      <w:r w:rsidRPr="00E6060C">
        <w:rPr>
          <w:rFonts w:ascii="Calibri" w:eastAsia="Calibri" w:hAnsi="Calibri" w:cs="Calibri"/>
        </w:rPr>
        <w:t>. Windsor, UK: NFER-Nelson.</w:t>
      </w:r>
    </w:p>
    <w:p w14:paraId="1D3942B1" w14:textId="3CFCCBF8"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lastRenderedPageBreak/>
        <w:t xml:space="preserve">Grayson, D. (2004). Some myths and legends in quantitative psychology. </w:t>
      </w:r>
      <w:r w:rsidRPr="00E6060C">
        <w:rPr>
          <w:rFonts w:ascii="Calibri" w:eastAsia="Calibri" w:hAnsi="Calibri" w:cs="Calibri"/>
          <w:i/>
          <w:iCs/>
        </w:rPr>
        <w:t>Understanding Statistics</w:t>
      </w:r>
      <w:r w:rsidR="0079494E">
        <w:rPr>
          <w:rFonts w:ascii="Calibri" w:eastAsia="Calibri" w:hAnsi="Calibri" w:cs="Calibri"/>
        </w:rPr>
        <w:t>,</w:t>
      </w:r>
      <w:r w:rsidRPr="00E6060C">
        <w:rPr>
          <w:rFonts w:ascii="Calibri" w:eastAsia="Calibri" w:hAnsi="Calibri" w:cs="Calibri"/>
        </w:rPr>
        <w:t xml:space="preserve"> </w:t>
      </w:r>
      <w:r w:rsidRPr="0079494E">
        <w:rPr>
          <w:rFonts w:ascii="Calibri" w:eastAsia="Calibri" w:hAnsi="Calibri" w:cs="Calibri"/>
          <w:i/>
        </w:rPr>
        <w:t>3</w:t>
      </w:r>
      <w:r w:rsidRPr="00E6060C">
        <w:rPr>
          <w:rFonts w:ascii="Calibri" w:eastAsia="Calibri" w:hAnsi="Calibri" w:cs="Calibri"/>
        </w:rPr>
        <w:t>(1), 104-134.</w:t>
      </w:r>
    </w:p>
    <w:p w14:paraId="7D987956" w14:textId="5BCF4C04" w:rsidR="00390C54" w:rsidRPr="00F56D74" w:rsidRDefault="00390C54" w:rsidP="00390C54">
      <w:pPr>
        <w:spacing w:line="360" w:lineRule="auto"/>
        <w:ind w:left="426" w:hanging="426"/>
        <w:contextualSpacing/>
        <w:rPr>
          <w:rFonts w:eastAsia="Times New Roman" w:cs="Times New Roman"/>
          <w:lang w:eastAsia="en-GB"/>
        </w:rPr>
      </w:pPr>
      <w:r w:rsidRPr="00F56D74">
        <w:rPr>
          <w:rFonts w:eastAsia="Times New Roman" w:cs="Times New Roman"/>
          <w:lang w:eastAsia="en-GB"/>
        </w:rPr>
        <w:t>Griffin,</w:t>
      </w:r>
      <w:r>
        <w:rPr>
          <w:rFonts w:eastAsia="Times New Roman" w:cs="Times New Roman"/>
          <w:lang w:eastAsia="en-GB"/>
        </w:rPr>
        <w:t xml:space="preserve"> M. M.</w:t>
      </w:r>
      <w:r w:rsidRPr="00F56D74">
        <w:rPr>
          <w:rFonts w:eastAsia="Times New Roman" w:cs="Times New Roman"/>
          <w:lang w:eastAsia="en-GB"/>
        </w:rPr>
        <w:t xml:space="preserve"> </w:t>
      </w:r>
      <w:r>
        <w:rPr>
          <w:rFonts w:eastAsia="Times New Roman" w:cs="Times New Roman"/>
          <w:lang w:eastAsia="en-GB"/>
        </w:rPr>
        <w:t>(</w:t>
      </w:r>
      <w:r w:rsidRPr="00F56D74">
        <w:rPr>
          <w:rFonts w:eastAsia="Times New Roman" w:cs="Times New Roman"/>
          <w:lang w:eastAsia="en-GB"/>
        </w:rPr>
        <w:t>2009</w:t>
      </w:r>
      <w:r>
        <w:rPr>
          <w:rFonts w:eastAsia="Times New Roman" w:cs="Times New Roman"/>
          <w:lang w:eastAsia="en-GB"/>
        </w:rPr>
        <w:t xml:space="preserve">). </w:t>
      </w:r>
      <w:r w:rsidRPr="00372814">
        <w:rPr>
          <w:rFonts w:eastAsia="Times New Roman" w:cs="Times New Roman"/>
          <w:i/>
          <w:lang w:eastAsia="en-GB"/>
        </w:rPr>
        <w:t>Implementing an automated manag</w:t>
      </w:r>
      <w:r w:rsidR="00AD2512">
        <w:rPr>
          <w:rFonts w:eastAsia="Times New Roman" w:cs="Times New Roman"/>
          <w:i/>
          <w:lang w:eastAsia="en-GB"/>
        </w:rPr>
        <w:t>ement by objectives dashboard: I</w:t>
      </w:r>
      <w:r w:rsidRPr="00372814">
        <w:rPr>
          <w:rFonts w:eastAsia="Times New Roman" w:cs="Times New Roman"/>
          <w:i/>
          <w:lang w:eastAsia="en-GB"/>
        </w:rPr>
        <w:t>ncreasing organizational capability and revenue using large group intervention technology</w:t>
      </w:r>
      <w:r w:rsidR="00E17437">
        <w:rPr>
          <w:rFonts w:eastAsia="Times New Roman" w:cs="Times New Roman"/>
          <w:lang w:eastAsia="en-GB"/>
        </w:rPr>
        <w:t>. (Doctoral</w:t>
      </w:r>
      <w:r>
        <w:rPr>
          <w:rFonts w:eastAsia="Times New Roman" w:cs="Times New Roman"/>
          <w:lang w:eastAsia="en-GB"/>
        </w:rPr>
        <w:t xml:space="preserve"> thesis), Benedictine University, Lille, Illinois, USA.</w:t>
      </w:r>
    </w:p>
    <w:p w14:paraId="38C044DC"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Griffiths, A. (1999). Organisational interventions: Facing the limits of the natural science paradigm. </w:t>
      </w:r>
      <w:r w:rsidRPr="00E6060C">
        <w:rPr>
          <w:rFonts w:ascii="Calibri" w:eastAsia="Calibri" w:hAnsi="Calibri" w:cs="Times New Roman"/>
          <w:i/>
          <w:iCs/>
          <w:lang w:eastAsia="en-GB"/>
        </w:rPr>
        <w:t>Scandinavian journal of work, environment &amp; health</w:t>
      </w:r>
      <w:r w:rsidRPr="00E6060C">
        <w:rPr>
          <w:rFonts w:ascii="Calibri" w:eastAsia="Calibri" w:hAnsi="Calibri" w:cs="Times New Roman"/>
          <w:lang w:eastAsia="en-GB"/>
        </w:rPr>
        <w:t xml:space="preserve">, 589-596. </w:t>
      </w:r>
    </w:p>
    <w:p w14:paraId="431E8D7B" w14:textId="081D8AB2"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bCs/>
          <w:iCs/>
        </w:rPr>
        <w:t xml:space="preserve">Guest, D. E., Isaksson, K., &amp; de Witte, H. (2010). </w:t>
      </w:r>
      <w:r w:rsidRPr="00E6060C">
        <w:rPr>
          <w:rFonts w:ascii="Calibri" w:eastAsia="Calibri" w:hAnsi="Calibri" w:cs="Times New Roman"/>
          <w:iCs/>
        </w:rPr>
        <w:t xml:space="preserve">Employment contracts, psychological contracts, and worker </w:t>
      </w:r>
      <w:r w:rsidR="001D6140">
        <w:rPr>
          <w:rFonts w:ascii="Calibri" w:eastAsia="Calibri" w:hAnsi="Calibri" w:cs="Times New Roman"/>
          <w:iCs/>
        </w:rPr>
        <w:t>well-being</w:t>
      </w:r>
      <w:r w:rsidRPr="00E6060C">
        <w:rPr>
          <w:rFonts w:ascii="Calibri" w:eastAsia="Calibri" w:hAnsi="Calibri" w:cs="Times New Roman"/>
          <w:iCs/>
        </w:rPr>
        <w:t>. Oxford, New York. Oxford University Press.</w:t>
      </w:r>
    </w:p>
    <w:p w14:paraId="39AA93AA" w14:textId="77777777" w:rsidR="00D229C1" w:rsidRPr="00D229C1" w:rsidRDefault="00D229C1" w:rsidP="00D229C1">
      <w:pPr>
        <w:spacing w:line="360" w:lineRule="auto"/>
        <w:ind w:left="426" w:hanging="426"/>
        <w:contextualSpacing/>
        <w:rPr>
          <w:rFonts w:ascii="Calibri" w:eastAsia="Calibri" w:hAnsi="Calibri" w:cs="Times New Roman"/>
          <w:lang w:eastAsia="en-GB"/>
        </w:rPr>
      </w:pPr>
      <w:r w:rsidRPr="00D229C1">
        <w:rPr>
          <w:rFonts w:ascii="Calibri" w:eastAsia="Calibri" w:hAnsi="Calibri" w:cs="Times New Roman"/>
          <w:lang w:eastAsia="en-GB"/>
        </w:rPr>
        <w:t xml:space="preserve">Hackman, J. R. (2009). The perils of positivity. </w:t>
      </w:r>
      <w:r w:rsidRPr="00D229C1">
        <w:rPr>
          <w:rFonts w:ascii="Calibri" w:eastAsia="Calibri" w:hAnsi="Calibri" w:cs="Times New Roman"/>
          <w:i/>
          <w:iCs/>
          <w:lang w:eastAsia="en-GB"/>
        </w:rPr>
        <w:t>Journal of Organizational Behavior</w:t>
      </w:r>
      <w:r w:rsidRPr="00D229C1">
        <w:rPr>
          <w:rFonts w:ascii="Calibri" w:eastAsia="Calibri" w:hAnsi="Calibri" w:cs="Times New Roman"/>
          <w:lang w:eastAsia="en-GB"/>
        </w:rPr>
        <w:t xml:space="preserve">, </w:t>
      </w:r>
      <w:r w:rsidRPr="00D229C1">
        <w:rPr>
          <w:rFonts w:ascii="Calibri" w:eastAsia="Calibri" w:hAnsi="Calibri" w:cs="Times New Roman"/>
          <w:i/>
          <w:iCs/>
          <w:lang w:eastAsia="en-GB"/>
        </w:rPr>
        <w:t>30</w:t>
      </w:r>
      <w:r w:rsidRPr="00D229C1">
        <w:rPr>
          <w:rFonts w:ascii="Calibri" w:eastAsia="Calibri" w:hAnsi="Calibri" w:cs="Times New Roman"/>
          <w:lang w:eastAsia="en-GB"/>
        </w:rPr>
        <w:t>(2), 309-319.</w:t>
      </w:r>
    </w:p>
    <w:p w14:paraId="06266E32" w14:textId="1CEE45DA" w:rsidR="00E6060C" w:rsidRPr="00E6060C" w:rsidRDefault="00E6060C" w:rsidP="00D229C1">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sv-SE" w:eastAsia="en-GB"/>
        </w:rPr>
        <w:t xml:space="preserve">Hackman, J. R., &amp; Oldham, G. R. (1980). </w:t>
      </w:r>
      <w:r w:rsidRPr="00E6060C">
        <w:rPr>
          <w:rFonts w:ascii="Calibri" w:eastAsia="Calibri" w:hAnsi="Calibri" w:cs="Times New Roman"/>
          <w:lang w:eastAsia="en-GB"/>
        </w:rPr>
        <w:t>Work redesign. Reading, MA: Addison-Wesley.</w:t>
      </w:r>
    </w:p>
    <w:p w14:paraId="0B5E24B9"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Hair, J. F., Black, W. C., Babin, B. J., &amp; Anderson, R. E. (2010). Multivariate Data Analysis A Globe Perspective. London: Pearson.</w:t>
      </w:r>
    </w:p>
    <w:p w14:paraId="35B3754B"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Hakanen, J. J., Bakker, A. B., &amp; Demerouti, E. (2005). </w:t>
      </w:r>
      <w:r w:rsidRPr="00E6060C">
        <w:rPr>
          <w:rFonts w:ascii="Calibri" w:eastAsia="Calibri" w:hAnsi="Calibri" w:cs="Times New Roman"/>
          <w:lang w:eastAsia="en-GB"/>
        </w:rPr>
        <w:t xml:space="preserve">How dentists cope with their job demands and stay engaged: The moderating role of job resources. </w:t>
      </w:r>
      <w:r w:rsidRPr="00E6060C">
        <w:rPr>
          <w:rFonts w:ascii="Calibri" w:eastAsia="Calibri" w:hAnsi="Calibri" w:cs="Times New Roman"/>
          <w:i/>
          <w:iCs/>
          <w:lang w:eastAsia="en-GB"/>
        </w:rPr>
        <w:t>European Journal of Oral Sciences, 113</w:t>
      </w:r>
      <w:r w:rsidRPr="00E6060C">
        <w:rPr>
          <w:rFonts w:ascii="Calibri" w:eastAsia="Calibri" w:hAnsi="Calibri" w:cs="Times New Roman"/>
          <w:lang w:eastAsia="en-GB"/>
        </w:rPr>
        <w:t>(6), 479-487. doi: 10.1111/j.1600-0722.2005.00250.x</w:t>
      </w:r>
    </w:p>
    <w:p w14:paraId="40A79EE7"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Hakanan, J. J., &amp; Roodt, G. (2010). Using the job demands-resources model to predict engagement: Analysing a conceptual model. In A. B. Bakker &amp; M. P. Leiter (Eds.), </w:t>
      </w:r>
      <w:r w:rsidRPr="00E6060C">
        <w:rPr>
          <w:rFonts w:ascii="Calibri" w:eastAsia="Calibri" w:hAnsi="Calibri" w:cs="Times New Roman"/>
          <w:i/>
          <w:iCs/>
          <w:lang w:eastAsia="en-GB"/>
        </w:rPr>
        <w:t>Work Engagement: A Handbook of Essential Theory and Practice</w:t>
      </w:r>
      <w:r w:rsidRPr="00E6060C">
        <w:rPr>
          <w:rFonts w:ascii="Calibri" w:eastAsia="Calibri" w:hAnsi="Calibri" w:cs="Times New Roman"/>
          <w:lang w:eastAsia="en-GB"/>
        </w:rPr>
        <w:t xml:space="preserve"> (pp. 85-101): Psychology Press.</w:t>
      </w:r>
    </w:p>
    <w:p w14:paraId="7987E9E4" w14:textId="13B42813" w:rsidR="00E6060C" w:rsidRPr="00E6060C" w:rsidRDefault="00E6060C" w:rsidP="00E6060C">
      <w:pPr>
        <w:spacing w:line="360" w:lineRule="auto"/>
        <w:ind w:left="426" w:hanging="426"/>
        <w:contextualSpacing/>
        <w:rPr>
          <w:rFonts w:ascii="Calibri" w:eastAsia="SimSun" w:hAnsi="Calibri" w:cs="Times New Roman"/>
          <w:lang w:val="sv-SE" w:eastAsia="en-GB"/>
        </w:rPr>
      </w:pPr>
      <w:r w:rsidRPr="00E6060C">
        <w:rPr>
          <w:rFonts w:ascii="Calibri" w:eastAsia="SimSun" w:hAnsi="Calibri" w:cs="Times New Roman"/>
          <w:lang w:eastAsia="en-GB"/>
        </w:rPr>
        <w:t>Hakanan, J. J., Schaufeli, W.</w:t>
      </w:r>
      <w:r w:rsidR="00E850E2">
        <w:rPr>
          <w:rFonts w:ascii="Calibri" w:eastAsia="SimSun" w:hAnsi="Calibri" w:cs="Times New Roman"/>
          <w:lang w:eastAsia="en-GB"/>
        </w:rPr>
        <w:t xml:space="preserve"> B.,  &amp; Ahola. K.  (2008). The job demands-r</w:t>
      </w:r>
      <w:r w:rsidRPr="00E6060C">
        <w:rPr>
          <w:rFonts w:ascii="Calibri" w:eastAsia="SimSun" w:hAnsi="Calibri" w:cs="Times New Roman"/>
          <w:lang w:eastAsia="en-GB"/>
        </w:rPr>
        <w:t xml:space="preserve">esources model: A three-year cross-lagged study of burnout, depression, commitment, and work engagement. </w:t>
      </w:r>
      <w:r w:rsidRPr="00E6060C">
        <w:rPr>
          <w:rFonts w:ascii="Calibri" w:eastAsia="SimSun" w:hAnsi="Calibri" w:cs="Times New Roman"/>
          <w:i/>
          <w:iCs/>
          <w:lang w:val="sv-SE" w:eastAsia="en-GB"/>
        </w:rPr>
        <w:t>Work &amp; Stress, 22</w:t>
      </w:r>
      <w:r w:rsidRPr="00E6060C">
        <w:rPr>
          <w:rFonts w:ascii="Calibri" w:eastAsia="SimSun" w:hAnsi="Calibri" w:cs="Times New Roman"/>
          <w:lang w:val="sv-SE" w:eastAsia="en-GB"/>
        </w:rPr>
        <w:t>(3), 224-241. doi: 10.1080/02678370802379432</w:t>
      </w:r>
    </w:p>
    <w:p w14:paraId="6E24D832" w14:textId="2622C730"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Hakanen, J. J., Schaufeli, W. B.,&amp;  Taris (2008). The </w:t>
      </w:r>
      <w:r w:rsidR="00E850E2">
        <w:rPr>
          <w:rFonts w:ascii="Calibri" w:eastAsia="Calibri" w:hAnsi="Calibri" w:cs="Times New Roman"/>
          <w:lang w:eastAsia="en-GB"/>
        </w:rPr>
        <w:t>job demands-r</w:t>
      </w:r>
      <w:r w:rsidRPr="00E6060C">
        <w:rPr>
          <w:rFonts w:ascii="Calibri" w:eastAsia="Calibri" w:hAnsi="Calibri" w:cs="Times New Roman"/>
          <w:lang w:eastAsia="en-GB"/>
        </w:rPr>
        <w:t xml:space="preserve">esources model: A three-year cross-lagged study of burnout, depression, commitment, and work engagement. </w:t>
      </w:r>
      <w:r w:rsidRPr="00E6060C">
        <w:rPr>
          <w:rFonts w:ascii="Calibri" w:eastAsia="Calibri" w:hAnsi="Calibri" w:cs="Times New Roman"/>
          <w:i/>
          <w:iCs/>
          <w:lang w:eastAsia="en-GB"/>
        </w:rPr>
        <w:t>Work &amp; Stress, 22</w:t>
      </w:r>
      <w:r w:rsidRPr="00E6060C">
        <w:rPr>
          <w:rFonts w:ascii="Calibri" w:eastAsia="Calibri" w:hAnsi="Calibri" w:cs="Times New Roman"/>
          <w:lang w:eastAsia="en-GB"/>
        </w:rPr>
        <w:t>(3), 224-241. doi: 10.1080/02678370802379432</w:t>
      </w:r>
    </w:p>
    <w:p w14:paraId="1686E67C"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Hakanen, J. J., &amp; Schaufeli, W. B. (2012). Do burnout and work engagement predict depressive symptoms and life satisfaction? A three-wave seven-year prospective study. </w:t>
      </w:r>
      <w:r w:rsidRPr="00E6060C">
        <w:rPr>
          <w:rFonts w:ascii="Calibri" w:eastAsia="Calibri" w:hAnsi="Calibri" w:cs="Times New Roman"/>
          <w:i/>
          <w:iCs/>
          <w:lang w:eastAsia="en-GB"/>
        </w:rPr>
        <w:t>Journal of Affective Disorders, 141</w:t>
      </w:r>
      <w:r w:rsidRPr="00E6060C">
        <w:rPr>
          <w:rFonts w:ascii="Calibri" w:eastAsia="Calibri" w:hAnsi="Calibri" w:cs="Times New Roman"/>
          <w:lang w:eastAsia="en-GB"/>
        </w:rPr>
        <w:t>(2-3), 415-424. doi: 10.1016/j.jad.2012.02.043</w:t>
      </w:r>
    </w:p>
    <w:p w14:paraId="5044E15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Halbesleben, J. B. (2010). A meta-analysis of work engagement: relationships with burnout, demands, resources, and consequences. In A. B. Bakker &amp; M. P. Leiter (Eds.), </w:t>
      </w:r>
      <w:r w:rsidRPr="00E6060C">
        <w:rPr>
          <w:rFonts w:ascii="Calibri" w:eastAsia="Calibri" w:hAnsi="Calibri" w:cs="Times New Roman"/>
          <w:i/>
          <w:iCs/>
          <w:lang w:eastAsia="en-GB"/>
        </w:rPr>
        <w:t>Work Engagement: A Handbook of Essential Theory and Research</w:t>
      </w:r>
      <w:r w:rsidRPr="00E6060C">
        <w:rPr>
          <w:rFonts w:ascii="Calibri" w:eastAsia="Calibri" w:hAnsi="Calibri" w:cs="Times New Roman"/>
          <w:lang w:eastAsia="en-GB"/>
        </w:rPr>
        <w:t xml:space="preserve"> (pp. 102-117). Psychology Press.</w:t>
      </w:r>
    </w:p>
    <w:p w14:paraId="7D8491BA"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Harder, J. W. (1992). Play for pay: Effects of inequity in a pay-for-performance context. </w:t>
      </w:r>
      <w:r w:rsidRPr="00E6060C">
        <w:rPr>
          <w:rFonts w:ascii="Calibri" w:eastAsia="Calibri" w:hAnsi="Calibri" w:cs="Times New Roman"/>
          <w:i/>
          <w:iCs/>
          <w:lang w:eastAsia="en-GB"/>
        </w:rPr>
        <w:t>Administrative Science Quarterly</w:t>
      </w:r>
      <w:r w:rsidRPr="00E6060C">
        <w:rPr>
          <w:rFonts w:ascii="Calibri" w:eastAsia="Calibri" w:hAnsi="Calibri" w:cs="Times New Roman"/>
          <w:lang w:eastAsia="en-GB"/>
        </w:rPr>
        <w:t xml:space="preserve">, 321-335. </w:t>
      </w:r>
    </w:p>
    <w:p w14:paraId="61D77A57"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lastRenderedPageBreak/>
        <w:t xml:space="preserve">Haslam, S. A., Jetten, J., Postmes, T., and Haslam, C. (2009). Social identity, health and well-being: An emerging agenda for applied psychology. </w:t>
      </w:r>
      <w:r w:rsidRPr="00E6060C">
        <w:rPr>
          <w:rFonts w:ascii="Calibri" w:eastAsia="Calibri" w:hAnsi="Calibri" w:cs="Times New Roman"/>
          <w:i/>
          <w:iCs/>
        </w:rPr>
        <w:t xml:space="preserve">Applied Psychology: An International Review, </w:t>
      </w:r>
      <w:r w:rsidRPr="00E6060C">
        <w:rPr>
          <w:rFonts w:ascii="Calibri" w:eastAsia="Calibri" w:hAnsi="Calibri" w:cs="Times New Roman"/>
          <w:i/>
        </w:rPr>
        <w:t>58(1)</w:t>
      </w:r>
      <w:r w:rsidRPr="00E6060C">
        <w:rPr>
          <w:rFonts w:ascii="Calibri" w:eastAsia="Calibri" w:hAnsi="Calibri" w:cs="Times New Roman"/>
        </w:rPr>
        <w:t>, 1–23.</w:t>
      </w:r>
    </w:p>
    <w:p w14:paraId="227D397E" w14:textId="77777777" w:rsidR="00E6060C" w:rsidRPr="00E6060C" w:rsidRDefault="00E6060C" w:rsidP="00E6060C">
      <w:pPr>
        <w:spacing w:line="360" w:lineRule="auto"/>
        <w:ind w:left="426" w:hanging="426"/>
        <w:contextualSpacing/>
        <w:rPr>
          <w:rFonts w:ascii="Calibri" w:eastAsia="Calibri" w:hAnsi="Calibri" w:cs="Times New Roman"/>
          <w:lang w:val="sv-SE" w:eastAsia="en-GB"/>
        </w:rPr>
      </w:pPr>
      <w:r w:rsidRPr="00E6060C">
        <w:rPr>
          <w:rFonts w:ascii="Calibri" w:eastAsia="Calibri" w:hAnsi="Calibri" w:cs="Times New Roman"/>
          <w:lang w:val="sv-SE" w:eastAsia="en-GB"/>
        </w:rPr>
        <w:t xml:space="preserve">Hatinen, M., Kinnunen, U., Pekkonen, M., &amp; Kalimo, R. (2007). Comparing two burnout interventions: Perceived job control mediates decreases in burnout. </w:t>
      </w:r>
      <w:r w:rsidRPr="00E6060C">
        <w:rPr>
          <w:rFonts w:ascii="Calibri" w:eastAsia="Calibri" w:hAnsi="Calibri" w:cs="Times New Roman"/>
          <w:i/>
          <w:lang w:val="sv-SE" w:eastAsia="en-GB"/>
        </w:rPr>
        <w:t>International Journal of Stress Management, 14,</w:t>
      </w:r>
      <w:r w:rsidRPr="00E6060C">
        <w:rPr>
          <w:rFonts w:ascii="Calibri" w:eastAsia="Calibri" w:hAnsi="Calibri" w:cs="Times New Roman"/>
          <w:lang w:val="sv-SE" w:eastAsia="en-GB"/>
        </w:rPr>
        <w:t xml:space="preserve"> 227-248.</w:t>
      </w:r>
    </w:p>
    <w:p w14:paraId="3913611A"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Hayes, A. F. (2013). </w:t>
      </w:r>
      <w:r w:rsidRPr="00E6060C">
        <w:rPr>
          <w:rFonts w:ascii="Calibri" w:eastAsia="Calibri" w:hAnsi="Calibri" w:cs="Times New Roman"/>
          <w:i/>
          <w:iCs/>
        </w:rPr>
        <w:t>Introduction to Mediation, Moderation and Conditional Process Analysis A Regression-Based Approach</w:t>
      </w:r>
      <w:r w:rsidRPr="00E6060C">
        <w:rPr>
          <w:rFonts w:ascii="Calibri" w:eastAsia="Calibri" w:hAnsi="Calibri" w:cs="Times New Roman"/>
        </w:rPr>
        <w:t>. London: Guilford Press.</w:t>
      </w:r>
    </w:p>
    <w:p w14:paraId="3781037A"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sv-SE" w:eastAsia="en-GB"/>
        </w:rPr>
        <w:t xml:space="preserve">Haynes, C. E., Wall, T. D., Bolden, R. I., &amp; Stride, C. (1999). </w:t>
      </w:r>
      <w:r w:rsidRPr="00E6060C">
        <w:rPr>
          <w:rFonts w:ascii="Calibri" w:eastAsia="Calibri" w:hAnsi="Calibri" w:cs="Times New Roman"/>
          <w:lang w:eastAsia="en-GB"/>
        </w:rPr>
        <w:t xml:space="preserve">Measures of perceived work characteristics for health services research: Test of a measurement model and normative data. </w:t>
      </w:r>
      <w:r w:rsidRPr="00E6060C">
        <w:rPr>
          <w:rFonts w:ascii="Calibri" w:eastAsia="Calibri" w:hAnsi="Calibri" w:cs="Times New Roman"/>
          <w:i/>
          <w:iCs/>
          <w:lang w:eastAsia="en-GB"/>
        </w:rPr>
        <w:t>British Journal of Health Psychology, 4</w:t>
      </w:r>
      <w:r w:rsidRPr="00E6060C">
        <w:rPr>
          <w:rFonts w:ascii="Calibri" w:eastAsia="Calibri" w:hAnsi="Calibri" w:cs="Times New Roman"/>
          <w:lang w:eastAsia="en-GB"/>
        </w:rPr>
        <w:t>, 257-275. doi: 10.1348/135910799168614</w:t>
      </w:r>
    </w:p>
    <w:p w14:paraId="6B6F41C6" w14:textId="295E4AB4"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Hedges, L. V. (1992). Modeling publication selection effects in meta-analysis. </w:t>
      </w:r>
      <w:r w:rsidRPr="00E6060C">
        <w:rPr>
          <w:rFonts w:ascii="Calibri" w:eastAsia="Calibri" w:hAnsi="Calibri" w:cs="Times New Roman"/>
          <w:i/>
          <w:iCs/>
        </w:rPr>
        <w:t>Statistical Science</w:t>
      </w:r>
      <w:r w:rsidRPr="00E6060C">
        <w:rPr>
          <w:rFonts w:ascii="Calibri" w:eastAsia="Calibri" w:hAnsi="Calibri" w:cs="Times New Roman"/>
        </w:rPr>
        <w:t xml:space="preserve"> , </w:t>
      </w:r>
      <w:r w:rsidRPr="00E6060C">
        <w:rPr>
          <w:rFonts w:ascii="Calibri" w:eastAsia="Calibri" w:hAnsi="Calibri" w:cs="Times New Roman"/>
          <w:i/>
        </w:rPr>
        <w:t>7</w:t>
      </w:r>
      <w:r w:rsidRPr="00E6060C">
        <w:rPr>
          <w:rFonts w:ascii="Calibri" w:eastAsia="Calibri" w:hAnsi="Calibri" w:cs="Times New Roman"/>
        </w:rPr>
        <w:t>, 246-255.</w:t>
      </w:r>
    </w:p>
    <w:p w14:paraId="1F0F3FC4" w14:textId="77777777" w:rsidR="00294B34" w:rsidRPr="00C53B72" w:rsidRDefault="00294B34" w:rsidP="00294B34">
      <w:pPr>
        <w:spacing w:line="360" w:lineRule="auto"/>
        <w:ind w:left="426" w:hanging="426"/>
        <w:contextualSpacing/>
      </w:pPr>
      <w:r>
        <w:t>**</w:t>
      </w:r>
      <w:r w:rsidRPr="00920550">
        <w:t xml:space="preserve">Hengel, K. M. O., Blatter, B. M., Joling, C. I., van der Beek, A. J., &amp; Bongers, P. M. (2012). Effectiveness of an intervention at construction worksites on work engagement, social support, physical workload, and need for recovery: results from a cluster randomized controlled trial. </w:t>
      </w:r>
      <w:r w:rsidRPr="00920550">
        <w:rPr>
          <w:i/>
          <w:iCs/>
        </w:rPr>
        <w:t>BMC Public Health</w:t>
      </w:r>
      <w:r w:rsidRPr="00920550">
        <w:t xml:space="preserve">, </w:t>
      </w:r>
      <w:r w:rsidRPr="00920550">
        <w:rPr>
          <w:i/>
          <w:iCs/>
        </w:rPr>
        <w:t>12</w:t>
      </w:r>
      <w:r>
        <w:t>(1), 1008</w:t>
      </w:r>
    </w:p>
    <w:p w14:paraId="49944491"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Herzberg, F. I. (1966). </w:t>
      </w:r>
      <w:r w:rsidRPr="00E6060C">
        <w:rPr>
          <w:rFonts w:ascii="Calibri" w:eastAsia="Calibri" w:hAnsi="Calibri" w:cs="Times New Roman"/>
          <w:i/>
          <w:lang w:eastAsia="en-GB"/>
        </w:rPr>
        <w:t>Work and the Nature of Man</w:t>
      </w:r>
      <w:r w:rsidRPr="00E6060C">
        <w:rPr>
          <w:rFonts w:ascii="Calibri" w:eastAsia="Calibri" w:hAnsi="Calibri" w:cs="Times New Roman"/>
          <w:lang w:eastAsia="en-GB"/>
        </w:rPr>
        <w:t>. Oxford, England: World.</w:t>
      </w:r>
    </w:p>
    <w:p w14:paraId="2E772D7D" w14:textId="7ED0D7AD" w:rsidR="005134D9" w:rsidRDefault="005134D9" w:rsidP="00E6060C">
      <w:pPr>
        <w:spacing w:line="360" w:lineRule="auto"/>
        <w:ind w:left="426" w:hanging="426"/>
        <w:contextualSpacing/>
        <w:rPr>
          <w:rFonts w:ascii="Calibri" w:eastAsia="Calibri" w:hAnsi="Calibri" w:cs="Times New Roman"/>
        </w:rPr>
      </w:pPr>
      <w:r w:rsidRPr="005134D9">
        <w:rPr>
          <w:rFonts w:ascii="Calibri" w:eastAsia="Calibri" w:hAnsi="Calibri" w:cs="Times New Roman"/>
        </w:rPr>
        <w:t>Higgins</w:t>
      </w:r>
      <w:r>
        <w:rPr>
          <w:rFonts w:ascii="Calibri" w:eastAsia="Calibri" w:hAnsi="Calibri" w:cs="Times New Roman"/>
        </w:rPr>
        <w:t>,</w:t>
      </w:r>
      <w:r w:rsidRPr="005134D9">
        <w:rPr>
          <w:rFonts w:ascii="Calibri" w:eastAsia="Calibri" w:hAnsi="Calibri" w:cs="Times New Roman"/>
        </w:rPr>
        <w:t xml:space="preserve"> J</w:t>
      </w:r>
      <w:r>
        <w:rPr>
          <w:rFonts w:ascii="Calibri" w:eastAsia="Calibri" w:hAnsi="Calibri" w:cs="Times New Roman"/>
        </w:rPr>
        <w:t xml:space="preserve">. </w:t>
      </w:r>
      <w:r w:rsidRPr="005134D9">
        <w:rPr>
          <w:rFonts w:ascii="Calibri" w:eastAsia="Calibri" w:hAnsi="Calibri" w:cs="Times New Roman"/>
        </w:rPr>
        <w:t>P</w:t>
      </w:r>
      <w:r>
        <w:rPr>
          <w:rFonts w:ascii="Calibri" w:eastAsia="Calibri" w:hAnsi="Calibri" w:cs="Times New Roman"/>
        </w:rPr>
        <w:t xml:space="preserve">. </w:t>
      </w:r>
      <w:r w:rsidRPr="005134D9">
        <w:rPr>
          <w:rFonts w:ascii="Calibri" w:eastAsia="Calibri" w:hAnsi="Calibri" w:cs="Times New Roman"/>
        </w:rPr>
        <w:t>T</w:t>
      </w:r>
      <w:r>
        <w:rPr>
          <w:rFonts w:ascii="Calibri" w:eastAsia="Calibri" w:hAnsi="Calibri" w:cs="Times New Roman"/>
        </w:rPr>
        <w:t>.</w:t>
      </w:r>
      <w:r w:rsidRPr="005134D9">
        <w:rPr>
          <w:rFonts w:ascii="Calibri" w:eastAsia="Calibri" w:hAnsi="Calibri" w:cs="Times New Roman"/>
        </w:rPr>
        <w:t>, Deeks</w:t>
      </w:r>
      <w:r>
        <w:rPr>
          <w:rFonts w:ascii="Calibri" w:eastAsia="Calibri" w:hAnsi="Calibri" w:cs="Times New Roman"/>
        </w:rPr>
        <w:t>,</w:t>
      </w:r>
      <w:r w:rsidRPr="005134D9">
        <w:rPr>
          <w:rFonts w:ascii="Calibri" w:eastAsia="Calibri" w:hAnsi="Calibri" w:cs="Times New Roman"/>
        </w:rPr>
        <w:t xml:space="preserve"> J</w:t>
      </w:r>
      <w:r>
        <w:rPr>
          <w:rFonts w:ascii="Calibri" w:eastAsia="Calibri" w:hAnsi="Calibri" w:cs="Times New Roman"/>
        </w:rPr>
        <w:t xml:space="preserve">. </w:t>
      </w:r>
      <w:r w:rsidRPr="005134D9">
        <w:rPr>
          <w:rFonts w:ascii="Calibri" w:eastAsia="Calibri" w:hAnsi="Calibri" w:cs="Times New Roman"/>
        </w:rPr>
        <w:t>J</w:t>
      </w:r>
      <w:r>
        <w:rPr>
          <w:rFonts w:ascii="Calibri" w:eastAsia="Calibri" w:hAnsi="Calibri" w:cs="Times New Roman"/>
        </w:rPr>
        <w:t>. (2011</w:t>
      </w:r>
      <w:r w:rsidRPr="005134D9">
        <w:rPr>
          <w:rFonts w:ascii="Calibri" w:eastAsia="Calibri" w:hAnsi="Calibri" w:cs="Times New Roman"/>
        </w:rPr>
        <w:t>). Chapter 7: Selecting studies and collecting data. In: Higgins</w:t>
      </w:r>
      <w:r>
        <w:rPr>
          <w:rFonts w:ascii="Calibri" w:eastAsia="Calibri" w:hAnsi="Calibri" w:cs="Times New Roman"/>
        </w:rPr>
        <w:t>,</w:t>
      </w:r>
      <w:r w:rsidRPr="005134D9">
        <w:rPr>
          <w:rFonts w:ascii="Calibri" w:eastAsia="Calibri" w:hAnsi="Calibri" w:cs="Times New Roman"/>
        </w:rPr>
        <w:t xml:space="preserve"> J</w:t>
      </w:r>
      <w:r>
        <w:rPr>
          <w:rFonts w:ascii="Calibri" w:eastAsia="Calibri" w:hAnsi="Calibri" w:cs="Times New Roman"/>
        </w:rPr>
        <w:t xml:space="preserve">. </w:t>
      </w:r>
      <w:r w:rsidRPr="005134D9">
        <w:rPr>
          <w:rFonts w:ascii="Calibri" w:eastAsia="Calibri" w:hAnsi="Calibri" w:cs="Times New Roman"/>
        </w:rPr>
        <w:t>P</w:t>
      </w:r>
      <w:r>
        <w:rPr>
          <w:rFonts w:ascii="Calibri" w:eastAsia="Calibri" w:hAnsi="Calibri" w:cs="Times New Roman"/>
        </w:rPr>
        <w:t>.</w:t>
      </w:r>
      <w:r w:rsidRPr="005134D9">
        <w:rPr>
          <w:rFonts w:ascii="Calibri" w:eastAsia="Calibri" w:hAnsi="Calibri" w:cs="Times New Roman"/>
        </w:rPr>
        <w:t>T</w:t>
      </w:r>
      <w:r>
        <w:rPr>
          <w:rFonts w:ascii="Calibri" w:eastAsia="Calibri" w:hAnsi="Calibri" w:cs="Times New Roman"/>
        </w:rPr>
        <w:t>.</w:t>
      </w:r>
      <w:r w:rsidRPr="005134D9">
        <w:rPr>
          <w:rFonts w:ascii="Calibri" w:eastAsia="Calibri" w:hAnsi="Calibri" w:cs="Times New Roman"/>
        </w:rPr>
        <w:t>, Green</w:t>
      </w:r>
      <w:r>
        <w:rPr>
          <w:rFonts w:ascii="Calibri" w:eastAsia="Calibri" w:hAnsi="Calibri" w:cs="Times New Roman"/>
        </w:rPr>
        <w:t>,</w:t>
      </w:r>
      <w:r w:rsidRPr="005134D9">
        <w:rPr>
          <w:rFonts w:ascii="Calibri" w:eastAsia="Calibri" w:hAnsi="Calibri" w:cs="Times New Roman"/>
        </w:rPr>
        <w:t xml:space="preserve"> S</w:t>
      </w:r>
      <w:r>
        <w:rPr>
          <w:rFonts w:ascii="Calibri" w:eastAsia="Calibri" w:hAnsi="Calibri" w:cs="Times New Roman"/>
        </w:rPr>
        <w:t>.</w:t>
      </w:r>
      <w:r w:rsidRPr="005134D9">
        <w:rPr>
          <w:rFonts w:ascii="Calibri" w:eastAsia="Calibri" w:hAnsi="Calibri" w:cs="Times New Roman"/>
        </w:rPr>
        <w:t xml:space="preserve"> (</w:t>
      </w:r>
      <w:r>
        <w:rPr>
          <w:rFonts w:ascii="Calibri" w:eastAsia="Calibri" w:hAnsi="Calibri" w:cs="Times New Roman"/>
        </w:rPr>
        <w:t>Eds),</w:t>
      </w:r>
      <w:r w:rsidRPr="005134D9">
        <w:rPr>
          <w:rFonts w:ascii="Calibri" w:eastAsia="Calibri" w:hAnsi="Calibri" w:cs="Times New Roman"/>
        </w:rPr>
        <w:t xml:space="preserve"> </w:t>
      </w:r>
      <w:r w:rsidRPr="005134D9">
        <w:rPr>
          <w:rFonts w:ascii="Calibri" w:eastAsia="Calibri" w:hAnsi="Calibri" w:cs="Times New Roman"/>
          <w:i/>
          <w:iCs/>
        </w:rPr>
        <w:t>Cochrane Handbook for Systematic Reviews of Interventions</w:t>
      </w:r>
      <w:r w:rsidRPr="005134D9">
        <w:rPr>
          <w:rFonts w:ascii="Calibri" w:eastAsia="Calibri" w:hAnsi="Calibri" w:cs="Times New Roman"/>
        </w:rPr>
        <w:t xml:space="preserve"> Version 5.1.0 (updated March 2011). The Cochrane Collaboration, 2011. Available from </w:t>
      </w:r>
      <w:r w:rsidRPr="004804AA">
        <w:rPr>
          <w:rFonts w:ascii="Calibri" w:eastAsia="Calibri" w:hAnsi="Calibri" w:cs="Times New Roman"/>
        </w:rPr>
        <w:t>www.handbook.cochrane.org</w:t>
      </w:r>
      <w:r w:rsidRPr="005134D9">
        <w:rPr>
          <w:rFonts w:ascii="Calibri" w:eastAsia="Calibri" w:hAnsi="Calibri" w:cs="Times New Roman"/>
        </w:rPr>
        <w:t>.</w:t>
      </w:r>
    </w:p>
    <w:p w14:paraId="58174897" w14:textId="27C43D7A"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Higgins, J. P., &amp; Green, S. (Eds.). (2011). </w:t>
      </w:r>
      <w:r w:rsidRPr="00E6060C">
        <w:rPr>
          <w:rFonts w:ascii="Calibri" w:eastAsia="Calibri" w:hAnsi="Calibri" w:cs="Times New Roman"/>
          <w:i/>
          <w:iCs/>
        </w:rPr>
        <w:t>Cochrane handbook for systematic reviews of interventions.</w:t>
      </w:r>
      <w:r w:rsidRPr="00E6060C">
        <w:rPr>
          <w:rFonts w:ascii="Calibri" w:eastAsia="Calibri" w:hAnsi="Calibri" w:cs="Times New Roman"/>
        </w:rPr>
        <w:t xml:space="preserve"> </w:t>
      </w:r>
      <w:r w:rsidRPr="00E6060C">
        <w:rPr>
          <w:rFonts w:ascii="Calibri" w:eastAsia="Calibri" w:hAnsi="Calibri" w:cs="Times New Roman"/>
          <w:i/>
        </w:rPr>
        <w:t>Version 5.1.0</w:t>
      </w:r>
      <w:r w:rsidRPr="00E6060C">
        <w:rPr>
          <w:rFonts w:ascii="Calibri" w:eastAsia="Calibri" w:hAnsi="Calibri" w:cs="Times New Roman"/>
        </w:rPr>
        <w:t xml:space="preserve"> </w:t>
      </w:r>
      <w:r w:rsidRPr="00E6060C">
        <w:rPr>
          <w:rFonts w:ascii="Calibri" w:eastAsia="Calibri" w:hAnsi="Calibri" w:cs="Times New Roman"/>
          <w:i/>
          <w:iCs/>
        </w:rPr>
        <w:t>(updated March 2011).</w:t>
      </w:r>
      <w:r w:rsidRPr="00E6060C">
        <w:rPr>
          <w:rFonts w:ascii="Calibri" w:eastAsia="Calibri" w:hAnsi="Calibri" w:cs="Times New Roman"/>
        </w:rPr>
        <w:t xml:space="preserve"> Available from www.cochrane-handbook.org.: The Cochrane Collaboration. </w:t>
      </w:r>
    </w:p>
    <w:p w14:paraId="1048A18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Higgins, J. P. T., Altman, D. G., &amp; Sterne, A. C. (2011). Chapter 8: Assessing risk of bias in included studies. In Higgins J. P. T., &amp; Green, S. (Eds), </w:t>
      </w:r>
      <w:r w:rsidRPr="00E6060C">
        <w:rPr>
          <w:rFonts w:ascii="Calibri" w:eastAsia="Calibri" w:hAnsi="Calibri" w:cs="Times New Roman"/>
          <w:i/>
          <w:iCs/>
          <w:lang w:eastAsia="en-GB"/>
        </w:rPr>
        <w:t>Cochrane Handbook for Systematic Reviews of Interventions,</w:t>
      </w:r>
      <w:r w:rsidRPr="00E6060C">
        <w:rPr>
          <w:rFonts w:ascii="Calibri" w:eastAsia="Calibri" w:hAnsi="Calibri" w:cs="Times New Roman"/>
          <w:lang w:eastAsia="en-GB"/>
        </w:rPr>
        <w:t xml:space="preserve"> Version 5.1.0 (updated March 2011). The Cochrane Collaboration. Available from www.cochrane-handbook.org. </w:t>
      </w:r>
    </w:p>
    <w:p w14:paraId="4D685A6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Higgins, J. P. T., Deeks, J. J., &amp; Altman, D. G. (2011). Chapter 16: Special topics in statistics. In Higgins, J. P. T., &amp; Green, S. (Eds), </w:t>
      </w:r>
      <w:r w:rsidRPr="00E6060C">
        <w:rPr>
          <w:rFonts w:ascii="Calibri" w:eastAsia="Calibri" w:hAnsi="Calibri" w:cs="Times New Roman"/>
          <w:i/>
          <w:iCs/>
          <w:lang w:eastAsia="en-GB"/>
        </w:rPr>
        <w:t>Cochrane Handbook for Systematic Reviews of Interventions</w:t>
      </w:r>
      <w:r w:rsidRPr="00E6060C">
        <w:rPr>
          <w:rFonts w:ascii="Calibri" w:eastAsia="Calibri" w:hAnsi="Calibri" w:cs="Times New Roman"/>
          <w:lang w:eastAsia="en-GB"/>
        </w:rPr>
        <w:t xml:space="preserve"> Version 5.1.0 (updated March 2011). The Cochrane Collaboration, 2011. Available from www.cochrane-handbook.org.</w:t>
      </w:r>
    </w:p>
    <w:p w14:paraId="37611662" w14:textId="396A1526"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lastRenderedPageBreak/>
        <w:t xml:space="preserve">Higgins, J. P., Thompson, S. G., Deeks, J. J., &amp; Altman, D. G. (2003). Measuring inconsistency in meta-analyses. </w:t>
      </w:r>
      <w:r w:rsidRPr="00E6060C">
        <w:rPr>
          <w:rFonts w:ascii="Calibri" w:eastAsia="Calibri" w:hAnsi="Calibri" w:cs="Times New Roman"/>
          <w:i/>
        </w:rPr>
        <w:t>British Medical Journal</w:t>
      </w:r>
      <w:r w:rsidRPr="00E6060C">
        <w:rPr>
          <w:rFonts w:ascii="Calibri" w:eastAsia="Calibri" w:hAnsi="Calibri" w:cs="Times New Roman"/>
        </w:rPr>
        <w:t xml:space="preserve">, 327(7414), 557–560. </w:t>
      </w:r>
      <w:r w:rsidR="00CA3FA3">
        <w:rPr>
          <w:rFonts w:ascii="Calibri" w:eastAsia="Calibri" w:hAnsi="Calibri" w:cs="Times New Roman"/>
        </w:rPr>
        <w:t xml:space="preserve">Retrieved from </w:t>
      </w:r>
      <w:r w:rsidRPr="00E6060C">
        <w:rPr>
          <w:rFonts w:ascii="Calibri" w:eastAsia="Calibri" w:hAnsi="Calibri" w:cs="Times New Roman"/>
        </w:rPr>
        <w:t>http://dx.doi.org/10.1136/bmj.327.7414.557</w:t>
      </w:r>
    </w:p>
    <w:p w14:paraId="22A475D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Hobfoll, S. E. (2002). Social and psychological resources and adaptation. </w:t>
      </w:r>
      <w:r w:rsidRPr="00E6060C">
        <w:rPr>
          <w:rFonts w:ascii="Calibri" w:eastAsia="Calibri" w:hAnsi="Calibri" w:cs="Times New Roman"/>
          <w:i/>
          <w:iCs/>
          <w:lang w:eastAsia="en-GB"/>
        </w:rPr>
        <w:t>Review of General Psychology, 6</w:t>
      </w:r>
      <w:r w:rsidRPr="00E6060C">
        <w:rPr>
          <w:rFonts w:ascii="Calibri" w:eastAsia="Calibri" w:hAnsi="Calibri" w:cs="Times New Roman"/>
          <w:lang w:eastAsia="en-GB"/>
        </w:rPr>
        <w:t>(4), 307-324. doi: 10.1037//1089-2680.6.4.307</w:t>
      </w:r>
    </w:p>
    <w:p w14:paraId="1A494A1E" w14:textId="77777777" w:rsidR="00E6060C" w:rsidRPr="00E6060C" w:rsidRDefault="00E6060C" w:rsidP="00E6060C">
      <w:pPr>
        <w:spacing w:line="360" w:lineRule="auto"/>
        <w:ind w:left="426" w:hanging="426"/>
        <w:contextualSpacing/>
        <w:rPr>
          <w:rFonts w:ascii="Calibri" w:eastAsia="Calibri" w:hAnsi="Calibri" w:cs="Calibri"/>
          <w:i/>
          <w:iCs/>
        </w:rPr>
      </w:pPr>
      <w:r w:rsidRPr="00E6060C">
        <w:rPr>
          <w:rFonts w:ascii="Calibri" w:eastAsia="Calibri" w:hAnsi="Calibri" w:cs="Calibri"/>
        </w:rPr>
        <w:t xml:space="preserve">Hu, L-T, &amp; Bentler, P. M. (1999). Cutoff criteria for fit indices in covariance structure analysis: Conventional criteria versus new alternatives. </w:t>
      </w:r>
      <w:r w:rsidRPr="00E6060C">
        <w:rPr>
          <w:rFonts w:ascii="Calibri" w:eastAsia="Calibri" w:hAnsi="Calibri" w:cs="Calibri"/>
          <w:i/>
          <w:iCs/>
        </w:rPr>
        <w:t>Structural Equation Modelling: A Multidisciplinary Journal</w:t>
      </w:r>
      <w:r w:rsidRPr="00E6060C">
        <w:rPr>
          <w:rFonts w:ascii="Calibri" w:eastAsia="Calibri" w:hAnsi="Calibri" w:cs="Calibri"/>
        </w:rPr>
        <w:t xml:space="preserve">. </w:t>
      </w:r>
      <w:r w:rsidRPr="00E6060C">
        <w:rPr>
          <w:rFonts w:ascii="Calibri" w:eastAsia="Calibri" w:hAnsi="Calibri" w:cs="Calibri"/>
          <w:i/>
        </w:rPr>
        <w:t>6</w:t>
      </w:r>
      <w:r w:rsidRPr="00E6060C">
        <w:rPr>
          <w:rFonts w:ascii="Calibri" w:eastAsia="Calibri" w:hAnsi="Calibri" w:cs="Calibri"/>
        </w:rPr>
        <w:t>(1), 1-55.</w:t>
      </w:r>
    </w:p>
    <w:p w14:paraId="08AD1D4B"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*Ijntema, R. (2013, December). </w:t>
      </w:r>
      <w:r w:rsidRPr="00E6060C">
        <w:rPr>
          <w:rFonts w:ascii="Calibri" w:eastAsia="Calibri" w:hAnsi="Calibri" w:cs="Times New Roman"/>
          <w:i/>
          <w:lang w:eastAsia="en-GB"/>
        </w:rPr>
        <w:t xml:space="preserve">Examining the effectiveness of a positive psychology coaching programme: A longitudinal quasi-experimental field study. </w:t>
      </w:r>
      <w:r w:rsidRPr="00E6060C">
        <w:rPr>
          <w:rFonts w:ascii="Calibri" w:eastAsia="Calibri" w:hAnsi="Calibri" w:cs="Times New Roman"/>
          <w:lang w:eastAsia="en-GB"/>
        </w:rPr>
        <w:t>Paper presented at the 4</w:t>
      </w:r>
      <w:r w:rsidRPr="00E6060C">
        <w:rPr>
          <w:rFonts w:ascii="Calibri" w:eastAsia="Calibri" w:hAnsi="Calibri" w:cs="Times New Roman"/>
          <w:vertAlign w:val="superscript"/>
          <w:lang w:eastAsia="en-GB"/>
        </w:rPr>
        <w:t>th</w:t>
      </w:r>
      <w:r w:rsidRPr="00E6060C">
        <w:rPr>
          <w:rFonts w:ascii="Calibri" w:eastAsia="Calibri" w:hAnsi="Calibri" w:cs="Times New Roman"/>
          <w:lang w:eastAsia="en-GB"/>
        </w:rPr>
        <w:t xml:space="preserve"> European Coaching Psychology Conference, Heriot-Watt University, Edinburgh. </w:t>
      </w:r>
    </w:p>
    <w:p w14:paraId="74498927" w14:textId="29421427" w:rsidR="00E6060C" w:rsidRPr="00E6060C" w:rsidRDefault="0095269C" w:rsidP="00E6060C">
      <w:pPr>
        <w:spacing w:line="360" w:lineRule="auto"/>
        <w:ind w:left="426" w:hanging="426"/>
        <w:contextualSpacing/>
        <w:rPr>
          <w:rFonts w:ascii="Calibri" w:eastAsia="Calibri" w:hAnsi="Calibri" w:cs="Times New Roman"/>
        </w:rPr>
      </w:pPr>
      <w:r>
        <w:rPr>
          <w:rFonts w:ascii="Calibri" w:eastAsia="Calibri" w:hAnsi="Calibri" w:cs="Times New Roman"/>
        </w:rPr>
        <w:t>**</w:t>
      </w:r>
      <w:r w:rsidR="00E6060C" w:rsidRPr="00E6060C">
        <w:rPr>
          <w:rFonts w:ascii="Calibri" w:eastAsia="Calibri" w:hAnsi="Calibri" w:cs="Times New Roman"/>
        </w:rPr>
        <w:t xml:space="preserve">Imamura, K., Kawakami, N., Furukawa, T. A., Matsuyama, Y., Shimazu, A., Umanodan, R., ... &amp; Kasai, K. (2015). Effects of an Internet-Based Cognitive Behavioral Therapy Intervention on Improving Work Engagement and Other Work-Related Outcomes: An Analysis of Secondary Outcomes of a Randomized Controlled Trial. </w:t>
      </w:r>
      <w:r w:rsidR="00E6060C" w:rsidRPr="00E6060C">
        <w:rPr>
          <w:rFonts w:ascii="Calibri" w:eastAsia="Calibri" w:hAnsi="Calibri" w:cs="Times New Roman"/>
          <w:i/>
        </w:rPr>
        <w:t>Journal of Occupational and Environmental Medicine, 57</w:t>
      </w:r>
      <w:r w:rsidR="00E6060C" w:rsidRPr="00E6060C">
        <w:rPr>
          <w:rFonts w:ascii="Calibri" w:eastAsia="Calibri" w:hAnsi="Calibri" w:cs="Times New Roman"/>
        </w:rPr>
        <w:t>(5), 578-584.</w:t>
      </w:r>
    </w:p>
    <w:p w14:paraId="441FA53D"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Jackson, N. (2006). Systematic reviews of health promotion and public health interventions handbook. </w:t>
      </w:r>
      <w:r w:rsidRPr="00E6060C">
        <w:rPr>
          <w:rFonts w:ascii="Calibri" w:eastAsia="Calibri" w:hAnsi="Calibri" w:cs="Times New Roman"/>
          <w:i/>
          <w:iCs/>
        </w:rPr>
        <w:t>Cochrane Collaboration Health Promotion and Public Health Field</w:t>
      </w:r>
      <w:r w:rsidRPr="00E6060C">
        <w:rPr>
          <w:rFonts w:ascii="Calibri" w:eastAsia="Calibri" w:hAnsi="Calibri" w:cs="Times New Roman"/>
        </w:rPr>
        <w:t>.</w:t>
      </w:r>
    </w:p>
    <w:p w14:paraId="0D12E99C"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Jackson, N. and Waters, E. (2005). Criteria for systematic review of health promotion and public health interventions. </w:t>
      </w:r>
      <w:r w:rsidRPr="00E6060C">
        <w:rPr>
          <w:rFonts w:ascii="Calibri" w:eastAsia="Calibri" w:hAnsi="Calibri" w:cs="Times New Roman"/>
          <w:i/>
          <w:iCs/>
        </w:rPr>
        <w:t xml:space="preserve">Health Promotion International </w:t>
      </w:r>
      <w:r w:rsidRPr="00E6060C">
        <w:rPr>
          <w:rFonts w:ascii="Calibri" w:eastAsia="Calibri" w:hAnsi="Calibri" w:cs="Times New Roman"/>
          <w:i/>
        </w:rPr>
        <w:t>20(4),</w:t>
      </w:r>
      <w:r w:rsidRPr="00E6060C">
        <w:rPr>
          <w:rFonts w:ascii="Calibri" w:eastAsia="Calibri" w:hAnsi="Calibri" w:cs="Times New Roman"/>
        </w:rPr>
        <w:t xml:space="preserve"> p. 367–374.</w:t>
      </w:r>
    </w:p>
    <w:p w14:paraId="2998ADFC"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Johnson, B. T., &amp; Eagly, A. H. (2000). Quantitative synthesis of social psychological research. In H. T. Reis, &amp; C. Judd (Eds.), </w:t>
      </w:r>
      <w:r w:rsidRPr="00E6060C">
        <w:rPr>
          <w:rFonts w:ascii="Calibri" w:eastAsia="Calibri" w:hAnsi="Calibri" w:cs="Times New Roman"/>
          <w:i/>
        </w:rPr>
        <w:t xml:space="preserve">Handbook of Research Methods in Social and Personality Psychology </w:t>
      </w:r>
      <w:r w:rsidRPr="00E6060C">
        <w:rPr>
          <w:rFonts w:ascii="Calibri" w:eastAsia="Calibri" w:hAnsi="Calibri" w:cs="Times New Roman"/>
        </w:rPr>
        <w:t>(pp. 496-528)</w:t>
      </w:r>
      <w:r w:rsidRPr="00E6060C">
        <w:rPr>
          <w:rFonts w:ascii="Calibri" w:eastAsia="Calibri" w:hAnsi="Calibri" w:cs="Times New Roman"/>
          <w:i/>
        </w:rPr>
        <w:t xml:space="preserve">. </w:t>
      </w:r>
      <w:r w:rsidRPr="00E6060C">
        <w:rPr>
          <w:rFonts w:ascii="Calibri" w:eastAsia="Calibri" w:hAnsi="Calibri" w:cs="Times New Roman"/>
        </w:rPr>
        <w:t>New York, NY, US: Cambridge University Press.</w:t>
      </w:r>
    </w:p>
    <w:p w14:paraId="61576BBF" w14:textId="72B6A7A3"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Joyce, K., Pabayo, R., Critchley, J. A., &amp; Bambra, C. (2010). Flexible working conditions and their effects on employee health and </w:t>
      </w:r>
      <w:r w:rsidR="001D6140">
        <w:rPr>
          <w:rFonts w:ascii="Calibri" w:eastAsia="Calibri" w:hAnsi="Calibri" w:cs="Times New Roman"/>
        </w:rPr>
        <w:t>well-being</w:t>
      </w:r>
      <w:r w:rsidRPr="00E6060C">
        <w:rPr>
          <w:rFonts w:ascii="Calibri" w:eastAsia="Calibri" w:hAnsi="Calibri" w:cs="Times New Roman"/>
        </w:rPr>
        <w:t xml:space="preserve">. </w:t>
      </w:r>
      <w:r w:rsidRPr="00E6060C">
        <w:rPr>
          <w:rFonts w:ascii="Calibri" w:eastAsia="Calibri" w:hAnsi="Calibri" w:cs="Times New Roman"/>
          <w:i/>
          <w:iCs/>
        </w:rPr>
        <w:t>The Cochrane Library</w:t>
      </w:r>
      <w:r w:rsidRPr="00E6060C">
        <w:rPr>
          <w:rFonts w:ascii="Calibri" w:eastAsia="Calibri" w:hAnsi="Calibri" w:cs="Times New Roman"/>
        </w:rPr>
        <w:t>.</w:t>
      </w:r>
    </w:p>
    <w:p w14:paraId="71CD580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Kahn, W. A. (1990). Psychological conditions of personal engagement and disengagement at work. </w:t>
      </w:r>
      <w:r w:rsidRPr="00E6060C">
        <w:rPr>
          <w:rFonts w:ascii="Calibri" w:eastAsia="Calibri" w:hAnsi="Calibri" w:cs="Times New Roman"/>
          <w:i/>
          <w:iCs/>
          <w:lang w:eastAsia="en-GB"/>
        </w:rPr>
        <w:t>The Academy of Management Journal, 33</w:t>
      </w:r>
      <w:r w:rsidRPr="00E6060C">
        <w:rPr>
          <w:rFonts w:ascii="Calibri" w:eastAsia="Calibri" w:hAnsi="Calibri" w:cs="Times New Roman"/>
          <w:lang w:eastAsia="en-GB"/>
        </w:rPr>
        <w:t xml:space="preserve">(4), 692-724. </w:t>
      </w:r>
    </w:p>
    <w:p w14:paraId="1D8D54B7" w14:textId="77777777" w:rsidR="00390C54" w:rsidRPr="00F56D74" w:rsidRDefault="00390C54" w:rsidP="00390C54">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Kalisch, B. J., Curley, M., &amp; Stefanov, S. (2007). An intervention to enhance nursing staff teamwork and engagement. </w:t>
      </w:r>
      <w:r w:rsidRPr="00F56D74">
        <w:rPr>
          <w:rFonts w:eastAsia="Times New Roman" w:cs="Times New Roman"/>
          <w:i/>
          <w:iCs/>
          <w:lang w:eastAsia="en-GB"/>
        </w:rPr>
        <w:t>Journal of Nursing Administration</w:t>
      </w:r>
      <w:r w:rsidRPr="00F56D74">
        <w:rPr>
          <w:rFonts w:eastAsia="Times New Roman" w:cs="Times New Roman"/>
          <w:lang w:eastAsia="en-GB"/>
        </w:rPr>
        <w:t xml:space="preserve">, </w:t>
      </w:r>
      <w:r w:rsidRPr="00F56D74">
        <w:rPr>
          <w:rFonts w:eastAsia="Times New Roman" w:cs="Times New Roman"/>
          <w:i/>
          <w:iCs/>
          <w:lang w:eastAsia="en-GB"/>
        </w:rPr>
        <w:t>37</w:t>
      </w:r>
      <w:r w:rsidRPr="00F56D74">
        <w:rPr>
          <w:rFonts w:eastAsia="Times New Roman" w:cs="Times New Roman"/>
          <w:lang w:eastAsia="en-GB"/>
        </w:rPr>
        <w:t>(2), 77-84.</w:t>
      </w:r>
    </w:p>
    <w:p w14:paraId="6DB5DB21"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Karasek, R. A. (1979). Job demands, job decision latitude, and mental strain - implications for job redesign. </w:t>
      </w:r>
      <w:r w:rsidRPr="00E6060C">
        <w:rPr>
          <w:rFonts w:ascii="Calibri" w:eastAsia="Calibri" w:hAnsi="Calibri" w:cs="Times New Roman"/>
          <w:i/>
          <w:iCs/>
          <w:lang w:eastAsia="en-GB"/>
        </w:rPr>
        <w:t>Administrative Science Quarterly, 24</w:t>
      </w:r>
      <w:r w:rsidRPr="00E6060C">
        <w:rPr>
          <w:rFonts w:ascii="Calibri" w:eastAsia="Calibri" w:hAnsi="Calibri" w:cs="Times New Roman"/>
          <w:lang w:eastAsia="en-GB"/>
        </w:rPr>
        <w:t>(2), 285-308. doi: 10.2307/2392498</w:t>
      </w:r>
    </w:p>
    <w:p w14:paraId="74A466D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Karasek, R., Brisson, C., Kawakami, N., Houtman, I., Bongers, P., &amp; Amick, B. (1998). The Job Content Questionnaire (JCQ): an instrument for internationally comparative assessments of psychosocial job characteristics. </w:t>
      </w:r>
      <w:r w:rsidRPr="00E6060C">
        <w:rPr>
          <w:rFonts w:ascii="Calibri" w:eastAsia="Calibri" w:hAnsi="Calibri" w:cs="Times New Roman"/>
          <w:i/>
          <w:iCs/>
          <w:lang w:eastAsia="en-GB"/>
        </w:rPr>
        <w:t>Journal of occupational health psychology</w:t>
      </w:r>
      <w:r w:rsidRPr="00E6060C">
        <w:rPr>
          <w:rFonts w:ascii="Calibri" w:eastAsia="Calibri" w:hAnsi="Calibri" w:cs="Times New Roman"/>
          <w:lang w:eastAsia="en-GB"/>
        </w:rPr>
        <w:t xml:space="preserve">, </w:t>
      </w:r>
      <w:r w:rsidRPr="00E6060C">
        <w:rPr>
          <w:rFonts w:ascii="Calibri" w:eastAsia="Calibri" w:hAnsi="Calibri" w:cs="Times New Roman"/>
          <w:i/>
          <w:iCs/>
          <w:lang w:eastAsia="en-GB"/>
        </w:rPr>
        <w:t>3</w:t>
      </w:r>
      <w:r w:rsidRPr="00E6060C">
        <w:rPr>
          <w:rFonts w:ascii="Calibri" w:eastAsia="Calibri" w:hAnsi="Calibri" w:cs="Times New Roman"/>
          <w:lang w:eastAsia="en-GB"/>
        </w:rPr>
        <w:t>(4), 322.</w:t>
      </w:r>
    </w:p>
    <w:p w14:paraId="6209341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lastRenderedPageBreak/>
        <w:t xml:space="preserve">Karasek, R., &amp; Theorell, T. (1990). </w:t>
      </w:r>
      <w:r w:rsidRPr="00E6060C">
        <w:rPr>
          <w:rFonts w:ascii="Calibri" w:eastAsia="Calibri" w:hAnsi="Calibri" w:cs="Times New Roman"/>
          <w:i/>
          <w:lang w:eastAsia="en-GB"/>
        </w:rPr>
        <w:t>Healthy work: Stress, productivity, and the reconstruction of working life.</w:t>
      </w:r>
      <w:r w:rsidRPr="00E6060C">
        <w:rPr>
          <w:rFonts w:ascii="Calibri" w:eastAsia="Calibri" w:hAnsi="Calibri" w:cs="Times New Roman"/>
          <w:lang w:eastAsia="en-GB"/>
        </w:rPr>
        <w:t xml:space="preserve"> New York: Basic Books.</w:t>
      </w:r>
    </w:p>
    <w:p w14:paraId="77C61BE2" w14:textId="48E7E7F3" w:rsidR="00390C54" w:rsidRPr="00F56D74" w:rsidRDefault="00390C54" w:rsidP="00390C54">
      <w:pPr>
        <w:spacing w:line="360" w:lineRule="auto"/>
        <w:ind w:left="426" w:hanging="426"/>
        <w:contextualSpacing/>
        <w:rPr>
          <w:rFonts w:eastAsia="Times New Roman" w:cs="Times New Roman"/>
          <w:lang w:eastAsia="en-GB"/>
        </w:rPr>
      </w:pPr>
      <w:r w:rsidRPr="00F56D74">
        <w:rPr>
          <w:rFonts w:eastAsia="Times New Roman" w:cs="Times New Roman"/>
          <w:lang w:eastAsia="en-GB"/>
        </w:rPr>
        <w:t>Kawaharada</w:t>
      </w:r>
      <w:r>
        <w:rPr>
          <w:rFonts w:eastAsia="Times New Roman" w:cs="Times New Roman"/>
          <w:lang w:eastAsia="en-GB"/>
        </w:rPr>
        <w:t xml:space="preserve">, Y. (2013). Usefulness of regular intake of the reduced form of CoQ10 for stress management for workers, </w:t>
      </w:r>
      <w:r w:rsidRPr="00BF78DB">
        <w:rPr>
          <w:rFonts w:ascii="MS Gothic" w:eastAsia="MS Gothic" w:hAnsi="MS Gothic" w:cs="MS Gothic"/>
          <w:i/>
        </w:rPr>
        <w:t>薬理と治療</w:t>
      </w:r>
      <w:r>
        <w:rPr>
          <w:rFonts w:ascii="MS Gothic" w:eastAsia="MS Gothic" w:hAnsi="MS Gothic" w:cs="MS Gothic" w:hint="eastAsia"/>
        </w:rPr>
        <w:t>,</w:t>
      </w:r>
      <w:r>
        <w:rPr>
          <w:rFonts w:eastAsia="Times New Roman" w:cs="Times New Roman"/>
          <w:lang w:eastAsia="en-GB"/>
        </w:rPr>
        <w:t xml:space="preserve"> </w:t>
      </w:r>
      <w:r w:rsidRPr="0091596C">
        <w:rPr>
          <w:rStyle w:val="citationvolume"/>
          <w:i/>
        </w:rPr>
        <w:t>41</w:t>
      </w:r>
      <w:r>
        <w:rPr>
          <w:rStyle w:val="citationvolume"/>
        </w:rPr>
        <w:t>(12)</w:t>
      </w:r>
      <w:r>
        <w:t xml:space="preserve">, 1129 – 1137. </w:t>
      </w:r>
      <w:r w:rsidR="00AD2512">
        <w:t>Retrieved from</w:t>
      </w:r>
      <w:r w:rsidR="00CA3FA3">
        <w:t xml:space="preserve"> </w:t>
      </w:r>
      <w:r w:rsidRPr="0091596C">
        <w:t>http://www.pieronline.jp/content/article/0386-3603/41120/1129</w:t>
      </w:r>
    </w:p>
    <w:p w14:paraId="161F6FC8"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*Kawakami, N., Imamura, K., Tsuno, K., Shimada, K., Shimazu, A., Nanba, K., Tsuchiya, M. (2012). </w:t>
      </w:r>
      <w:r w:rsidRPr="00E6060C">
        <w:rPr>
          <w:rFonts w:ascii="Calibri" w:eastAsia="Calibri" w:hAnsi="Calibri" w:cs="Times New Roman"/>
          <w:i/>
          <w:iCs/>
        </w:rPr>
        <w:t>Web-based intervention to improve work engagement: A randomized controlled trial.</w:t>
      </w:r>
      <w:r w:rsidRPr="00E6060C">
        <w:rPr>
          <w:rFonts w:ascii="Calibri" w:eastAsia="Calibri" w:hAnsi="Calibri" w:cs="Times New Roman"/>
        </w:rPr>
        <w:t xml:space="preserve"> Paper presented at the 30th International Congress on Occupational Health (March 18-23, 2012).</w:t>
      </w:r>
    </w:p>
    <w:p w14:paraId="4F100BF2" w14:textId="77777777"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Kessler, R., White, L. A., Birnbaum, H., Qiu, Y., Kidolezi, Y., Mallett, D., &amp; Swindle, R. (2008). Comparative and interactive effects of depression relative to other health problems on work performance in the workforce of a large employer. </w:t>
      </w:r>
      <w:r w:rsidRPr="00E6060C">
        <w:rPr>
          <w:rFonts w:ascii="Calibri" w:eastAsia="Calibri" w:hAnsi="Calibri" w:cs="Times New Roman"/>
          <w:i/>
          <w:iCs/>
          <w:noProof/>
        </w:rPr>
        <w:t>Journal of Occupational and Environmental Medicine</w:t>
      </w:r>
      <w:r w:rsidRPr="00E6060C">
        <w:rPr>
          <w:rFonts w:ascii="Calibri" w:eastAsia="Calibri" w:hAnsi="Calibri" w:cs="Times New Roman"/>
          <w:noProof/>
        </w:rPr>
        <w:t xml:space="preserve">, </w:t>
      </w:r>
      <w:r w:rsidRPr="00E6060C">
        <w:rPr>
          <w:rFonts w:ascii="Calibri" w:eastAsia="Calibri" w:hAnsi="Calibri" w:cs="Times New Roman"/>
          <w:i/>
          <w:iCs/>
          <w:noProof/>
        </w:rPr>
        <w:t>50</w:t>
      </w:r>
      <w:r w:rsidRPr="00E6060C">
        <w:rPr>
          <w:rFonts w:ascii="Calibri" w:eastAsia="Calibri" w:hAnsi="Calibri" w:cs="Times New Roman"/>
          <w:noProof/>
        </w:rPr>
        <w:t>(7), 809-816.</w:t>
      </w:r>
    </w:p>
    <w:p w14:paraId="35A716E9" w14:textId="04F22AA4"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Khoury, B., Lecomte, T., Fortin, G., Masse, M., Therien, T., Bouchard, V., … S.G., H. (2013). Mindfulness-based therapy: A comprehensive meta-analysis. </w:t>
      </w:r>
      <w:r w:rsidRPr="00E6060C">
        <w:rPr>
          <w:rFonts w:ascii="Calibri" w:eastAsia="Calibri" w:hAnsi="Calibri" w:cs="Times New Roman"/>
          <w:i/>
          <w:iCs/>
          <w:noProof/>
        </w:rPr>
        <w:t>Clinical Psychology Review</w:t>
      </w:r>
      <w:r w:rsidRPr="00E6060C">
        <w:rPr>
          <w:rFonts w:ascii="Calibri" w:eastAsia="Calibri" w:hAnsi="Calibri" w:cs="Times New Roman"/>
          <w:noProof/>
        </w:rPr>
        <w:t xml:space="preserve">, </w:t>
      </w:r>
      <w:r w:rsidRPr="00E6060C">
        <w:rPr>
          <w:rFonts w:ascii="Calibri" w:eastAsia="Calibri" w:hAnsi="Calibri" w:cs="Times New Roman"/>
          <w:i/>
          <w:iCs/>
          <w:noProof/>
        </w:rPr>
        <w:t>33</w:t>
      </w:r>
      <w:r w:rsidRPr="00E6060C">
        <w:rPr>
          <w:rFonts w:ascii="Calibri" w:eastAsia="Calibri" w:hAnsi="Calibri" w:cs="Times New Roman"/>
          <w:noProof/>
        </w:rPr>
        <w:t>(6), 763–771.</w:t>
      </w:r>
      <w:r w:rsidR="00CA3FA3">
        <w:rPr>
          <w:rFonts w:ascii="Calibri" w:eastAsia="Calibri" w:hAnsi="Calibri" w:cs="Times New Roman"/>
          <w:noProof/>
        </w:rPr>
        <w:t xml:space="preserve"> Retrieved from</w:t>
      </w:r>
      <w:r w:rsidRPr="00E6060C">
        <w:rPr>
          <w:rFonts w:ascii="Calibri" w:eastAsia="Calibri" w:hAnsi="Calibri" w:cs="Times New Roman"/>
          <w:noProof/>
        </w:rPr>
        <w:t xml:space="preserve"> http://doi.org/10.1016/j.cpr.2013.05.005</w:t>
      </w:r>
    </w:p>
    <w:p w14:paraId="6626B3DF"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Klassen, T.P., Jadad, A.R., &amp; Moher, D. (1998). Chapter 1: Getting Started. In Guides for Reading and Interpreting Systematic Reviews.</w:t>
      </w:r>
      <w:r w:rsidRPr="00E6060C">
        <w:rPr>
          <w:rFonts w:ascii="Calibri" w:eastAsia="Calibri" w:hAnsi="Calibri" w:cs="Times New Roman"/>
          <w:i/>
        </w:rPr>
        <w:t xml:space="preserve"> Archives Pediatric Adolescent Medicine,</w:t>
      </w:r>
      <w:r w:rsidRPr="00E6060C">
        <w:rPr>
          <w:rFonts w:ascii="Calibri" w:eastAsia="Calibri" w:hAnsi="Calibri" w:cs="Times New Roman"/>
        </w:rPr>
        <w:t xml:space="preserve"> </w:t>
      </w:r>
      <w:r w:rsidRPr="00E6060C">
        <w:rPr>
          <w:rFonts w:ascii="Calibri" w:eastAsia="Calibri" w:hAnsi="Calibri" w:cs="Times New Roman"/>
          <w:i/>
        </w:rPr>
        <w:t>152,</w:t>
      </w:r>
      <w:r w:rsidRPr="00E6060C">
        <w:rPr>
          <w:rFonts w:ascii="Calibri" w:eastAsia="Calibri" w:hAnsi="Calibri" w:cs="Times New Roman"/>
        </w:rPr>
        <w:t xml:space="preserve"> 700</w:t>
      </w:r>
      <w:r w:rsidRPr="00E6060C">
        <w:rPr>
          <w:rFonts w:ascii="Calibri" w:eastAsia="Calibri" w:hAnsi="Calibri" w:cs="Cambria Math"/>
        </w:rPr>
        <w:t>‐</w:t>
      </w:r>
      <w:r w:rsidRPr="00E6060C">
        <w:rPr>
          <w:rFonts w:ascii="Calibri" w:eastAsia="Calibri" w:hAnsi="Calibri" w:cs="Times New Roman"/>
        </w:rPr>
        <w:t>704.</w:t>
      </w:r>
    </w:p>
    <w:p w14:paraId="75CF59EF" w14:textId="69B9C0DA"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**Kmiec, J. J., (2010). </w:t>
      </w:r>
      <w:r w:rsidRPr="00E6060C">
        <w:rPr>
          <w:rFonts w:ascii="Calibri" w:eastAsia="Calibri" w:hAnsi="Calibri" w:cs="Times New Roman"/>
          <w:i/>
          <w:iCs/>
        </w:rPr>
        <w:t>A study of the effectiveness of a pilot training program in an organizational setting: An intervention for work engagement.</w:t>
      </w:r>
      <w:r w:rsidRPr="00E6060C">
        <w:rPr>
          <w:rFonts w:ascii="Calibri" w:eastAsia="Calibri" w:hAnsi="Calibri" w:cs="Times New Roman"/>
        </w:rPr>
        <w:t xml:space="preserve"> (</w:t>
      </w:r>
      <w:r w:rsidR="00E17437">
        <w:rPr>
          <w:rFonts w:ascii="Calibri" w:eastAsia="Calibri" w:hAnsi="Calibri" w:cs="Times New Roman"/>
        </w:rPr>
        <w:t>Doctoral</w:t>
      </w:r>
      <w:r w:rsidR="00F9758C">
        <w:rPr>
          <w:rFonts w:ascii="Calibri" w:eastAsia="Calibri" w:hAnsi="Calibri" w:cs="Times New Roman"/>
        </w:rPr>
        <w:t xml:space="preserve"> thesis</w:t>
      </w:r>
      <w:r w:rsidRPr="00E6060C">
        <w:rPr>
          <w:rFonts w:ascii="Calibri" w:eastAsia="Calibri" w:hAnsi="Calibri" w:cs="Times New Roman"/>
        </w:rPr>
        <w:t xml:space="preserve">), The University of Southern Mississippi, Ann Arbor. ProQuest Dissertations &amp; Theses </w:t>
      </w:r>
    </w:p>
    <w:p w14:paraId="2EBA238E"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nl-NL"/>
        </w:rPr>
        <w:t xml:space="preserve">*Koolhaas, W., Brouwer, S., Groothoff, J. W., &amp; van der Klink, J. J. L. (2010). </w:t>
      </w:r>
      <w:r w:rsidRPr="00E6060C">
        <w:rPr>
          <w:rFonts w:ascii="Calibri" w:eastAsia="Calibri" w:hAnsi="Calibri" w:cs="Times New Roman"/>
        </w:rPr>
        <w:t xml:space="preserve">Enhancing a sustainable healthy working life: design of a clustered randomized controlled trial. </w:t>
      </w:r>
      <w:r w:rsidRPr="00E6060C">
        <w:rPr>
          <w:rFonts w:ascii="Calibri" w:eastAsia="Calibri" w:hAnsi="Calibri" w:cs="Times New Roman"/>
          <w:i/>
          <w:iCs/>
        </w:rPr>
        <w:t>Bmc Public Health, 10</w:t>
      </w:r>
      <w:r w:rsidRPr="00E6060C">
        <w:rPr>
          <w:rFonts w:ascii="Calibri" w:eastAsia="Calibri" w:hAnsi="Calibri" w:cs="Times New Roman"/>
        </w:rPr>
        <w:t>. doi: 461 10.1186/1471-2458-10-461.</w:t>
      </w:r>
    </w:p>
    <w:p w14:paraId="35F2D0A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Kovjanic, S., Schuh, S. C., &amp; Jonas, K. (2013). Transformational leadership and performance: An experimental investigation of the mediating effects of basic needs satisfaction and work engagement. </w:t>
      </w:r>
      <w:r w:rsidRPr="00E6060C">
        <w:rPr>
          <w:rFonts w:ascii="Calibri" w:eastAsia="Calibri" w:hAnsi="Calibri" w:cs="Times New Roman"/>
          <w:i/>
          <w:iCs/>
          <w:lang w:eastAsia="en-GB"/>
        </w:rPr>
        <w:t>Journal of Occupational and Organisational Psychology, 86</w:t>
      </w:r>
      <w:r w:rsidRPr="00E6060C">
        <w:rPr>
          <w:rFonts w:ascii="Calibri" w:eastAsia="Calibri" w:hAnsi="Calibri" w:cs="Times New Roman"/>
          <w:lang w:eastAsia="en-GB"/>
        </w:rPr>
        <w:t>(4), 543-555. doi: 10.1111/joop.12022</w:t>
      </w:r>
    </w:p>
    <w:p w14:paraId="3F3AACB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Kuoppala, J., Lamminpää, A., &amp; Husman, P. (2008). Work health promotion, job well-being, and sickness absences—a systematic review and meta-analysis. </w:t>
      </w:r>
      <w:r w:rsidRPr="00E6060C">
        <w:rPr>
          <w:rFonts w:ascii="Calibri" w:eastAsia="Calibri" w:hAnsi="Calibri" w:cs="Times New Roman"/>
          <w:i/>
          <w:iCs/>
          <w:lang w:eastAsia="en-GB"/>
        </w:rPr>
        <w:t>Journal of Occupational and Environmental Medicine, 50</w:t>
      </w:r>
      <w:r w:rsidRPr="00E6060C">
        <w:rPr>
          <w:rFonts w:ascii="Calibri" w:eastAsia="Calibri" w:hAnsi="Calibri" w:cs="Times New Roman"/>
          <w:lang w:eastAsia="en-GB"/>
        </w:rPr>
        <w:t xml:space="preserve">(11), 1216-1227. </w:t>
      </w:r>
    </w:p>
    <w:p w14:paraId="5ECBEFC3" w14:textId="77777777" w:rsidR="00390C54" w:rsidRPr="00F56D74" w:rsidRDefault="00390C54" w:rsidP="00390C54">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Laschinger, H. K. S., Leiter, M. P., Day, A., Gilin-Oore, D., &amp; Mackinnon, S. P. (2012). Building empowering work environments that foster civility and organizational trust: Testing an intervention. </w:t>
      </w:r>
      <w:r w:rsidRPr="00F56D74">
        <w:rPr>
          <w:rFonts w:eastAsia="Times New Roman" w:cs="Times New Roman"/>
          <w:i/>
          <w:iCs/>
          <w:lang w:eastAsia="en-GB"/>
        </w:rPr>
        <w:t>Nursing research</w:t>
      </w:r>
      <w:r w:rsidRPr="00F56D74">
        <w:rPr>
          <w:rFonts w:eastAsia="Times New Roman" w:cs="Times New Roman"/>
          <w:lang w:eastAsia="en-GB"/>
        </w:rPr>
        <w:t xml:space="preserve">, </w:t>
      </w:r>
      <w:r w:rsidRPr="00F56D74">
        <w:rPr>
          <w:rFonts w:eastAsia="Times New Roman" w:cs="Times New Roman"/>
          <w:i/>
          <w:iCs/>
          <w:lang w:eastAsia="en-GB"/>
        </w:rPr>
        <w:t>61</w:t>
      </w:r>
      <w:r w:rsidRPr="00F56D74">
        <w:rPr>
          <w:rFonts w:eastAsia="Times New Roman" w:cs="Times New Roman"/>
          <w:lang w:eastAsia="en-GB"/>
        </w:rPr>
        <w:t>(5), 316-325.</w:t>
      </w:r>
    </w:p>
    <w:p w14:paraId="4900EED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fr-FR" w:eastAsia="en-GB"/>
        </w:rPr>
        <w:lastRenderedPageBreak/>
        <w:t xml:space="preserve">Le Blanc, P. M., Hox, J. J., Schaufeli, W. B., Taris, T. W., &amp; Peeters, M. C. (2007). </w:t>
      </w:r>
      <w:r w:rsidRPr="00E6060C">
        <w:rPr>
          <w:rFonts w:ascii="Calibri" w:eastAsia="Calibri" w:hAnsi="Calibri" w:cs="Times New Roman"/>
          <w:lang w:eastAsia="en-GB"/>
        </w:rPr>
        <w:t xml:space="preserve">Take care! The evaluation of a team-based burnout intervention program for oncology care providers. </w:t>
      </w:r>
      <w:r w:rsidRPr="00E6060C">
        <w:rPr>
          <w:rFonts w:ascii="Calibri" w:eastAsia="Calibri" w:hAnsi="Calibri" w:cs="Times New Roman"/>
          <w:i/>
          <w:iCs/>
          <w:lang w:eastAsia="en-GB"/>
        </w:rPr>
        <w:t>Journal of Applied Psychology, 92</w:t>
      </w:r>
      <w:r w:rsidRPr="00E6060C">
        <w:rPr>
          <w:rFonts w:ascii="Calibri" w:eastAsia="Calibri" w:hAnsi="Calibri" w:cs="Times New Roman"/>
          <w:lang w:eastAsia="en-GB"/>
        </w:rPr>
        <w:t xml:space="preserve">(1), 213. </w:t>
      </w:r>
    </w:p>
    <w:p w14:paraId="43D708A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Leiter, M. P., &amp; Maslach, C. (2010). Building engagement: The design and evaluation of interventions. In Bakker, A. B., &amp; Leiter, P. (Eds). </w:t>
      </w:r>
      <w:r w:rsidRPr="00E6060C">
        <w:rPr>
          <w:rFonts w:ascii="Calibri" w:eastAsia="Calibri" w:hAnsi="Calibri" w:cs="Times New Roman"/>
          <w:i/>
          <w:iCs/>
          <w:lang w:eastAsia="en-GB"/>
        </w:rPr>
        <w:t>Work Engagement: a Handbook of Essential Theory and Research</w:t>
      </w:r>
      <w:r w:rsidRPr="00E6060C">
        <w:rPr>
          <w:rFonts w:ascii="Calibri" w:eastAsia="Calibri" w:hAnsi="Calibri" w:cs="Times New Roman"/>
          <w:lang w:eastAsia="en-GB"/>
        </w:rPr>
        <w:t xml:space="preserve">, (pp. 164-180). Psychology Press. </w:t>
      </w:r>
    </w:p>
    <w:p w14:paraId="2B735C5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Lewin, K. (1946). Action research and minority problems. </w:t>
      </w:r>
      <w:r w:rsidRPr="00E6060C">
        <w:rPr>
          <w:rFonts w:ascii="Calibri" w:eastAsia="Calibri" w:hAnsi="Calibri" w:cs="Times New Roman"/>
          <w:i/>
          <w:lang w:eastAsia="en-GB"/>
        </w:rPr>
        <w:t>Journal of Social Issues, 2</w:t>
      </w:r>
      <w:r w:rsidRPr="00E6060C">
        <w:rPr>
          <w:rFonts w:ascii="Calibri" w:eastAsia="Calibri" w:hAnsi="Calibri" w:cs="Times New Roman"/>
          <w:lang w:eastAsia="en-GB"/>
        </w:rPr>
        <w:t>(4), 34-46.</w:t>
      </w:r>
    </w:p>
    <w:p w14:paraId="03A92FA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Lines, R. (2004). Influence of participation in strategy change: Resistance, organizational commitment and change goal achievement. </w:t>
      </w:r>
      <w:r w:rsidRPr="00E6060C">
        <w:rPr>
          <w:rFonts w:ascii="Calibri" w:eastAsia="Calibri" w:hAnsi="Calibri" w:cs="Times New Roman"/>
          <w:i/>
          <w:lang w:eastAsia="en-GB"/>
        </w:rPr>
        <w:t>Journal of Change Management, 4</w:t>
      </w:r>
      <w:r w:rsidRPr="00E6060C">
        <w:rPr>
          <w:rFonts w:ascii="Calibri" w:eastAsia="Calibri" w:hAnsi="Calibri" w:cs="Times New Roman"/>
          <w:lang w:eastAsia="en-GB"/>
        </w:rPr>
        <w:t>, 193-215.</w:t>
      </w:r>
    </w:p>
    <w:p w14:paraId="0C95AAD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Little, L. M., Gooty, J., &amp; Nelson, D. L. (2007). Positive psychological capital: Has positivity clouded measurement rigor? (pp 191-209). In Nelson D. L., &amp; Cooper, C. L. (Eds), </w:t>
      </w:r>
      <w:r w:rsidRPr="00E6060C">
        <w:rPr>
          <w:rFonts w:ascii="Calibri" w:eastAsia="Calibri" w:hAnsi="Calibri" w:cs="Times New Roman"/>
          <w:i/>
          <w:iCs/>
          <w:lang w:eastAsia="en-GB"/>
        </w:rPr>
        <w:t>Positive organisational behaviour</w:t>
      </w:r>
      <w:r w:rsidRPr="00E6060C">
        <w:rPr>
          <w:rFonts w:ascii="Calibri" w:eastAsia="Calibri" w:hAnsi="Calibri" w:cs="Times New Roman"/>
          <w:i/>
          <w:lang w:eastAsia="en-GB"/>
        </w:rPr>
        <w:t xml:space="preserve">. </w:t>
      </w:r>
      <w:r w:rsidRPr="00E6060C">
        <w:rPr>
          <w:rFonts w:ascii="Calibri" w:eastAsia="Calibri" w:hAnsi="Calibri" w:cs="Times New Roman"/>
          <w:lang w:eastAsia="en-GB"/>
        </w:rPr>
        <w:t xml:space="preserve">London: Sage. </w:t>
      </w:r>
    </w:p>
    <w:p w14:paraId="64C7515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Llorens, S., Schaufeli, W., Bakker, A., &amp; Salanova, M. (2007). Does a positive gain spiral of resources, efficacy beliefs and engagement exist?. </w:t>
      </w:r>
      <w:r w:rsidRPr="00E6060C">
        <w:rPr>
          <w:rFonts w:ascii="Calibri" w:eastAsia="Calibri" w:hAnsi="Calibri" w:cs="Times New Roman"/>
          <w:i/>
          <w:iCs/>
          <w:lang w:eastAsia="en-GB"/>
        </w:rPr>
        <w:t>Computers in human behavior</w:t>
      </w:r>
      <w:r w:rsidRPr="00E6060C">
        <w:rPr>
          <w:rFonts w:ascii="Calibri" w:eastAsia="Calibri" w:hAnsi="Calibri" w:cs="Times New Roman"/>
          <w:lang w:eastAsia="en-GB"/>
        </w:rPr>
        <w:t xml:space="preserve">, </w:t>
      </w:r>
      <w:r w:rsidRPr="00E6060C">
        <w:rPr>
          <w:rFonts w:ascii="Calibri" w:eastAsia="Calibri" w:hAnsi="Calibri" w:cs="Times New Roman"/>
          <w:i/>
          <w:iCs/>
          <w:lang w:eastAsia="en-GB"/>
        </w:rPr>
        <w:t>23</w:t>
      </w:r>
      <w:r w:rsidRPr="00E6060C">
        <w:rPr>
          <w:rFonts w:ascii="Calibri" w:eastAsia="Calibri" w:hAnsi="Calibri" w:cs="Times New Roman"/>
          <w:lang w:eastAsia="en-GB"/>
        </w:rPr>
        <w:t>(1), 825-841.</w:t>
      </w:r>
    </w:p>
    <w:p w14:paraId="4D887E0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Luthans, F. (2002). Positive organisational behavior: Developing and managing psychological strengths. </w:t>
      </w:r>
      <w:r w:rsidRPr="00E6060C">
        <w:rPr>
          <w:rFonts w:ascii="Calibri" w:eastAsia="Calibri" w:hAnsi="Calibri" w:cs="Times New Roman"/>
          <w:i/>
          <w:iCs/>
          <w:lang w:eastAsia="en-GB"/>
        </w:rPr>
        <w:t>Academy of Management Executive, 16</w:t>
      </w:r>
      <w:r w:rsidRPr="00E6060C">
        <w:rPr>
          <w:rFonts w:ascii="Calibri" w:eastAsia="Calibri" w:hAnsi="Calibri" w:cs="Times New Roman"/>
          <w:lang w:eastAsia="en-GB"/>
        </w:rPr>
        <w:t xml:space="preserve">(1), 57-72. </w:t>
      </w:r>
    </w:p>
    <w:p w14:paraId="0856A87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fr-FR" w:eastAsia="en-GB"/>
        </w:rPr>
        <w:t xml:space="preserve">Luthans, F., Avey, J. B., Avolio, B. J., Norman, S. M., &amp; Combs, G. M. (2006). </w:t>
      </w:r>
      <w:r w:rsidRPr="00E6060C">
        <w:rPr>
          <w:rFonts w:ascii="Calibri" w:eastAsia="Calibri" w:hAnsi="Calibri" w:cs="Times New Roman"/>
          <w:lang w:eastAsia="en-GB"/>
        </w:rPr>
        <w:t xml:space="preserve">Psychological capital development: Toward a micro-intervention. </w:t>
      </w:r>
      <w:r w:rsidRPr="00E6060C">
        <w:rPr>
          <w:rFonts w:ascii="Calibri" w:eastAsia="Calibri" w:hAnsi="Calibri" w:cs="Times New Roman"/>
          <w:i/>
          <w:iCs/>
          <w:lang w:eastAsia="en-GB"/>
        </w:rPr>
        <w:t>Journal of Organisational Behavior, 27</w:t>
      </w:r>
      <w:r w:rsidRPr="00E6060C">
        <w:rPr>
          <w:rFonts w:ascii="Calibri" w:eastAsia="Calibri" w:hAnsi="Calibri" w:cs="Times New Roman"/>
          <w:lang w:eastAsia="en-GB"/>
        </w:rPr>
        <w:t>(3), 387-393. doi: 10.1002/job.373</w:t>
      </w:r>
    </w:p>
    <w:p w14:paraId="7F895DE7"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Luthans, F., Avey, J. B., &amp; Patera, J. L. (2008). Experimental analysis of a web-based training intervention to develop positive psychological capital. </w:t>
      </w:r>
      <w:r w:rsidRPr="00E6060C">
        <w:rPr>
          <w:rFonts w:ascii="Calibri" w:eastAsia="Calibri" w:hAnsi="Calibri" w:cs="Times New Roman"/>
          <w:i/>
          <w:iCs/>
          <w:lang w:eastAsia="en-GB"/>
        </w:rPr>
        <w:t>Academy of Management Learning &amp; Education, 7</w:t>
      </w:r>
      <w:r w:rsidRPr="00E6060C">
        <w:rPr>
          <w:rFonts w:ascii="Calibri" w:eastAsia="Calibri" w:hAnsi="Calibri" w:cs="Times New Roman"/>
          <w:lang w:eastAsia="en-GB"/>
        </w:rPr>
        <w:t xml:space="preserve">(2), 209-221. </w:t>
      </w:r>
    </w:p>
    <w:p w14:paraId="53E4591C" w14:textId="77777777" w:rsidR="00E6060C" w:rsidRPr="00E6060C" w:rsidRDefault="00E6060C" w:rsidP="00E6060C">
      <w:pPr>
        <w:spacing w:line="360" w:lineRule="auto"/>
        <w:ind w:left="426" w:hanging="426"/>
        <w:contextualSpacing/>
        <w:rPr>
          <w:rFonts w:ascii="Calibri" w:eastAsia="Calibri" w:hAnsi="Calibri" w:cs="Times New Roman"/>
          <w:lang w:val="fr-FR" w:eastAsia="en-GB"/>
        </w:rPr>
      </w:pPr>
      <w:r w:rsidRPr="00E6060C">
        <w:rPr>
          <w:rFonts w:ascii="Calibri" w:eastAsia="Calibri" w:hAnsi="Calibri" w:cs="Times New Roman"/>
          <w:lang w:eastAsia="en-GB"/>
        </w:rPr>
        <w:t xml:space="preserve">Luthans, F., Avolio, B. J., Avey, J. B., &amp; Norman, S. M. (2007). Positive psychological capital: Measurement and relationship with performance and satisfaction. </w:t>
      </w:r>
      <w:r w:rsidRPr="00E6060C">
        <w:rPr>
          <w:rFonts w:ascii="Calibri" w:eastAsia="Calibri" w:hAnsi="Calibri" w:cs="Times New Roman"/>
          <w:i/>
          <w:iCs/>
          <w:lang w:val="fr-FR" w:eastAsia="en-GB"/>
        </w:rPr>
        <w:t>Personnel Psychology, 60</w:t>
      </w:r>
      <w:r w:rsidRPr="00E6060C">
        <w:rPr>
          <w:rFonts w:ascii="Calibri" w:eastAsia="Calibri" w:hAnsi="Calibri" w:cs="Times New Roman"/>
          <w:lang w:val="fr-FR" w:eastAsia="en-GB"/>
        </w:rPr>
        <w:t>(3), 541-572. doi: 10.1111/j.1744-6570.2007.00083.x</w:t>
      </w:r>
    </w:p>
    <w:p w14:paraId="7A3B5A1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fr-FR" w:eastAsia="en-GB"/>
        </w:rPr>
        <w:t xml:space="preserve">Macey, W. H., &amp; Schneider, B. (2008). </w:t>
      </w:r>
      <w:r w:rsidRPr="00E6060C">
        <w:rPr>
          <w:rFonts w:ascii="Calibri" w:eastAsia="Calibri" w:hAnsi="Calibri" w:cs="Times New Roman"/>
          <w:lang w:eastAsia="en-GB"/>
        </w:rPr>
        <w:t xml:space="preserve">The meaning of employee engagement. </w:t>
      </w:r>
      <w:r w:rsidRPr="00E6060C">
        <w:rPr>
          <w:rFonts w:ascii="Calibri" w:eastAsia="Calibri" w:hAnsi="Calibri" w:cs="Times New Roman"/>
          <w:i/>
          <w:iCs/>
          <w:lang w:eastAsia="en-GB"/>
        </w:rPr>
        <w:t>Industrial and Organisational Psychology, 1</w:t>
      </w:r>
      <w:r w:rsidRPr="00E6060C">
        <w:rPr>
          <w:rFonts w:ascii="Calibri" w:eastAsia="Calibri" w:hAnsi="Calibri" w:cs="Times New Roman"/>
          <w:lang w:eastAsia="en-GB"/>
        </w:rPr>
        <w:t xml:space="preserve">, 3-30. </w:t>
      </w:r>
    </w:p>
    <w:p w14:paraId="51FD0DA9"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*Maclean, K. (2013). </w:t>
      </w:r>
      <w:r w:rsidRPr="00E6060C">
        <w:rPr>
          <w:rFonts w:ascii="Calibri" w:eastAsia="Calibri" w:hAnsi="Calibri" w:cs="Times New Roman"/>
          <w:i/>
          <w:iCs/>
        </w:rPr>
        <w:t>ACT at Work: Feasibility study of an acceptance based intervention to promote mental health well-being and work engagement in mental health service staff.</w:t>
      </w:r>
      <w:r w:rsidRPr="00E6060C">
        <w:rPr>
          <w:rFonts w:ascii="Calibri" w:eastAsia="Calibri" w:hAnsi="Calibri" w:cs="Times New Roman"/>
        </w:rPr>
        <w:t xml:space="preserve"> University of Glasgow. </w:t>
      </w:r>
    </w:p>
    <w:p w14:paraId="7401E16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MacLeod, D., &amp; Clarke, N. (2009). Engaging for Success: Enhancing performance through employee engagement: Department for Business, Innovation and Skills, UK.</w:t>
      </w:r>
    </w:p>
    <w:p w14:paraId="073265C0"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MacKinnon, D. P., Coxe, S., &amp; Baraldi, A. N. (2012). Guidelines for the investigation of mediating variables in business research. </w:t>
      </w:r>
      <w:r w:rsidRPr="00E6060C">
        <w:rPr>
          <w:rFonts w:ascii="Calibri" w:eastAsia="Calibri" w:hAnsi="Calibri" w:cs="Times New Roman"/>
          <w:i/>
          <w:iCs/>
        </w:rPr>
        <w:t>Journal of Business and Psychology</w:t>
      </w:r>
      <w:r w:rsidRPr="00E6060C">
        <w:rPr>
          <w:rFonts w:ascii="Calibri" w:eastAsia="Calibri" w:hAnsi="Calibri" w:cs="Times New Roman"/>
        </w:rPr>
        <w:t xml:space="preserve">, </w:t>
      </w:r>
      <w:r w:rsidRPr="00E6060C">
        <w:rPr>
          <w:rFonts w:ascii="Calibri" w:eastAsia="Calibri" w:hAnsi="Calibri" w:cs="Times New Roman"/>
          <w:i/>
          <w:iCs/>
        </w:rPr>
        <w:t>27</w:t>
      </w:r>
      <w:r w:rsidRPr="00E6060C">
        <w:rPr>
          <w:rFonts w:ascii="Calibri" w:eastAsia="Calibri" w:hAnsi="Calibri" w:cs="Times New Roman"/>
        </w:rPr>
        <w:t>(1), 1-14.</w:t>
      </w:r>
    </w:p>
    <w:p w14:paraId="33762522"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lastRenderedPageBreak/>
        <w:t>Maricuţoiu, L. P., Sava, F. A., &amp; Butta, O. (2014). The effectiveness of controlled interventions on employees’ burnout: A meta</w:t>
      </w:r>
      <w:r w:rsidRPr="00E6060C">
        <w:rPr>
          <w:rFonts w:ascii="Calibri" w:eastAsia="Calibri" w:hAnsi="Calibri" w:cs="Cambria Math"/>
        </w:rPr>
        <w:t>‐</w:t>
      </w:r>
      <w:r w:rsidRPr="00E6060C">
        <w:rPr>
          <w:rFonts w:ascii="Calibri" w:eastAsia="Calibri" w:hAnsi="Calibri" w:cs="Times New Roman"/>
        </w:rPr>
        <w:t xml:space="preserve">analysis. </w:t>
      </w:r>
      <w:r w:rsidRPr="00E6060C">
        <w:rPr>
          <w:rFonts w:ascii="Calibri" w:eastAsia="Calibri" w:hAnsi="Calibri" w:cs="Times New Roman"/>
          <w:i/>
          <w:iCs/>
        </w:rPr>
        <w:t>Journal of Occupational and Organizational Psychology</w:t>
      </w:r>
      <w:r w:rsidRPr="00E6060C">
        <w:rPr>
          <w:rFonts w:ascii="Calibri" w:eastAsia="Calibri" w:hAnsi="Calibri" w:cs="Times New Roman"/>
        </w:rPr>
        <w:t>.</w:t>
      </w:r>
    </w:p>
    <w:p w14:paraId="567B4D89"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*Martinussen, M., Adolfsen, F., Lauritzen, C., &amp; Richardsen, A. M. (2012). Improving interprofessional collaboration in a community setting: Relationships with burnout, engagement and service quality. </w:t>
      </w:r>
      <w:r w:rsidRPr="00E6060C">
        <w:rPr>
          <w:rFonts w:ascii="Calibri" w:eastAsia="Calibri" w:hAnsi="Calibri" w:cs="Times New Roman"/>
          <w:i/>
          <w:iCs/>
        </w:rPr>
        <w:t>Journal of Interprofessional Care, 26</w:t>
      </w:r>
      <w:r w:rsidRPr="00E6060C">
        <w:rPr>
          <w:rFonts w:ascii="Calibri" w:eastAsia="Calibri" w:hAnsi="Calibri" w:cs="Times New Roman"/>
        </w:rPr>
        <w:t>(3), 219-225. doi: 10.3109/13561820.2011.647125</w:t>
      </w:r>
    </w:p>
    <w:p w14:paraId="535A65D9"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Maslach, C., &amp; Jackson, S. E. (1981). The measurement of experienced burnout. </w:t>
      </w:r>
      <w:r w:rsidRPr="00E6060C">
        <w:rPr>
          <w:rFonts w:ascii="Calibri" w:eastAsia="Calibri" w:hAnsi="Calibri" w:cs="Times New Roman"/>
          <w:i/>
          <w:iCs/>
          <w:lang w:eastAsia="en-GB"/>
        </w:rPr>
        <w:t>Journal of Organisational Behavior, 2</w:t>
      </w:r>
      <w:r w:rsidRPr="00E6060C">
        <w:rPr>
          <w:rFonts w:ascii="Calibri" w:eastAsia="Calibri" w:hAnsi="Calibri" w:cs="Times New Roman"/>
          <w:lang w:eastAsia="en-GB"/>
        </w:rPr>
        <w:t xml:space="preserve">(2), 99-113. </w:t>
      </w:r>
    </w:p>
    <w:p w14:paraId="4E0210F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de-DE" w:eastAsia="en-GB"/>
        </w:rPr>
        <w:t xml:space="preserve">Maslach, C., &amp; Leiter, M. P. (1997). </w:t>
      </w:r>
      <w:r w:rsidRPr="00E6060C">
        <w:rPr>
          <w:rFonts w:ascii="Calibri" w:eastAsia="Calibri" w:hAnsi="Calibri" w:cs="Times New Roman"/>
          <w:i/>
          <w:iCs/>
          <w:lang w:eastAsia="en-GB"/>
        </w:rPr>
        <w:t>The Truth about Burnout</w:t>
      </w:r>
      <w:r w:rsidRPr="00E6060C">
        <w:rPr>
          <w:rFonts w:ascii="Calibri" w:eastAsia="Calibri" w:hAnsi="Calibri" w:cs="Times New Roman"/>
          <w:lang w:eastAsia="en-GB"/>
        </w:rPr>
        <w:t>. San Francisco: Jossey Bass.</w:t>
      </w:r>
    </w:p>
    <w:p w14:paraId="4050E8F5"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Maslow, A. H. (1943). A theory of human motivation. </w:t>
      </w:r>
      <w:r w:rsidRPr="00E6060C">
        <w:rPr>
          <w:rFonts w:ascii="Calibri" w:eastAsia="Calibri" w:hAnsi="Calibri" w:cs="Times New Roman"/>
          <w:i/>
          <w:iCs/>
          <w:lang w:eastAsia="en-GB"/>
        </w:rPr>
        <w:t>Psychological Review, 50</w:t>
      </w:r>
      <w:r w:rsidRPr="00E6060C">
        <w:rPr>
          <w:rFonts w:ascii="Calibri" w:eastAsia="Calibri" w:hAnsi="Calibri" w:cs="Times New Roman"/>
          <w:lang w:eastAsia="en-GB"/>
        </w:rPr>
        <w:t xml:space="preserve">, 370-396. </w:t>
      </w:r>
    </w:p>
    <w:p w14:paraId="7B05DF0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Maslow, A. H. (1954). </w:t>
      </w:r>
      <w:r w:rsidRPr="00E6060C">
        <w:rPr>
          <w:rFonts w:ascii="Calibri" w:eastAsia="Calibri" w:hAnsi="Calibri" w:cs="Times New Roman"/>
          <w:i/>
          <w:iCs/>
          <w:lang w:eastAsia="en-GB"/>
        </w:rPr>
        <w:t>Motivation and Personality</w:t>
      </w:r>
      <w:r w:rsidRPr="00E6060C">
        <w:rPr>
          <w:rFonts w:ascii="Calibri" w:eastAsia="Calibri" w:hAnsi="Calibri" w:cs="Times New Roman"/>
          <w:lang w:eastAsia="en-GB"/>
        </w:rPr>
        <w:t>. New York: Harper.</w:t>
      </w:r>
    </w:p>
    <w:p w14:paraId="2B4B3D6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May, D. R., Gilson, R. L., &amp; Harter, L. M. (2004). The psychological conditions of meaningfulness, safety and availability and the engagement of the human spirit at work. </w:t>
      </w:r>
      <w:r w:rsidRPr="00E6060C">
        <w:rPr>
          <w:rFonts w:ascii="Calibri" w:eastAsia="Calibri" w:hAnsi="Calibri" w:cs="Times New Roman"/>
          <w:i/>
          <w:iCs/>
          <w:lang w:eastAsia="en-GB"/>
        </w:rPr>
        <w:t>Journal of Occupational and Organisational Psychology, 77</w:t>
      </w:r>
      <w:r w:rsidRPr="00E6060C">
        <w:rPr>
          <w:rFonts w:ascii="Calibri" w:eastAsia="Calibri" w:hAnsi="Calibri" w:cs="Times New Roman"/>
          <w:lang w:eastAsia="en-GB"/>
        </w:rPr>
        <w:t xml:space="preserve">, 11-37. </w:t>
      </w:r>
    </w:p>
    <w:p w14:paraId="007F9B79"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McClelland, D. (1961). </w:t>
      </w:r>
      <w:r w:rsidRPr="00E6060C">
        <w:rPr>
          <w:rFonts w:ascii="Calibri" w:eastAsia="Calibri" w:hAnsi="Calibri" w:cs="Times New Roman"/>
          <w:i/>
          <w:iCs/>
          <w:lang w:eastAsia="en-GB"/>
        </w:rPr>
        <w:t>The Achieving Society</w:t>
      </w:r>
      <w:r w:rsidRPr="00E6060C">
        <w:rPr>
          <w:rFonts w:ascii="Calibri" w:eastAsia="Calibri" w:hAnsi="Calibri" w:cs="Times New Roman"/>
          <w:lang w:eastAsia="en-GB"/>
        </w:rPr>
        <w:t>. Princeton: Van Nostrand.</w:t>
      </w:r>
    </w:p>
    <w:p w14:paraId="3A7C1885"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McTaggart, R. (1991). Principles for participatory action research. </w:t>
      </w:r>
      <w:r w:rsidRPr="00E6060C">
        <w:rPr>
          <w:rFonts w:ascii="Calibri" w:eastAsia="Calibri" w:hAnsi="Calibri" w:cs="Times New Roman"/>
          <w:i/>
          <w:iCs/>
          <w:lang w:eastAsia="en-GB"/>
        </w:rPr>
        <w:t>Adult Education Quarterly, 41</w:t>
      </w:r>
      <w:r w:rsidRPr="00E6060C">
        <w:rPr>
          <w:rFonts w:ascii="Calibri" w:eastAsia="Calibri" w:hAnsi="Calibri" w:cs="Times New Roman"/>
          <w:lang w:eastAsia="en-GB"/>
        </w:rPr>
        <w:t>(3), 168-187. doi: 10.1177/0001848191041003003</w:t>
      </w:r>
    </w:p>
    <w:p w14:paraId="45C57C8F" w14:textId="1F567D1B"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Meyer, J. P., &amp; Gagne, M. (2008). Employee engagement from a </w:t>
      </w:r>
      <w:r w:rsidR="00C17CB1">
        <w:rPr>
          <w:rFonts w:ascii="Calibri" w:eastAsia="Calibri" w:hAnsi="Calibri" w:cs="Times New Roman"/>
        </w:rPr>
        <w:t>self-determination theory</w:t>
      </w:r>
      <w:r w:rsidRPr="00E6060C">
        <w:rPr>
          <w:rFonts w:ascii="Calibri" w:eastAsia="Calibri" w:hAnsi="Calibri" w:cs="Times New Roman"/>
        </w:rPr>
        <w:t xml:space="preserve"> perspective. </w:t>
      </w:r>
      <w:r w:rsidRPr="00E6060C">
        <w:rPr>
          <w:rFonts w:ascii="Calibri" w:eastAsia="Calibri" w:hAnsi="Calibri" w:cs="Times New Roman"/>
          <w:i/>
          <w:iCs/>
        </w:rPr>
        <w:t>Industrial and Organizational Psychology</w:t>
      </w:r>
      <w:r w:rsidRPr="00E6060C">
        <w:rPr>
          <w:rFonts w:ascii="Calibri" w:eastAsia="Calibri" w:hAnsi="Calibri" w:cs="Times New Roman"/>
        </w:rPr>
        <w:t xml:space="preserve">, </w:t>
      </w:r>
      <w:r w:rsidRPr="00E6060C">
        <w:rPr>
          <w:rFonts w:ascii="Calibri" w:eastAsia="Calibri" w:hAnsi="Calibri" w:cs="Times New Roman"/>
          <w:i/>
          <w:iCs/>
        </w:rPr>
        <w:t>1</w:t>
      </w:r>
      <w:r w:rsidRPr="00E6060C">
        <w:rPr>
          <w:rFonts w:ascii="Calibri" w:eastAsia="Calibri" w:hAnsi="Calibri" w:cs="Times New Roman"/>
        </w:rPr>
        <w:t>(01), 60-62.</w:t>
      </w:r>
    </w:p>
    <w:p w14:paraId="444861E0"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Moncher, F. J., &amp; Prinz, R. J. (1991). Treatment fidelity in outcome studies. </w:t>
      </w:r>
      <w:r w:rsidRPr="00E6060C">
        <w:rPr>
          <w:rFonts w:ascii="Calibri" w:eastAsia="Calibri" w:hAnsi="Calibri" w:cs="Times New Roman"/>
          <w:i/>
          <w:iCs/>
        </w:rPr>
        <w:t>Clinical psychology review</w:t>
      </w:r>
      <w:r w:rsidRPr="00E6060C">
        <w:rPr>
          <w:rFonts w:ascii="Calibri" w:eastAsia="Calibri" w:hAnsi="Calibri" w:cs="Times New Roman"/>
        </w:rPr>
        <w:t xml:space="preserve">, </w:t>
      </w:r>
      <w:r w:rsidRPr="00E6060C">
        <w:rPr>
          <w:rFonts w:ascii="Calibri" w:eastAsia="Calibri" w:hAnsi="Calibri" w:cs="Times New Roman"/>
          <w:i/>
          <w:iCs/>
        </w:rPr>
        <w:t>11</w:t>
      </w:r>
      <w:r w:rsidRPr="00E6060C">
        <w:rPr>
          <w:rFonts w:ascii="Calibri" w:eastAsia="Calibri" w:hAnsi="Calibri" w:cs="Times New Roman"/>
        </w:rPr>
        <w:t>(3), 247-266.</w:t>
      </w:r>
    </w:p>
    <w:p w14:paraId="27DFA5BE"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Moorman, R. H. (1991). Relationship between organisational justice and organisational citizenship behaviors: Do fairness perceptions influence employee citizenship? </w:t>
      </w:r>
      <w:r w:rsidRPr="00E6060C">
        <w:rPr>
          <w:rFonts w:ascii="Calibri" w:eastAsia="Calibri" w:hAnsi="Calibri" w:cs="Times New Roman"/>
          <w:i/>
          <w:iCs/>
          <w:lang w:eastAsia="en-GB"/>
        </w:rPr>
        <w:t>Journal of Applied Psychology, 76</w:t>
      </w:r>
      <w:r w:rsidRPr="00E6060C">
        <w:rPr>
          <w:rFonts w:ascii="Calibri" w:eastAsia="Calibri" w:hAnsi="Calibri" w:cs="Times New Roman"/>
          <w:lang w:eastAsia="en-GB"/>
        </w:rPr>
        <w:t xml:space="preserve">(6), 845. </w:t>
      </w:r>
    </w:p>
    <w:p w14:paraId="49E63BEB"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Mullan, K. (2009). </w:t>
      </w:r>
      <w:r w:rsidRPr="00E6060C">
        <w:rPr>
          <w:rFonts w:ascii="Calibri" w:eastAsia="Calibri" w:hAnsi="Calibri" w:cs="Times New Roman"/>
          <w:i/>
          <w:iCs/>
          <w:lang w:eastAsia="en-GB"/>
        </w:rPr>
        <w:t>Patients not Numbers, People not Statistics</w:t>
      </w:r>
      <w:r w:rsidRPr="00E6060C">
        <w:rPr>
          <w:rFonts w:ascii="Calibri" w:eastAsia="Calibri" w:hAnsi="Calibri" w:cs="Times New Roman"/>
          <w:lang w:eastAsia="en-GB"/>
        </w:rPr>
        <w:t>. London: Patient Association.</w:t>
      </w:r>
    </w:p>
    <w:p w14:paraId="209594AB"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Murta, S.G., Sanderson, K., &amp; Oldenburg, B. (2007). Process evaluation in occupational stress</w:t>
      </w:r>
    </w:p>
    <w:p w14:paraId="257525FC" w14:textId="77777777" w:rsidR="00E6060C" w:rsidRPr="00E6060C" w:rsidRDefault="00E6060C" w:rsidP="00DC7D2F">
      <w:pPr>
        <w:spacing w:line="360" w:lineRule="auto"/>
        <w:ind w:left="426"/>
        <w:contextualSpacing/>
        <w:rPr>
          <w:rFonts w:ascii="Calibri" w:eastAsia="Calibri" w:hAnsi="Calibri" w:cs="Times New Roman"/>
        </w:rPr>
      </w:pPr>
      <w:r w:rsidRPr="00E6060C">
        <w:rPr>
          <w:rFonts w:ascii="Calibri" w:eastAsia="Calibri" w:hAnsi="Calibri" w:cs="Times New Roman"/>
        </w:rPr>
        <w:t xml:space="preserve">management programs: A systematic review. </w:t>
      </w:r>
      <w:r w:rsidRPr="00E6060C">
        <w:rPr>
          <w:rFonts w:ascii="Calibri" w:eastAsia="Calibri" w:hAnsi="Calibri" w:cs="Times New Roman"/>
          <w:i/>
        </w:rPr>
        <w:t>American Journal of Health Promotion, 21</w:t>
      </w:r>
      <w:r w:rsidRPr="00E6060C">
        <w:rPr>
          <w:rFonts w:ascii="Calibri" w:eastAsia="Calibri" w:hAnsi="Calibri" w:cs="Times New Roman"/>
        </w:rPr>
        <w:t>,</w:t>
      </w:r>
    </w:p>
    <w:p w14:paraId="1A3F016D" w14:textId="77777777" w:rsidR="00E6060C" w:rsidRPr="00E6060C" w:rsidRDefault="00E6060C" w:rsidP="00DC7D2F">
      <w:pPr>
        <w:spacing w:line="360" w:lineRule="auto"/>
        <w:ind w:left="426"/>
        <w:contextualSpacing/>
        <w:rPr>
          <w:rFonts w:ascii="Calibri" w:eastAsia="Calibri" w:hAnsi="Calibri" w:cs="Times New Roman"/>
        </w:rPr>
      </w:pPr>
      <w:r w:rsidRPr="00E6060C">
        <w:rPr>
          <w:rFonts w:ascii="Calibri" w:eastAsia="Calibri" w:hAnsi="Calibri" w:cs="Times New Roman"/>
        </w:rPr>
        <w:t>248-254.</w:t>
      </w:r>
    </w:p>
    <w:p w14:paraId="7E26740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de-DE" w:eastAsia="en-GB"/>
        </w:rPr>
        <w:t xml:space="preserve">Nahrgang, J. D., Morgeson, F. P., &amp; Hofmann, D. A. (2011). </w:t>
      </w:r>
      <w:r w:rsidRPr="00E6060C">
        <w:rPr>
          <w:rFonts w:ascii="Calibri" w:eastAsia="Calibri" w:hAnsi="Calibri" w:cs="Times New Roman"/>
          <w:lang w:eastAsia="en-GB"/>
        </w:rPr>
        <w:t xml:space="preserve">Safety at work: A meta-analytic investigation of the link between job demands, job resources, burnout, engagement, and safety outcomes. </w:t>
      </w:r>
      <w:r w:rsidRPr="00E6060C">
        <w:rPr>
          <w:rFonts w:ascii="Calibri" w:eastAsia="Calibri" w:hAnsi="Calibri" w:cs="Times New Roman"/>
          <w:i/>
          <w:iCs/>
          <w:lang w:eastAsia="en-GB"/>
        </w:rPr>
        <w:t>Journal of Applied Psychology, 96</w:t>
      </w:r>
      <w:r w:rsidRPr="00E6060C">
        <w:rPr>
          <w:rFonts w:ascii="Calibri" w:eastAsia="Calibri" w:hAnsi="Calibri" w:cs="Times New Roman"/>
          <w:lang w:eastAsia="en-GB"/>
        </w:rPr>
        <w:t>(1), 71-94. doi: 10.1037/a0021484</w:t>
      </w:r>
    </w:p>
    <w:p w14:paraId="243D6086"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**Naruse, T., Taguchi, A., Kuwahara, Y., Nagata, S., Sakai, M., Watai, I., &amp; Murashima, S. (2014). The effect of skill mix in non-nursing assistants on work engagements among home visiting nurses in Japan. </w:t>
      </w:r>
      <w:r w:rsidRPr="00E6060C">
        <w:rPr>
          <w:rFonts w:ascii="Calibri" w:eastAsia="Calibri" w:hAnsi="Calibri" w:cs="Times New Roman"/>
          <w:i/>
          <w:iCs/>
        </w:rPr>
        <w:t>Journal of Nursing Management</w:t>
      </w:r>
      <w:r w:rsidRPr="00E6060C">
        <w:rPr>
          <w:rFonts w:ascii="Calibri" w:eastAsia="Calibri" w:hAnsi="Calibri" w:cs="Times New Roman"/>
        </w:rPr>
        <w:t>. doi: 10.1111/jonm.12167</w:t>
      </w:r>
    </w:p>
    <w:p w14:paraId="61ACA87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lastRenderedPageBreak/>
        <w:t xml:space="preserve">Newman, D. A., &amp; Harrison, D. A. (2008). Been there, bottled that: Are state and behavioral work engagement new and useful construct "wines"? </w:t>
      </w:r>
      <w:r w:rsidRPr="00E6060C">
        <w:rPr>
          <w:rFonts w:ascii="Calibri" w:eastAsia="Calibri" w:hAnsi="Calibri" w:cs="Times New Roman"/>
          <w:i/>
          <w:iCs/>
          <w:lang w:eastAsia="en-GB"/>
        </w:rPr>
        <w:t>Industrial and Organisational Psychology-Perspectives on Science and Practice, 1</w:t>
      </w:r>
      <w:r w:rsidRPr="00E6060C">
        <w:rPr>
          <w:rFonts w:ascii="Calibri" w:eastAsia="Calibri" w:hAnsi="Calibri" w:cs="Times New Roman"/>
          <w:lang w:eastAsia="en-GB"/>
        </w:rPr>
        <w:t>(1), 31-35. doi: 10.1111/j.1754-9434.2007.00003.x</w:t>
      </w:r>
    </w:p>
    <w:p w14:paraId="37C757B0" w14:textId="77777777" w:rsidR="00E6060C" w:rsidRPr="00E6060C" w:rsidRDefault="00E6060C" w:rsidP="00E6060C">
      <w:pPr>
        <w:spacing w:line="360" w:lineRule="auto"/>
        <w:ind w:left="426" w:hanging="426"/>
        <w:contextualSpacing/>
        <w:rPr>
          <w:rFonts w:ascii="Calibri" w:eastAsia="Calibri" w:hAnsi="Calibri" w:cs="AdvTR"/>
        </w:rPr>
      </w:pPr>
      <w:r w:rsidRPr="00E6060C">
        <w:rPr>
          <w:rFonts w:ascii="Calibri" w:eastAsia="Calibri" w:hAnsi="Calibri" w:cs="AdvTR"/>
        </w:rPr>
        <w:t xml:space="preserve">Nielsen, K., Fredslund, H., Christensen, K.B., &amp; Albertsen, K. (2006). Success or failure? Interpreting and understanding the impact of interventions in four similar worksites. </w:t>
      </w:r>
      <w:r w:rsidRPr="00E6060C">
        <w:rPr>
          <w:rFonts w:ascii="Calibri" w:eastAsia="Calibri" w:hAnsi="Calibri" w:cs="AdvTI"/>
          <w:i/>
        </w:rPr>
        <w:t>Work &amp; Stress</w:t>
      </w:r>
      <w:r w:rsidRPr="00E6060C">
        <w:rPr>
          <w:rFonts w:ascii="Calibri" w:eastAsia="Calibri" w:hAnsi="Calibri" w:cs="AdvTR"/>
          <w:i/>
        </w:rPr>
        <w:t xml:space="preserve">, </w:t>
      </w:r>
      <w:r w:rsidRPr="00E6060C">
        <w:rPr>
          <w:rFonts w:ascii="Calibri" w:eastAsia="Calibri" w:hAnsi="Calibri" w:cs="AdvTI"/>
          <w:i/>
        </w:rPr>
        <w:t>20</w:t>
      </w:r>
      <w:r w:rsidRPr="00E6060C">
        <w:rPr>
          <w:rFonts w:ascii="Calibri" w:eastAsia="Calibri" w:hAnsi="Calibri" w:cs="AdvTR"/>
          <w:i/>
        </w:rPr>
        <w:t xml:space="preserve">, </w:t>
      </w:r>
      <w:r w:rsidRPr="00E6060C">
        <w:rPr>
          <w:rFonts w:ascii="Calibri" w:eastAsia="Calibri" w:hAnsi="Calibri" w:cs="AdvTR"/>
        </w:rPr>
        <w:t>272</w:t>
      </w:r>
      <w:r w:rsidRPr="00E6060C">
        <w:rPr>
          <w:rFonts w:ascii="Calibri" w:eastAsia="Calibri" w:hAnsi="Calibri" w:cs="AdvBMa1"/>
        </w:rPr>
        <w:t>-</w:t>
      </w:r>
      <w:r w:rsidRPr="00E6060C">
        <w:rPr>
          <w:rFonts w:ascii="Calibri" w:eastAsia="Calibri" w:hAnsi="Calibri" w:cs="AdvTR"/>
        </w:rPr>
        <w:t>287.</w:t>
      </w:r>
    </w:p>
    <w:p w14:paraId="757BC3D7"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Nielsen, K. (2013). Review Article: How can we make organizational interventions work? Employees and line managers as actively crafting interventions. </w:t>
      </w:r>
      <w:r w:rsidRPr="00E6060C">
        <w:rPr>
          <w:rFonts w:ascii="Calibri" w:eastAsia="Calibri" w:hAnsi="Calibri" w:cs="Times New Roman"/>
          <w:i/>
        </w:rPr>
        <w:t>Human Relations, 66</w:t>
      </w:r>
      <w:r w:rsidRPr="00E6060C">
        <w:rPr>
          <w:rFonts w:ascii="Calibri" w:eastAsia="Calibri" w:hAnsi="Calibri" w:cs="Times New Roman"/>
        </w:rPr>
        <w:t xml:space="preserve">(8), 1029-1050 </w:t>
      </w:r>
    </w:p>
    <w:p w14:paraId="2815053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Nielsen, K., Randall, R., &amp; Albertsen, K. (2007). Participants’ appraisals of process issues and    the effects of stress management interventions. </w:t>
      </w:r>
      <w:r w:rsidRPr="00E6060C">
        <w:rPr>
          <w:rFonts w:ascii="Calibri" w:eastAsia="Calibri" w:hAnsi="Calibri" w:cs="Times New Roman"/>
          <w:i/>
          <w:lang w:eastAsia="en-GB"/>
        </w:rPr>
        <w:t>Journal of Organizational Behavior</w:t>
      </w:r>
      <w:r w:rsidRPr="00E6060C">
        <w:rPr>
          <w:rFonts w:ascii="Calibri" w:eastAsia="Calibri" w:hAnsi="Calibri" w:cs="Times New Roman"/>
          <w:lang w:eastAsia="en-GB"/>
        </w:rPr>
        <w:t xml:space="preserve">, </w:t>
      </w:r>
      <w:r w:rsidRPr="00E6060C">
        <w:rPr>
          <w:rFonts w:ascii="Calibri" w:eastAsia="Calibri" w:hAnsi="Calibri" w:cs="Times New Roman"/>
          <w:i/>
          <w:lang w:eastAsia="en-GB"/>
        </w:rPr>
        <w:t>28</w:t>
      </w:r>
      <w:r w:rsidRPr="00E6060C">
        <w:rPr>
          <w:rFonts w:ascii="Calibri" w:eastAsia="Calibri" w:hAnsi="Calibri" w:cs="Times New Roman"/>
          <w:lang w:eastAsia="en-GB"/>
        </w:rPr>
        <w:t>, 793-810.</w:t>
      </w:r>
    </w:p>
    <w:p w14:paraId="49750CD4" w14:textId="77777777"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Nielsen, K., &amp; Randall, R. (2009). Managers’ active support when implementing teams: The impact on employee well-being. </w:t>
      </w:r>
      <w:r w:rsidRPr="00E6060C">
        <w:rPr>
          <w:rFonts w:ascii="Calibri" w:eastAsia="Calibri" w:hAnsi="Calibri" w:cs="Times New Roman"/>
          <w:i/>
          <w:noProof/>
        </w:rPr>
        <w:t>Applied Psychology: Health and Well-being, 1,</w:t>
      </w:r>
      <w:r w:rsidRPr="00E6060C">
        <w:rPr>
          <w:rFonts w:ascii="Calibri" w:eastAsia="Calibri" w:hAnsi="Calibri" w:cs="Times New Roman"/>
          <w:noProof/>
        </w:rPr>
        <w:t xml:space="preserve"> 374-390.</w:t>
      </w:r>
    </w:p>
    <w:p w14:paraId="2A7A0DAA" w14:textId="6EB16C97"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Nielsen, K., Randall, R., Holten, A.-L., &amp; González, E. R. (2010). Conducting organizational-level occupational health interventions: What works? </w:t>
      </w:r>
      <w:r w:rsidRPr="00E6060C">
        <w:rPr>
          <w:rFonts w:ascii="Calibri" w:eastAsia="Calibri" w:hAnsi="Calibri" w:cs="Times New Roman"/>
          <w:i/>
          <w:iCs/>
          <w:noProof/>
        </w:rPr>
        <w:t>Work &amp; Stress</w:t>
      </w:r>
      <w:r w:rsidRPr="00E6060C">
        <w:rPr>
          <w:rFonts w:ascii="Calibri" w:eastAsia="Calibri" w:hAnsi="Calibri" w:cs="Times New Roman"/>
          <w:noProof/>
        </w:rPr>
        <w:t xml:space="preserve">, </w:t>
      </w:r>
      <w:r w:rsidRPr="00E6060C">
        <w:rPr>
          <w:rFonts w:ascii="Calibri" w:eastAsia="Calibri" w:hAnsi="Calibri" w:cs="Times New Roman"/>
          <w:i/>
          <w:iCs/>
          <w:noProof/>
        </w:rPr>
        <w:t>24</w:t>
      </w:r>
      <w:r w:rsidRPr="00E6060C">
        <w:rPr>
          <w:rFonts w:ascii="Calibri" w:eastAsia="Calibri" w:hAnsi="Calibri" w:cs="Times New Roman"/>
          <w:noProof/>
        </w:rPr>
        <w:t xml:space="preserve">(3), 234–259. </w:t>
      </w:r>
      <w:r w:rsidR="00CA3FA3">
        <w:rPr>
          <w:rFonts w:ascii="Calibri" w:eastAsia="Calibri" w:hAnsi="Calibri" w:cs="Times New Roman"/>
          <w:noProof/>
        </w:rPr>
        <w:t>h</w:t>
      </w:r>
      <w:r w:rsidRPr="00E6060C">
        <w:rPr>
          <w:rFonts w:ascii="Calibri" w:eastAsia="Calibri" w:hAnsi="Calibri" w:cs="Times New Roman"/>
          <w:noProof/>
        </w:rPr>
        <w:t>ttp://doi.org/10.1080/02678373.2010.515393</w:t>
      </w:r>
    </w:p>
    <w:p w14:paraId="276AF4C5" w14:textId="77777777" w:rsidR="00E6060C" w:rsidRPr="00E6060C" w:rsidRDefault="00E6060C" w:rsidP="00E6060C">
      <w:pPr>
        <w:spacing w:line="360" w:lineRule="auto"/>
        <w:ind w:left="426" w:hanging="426"/>
        <w:contextualSpacing/>
        <w:rPr>
          <w:rFonts w:ascii="Calibri" w:eastAsia="Calibri" w:hAnsi="Calibri" w:cs="Times New Roman"/>
          <w:noProof/>
        </w:rPr>
      </w:pPr>
      <w:r w:rsidRPr="00E6060C">
        <w:rPr>
          <w:rFonts w:ascii="Calibri" w:eastAsia="Calibri" w:hAnsi="Calibri" w:cs="Times New Roman"/>
          <w:noProof/>
        </w:rPr>
        <w:t xml:space="preserve">Nielsen, K., Taris, T. W., &amp; Cox, T. (2010). The future of organizational interventions: Addressing the challenges of today’s organizations. </w:t>
      </w:r>
      <w:r w:rsidRPr="00E6060C">
        <w:rPr>
          <w:rFonts w:ascii="Calibri" w:eastAsia="Calibri" w:hAnsi="Calibri" w:cs="Times New Roman"/>
          <w:i/>
          <w:iCs/>
          <w:noProof/>
        </w:rPr>
        <w:t>Work &amp; Stress</w:t>
      </w:r>
      <w:r w:rsidRPr="00E6060C">
        <w:rPr>
          <w:rFonts w:ascii="Calibri" w:eastAsia="Calibri" w:hAnsi="Calibri" w:cs="Times New Roman"/>
          <w:noProof/>
        </w:rPr>
        <w:t xml:space="preserve">, </w:t>
      </w:r>
      <w:r w:rsidRPr="00E6060C">
        <w:rPr>
          <w:rFonts w:ascii="Calibri" w:eastAsia="Calibri" w:hAnsi="Calibri" w:cs="Times New Roman"/>
          <w:i/>
          <w:iCs/>
          <w:noProof/>
        </w:rPr>
        <w:t>24</w:t>
      </w:r>
      <w:r w:rsidRPr="00E6060C">
        <w:rPr>
          <w:rFonts w:ascii="Calibri" w:eastAsia="Calibri" w:hAnsi="Calibri" w:cs="Times New Roman"/>
          <w:noProof/>
        </w:rPr>
        <w:t>(3), 219–233. http://doi.org/10.1080/02678373.2010.519176</w:t>
      </w:r>
    </w:p>
    <w:p w14:paraId="4D3D0461"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Nolan, M., Brown, J., Davies, S., Nolan, J., &amp; Keady, J. (2006). The senses framework: Improving care for older people through a relationship-centred approach. </w:t>
      </w:r>
      <w:r w:rsidRPr="00E6060C">
        <w:rPr>
          <w:rFonts w:ascii="Calibri" w:eastAsia="Calibri" w:hAnsi="Calibri" w:cs="Times New Roman"/>
          <w:i/>
          <w:lang w:eastAsia="en-GB"/>
        </w:rPr>
        <w:t>Getting Research into Practice</w:t>
      </w:r>
      <w:r w:rsidRPr="00E6060C">
        <w:rPr>
          <w:rFonts w:ascii="Calibri" w:eastAsia="Calibri" w:hAnsi="Calibri" w:cs="Times New Roman"/>
          <w:lang w:eastAsia="en-GB"/>
        </w:rPr>
        <w:t xml:space="preserve"> (GRiP; Report No 2). </w:t>
      </w:r>
    </w:p>
    <w:p w14:paraId="38DDDCC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Noyes, J, Popay, J, Pearson, A, Hannes, K, &amp; Booth, A. (2011). Chapter 20: Qualitative research and Cochrane reviews. In Higgins JPT, Green S (Eds.), </w:t>
      </w:r>
      <w:r w:rsidRPr="00E6060C">
        <w:rPr>
          <w:rFonts w:ascii="Calibri" w:eastAsia="Calibri" w:hAnsi="Calibri" w:cs="Times New Roman"/>
          <w:i/>
          <w:iCs/>
          <w:lang w:eastAsia="en-GB"/>
        </w:rPr>
        <w:t>Cochrane Handbook for Systematic Reviews of Interventions</w:t>
      </w:r>
      <w:r w:rsidRPr="00E6060C">
        <w:rPr>
          <w:rFonts w:ascii="Calibri" w:eastAsia="Calibri" w:hAnsi="Calibri" w:cs="Times New Roman"/>
          <w:lang w:eastAsia="en-GB"/>
        </w:rPr>
        <w:t xml:space="preserve"> Version 5.1.0 (updated March 2011). The Cochrane Collaboration, 2011. Available from www.cochrane-handbook.org.</w:t>
      </w:r>
    </w:p>
    <w:p w14:paraId="326B621C"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Nunnally, J. C. (1978). </w:t>
      </w:r>
      <w:r w:rsidRPr="00E6060C">
        <w:rPr>
          <w:rFonts w:ascii="Calibri" w:eastAsia="Calibri" w:hAnsi="Calibri" w:cs="Calibri"/>
          <w:i/>
          <w:iCs/>
        </w:rPr>
        <w:t xml:space="preserve">Psychometric Theory </w:t>
      </w:r>
      <w:r w:rsidRPr="00E6060C">
        <w:rPr>
          <w:rFonts w:ascii="Calibri" w:eastAsia="Calibri" w:hAnsi="Calibri" w:cs="Calibri"/>
        </w:rPr>
        <w:t>(Second Edition). New York: McGraw-Hill.</w:t>
      </w:r>
    </w:p>
    <w:p w14:paraId="5C9F9F44"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Oliver, J., &amp; Benet-Martinez, V. (2000). Measurement: Reliability, Construct Validation, and Scale Construction. In H. T. J. Reis, C. M. (Ed.), </w:t>
      </w:r>
      <w:r w:rsidRPr="00E6060C">
        <w:rPr>
          <w:rFonts w:ascii="Calibri" w:eastAsia="Calibri" w:hAnsi="Calibri" w:cs="Calibri"/>
          <w:i/>
          <w:iCs/>
        </w:rPr>
        <w:t>Handbook of research methods in social and personality psychology</w:t>
      </w:r>
      <w:r w:rsidRPr="00E6060C">
        <w:rPr>
          <w:rFonts w:ascii="Calibri" w:eastAsia="Calibri" w:hAnsi="Calibri" w:cs="Calibri"/>
        </w:rPr>
        <w:t xml:space="preserve"> (pp. 339 - 369). Cambridge: Cambridge University Press.</w:t>
      </w:r>
    </w:p>
    <w:p w14:paraId="5AD0BF8A" w14:textId="77777777" w:rsidR="003C26F3" w:rsidRPr="003C26F3" w:rsidRDefault="003C26F3" w:rsidP="003C26F3">
      <w:pPr>
        <w:spacing w:line="360" w:lineRule="auto"/>
        <w:ind w:left="426" w:hanging="426"/>
        <w:contextualSpacing/>
        <w:rPr>
          <w:rFonts w:ascii="Calibri" w:eastAsia="Calibri" w:hAnsi="Calibri" w:cs="Times New Roman"/>
          <w:lang w:eastAsia="en-GB"/>
        </w:rPr>
      </w:pPr>
      <w:r w:rsidRPr="003C26F3">
        <w:rPr>
          <w:rFonts w:ascii="Calibri" w:eastAsia="Calibri" w:hAnsi="Calibri" w:cs="Times New Roman"/>
          <w:lang w:eastAsia="en-GB"/>
        </w:rPr>
        <w:t xml:space="preserve">Orwin, R. G. (1994). Evaluating coding decisions. In: Cooper, H., Hedges, L, V. (Eds). </w:t>
      </w:r>
      <w:r w:rsidRPr="003C26F3">
        <w:rPr>
          <w:rFonts w:ascii="Calibri" w:eastAsia="Calibri" w:hAnsi="Calibri" w:cs="Times New Roman"/>
          <w:i/>
          <w:iCs/>
          <w:lang w:eastAsia="en-GB"/>
        </w:rPr>
        <w:t>The Handbook of Research Synthesis</w:t>
      </w:r>
      <w:r w:rsidRPr="003C26F3">
        <w:rPr>
          <w:rFonts w:ascii="Calibri" w:eastAsia="Calibri" w:hAnsi="Calibri" w:cs="Times New Roman"/>
          <w:lang w:eastAsia="en-GB"/>
        </w:rPr>
        <w:t>. New York, Russell Sage Foundation.</w:t>
      </w:r>
    </w:p>
    <w:p w14:paraId="72ADDE6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**Ouweneel, E., Le Blanc, P. M., &amp; Schaufeli, W. B. (2013). Do-it-yourself: An online positive psychology intervention to promote positive emotions, self-efficacy, and engagement at work. </w:t>
      </w:r>
      <w:r w:rsidRPr="00E6060C">
        <w:rPr>
          <w:rFonts w:ascii="Calibri" w:eastAsia="Calibri" w:hAnsi="Calibri" w:cs="Times New Roman"/>
          <w:i/>
          <w:iCs/>
          <w:lang w:eastAsia="en-GB"/>
        </w:rPr>
        <w:t>Career Development International, 18</w:t>
      </w:r>
      <w:r w:rsidRPr="00E6060C">
        <w:rPr>
          <w:rFonts w:ascii="Calibri" w:eastAsia="Calibri" w:hAnsi="Calibri" w:cs="Times New Roman"/>
          <w:lang w:eastAsia="en-GB"/>
        </w:rPr>
        <w:t>(2), 173-195. doi: 10.1108/cdi-10-2012-0102</w:t>
      </w:r>
    </w:p>
    <w:p w14:paraId="1339E213"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lastRenderedPageBreak/>
        <w:t xml:space="preserve">Ouweneel, E., Le Blanc, P. M., Schaufeli, W. B., &amp; van Wijhe, C. I. (2012). Good morning, good day: A diary study on positive emotions, hope, and work engagement. </w:t>
      </w:r>
      <w:r w:rsidRPr="00E6060C">
        <w:rPr>
          <w:rFonts w:ascii="Calibri" w:eastAsia="Calibri" w:hAnsi="Calibri" w:cs="Times New Roman"/>
          <w:i/>
          <w:iCs/>
          <w:lang w:eastAsia="en-GB"/>
        </w:rPr>
        <w:t>Human Relations, 65</w:t>
      </w:r>
      <w:r w:rsidRPr="00E6060C">
        <w:rPr>
          <w:rFonts w:ascii="Calibri" w:eastAsia="Calibri" w:hAnsi="Calibri" w:cs="Times New Roman"/>
          <w:lang w:eastAsia="en-GB"/>
        </w:rPr>
        <w:t>(9), 1129-1154. doi: 10.1177/0018726711429382</w:t>
      </w:r>
    </w:p>
    <w:p w14:paraId="1DD83622" w14:textId="6BFDF348" w:rsidR="003609BD" w:rsidRDefault="003609BD" w:rsidP="003609BD">
      <w:pPr>
        <w:spacing w:line="360" w:lineRule="auto"/>
        <w:ind w:left="426" w:hanging="426"/>
        <w:contextualSpacing/>
        <w:rPr>
          <w:rFonts w:eastAsia="Times New Roman" w:cs="Times New Roman"/>
          <w:lang w:eastAsia="en-GB"/>
        </w:rPr>
      </w:pPr>
      <w:r>
        <w:t xml:space="preserve">Palheta, R. P., &amp; da Costa, R, J.. (2012). Caminhos da Humanização Hospitalar em Manaus: os trabalhadores na roda. </w:t>
      </w:r>
      <w:r>
        <w:rPr>
          <w:i/>
          <w:iCs/>
        </w:rPr>
        <w:t>Saúde e Sociedade</w:t>
      </w:r>
      <w:r>
        <w:t xml:space="preserve">, </w:t>
      </w:r>
      <w:r>
        <w:rPr>
          <w:i/>
          <w:iCs/>
        </w:rPr>
        <w:t>21</w:t>
      </w:r>
      <w:r>
        <w:t>(Suppl. 1), 253-264.</w:t>
      </w:r>
      <w:r w:rsidR="00CA3FA3">
        <w:t xml:space="preserve"> Retrieved from</w:t>
      </w:r>
      <w:r>
        <w:t xml:space="preserve"> </w:t>
      </w:r>
      <w:r w:rsidRPr="00BF78DB">
        <w:t>https://dx.doi.org/10.1590/S0104-12902012000500022</w:t>
      </w:r>
      <w:r w:rsidRPr="00F56D74">
        <w:rPr>
          <w:rFonts w:eastAsia="Times New Roman" w:cs="Times New Roman"/>
          <w:lang w:eastAsia="en-GB"/>
        </w:rPr>
        <w:t xml:space="preserve"> </w:t>
      </w:r>
    </w:p>
    <w:p w14:paraId="2EA29F7C"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Park, K. O., Schaffer, B.S., Griffin-Blake, C.S., Dejoy, D., Wilson, M.G., &amp; Vandenberg, R.J. (2004). Effectiveness of a healthy work organization intervention: Ethnic group differences. </w:t>
      </w:r>
      <w:r w:rsidRPr="00E6060C">
        <w:rPr>
          <w:rFonts w:ascii="Calibri" w:eastAsia="Calibri" w:hAnsi="Calibri" w:cs="Times New Roman"/>
          <w:i/>
          <w:lang w:eastAsia="en-GB"/>
        </w:rPr>
        <w:t>Journal of Occupational and Environmental Medicine, 46,</w:t>
      </w:r>
      <w:r w:rsidRPr="00E6060C">
        <w:rPr>
          <w:rFonts w:ascii="Calibri" w:eastAsia="Calibri" w:hAnsi="Calibri" w:cs="Times New Roman"/>
          <w:lang w:eastAsia="en-GB"/>
        </w:rPr>
        <w:t xml:space="preserve"> 623-633.</w:t>
      </w:r>
    </w:p>
    <w:p w14:paraId="2FCD34C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Panorama (2014, 30th April). </w:t>
      </w:r>
      <w:r w:rsidRPr="00E6060C">
        <w:rPr>
          <w:rFonts w:ascii="Calibri" w:eastAsia="Calibri" w:hAnsi="Calibri" w:cs="Times New Roman"/>
          <w:i/>
          <w:lang w:eastAsia="en-GB"/>
        </w:rPr>
        <w:t>Behind Closed Doors: Elderly Care Exposed</w:t>
      </w:r>
      <w:r w:rsidRPr="00E6060C">
        <w:rPr>
          <w:rFonts w:ascii="Calibri" w:eastAsia="Calibri" w:hAnsi="Calibri" w:cs="Times New Roman"/>
          <w:lang w:eastAsia="en-GB"/>
        </w:rPr>
        <w:t xml:space="preserve">. BBC, Channel One. </w:t>
      </w:r>
    </w:p>
    <w:p w14:paraId="6E6FBE17"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Patterson, M., Nolan, M., Rick, J., Brown, J., Adams, R., &amp; Musson, G. (2011). From metrics to meaning: Culture change and quality of acute hospital care for older people. </w:t>
      </w:r>
      <w:r w:rsidRPr="00E6060C">
        <w:rPr>
          <w:rFonts w:ascii="Calibri" w:eastAsia="Calibri" w:hAnsi="Calibri" w:cs="Times New Roman"/>
          <w:i/>
          <w:iCs/>
          <w:lang w:eastAsia="en-GB"/>
        </w:rPr>
        <w:t xml:space="preserve">National Institute for Health Research Service Delivery and Organisation Programme. </w:t>
      </w:r>
      <w:r w:rsidRPr="00E6060C">
        <w:rPr>
          <w:rFonts w:ascii="Calibri" w:eastAsia="Calibri" w:hAnsi="Calibri" w:cs="Times New Roman"/>
          <w:iCs/>
          <w:lang w:eastAsia="en-GB"/>
        </w:rPr>
        <w:t>HMSO, London, UK</w:t>
      </w:r>
      <w:r w:rsidRPr="00E6060C">
        <w:rPr>
          <w:rFonts w:ascii="Calibri" w:eastAsia="Calibri" w:hAnsi="Calibri" w:cs="Times New Roman"/>
          <w:lang w:eastAsia="en-GB"/>
        </w:rPr>
        <w:t xml:space="preserve">. </w:t>
      </w:r>
    </w:p>
    <w:p w14:paraId="4FDC70D7" w14:textId="77777777" w:rsidR="00E6060C" w:rsidRPr="00E6060C" w:rsidRDefault="00E6060C" w:rsidP="00E6060C">
      <w:pPr>
        <w:spacing w:line="360" w:lineRule="auto"/>
        <w:ind w:left="426" w:hanging="426"/>
        <w:contextualSpacing/>
        <w:rPr>
          <w:rFonts w:ascii="Calibri" w:eastAsia="Calibri" w:hAnsi="Calibri" w:cs="Times New Roman"/>
          <w:iCs/>
        </w:rPr>
      </w:pPr>
      <w:r w:rsidRPr="00E6060C">
        <w:rPr>
          <w:rFonts w:ascii="Calibri" w:eastAsia="Calibri" w:hAnsi="Calibri" w:cs="Times New Roman"/>
          <w:bCs/>
          <w:iCs/>
        </w:rPr>
        <w:t xml:space="preserve">Pejtersen, J. H., Søndergård Kristensen, T., </w:t>
      </w:r>
      <w:r w:rsidRPr="00E6060C">
        <w:rPr>
          <w:rFonts w:ascii="Calibri" w:eastAsia="Calibri" w:hAnsi="Calibri" w:cs="Times New Roman"/>
          <w:iCs/>
        </w:rPr>
        <w:t xml:space="preserve">Borg, V., &amp; Bjorner, J. B. (2010). The second version of the Copenhagen psychosocial questionnaire. </w:t>
      </w:r>
      <w:r w:rsidRPr="00E6060C">
        <w:rPr>
          <w:rFonts w:ascii="Calibri" w:eastAsia="Calibri" w:hAnsi="Calibri" w:cs="Times New Roman"/>
          <w:i/>
          <w:iCs/>
        </w:rPr>
        <w:t>Scandinavian Journal of Public Health, 38</w:t>
      </w:r>
      <w:r w:rsidRPr="00E6060C">
        <w:rPr>
          <w:rFonts w:ascii="Calibri" w:eastAsia="Calibri" w:hAnsi="Calibri" w:cs="Times New Roman"/>
          <w:iCs/>
        </w:rPr>
        <w:t>(3), 8-24.</w:t>
      </w:r>
    </w:p>
    <w:p w14:paraId="56E1C4F1"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Peterson, C., &amp; Seligman, M. E. (2004). </w:t>
      </w:r>
      <w:r w:rsidRPr="00E6060C">
        <w:rPr>
          <w:rFonts w:ascii="Calibri" w:eastAsia="Calibri" w:hAnsi="Calibri" w:cs="Times New Roman"/>
          <w:i/>
          <w:lang w:eastAsia="en-GB"/>
        </w:rPr>
        <w:t>Character Strengths and Virtues: A Classification and Handbook</w:t>
      </w:r>
      <w:r w:rsidRPr="00E6060C">
        <w:rPr>
          <w:rFonts w:ascii="Calibri" w:eastAsia="Calibri" w:hAnsi="Calibri" w:cs="Times New Roman"/>
          <w:lang w:eastAsia="en-GB"/>
        </w:rPr>
        <w:t xml:space="preserve">. </w:t>
      </w:r>
      <w:r w:rsidRPr="00E6060C">
        <w:rPr>
          <w:rFonts w:ascii="Calibri" w:eastAsia="Calibri" w:hAnsi="Calibri" w:cs="Times New Roman"/>
          <w:iCs/>
          <w:lang w:eastAsia="en-GB"/>
        </w:rPr>
        <w:t>Washington, DC: American Psychological Association</w:t>
      </w:r>
      <w:r w:rsidRPr="00E6060C">
        <w:rPr>
          <w:rFonts w:ascii="Calibri" w:eastAsia="Calibri" w:hAnsi="Calibri" w:cs="Times New Roman"/>
          <w:lang w:eastAsia="en-GB"/>
        </w:rPr>
        <w:t xml:space="preserve">. </w:t>
      </w:r>
    </w:p>
    <w:p w14:paraId="2E4D2D6A"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 xml:space="preserve">Podsakoff, P. M., MacKenzie, S. B., Lee, J. Y., &amp; Podsakoff, N. P. (2003). Common method biases in behavioral research: a critical review of the literature and recommended remedies. </w:t>
      </w:r>
      <w:r w:rsidRPr="00E6060C">
        <w:rPr>
          <w:rFonts w:ascii="Calibri" w:eastAsia="Calibri" w:hAnsi="Calibri" w:cs="Calibri"/>
          <w:i/>
          <w:iCs/>
        </w:rPr>
        <w:t>Journal of applied psychology</w:t>
      </w:r>
      <w:r w:rsidRPr="00E6060C">
        <w:rPr>
          <w:rFonts w:ascii="Calibri" w:eastAsia="Calibri" w:hAnsi="Calibri" w:cs="Calibri"/>
        </w:rPr>
        <w:t xml:space="preserve">, </w:t>
      </w:r>
      <w:r w:rsidRPr="00E6060C">
        <w:rPr>
          <w:rFonts w:ascii="Calibri" w:eastAsia="Calibri" w:hAnsi="Calibri" w:cs="Calibri"/>
          <w:i/>
          <w:iCs/>
        </w:rPr>
        <w:t>88</w:t>
      </w:r>
      <w:r w:rsidRPr="00E6060C">
        <w:rPr>
          <w:rFonts w:ascii="Calibri" w:eastAsia="Calibri" w:hAnsi="Calibri" w:cs="Calibri"/>
        </w:rPr>
        <w:t>(5), 879.</w:t>
      </w:r>
    </w:p>
    <w:p w14:paraId="61D40982"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Preacher, K. J., &amp; Kelley, K. (2011). Effect size measures for mediation models: quantitative strategies for communicating indirect effects. </w:t>
      </w:r>
      <w:r w:rsidRPr="00E6060C">
        <w:rPr>
          <w:rFonts w:ascii="Calibri" w:eastAsia="Calibri" w:hAnsi="Calibri" w:cs="Times New Roman"/>
          <w:i/>
          <w:iCs/>
          <w:lang w:eastAsia="en-GB"/>
        </w:rPr>
        <w:t>Psychological methods</w:t>
      </w:r>
      <w:r w:rsidRPr="00E6060C">
        <w:rPr>
          <w:rFonts w:ascii="Calibri" w:eastAsia="Calibri" w:hAnsi="Calibri" w:cs="Times New Roman"/>
          <w:lang w:eastAsia="en-GB"/>
        </w:rPr>
        <w:t xml:space="preserve">, </w:t>
      </w:r>
      <w:r w:rsidRPr="00E6060C">
        <w:rPr>
          <w:rFonts w:ascii="Calibri" w:eastAsia="Calibri" w:hAnsi="Calibri" w:cs="Times New Roman"/>
          <w:i/>
          <w:iCs/>
          <w:lang w:eastAsia="en-GB"/>
        </w:rPr>
        <w:t>16</w:t>
      </w:r>
      <w:r w:rsidRPr="00E6060C">
        <w:rPr>
          <w:rFonts w:ascii="Calibri" w:eastAsia="Calibri" w:hAnsi="Calibri" w:cs="Times New Roman"/>
          <w:lang w:eastAsia="en-GB"/>
        </w:rPr>
        <w:t>(2), 93.</w:t>
      </w:r>
    </w:p>
    <w:p w14:paraId="1E7D9D71" w14:textId="77777777" w:rsidR="00E6060C" w:rsidRPr="00E6060C" w:rsidRDefault="00E6060C" w:rsidP="00E6060C">
      <w:pPr>
        <w:spacing w:line="360" w:lineRule="auto"/>
        <w:ind w:left="426" w:hanging="426"/>
        <w:contextualSpacing/>
        <w:rPr>
          <w:rFonts w:ascii="Calibri" w:eastAsia="Calibri" w:hAnsi="Calibri" w:cs="Times New Roman"/>
          <w:i/>
          <w:lang w:eastAsia="en-GB"/>
        </w:rPr>
      </w:pPr>
      <w:r w:rsidRPr="00E6060C">
        <w:rPr>
          <w:rFonts w:ascii="Calibri" w:eastAsia="Calibri" w:hAnsi="Calibri" w:cs="Times New Roman"/>
          <w:lang w:eastAsia="en-GB"/>
        </w:rPr>
        <w:t xml:space="preserve">Randall, R., &amp; Nielsen, K. (2010). Interventions to promote well-being at work. In Leka, S., &amp; Houdmont, J. (Eds), </w:t>
      </w:r>
      <w:r w:rsidRPr="00E6060C">
        <w:rPr>
          <w:rFonts w:ascii="Calibri" w:eastAsia="Calibri" w:hAnsi="Calibri" w:cs="Times New Roman"/>
          <w:i/>
          <w:lang w:eastAsia="en-GB"/>
        </w:rPr>
        <w:t xml:space="preserve">Occupational health psychology  </w:t>
      </w:r>
      <w:r w:rsidRPr="00E6060C">
        <w:rPr>
          <w:rFonts w:ascii="Calibri" w:eastAsia="Calibri" w:hAnsi="Calibri" w:cs="Times New Roman"/>
          <w:lang w:eastAsia="en-GB"/>
        </w:rPr>
        <w:t>(pp</w:t>
      </w:r>
      <w:r w:rsidRPr="00E6060C">
        <w:rPr>
          <w:rFonts w:ascii="Calibri" w:eastAsia="Calibri" w:hAnsi="Calibri" w:cs="Times New Roman"/>
          <w:i/>
          <w:lang w:eastAsia="en-GB"/>
        </w:rPr>
        <w:t>.</w:t>
      </w:r>
      <w:r w:rsidRPr="00E6060C">
        <w:rPr>
          <w:rFonts w:ascii="Calibri" w:eastAsia="Calibri" w:hAnsi="Calibri" w:cs="Times New Roman"/>
          <w:lang w:eastAsia="en-GB"/>
        </w:rPr>
        <w:t xml:space="preserve">88-123). Malaysia: Blackwell Publishing Ltd.  </w:t>
      </w:r>
    </w:p>
    <w:p w14:paraId="540DAA07" w14:textId="77777777" w:rsidR="00E6060C" w:rsidRPr="00E6060C" w:rsidRDefault="00E6060C" w:rsidP="00E6060C">
      <w:pPr>
        <w:spacing w:line="360" w:lineRule="auto"/>
        <w:ind w:left="426" w:hanging="426"/>
        <w:contextualSpacing/>
        <w:rPr>
          <w:rFonts w:ascii="Calibri" w:eastAsia="Calibri" w:hAnsi="Calibri" w:cs="Times New Roman"/>
          <w:iCs/>
          <w:lang w:eastAsia="en-GB"/>
        </w:rPr>
      </w:pPr>
      <w:r w:rsidRPr="00E6060C">
        <w:rPr>
          <w:rFonts w:ascii="Calibri" w:eastAsia="Calibri" w:hAnsi="Calibri" w:cs="Times New Roman"/>
          <w:lang w:eastAsia="en-GB"/>
        </w:rPr>
        <w:t xml:space="preserve">Reis, H. T., Sheldon, K. M., Gable, S. L., Roscoe, J., &amp; Ryan, R. M. (2000). Daily well-being: The role of autonomy, competence, and relatedness. </w:t>
      </w:r>
      <w:r w:rsidRPr="00E6060C">
        <w:rPr>
          <w:rFonts w:ascii="Calibri" w:eastAsia="Calibri" w:hAnsi="Calibri" w:cs="Times New Roman"/>
          <w:i/>
          <w:iCs/>
          <w:lang w:eastAsia="en-GB"/>
        </w:rPr>
        <w:t>Personality and Social Psychology Bulletin, 26,</w:t>
      </w:r>
      <w:r w:rsidRPr="00E6060C">
        <w:rPr>
          <w:rFonts w:ascii="Calibri" w:eastAsia="Calibri" w:hAnsi="Calibri" w:cs="Times New Roman"/>
          <w:iCs/>
          <w:lang w:eastAsia="en-GB"/>
        </w:rPr>
        <w:t xml:space="preserve"> 419-435. </w:t>
      </w:r>
    </w:p>
    <w:p w14:paraId="2B40AE4E"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Review Manager (RevMan) [Computer program]. Version 5.3. (2014). The Nordic Cochrane Centre, Copenhagen: The Cochrane Collaboration. </w:t>
      </w:r>
    </w:p>
    <w:p w14:paraId="0503282D" w14:textId="0231F5D8" w:rsidR="00634D11" w:rsidRDefault="00634D11" w:rsidP="00E6060C">
      <w:pPr>
        <w:spacing w:line="360" w:lineRule="auto"/>
        <w:ind w:left="426" w:hanging="426"/>
        <w:contextualSpacing/>
        <w:rPr>
          <w:rFonts w:ascii="Calibri" w:eastAsia="Calibri" w:hAnsi="Calibri" w:cs="Times New Roman"/>
        </w:rPr>
      </w:pPr>
      <w:r w:rsidRPr="00634D11">
        <w:rPr>
          <w:rFonts w:ascii="Calibri" w:eastAsia="Calibri" w:hAnsi="Calibri" w:cs="Times New Roman"/>
        </w:rPr>
        <w:t xml:space="preserve">Rich, B. L., Lepine, J. A., &amp; Crawford, E. R. (2010). Job engagement: Antecedents and effects on job performance. </w:t>
      </w:r>
      <w:r>
        <w:rPr>
          <w:rFonts w:ascii="Calibri" w:eastAsia="Calibri" w:hAnsi="Calibri" w:cs="Times New Roman"/>
          <w:i/>
          <w:iCs/>
        </w:rPr>
        <w:t>Academy of Management J</w:t>
      </w:r>
      <w:r w:rsidRPr="00634D11">
        <w:rPr>
          <w:rFonts w:ascii="Calibri" w:eastAsia="Calibri" w:hAnsi="Calibri" w:cs="Times New Roman"/>
          <w:i/>
          <w:iCs/>
        </w:rPr>
        <w:t>ournal</w:t>
      </w:r>
      <w:r w:rsidRPr="00634D11">
        <w:rPr>
          <w:rFonts w:ascii="Calibri" w:eastAsia="Calibri" w:hAnsi="Calibri" w:cs="Times New Roman"/>
        </w:rPr>
        <w:t xml:space="preserve">, </w:t>
      </w:r>
      <w:r w:rsidRPr="00634D11">
        <w:rPr>
          <w:rFonts w:ascii="Calibri" w:eastAsia="Calibri" w:hAnsi="Calibri" w:cs="Times New Roman"/>
          <w:i/>
          <w:iCs/>
        </w:rPr>
        <w:t>53</w:t>
      </w:r>
      <w:r w:rsidRPr="00634D11">
        <w:rPr>
          <w:rFonts w:ascii="Calibri" w:eastAsia="Calibri" w:hAnsi="Calibri" w:cs="Times New Roman"/>
        </w:rPr>
        <w:t>(3), 617-635.</w:t>
      </w:r>
    </w:p>
    <w:p w14:paraId="6B6B9F0E" w14:textId="1D70A1FD"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lastRenderedPageBreak/>
        <w:t xml:space="preserve">Richardson, K. M., and Rothstein, H. R. (2008). Effects of occupational stress management intervention programs: A meta-analysis. </w:t>
      </w:r>
      <w:r w:rsidRPr="00E6060C">
        <w:rPr>
          <w:rFonts w:ascii="Calibri" w:eastAsia="Calibri" w:hAnsi="Calibri" w:cs="Times New Roman"/>
          <w:i/>
        </w:rPr>
        <w:t>Journal of Occupational Health Psychology 13(1),</w:t>
      </w:r>
      <w:r w:rsidRPr="00E6060C">
        <w:rPr>
          <w:rFonts w:ascii="Calibri" w:eastAsia="Calibri" w:hAnsi="Calibri" w:cs="Times New Roman"/>
        </w:rPr>
        <w:t xml:space="preserve"> p. 69–93.</w:t>
      </w:r>
    </w:p>
    <w:p w14:paraId="1AC1C92F"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*Rickard, G., Lenthall, S., Dollard, M., Opie, T., Knight, S., Dunn, S., . . . Brewster-Webb, D. (2012). Organisational intervention to reduce occupational stress and turnover in hospital nurses in the Northern Territory, Australia. </w:t>
      </w:r>
      <w:r w:rsidRPr="00E6060C">
        <w:rPr>
          <w:rFonts w:ascii="Calibri" w:eastAsia="Calibri" w:hAnsi="Calibri" w:cs="Times New Roman"/>
          <w:i/>
          <w:iCs/>
        </w:rPr>
        <w:t>Collegian, 19</w:t>
      </w:r>
      <w:r w:rsidRPr="00E6060C">
        <w:rPr>
          <w:rFonts w:ascii="Calibri" w:eastAsia="Calibri" w:hAnsi="Calibri" w:cs="Times New Roman"/>
        </w:rPr>
        <w:t>(4), 211-221. doi: 10.1016/j.colegn.2012.07.001</w:t>
      </w:r>
    </w:p>
    <w:p w14:paraId="174FD589"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**Rigotti, T., Otto, K., Mohr, G., Holstad, T., Stempel, C., Isaksson, K., . . . K., P. (2014). Rewarding &amp; sustainable health-promoting leadership. </w:t>
      </w:r>
      <w:r w:rsidRPr="00E6060C">
        <w:rPr>
          <w:rFonts w:ascii="Calibri" w:eastAsia="Calibri" w:hAnsi="Calibri" w:cs="Times New Roman"/>
          <w:i/>
          <w:iCs/>
        </w:rPr>
        <w:t>Re-Su-Lead</w:t>
      </w:r>
      <w:r w:rsidRPr="00E6060C">
        <w:rPr>
          <w:rFonts w:ascii="Calibri" w:eastAsia="Calibri" w:hAnsi="Calibri" w:cs="Times New Roman"/>
        </w:rPr>
        <w:t xml:space="preserve"> </w:t>
      </w:r>
      <w:r w:rsidRPr="00E6060C">
        <w:rPr>
          <w:rFonts w:ascii="Calibri" w:eastAsia="Calibri" w:hAnsi="Calibri" w:cs="Times New Roman"/>
          <w:i/>
          <w:iCs/>
        </w:rPr>
        <w:t>Consortium Report.</w:t>
      </w:r>
      <w:r w:rsidRPr="00E6060C">
        <w:rPr>
          <w:rFonts w:ascii="Calibri" w:eastAsia="Calibri" w:hAnsi="Calibri" w:cs="Times New Roman"/>
        </w:rPr>
        <w:t xml:space="preserve"> Received from the authors 09.09.14. University of Liepzig, Germany.</w:t>
      </w:r>
    </w:p>
    <w:p w14:paraId="6CBFAADB"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Robertson-Smith, G., &amp; Markwick, C. (2009). </w:t>
      </w:r>
      <w:r w:rsidRPr="00E6060C">
        <w:rPr>
          <w:rFonts w:ascii="Calibri" w:eastAsia="Calibri" w:hAnsi="Calibri" w:cs="Times New Roman"/>
          <w:i/>
          <w:iCs/>
          <w:lang w:eastAsia="en-GB"/>
        </w:rPr>
        <w:t>Employee engagement: A review of current thinking</w:t>
      </w:r>
      <w:r w:rsidRPr="00E6060C">
        <w:rPr>
          <w:rFonts w:ascii="Calibri" w:eastAsia="Calibri" w:hAnsi="Calibri" w:cs="Times New Roman"/>
          <w:lang w:eastAsia="en-GB"/>
        </w:rPr>
        <w:t>. Brighton: Institute for Employment Studies.</w:t>
      </w:r>
    </w:p>
    <w:p w14:paraId="100A755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Rothbard, N. P. (2001). Enriching or depleting? The dynamics of engagement in work and family roles. </w:t>
      </w:r>
      <w:r w:rsidRPr="00E6060C">
        <w:rPr>
          <w:rFonts w:ascii="Calibri" w:eastAsia="Calibri" w:hAnsi="Calibri" w:cs="Times New Roman"/>
          <w:i/>
          <w:lang w:eastAsia="en-GB"/>
        </w:rPr>
        <w:t xml:space="preserve">Administrative Science Quarterly, 46, </w:t>
      </w:r>
      <w:r w:rsidRPr="00E6060C">
        <w:rPr>
          <w:rFonts w:ascii="Calibri" w:eastAsia="Calibri" w:hAnsi="Calibri" w:cs="Times New Roman"/>
          <w:lang w:eastAsia="en-GB"/>
        </w:rPr>
        <w:t>655-684.</w:t>
      </w:r>
    </w:p>
    <w:p w14:paraId="7C446617"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Rongen, A., Robroek, S. J., van Lenthe, F. J., &amp; Burdorf, A. (2013). </w:t>
      </w:r>
      <w:r w:rsidRPr="00E6060C">
        <w:rPr>
          <w:rFonts w:ascii="Calibri" w:eastAsia="Calibri" w:hAnsi="Calibri" w:cs="Times New Roman"/>
          <w:lang w:eastAsia="en-GB"/>
        </w:rPr>
        <w:t xml:space="preserve">Workplace health promotion: a meta-analysis of effectiveness. </w:t>
      </w:r>
      <w:r w:rsidRPr="00E6060C">
        <w:rPr>
          <w:rFonts w:ascii="Calibri" w:eastAsia="Calibri" w:hAnsi="Calibri" w:cs="Times New Roman"/>
          <w:i/>
          <w:iCs/>
          <w:lang w:eastAsia="en-GB"/>
        </w:rPr>
        <w:t>American Journal of Preventive Medicine, 44</w:t>
      </w:r>
      <w:r w:rsidRPr="00E6060C">
        <w:rPr>
          <w:rFonts w:ascii="Calibri" w:eastAsia="Calibri" w:hAnsi="Calibri" w:cs="Times New Roman"/>
          <w:lang w:eastAsia="en-GB"/>
        </w:rPr>
        <w:t xml:space="preserve">(4), 406-415. </w:t>
      </w:r>
    </w:p>
    <w:p w14:paraId="670D783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Rosenthal, R. (1991). </w:t>
      </w:r>
      <w:r w:rsidRPr="00E6060C">
        <w:rPr>
          <w:rFonts w:ascii="Calibri" w:eastAsia="Calibri" w:hAnsi="Calibri" w:cs="Times New Roman"/>
          <w:i/>
          <w:iCs/>
          <w:lang w:eastAsia="en-GB"/>
        </w:rPr>
        <w:t>Meta-Analytic Procedures for Social research</w:t>
      </w:r>
      <w:r w:rsidRPr="00E6060C">
        <w:rPr>
          <w:rFonts w:ascii="Calibri" w:eastAsia="Calibri" w:hAnsi="Calibri" w:cs="Times New Roman"/>
          <w:lang w:eastAsia="en-GB"/>
        </w:rPr>
        <w:t>. Newbury Park, CA: Sage.</w:t>
      </w:r>
    </w:p>
    <w:p w14:paraId="0ACAADFB" w14:textId="2ACFCC9C"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Ruotsalainen, J. H., Verbeek, J. H., Mariné, A., &amp; Serra, C. (2015). Preventing occupational stress in healthcare workers (review). The Cochrane Collaboration.</w:t>
      </w:r>
    </w:p>
    <w:p w14:paraId="1C81264A"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Saks, A. M. (2006). Antecedents and consequences of employee engagement. </w:t>
      </w:r>
      <w:r w:rsidRPr="00E6060C">
        <w:rPr>
          <w:rFonts w:ascii="Calibri" w:eastAsia="Calibri" w:hAnsi="Calibri" w:cs="Times New Roman"/>
          <w:i/>
          <w:iCs/>
          <w:lang w:eastAsia="en-GB"/>
        </w:rPr>
        <w:t>Journal of Managerial Psychology, 21</w:t>
      </w:r>
      <w:r w:rsidRPr="00E6060C">
        <w:rPr>
          <w:rFonts w:ascii="Calibri" w:eastAsia="Calibri" w:hAnsi="Calibri" w:cs="Times New Roman"/>
          <w:lang w:eastAsia="en-GB"/>
        </w:rPr>
        <w:t>(7), 600-619. doi: 10.1108/02683940610690169</w:t>
      </w:r>
    </w:p>
    <w:p w14:paraId="21A6AFE3"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Salanova, M., Bakker, A. B., &amp; Llorens, S. (2006). Flow at work: Evidence for an upward spiral of personal and organisational resources*. </w:t>
      </w:r>
      <w:r w:rsidRPr="00E6060C">
        <w:rPr>
          <w:rFonts w:ascii="Calibri" w:eastAsia="Calibri" w:hAnsi="Calibri" w:cs="Times New Roman"/>
          <w:i/>
          <w:iCs/>
          <w:lang w:eastAsia="en-GB"/>
        </w:rPr>
        <w:t>Journal of Happiness Studies, 7</w:t>
      </w:r>
      <w:r w:rsidRPr="00E6060C">
        <w:rPr>
          <w:rFonts w:ascii="Calibri" w:eastAsia="Calibri" w:hAnsi="Calibri" w:cs="Times New Roman"/>
          <w:lang w:eastAsia="en-GB"/>
        </w:rPr>
        <w:t xml:space="preserve">(1), 1-22. </w:t>
      </w:r>
    </w:p>
    <w:p w14:paraId="12B66A7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Schaufeli, W. B., Bakker, A. B., &amp; Salanova, M. (2006). The measurement of work engagement with a short questionnaire - A cross-national study. </w:t>
      </w:r>
      <w:r w:rsidRPr="00E6060C">
        <w:rPr>
          <w:rFonts w:ascii="Calibri" w:eastAsia="Calibri" w:hAnsi="Calibri" w:cs="Times New Roman"/>
          <w:i/>
          <w:iCs/>
          <w:lang w:eastAsia="en-GB"/>
        </w:rPr>
        <w:t>Educational and Psychological Measurement, 66</w:t>
      </w:r>
      <w:r w:rsidRPr="00E6060C">
        <w:rPr>
          <w:rFonts w:ascii="Calibri" w:eastAsia="Calibri" w:hAnsi="Calibri" w:cs="Times New Roman"/>
          <w:lang w:eastAsia="en-GB"/>
        </w:rPr>
        <w:t>(4), 701-716. doi: 10.1177/0013164405282471</w:t>
      </w:r>
    </w:p>
    <w:p w14:paraId="7B1FFAC6"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Schaufeli, W. B., Bakker, A. B., &amp; Van Rhenen, W. (2009). How changes in job demands and resources predict burnout, work engagement, and sickness absenteeism. </w:t>
      </w:r>
      <w:r w:rsidRPr="00E6060C">
        <w:rPr>
          <w:rFonts w:ascii="Calibri" w:eastAsia="Calibri" w:hAnsi="Calibri" w:cs="Times New Roman"/>
          <w:i/>
          <w:iCs/>
          <w:lang w:eastAsia="en-GB"/>
        </w:rPr>
        <w:t>Journal of Organisational Behavior, 30</w:t>
      </w:r>
      <w:r w:rsidRPr="00E6060C">
        <w:rPr>
          <w:rFonts w:ascii="Calibri" w:eastAsia="Calibri" w:hAnsi="Calibri" w:cs="Times New Roman"/>
          <w:lang w:eastAsia="en-GB"/>
        </w:rPr>
        <w:t xml:space="preserve">(7), 893-917. </w:t>
      </w:r>
    </w:p>
    <w:p w14:paraId="1B6BDFD3"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Schaufeli, W. B., Salanova, M., Gonzalez-Roma, V., &amp; Bakker, A. B. (2002). The measurement of engagement and burnout: A two sample confirmatory factor analytic approach. </w:t>
      </w:r>
      <w:r w:rsidRPr="00E6060C">
        <w:rPr>
          <w:rFonts w:ascii="Calibri" w:eastAsia="Calibri" w:hAnsi="Calibri" w:cs="Times New Roman"/>
          <w:i/>
          <w:iCs/>
          <w:lang w:eastAsia="en-GB"/>
        </w:rPr>
        <w:t>Journal of Happiness Studies, 3</w:t>
      </w:r>
      <w:r w:rsidRPr="00E6060C">
        <w:rPr>
          <w:rFonts w:ascii="Calibri" w:eastAsia="Calibri" w:hAnsi="Calibri" w:cs="Times New Roman"/>
          <w:lang w:eastAsia="en-GB"/>
        </w:rPr>
        <w:t xml:space="preserve">, 71-92. </w:t>
      </w:r>
    </w:p>
    <w:p w14:paraId="1476628B"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sv-SE" w:eastAsia="en-GB"/>
        </w:rPr>
        <w:t xml:space="preserve">Schaufeli, W. B., &amp; Taris, T. W. (2014). </w:t>
      </w:r>
      <w:r w:rsidRPr="00E6060C">
        <w:rPr>
          <w:rFonts w:ascii="Calibri" w:eastAsia="Calibri" w:hAnsi="Calibri" w:cs="Times New Roman"/>
          <w:lang w:eastAsia="en-GB"/>
        </w:rPr>
        <w:t xml:space="preserve">A critical review of the job demands-resources model: Implications for improving work and health. </w:t>
      </w:r>
      <w:r w:rsidRPr="00E6060C">
        <w:rPr>
          <w:rFonts w:ascii="Calibri" w:eastAsia="Calibri" w:hAnsi="Calibri" w:cs="Times New Roman"/>
          <w:i/>
          <w:iCs/>
          <w:lang w:eastAsia="en-GB"/>
        </w:rPr>
        <w:t>Bridging Occupational, Organisational and Public Health</w:t>
      </w:r>
      <w:r w:rsidRPr="00E6060C">
        <w:rPr>
          <w:rFonts w:ascii="Calibri" w:eastAsia="Calibri" w:hAnsi="Calibri" w:cs="Times New Roman"/>
          <w:lang w:eastAsia="en-GB"/>
        </w:rPr>
        <w:t xml:space="preserve"> (pp. 43-68): Springer.</w:t>
      </w:r>
    </w:p>
    <w:p w14:paraId="1CAF2D83"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nl-NL"/>
        </w:rPr>
        <w:lastRenderedPageBreak/>
        <w:t xml:space="preserve">*Schelvis, R. M., Hengel, K. M. O., Wiezer, N. M., Blatter, B. M., van Genabeek, J. A., Bohlmeijer, E. T., &amp; van der Beek, A. J. (2013). </w:t>
      </w:r>
      <w:r w:rsidRPr="00E6060C">
        <w:rPr>
          <w:rFonts w:ascii="Calibri" w:eastAsia="Calibri" w:hAnsi="Calibri" w:cs="Times New Roman"/>
        </w:rPr>
        <w:t xml:space="preserve">Design of the Bottom-up Innovation project-a participatory, primary preventive, organizational level intervention on work-related stress and well-being for workers in Dutch vocational education. </w:t>
      </w:r>
      <w:r w:rsidRPr="00E6060C">
        <w:rPr>
          <w:rFonts w:ascii="Calibri" w:eastAsia="Calibri" w:hAnsi="Calibri" w:cs="Times New Roman"/>
          <w:i/>
          <w:iCs/>
        </w:rPr>
        <w:t>BMC public health, 13</w:t>
      </w:r>
      <w:r w:rsidRPr="00E6060C">
        <w:rPr>
          <w:rFonts w:ascii="Calibri" w:eastAsia="Calibri" w:hAnsi="Calibri" w:cs="Times New Roman"/>
        </w:rPr>
        <w:t xml:space="preserve">(1), 760. </w:t>
      </w:r>
    </w:p>
    <w:p w14:paraId="0771CB37" w14:textId="320F0F93" w:rsidR="00E6060C" w:rsidRPr="00E6060C" w:rsidRDefault="00E6060C" w:rsidP="00E6060C">
      <w:pPr>
        <w:spacing w:line="360" w:lineRule="auto"/>
        <w:ind w:left="426" w:hanging="426"/>
        <w:contextualSpacing/>
        <w:rPr>
          <w:rFonts w:ascii="Calibri" w:eastAsia="Calibri" w:hAnsi="Calibri" w:cs="Times New Roman"/>
          <w:i/>
          <w:iCs/>
        </w:rPr>
      </w:pPr>
      <w:r w:rsidRPr="00E6060C">
        <w:rPr>
          <w:rFonts w:ascii="Calibri" w:eastAsia="Calibri" w:hAnsi="Calibri" w:cs="Times New Roman"/>
          <w:iCs/>
        </w:rPr>
        <w:t>Schwarzer, R. (1999). General perceived self</w:t>
      </w:r>
      <w:r w:rsidR="00CA3FA3">
        <w:rPr>
          <w:rFonts w:ascii="Calibri" w:eastAsia="Calibri" w:hAnsi="Calibri" w:cs="Times New Roman"/>
          <w:iCs/>
        </w:rPr>
        <w:t>-efficacy in 14 cultures. Self-e</w:t>
      </w:r>
      <w:r w:rsidRPr="00E6060C">
        <w:rPr>
          <w:rFonts w:ascii="Calibri" w:eastAsia="Calibri" w:hAnsi="Calibri" w:cs="Times New Roman"/>
          <w:iCs/>
        </w:rPr>
        <w:t xml:space="preserve">fficacy assessment. </w:t>
      </w:r>
      <w:r w:rsidR="00CA3FA3">
        <w:rPr>
          <w:rFonts w:ascii="Calibri" w:eastAsia="Calibri" w:hAnsi="Calibri" w:cs="Times New Roman"/>
          <w:iCs/>
        </w:rPr>
        <w:t>Retrieved from</w:t>
      </w:r>
      <w:r w:rsidRPr="00E6060C">
        <w:rPr>
          <w:rFonts w:ascii="Calibri" w:eastAsia="Calibri" w:hAnsi="Calibri" w:cs="Times New Roman"/>
          <w:iCs/>
        </w:rPr>
        <w:t xml:space="preserve"> http: //www. yorku. ca/faculty/academic /schwarze/world14.htm</w:t>
      </w:r>
    </w:p>
    <w:p w14:paraId="338DC18A"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Seligman, M. E. P., Steen, T. A., Park, N., &amp; Peterson, C. (2005). Positive psychology progress - Empirical validation of interventions. </w:t>
      </w:r>
      <w:r w:rsidRPr="00E6060C">
        <w:rPr>
          <w:rFonts w:ascii="Calibri" w:eastAsia="Calibri" w:hAnsi="Calibri" w:cs="Times New Roman"/>
          <w:i/>
          <w:iCs/>
          <w:lang w:eastAsia="en-GB"/>
        </w:rPr>
        <w:t>American Psychologist, 60</w:t>
      </w:r>
      <w:r w:rsidRPr="00E6060C">
        <w:rPr>
          <w:rFonts w:ascii="Calibri" w:eastAsia="Calibri" w:hAnsi="Calibri" w:cs="Times New Roman"/>
          <w:lang w:eastAsia="en-GB"/>
        </w:rPr>
        <w:t>(5), 410-421. doi: 10.1037/0003-066x.60.5.410</w:t>
      </w:r>
    </w:p>
    <w:p w14:paraId="6046ACB0"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*Shaw, W. S., Besen, E., Pransky, G., Boot, C. R. L., Nicholas, M. K., McLellan, R. K., &amp; Tveito, T. H. (2014). Manage at work: a randomized, controlled trial of a self-management group intervention to overcome workplace challenges associated with chronic physical health conditions. </w:t>
      </w:r>
      <w:r w:rsidRPr="00E6060C">
        <w:rPr>
          <w:rFonts w:ascii="Calibri" w:eastAsia="Calibri" w:hAnsi="Calibri" w:cs="Times New Roman"/>
          <w:i/>
          <w:iCs/>
        </w:rPr>
        <w:t>Bmc Public Health, 14</w:t>
      </w:r>
      <w:r w:rsidRPr="00E6060C">
        <w:rPr>
          <w:rFonts w:ascii="Calibri" w:eastAsia="Calibri" w:hAnsi="Calibri" w:cs="Times New Roman"/>
        </w:rPr>
        <w:t>. doi: 10.1186/1471-2458-14-515</w:t>
      </w:r>
    </w:p>
    <w:p w14:paraId="125BC8D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Shuck, B., Ghosh, R., Zigarmi, D., &amp; Nimon, K. (2013). The jingle jangle of employee engagement: Further exploration of the emerging construct and implication for workplace learning and performance. </w:t>
      </w:r>
      <w:r w:rsidRPr="00E6060C">
        <w:rPr>
          <w:rFonts w:ascii="Calibri" w:eastAsia="Calibri" w:hAnsi="Calibri" w:cs="Times New Roman"/>
          <w:i/>
          <w:iCs/>
          <w:lang w:eastAsia="en-GB"/>
        </w:rPr>
        <w:t>Human Resource Development Review, 12</w:t>
      </w:r>
      <w:r w:rsidRPr="00E6060C">
        <w:rPr>
          <w:rFonts w:ascii="Calibri" w:eastAsia="Calibri" w:hAnsi="Calibri" w:cs="Times New Roman"/>
          <w:lang w:eastAsia="en-GB"/>
        </w:rPr>
        <w:t>(11). doi: 10.1177/1534484312463921</w:t>
      </w:r>
    </w:p>
    <w:p w14:paraId="6633841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Siegrist, J. (1996). Adverse health effects of high-effort/low-reward conditions. </w:t>
      </w:r>
      <w:r w:rsidRPr="00E6060C">
        <w:rPr>
          <w:rFonts w:ascii="Calibri" w:eastAsia="Calibri" w:hAnsi="Calibri" w:cs="Times New Roman"/>
          <w:i/>
          <w:iCs/>
          <w:lang w:eastAsia="en-GB"/>
        </w:rPr>
        <w:t>Journal of Occupational Health Psychology, 1</w:t>
      </w:r>
      <w:r w:rsidRPr="00E6060C">
        <w:rPr>
          <w:rFonts w:ascii="Calibri" w:eastAsia="Calibri" w:hAnsi="Calibri" w:cs="Times New Roman"/>
          <w:lang w:eastAsia="en-GB"/>
        </w:rPr>
        <w:t xml:space="preserve">(1), 27. </w:t>
      </w:r>
    </w:p>
    <w:p w14:paraId="61604159"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Simbula, S., Guglielmi, D., &amp; Schaufeli, W. B. (2011). A three-wave study of job resources, self-efficacy, and work engagement among Italian schoolteachers. </w:t>
      </w:r>
      <w:r w:rsidRPr="00E6060C">
        <w:rPr>
          <w:rFonts w:ascii="Calibri" w:eastAsia="Calibri" w:hAnsi="Calibri" w:cs="Times New Roman"/>
          <w:i/>
          <w:iCs/>
          <w:lang w:eastAsia="en-GB"/>
        </w:rPr>
        <w:t>European Journal of Work and Organisational Psychology, 20</w:t>
      </w:r>
      <w:r w:rsidRPr="00E6060C">
        <w:rPr>
          <w:rFonts w:ascii="Calibri" w:eastAsia="Calibri" w:hAnsi="Calibri" w:cs="Times New Roman"/>
          <w:lang w:eastAsia="en-GB"/>
        </w:rPr>
        <w:t>(3), 285-304. doi: http://dx.doi.org/10.1080/13594320903513916</w:t>
      </w:r>
    </w:p>
    <w:p w14:paraId="3E0D9C90" w14:textId="616C7FF6" w:rsidR="00E4393F" w:rsidRPr="00E4393F" w:rsidRDefault="00E4393F" w:rsidP="00E4393F">
      <w:pPr>
        <w:spacing w:line="360" w:lineRule="auto"/>
        <w:ind w:left="426" w:hanging="426"/>
        <w:contextualSpacing/>
        <w:rPr>
          <w:rFonts w:ascii="Calibri" w:eastAsia="Calibri" w:hAnsi="Calibri" w:cs="Times New Roman"/>
        </w:rPr>
      </w:pPr>
      <w:r w:rsidRPr="00E4393F">
        <w:rPr>
          <w:rFonts w:ascii="Calibri" w:eastAsia="Calibri" w:hAnsi="Calibri" w:cs="Times New Roman"/>
        </w:rPr>
        <w:t>Sobel, M. E. (1982). Asymptotic confidence intervals for indirect effects in structural equations models. In S. Leinhart (Ed.), Sociological methodology (pp. 290–312). San Francisco: Jossey-Bass.</w:t>
      </w:r>
    </w:p>
    <w:p w14:paraId="44B7D3FD" w14:textId="7061F751"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**Sodani, M., Yadigari, E., Shfia-Abadi, A., &amp; Mohammadi, K. (2011). Effectiveness of Group-based Creativity Acquisition on Job Self-efficacy in a Welfare Organization in Iran. In F. Tao (Ed.), </w:t>
      </w:r>
      <w:r w:rsidRPr="00E6060C">
        <w:rPr>
          <w:rFonts w:ascii="Calibri" w:eastAsia="Calibri" w:hAnsi="Calibri" w:cs="Times New Roman"/>
          <w:i/>
          <w:iCs/>
        </w:rPr>
        <w:t xml:space="preserve">Social Science and Humanity, </w:t>
      </w:r>
      <w:r w:rsidRPr="00E6060C">
        <w:rPr>
          <w:rFonts w:ascii="Calibri" w:eastAsia="Calibri" w:hAnsi="Calibri" w:cs="Times New Roman"/>
          <w:i/>
        </w:rPr>
        <w:t>5</w:t>
      </w:r>
      <w:r w:rsidRPr="00E6060C">
        <w:rPr>
          <w:rFonts w:ascii="Calibri" w:eastAsia="Calibri" w:hAnsi="Calibri" w:cs="Times New Roman"/>
        </w:rPr>
        <w:t>, 34-35.</w:t>
      </w:r>
    </w:p>
    <w:p w14:paraId="5B4C76E3"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Sonnentag, S. (2011). Research on work engagement is well and alive. </w:t>
      </w:r>
      <w:r w:rsidRPr="00E6060C">
        <w:rPr>
          <w:rFonts w:ascii="Calibri" w:eastAsia="Calibri" w:hAnsi="Calibri" w:cs="Times New Roman"/>
          <w:i/>
          <w:iCs/>
          <w:lang w:eastAsia="en-GB"/>
        </w:rPr>
        <w:t>European Journal of Work and Organisational Psychology, 20</w:t>
      </w:r>
      <w:r w:rsidRPr="00E6060C">
        <w:rPr>
          <w:rFonts w:ascii="Calibri" w:eastAsia="Calibri" w:hAnsi="Calibri" w:cs="Times New Roman"/>
          <w:lang w:eastAsia="en-GB"/>
        </w:rPr>
        <w:t xml:space="preserve">(1), 29-38. </w:t>
      </w:r>
    </w:p>
    <w:p w14:paraId="4F752E8F" w14:textId="6A9BEB0F" w:rsidR="003609BD" w:rsidRPr="00F56D74" w:rsidRDefault="003609BD" w:rsidP="003609BD">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Steier, E. J. (2010). </w:t>
      </w:r>
      <w:r w:rsidRPr="00823BB9">
        <w:rPr>
          <w:rFonts w:eastAsia="Times New Roman" w:cs="Times New Roman"/>
          <w:i/>
          <w:lang w:eastAsia="en-GB"/>
        </w:rPr>
        <w:t>Application of theories, principles and methods of adult learning for managers to improve workplace reactions to learning, knowledge and performance</w:t>
      </w:r>
      <w:r w:rsidRPr="00F56D74">
        <w:rPr>
          <w:rFonts w:eastAsia="Times New Roman" w:cs="Times New Roman"/>
          <w:lang w:eastAsia="en-GB"/>
        </w:rPr>
        <w:t>.</w:t>
      </w:r>
      <w:r w:rsidR="00E17437">
        <w:rPr>
          <w:rFonts w:eastAsia="Times New Roman" w:cs="Times New Roman"/>
          <w:lang w:eastAsia="en-GB"/>
        </w:rPr>
        <w:t xml:space="preserve"> (Doctoral</w:t>
      </w:r>
      <w:r>
        <w:rPr>
          <w:rFonts w:eastAsia="Times New Roman" w:cs="Times New Roman"/>
          <w:lang w:eastAsia="en-GB"/>
        </w:rPr>
        <w:t xml:space="preserve"> thesis), University of Pennsylvania, Pennsylvania, USA.</w:t>
      </w:r>
    </w:p>
    <w:p w14:paraId="1F79C479"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Sterne, J. A. C., Egger, M., &amp; Moher, D. (2011). Chapter 10: Addressing reporting biases. In Higgins, J. P. T., &amp; Green, S. (Eds), </w:t>
      </w:r>
      <w:r w:rsidRPr="00E6060C">
        <w:rPr>
          <w:rFonts w:ascii="Calibri" w:eastAsia="Calibri" w:hAnsi="Calibri" w:cs="Times New Roman"/>
          <w:i/>
          <w:iCs/>
        </w:rPr>
        <w:t>Cochrane Handbook for Systematic Reviews of Intervention.</w:t>
      </w:r>
      <w:r w:rsidRPr="00E6060C">
        <w:rPr>
          <w:rFonts w:ascii="Calibri" w:eastAsia="Calibri" w:hAnsi="Calibri" w:cs="Times New Roman"/>
        </w:rPr>
        <w:t xml:space="preserve"> Version </w:t>
      </w:r>
      <w:r w:rsidRPr="00E6060C">
        <w:rPr>
          <w:rFonts w:ascii="Calibri" w:eastAsia="Calibri" w:hAnsi="Calibri" w:cs="Times New Roman"/>
        </w:rPr>
        <w:lastRenderedPageBreak/>
        <w:t>5.1.0 (updated March 2011). The Cochrane Collaboration. Available from www.cochrane-handbook.org.</w:t>
      </w:r>
    </w:p>
    <w:p w14:paraId="4C48E303" w14:textId="77777777" w:rsidR="003609BD" w:rsidRPr="00F56D74" w:rsidRDefault="003609BD" w:rsidP="003609BD">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Stoller, J. K., Sasidhar, M., Wheeler, D. M., Chatburn, R. L., Bivens, R. T., Priganc, D., &amp; Orens, D. K. (2010). Team-building and change management in respiratory care: description of a process and outcomes. </w:t>
      </w:r>
      <w:r w:rsidRPr="00F56D74">
        <w:rPr>
          <w:rFonts w:eastAsia="Times New Roman" w:cs="Times New Roman"/>
          <w:i/>
          <w:iCs/>
          <w:lang w:eastAsia="en-GB"/>
        </w:rPr>
        <w:t>Respiratory care</w:t>
      </w:r>
      <w:r w:rsidRPr="00F56D74">
        <w:rPr>
          <w:rFonts w:eastAsia="Times New Roman" w:cs="Times New Roman"/>
          <w:lang w:eastAsia="en-GB"/>
        </w:rPr>
        <w:t xml:space="preserve">, </w:t>
      </w:r>
      <w:r w:rsidRPr="00F56D74">
        <w:rPr>
          <w:rFonts w:eastAsia="Times New Roman" w:cs="Times New Roman"/>
          <w:i/>
          <w:iCs/>
          <w:lang w:eastAsia="en-GB"/>
        </w:rPr>
        <w:t>55</w:t>
      </w:r>
      <w:r w:rsidRPr="00F56D74">
        <w:rPr>
          <w:rFonts w:eastAsia="Times New Roman" w:cs="Times New Roman"/>
          <w:lang w:eastAsia="en-GB"/>
        </w:rPr>
        <w:t>(6), 741-748.</w:t>
      </w:r>
    </w:p>
    <w:p w14:paraId="1D731FEA" w14:textId="3DD5A0E2"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Strauss, K., &amp; Parker, S. K. (2014). Effective and sustained proactivity in the workplace: A </w:t>
      </w:r>
      <w:r w:rsidR="00C17CB1">
        <w:rPr>
          <w:rFonts w:ascii="Calibri" w:eastAsia="Calibri" w:hAnsi="Calibri" w:cs="Times New Roman"/>
        </w:rPr>
        <w:t>self-determination theory</w:t>
      </w:r>
      <w:r w:rsidRPr="00E6060C">
        <w:rPr>
          <w:rFonts w:ascii="Calibri" w:eastAsia="Calibri" w:hAnsi="Calibri" w:cs="Times New Roman"/>
        </w:rPr>
        <w:t xml:space="preserve"> perspective. </w:t>
      </w:r>
      <w:r w:rsidRPr="00E6060C">
        <w:rPr>
          <w:rFonts w:ascii="Calibri" w:eastAsia="Calibri" w:hAnsi="Calibri" w:cs="Times New Roman"/>
          <w:i/>
          <w:iCs/>
        </w:rPr>
        <w:t xml:space="preserve">The Oxford handbook of work engagement, motivation, and </w:t>
      </w:r>
      <w:r w:rsidR="00E850E2">
        <w:rPr>
          <w:rFonts w:ascii="Calibri" w:eastAsia="Calibri" w:hAnsi="Calibri" w:cs="Times New Roman"/>
          <w:i/>
          <w:iCs/>
        </w:rPr>
        <w:t>self-determination t</w:t>
      </w:r>
      <w:r w:rsidR="00C17CB1">
        <w:rPr>
          <w:rFonts w:ascii="Calibri" w:eastAsia="Calibri" w:hAnsi="Calibri" w:cs="Times New Roman"/>
          <w:i/>
          <w:iCs/>
        </w:rPr>
        <w:t>heory</w:t>
      </w:r>
      <w:r w:rsidRPr="00E6060C">
        <w:rPr>
          <w:rFonts w:ascii="Calibri" w:eastAsia="Calibri" w:hAnsi="Calibri" w:cs="Times New Roman"/>
        </w:rPr>
        <w:t>, 50-71.</w:t>
      </w:r>
    </w:p>
    <w:p w14:paraId="649C1232" w14:textId="77777777" w:rsidR="00E6060C" w:rsidRPr="00E6060C" w:rsidRDefault="00E6060C" w:rsidP="00E6060C">
      <w:pPr>
        <w:spacing w:line="360" w:lineRule="auto"/>
        <w:ind w:left="426" w:hanging="426"/>
        <w:contextualSpacing/>
        <w:rPr>
          <w:rFonts w:ascii="Calibri" w:eastAsia="Times New Roman" w:hAnsi="Calibri" w:cs="Times New Roman"/>
          <w:lang w:eastAsia="en-GB"/>
        </w:rPr>
      </w:pPr>
      <w:r w:rsidRPr="00E6060C">
        <w:rPr>
          <w:rFonts w:ascii="Calibri" w:eastAsia="Times New Roman" w:hAnsi="Calibri" w:cs="Times New Roman"/>
          <w:lang w:eastAsia="en-GB"/>
        </w:rPr>
        <w:t>Strijk, J. E., Proper, K. I.,</w:t>
      </w:r>
      <w:r w:rsidRPr="00E6060C">
        <w:rPr>
          <w:rFonts w:ascii="Calibri" w:eastAsia="Calibri" w:hAnsi="Calibri" w:cs="Times New Roman"/>
        </w:rPr>
        <w:t xml:space="preserve"> van der</w:t>
      </w:r>
      <w:r w:rsidRPr="00E6060C">
        <w:rPr>
          <w:rFonts w:ascii="Calibri" w:eastAsia="Times New Roman" w:hAnsi="Calibri" w:cs="Times New Roman"/>
          <w:lang w:eastAsia="en-GB"/>
        </w:rPr>
        <w:t xml:space="preserve"> Beek, A. J., &amp; Mechelen, W. (2009). The Vital@ Work Study. The systematic development of a lifestyle intervention to improve older workers' vitality and the design of a randomised controlled trial evaluating this intervention. </w:t>
      </w:r>
      <w:r w:rsidRPr="00E6060C">
        <w:rPr>
          <w:rFonts w:ascii="Calibri" w:eastAsia="Times New Roman" w:hAnsi="Calibri" w:cs="Times New Roman"/>
          <w:i/>
          <w:iCs/>
          <w:lang w:eastAsia="en-GB"/>
        </w:rPr>
        <w:t>BMC Public Health</w:t>
      </w:r>
      <w:r w:rsidRPr="00E6060C">
        <w:rPr>
          <w:rFonts w:ascii="Calibri" w:eastAsia="Times New Roman" w:hAnsi="Calibri" w:cs="Times New Roman"/>
          <w:lang w:eastAsia="en-GB"/>
        </w:rPr>
        <w:t xml:space="preserve">, </w:t>
      </w:r>
      <w:r w:rsidRPr="00E6060C">
        <w:rPr>
          <w:rFonts w:ascii="Calibri" w:eastAsia="Times New Roman" w:hAnsi="Calibri" w:cs="Times New Roman"/>
          <w:i/>
          <w:iCs/>
          <w:lang w:eastAsia="en-GB"/>
        </w:rPr>
        <w:t>9</w:t>
      </w:r>
      <w:r w:rsidRPr="00E6060C">
        <w:rPr>
          <w:rFonts w:ascii="Calibri" w:eastAsia="Times New Roman" w:hAnsi="Calibri" w:cs="Times New Roman"/>
          <w:lang w:eastAsia="en-GB"/>
        </w:rPr>
        <w:t>(1), 1.</w:t>
      </w:r>
      <w:r w:rsidRPr="00E6060C">
        <w:rPr>
          <w:rFonts w:ascii="Calibri" w:eastAsia="Calibri" w:hAnsi="Calibri" w:cs="Times New Roman"/>
        </w:rPr>
        <w:t xml:space="preserve"> </w:t>
      </w:r>
    </w:p>
    <w:p w14:paraId="5272FF39"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Strijk, J. E., Proper, K. I., Van der Beek, A. J., &amp; Van Mechelen, W. (2011). A process evaluation of a worksite vitality intervention among ageing hospital workers. Int J Behav Nutr Phys Act, 8(1), 58.</w:t>
      </w:r>
    </w:p>
    <w:p w14:paraId="20B61F9A"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**Strijk, J. E., Proper, K. I., Van Mechelen, W., &amp; Van der Beek, A. J. (2013). </w:t>
      </w:r>
      <w:r w:rsidRPr="00E6060C">
        <w:rPr>
          <w:rFonts w:ascii="Calibri" w:eastAsia="Calibri" w:hAnsi="Calibri" w:cs="Times New Roman"/>
          <w:lang w:eastAsia="en-GB"/>
        </w:rPr>
        <w:t xml:space="preserve">Effectiveness of a worksite lifestyle intervention on vitality, work engagement, productivity, and sick leave: Results of a randomized controlled trial. </w:t>
      </w:r>
      <w:r w:rsidRPr="00E6060C">
        <w:rPr>
          <w:rFonts w:ascii="Calibri" w:eastAsia="Calibri" w:hAnsi="Calibri" w:cs="Times New Roman"/>
          <w:i/>
          <w:iCs/>
          <w:lang w:eastAsia="en-GB"/>
        </w:rPr>
        <w:t>Scandinavian Journal of Work Environment &amp; Health, 39</w:t>
      </w:r>
      <w:r w:rsidRPr="00E6060C">
        <w:rPr>
          <w:rFonts w:ascii="Calibri" w:eastAsia="Calibri" w:hAnsi="Calibri" w:cs="Times New Roman"/>
          <w:lang w:eastAsia="en-GB"/>
        </w:rPr>
        <w:t>(1), 66-75. doi: 10.5271/sjweh.3311</w:t>
      </w:r>
    </w:p>
    <w:p w14:paraId="05E70E05"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Tabachnik, B. G., &amp; Fidell, S. L. (2007). </w:t>
      </w:r>
      <w:r w:rsidRPr="00E6060C">
        <w:rPr>
          <w:rFonts w:ascii="Calibri" w:eastAsia="Calibri" w:hAnsi="Calibri" w:cs="Times New Roman"/>
          <w:iCs/>
          <w:lang w:eastAsia="en-GB"/>
        </w:rPr>
        <w:t>Using multivariate statistics. 5</w:t>
      </w:r>
      <w:r w:rsidRPr="00E6060C">
        <w:rPr>
          <w:rFonts w:ascii="Calibri" w:eastAsia="Calibri" w:hAnsi="Calibri" w:cs="Times New Roman"/>
          <w:iCs/>
          <w:vertAlign w:val="superscript"/>
          <w:lang w:eastAsia="en-GB"/>
        </w:rPr>
        <w:t>th</w:t>
      </w:r>
      <w:r w:rsidRPr="00E6060C">
        <w:rPr>
          <w:rFonts w:ascii="Calibri" w:eastAsia="Calibri" w:hAnsi="Calibri" w:cs="Times New Roman"/>
          <w:iCs/>
          <w:lang w:eastAsia="en-GB"/>
        </w:rPr>
        <w:t xml:space="preserve"> edition. USA: Pearson Education, Inc.</w:t>
      </w:r>
    </w:p>
    <w:p w14:paraId="0C119CB4"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Times New Roman" w:hAnsi="Calibri" w:cs="Times New Roman"/>
          <w:lang w:eastAsia="en-GB"/>
        </w:rPr>
        <w:t xml:space="preserve">Tims, M., Bakker, A. B., &amp; Derks, D. (2013). The impact of job crafting on job demands, job resources, and well-being. </w:t>
      </w:r>
      <w:r w:rsidRPr="00E6060C">
        <w:rPr>
          <w:rFonts w:ascii="Calibri" w:eastAsia="Times New Roman" w:hAnsi="Calibri" w:cs="Times New Roman"/>
          <w:i/>
          <w:iCs/>
          <w:lang w:eastAsia="en-GB"/>
        </w:rPr>
        <w:t>Journal of occupational health psychology</w:t>
      </w:r>
      <w:r w:rsidRPr="00E6060C">
        <w:rPr>
          <w:rFonts w:ascii="Calibri" w:eastAsia="Times New Roman" w:hAnsi="Calibri" w:cs="Times New Roman"/>
          <w:lang w:eastAsia="en-GB"/>
        </w:rPr>
        <w:t xml:space="preserve">, </w:t>
      </w:r>
      <w:r w:rsidRPr="00E6060C">
        <w:rPr>
          <w:rFonts w:ascii="Calibri" w:eastAsia="Times New Roman" w:hAnsi="Calibri" w:cs="Times New Roman"/>
          <w:i/>
          <w:iCs/>
          <w:lang w:eastAsia="en-GB"/>
        </w:rPr>
        <w:t>18</w:t>
      </w:r>
      <w:r w:rsidRPr="00E6060C">
        <w:rPr>
          <w:rFonts w:ascii="Calibri" w:eastAsia="Times New Roman" w:hAnsi="Calibri" w:cs="Times New Roman"/>
          <w:lang w:eastAsia="en-GB"/>
        </w:rPr>
        <w:t>(2), 230.</w:t>
      </w:r>
    </w:p>
    <w:p w14:paraId="1AB5526D" w14:textId="77777777" w:rsidR="00E6060C" w:rsidRPr="00E6060C" w:rsidRDefault="00E6060C" w:rsidP="00E6060C">
      <w:pPr>
        <w:spacing w:line="360" w:lineRule="auto"/>
        <w:ind w:left="426" w:hanging="426"/>
        <w:contextualSpacing/>
        <w:rPr>
          <w:rFonts w:ascii="Calibri" w:eastAsia="Times New Roman" w:hAnsi="Calibri" w:cs="Times New Roman"/>
          <w:lang w:eastAsia="en-GB"/>
        </w:rPr>
      </w:pPr>
      <w:r w:rsidRPr="00E6060C">
        <w:rPr>
          <w:rFonts w:ascii="Calibri" w:eastAsia="Times New Roman" w:hAnsi="Calibri" w:cs="Times New Roman"/>
          <w:lang w:eastAsia="en-GB"/>
        </w:rPr>
        <w:t xml:space="preserve">Tims, M., Bakker, A. B., &amp; Derks, D. (2012). Development and validation of the job crafting scale. </w:t>
      </w:r>
      <w:r w:rsidRPr="00E6060C">
        <w:rPr>
          <w:rFonts w:ascii="Calibri" w:eastAsia="Times New Roman" w:hAnsi="Calibri" w:cs="Times New Roman"/>
          <w:i/>
          <w:iCs/>
          <w:lang w:eastAsia="en-GB"/>
        </w:rPr>
        <w:t>Journal of Vocational Behavior</w:t>
      </w:r>
      <w:r w:rsidRPr="00E6060C">
        <w:rPr>
          <w:rFonts w:ascii="Calibri" w:eastAsia="Times New Roman" w:hAnsi="Calibri" w:cs="Times New Roman"/>
          <w:lang w:eastAsia="en-GB"/>
        </w:rPr>
        <w:t xml:space="preserve">, </w:t>
      </w:r>
      <w:r w:rsidRPr="00E6060C">
        <w:rPr>
          <w:rFonts w:ascii="Calibri" w:eastAsia="Times New Roman" w:hAnsi="Calibri" w:cs="Times New Roman"/>
          <w:i/>
          <w:iCs/>
          <w:lang w:eastAsia="en-GB"/>
        </w:rPr>
        <w:t>80</w:t>
      </w:r>
      <w:r w:rsidRPr="00E6060C">
        <w:rPr>
          <w:rFonts w:ascii="Calibri" w:eastAsia="Times New Roman" w:hAnsi="Calibri" w:cs="Times New Roman"/>
          <w:lang w:eastAsia="en-GB"/>
        </w:rPr>
        <w:t>(1), 173-186.</w:t>
      </w:r>
    </w:p>
    <w:p w14:paraId="3927D971"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The Campbell Collaboration. (2014). Campbell collaboration systematic reviews: policies and guidelines. </w:t>
      </w:r>
      <w:r w:rsidRPr="00E6060C">
        <w:rPr>
          <w:rFonts w:ascii="Calibri" w:eastAsia="Calibri" w:hAnsi="Calibri" w:cs="Times New Roman"/>
          <w:i/>
        </w:rPr>
        <w:t>The Campbell Collaboration</w:t>
      </w:r>
      <w:r w:rsidRPr="00E6060C">
        <w:rPr>
          <w:rFonts w:ascii="Calibri" w:eastAsia="Calibri" w:hAnsi="Calibri" w:cs="Times New Roman"/>
        </w:rPr>
        <w:t>. doi: 10.4073/csrs.2014.1</w:t>
      </w:r>
    </w:p>
    <w:p w14:paraId="04AA3915" w14:textId="77777777" w:rsidR="003609BD" w:rsidRPr="00F56D74" w:rsidRDefault="003609BD" w:rsidP="003609BD">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Tonvongval, S. (2013). Impact of transformational leadership development through organization development intervention on employee engagement and firm performance: A case study. </w:t>
      </w:r>
      <w:r w:rsidRPr="00F56D74">
        <w:rPr>
          <w:rFonts w:eastAsia="Times New Roman" w:cs="Times New Roman"/>
          <w:i/>
          <w:iCs/>
          <w:lang w:eastAsia="en-GB"/>
        </w:rPr>
        <w:t>Social Research Reports</w:t>
      </w:r>
      <w:r w:rsidRPr="00F56D74">
        <w:rPr>
          <w:rFonts w:eastAsia="Times New Roman" w:cs="Times New Roman"/>
          <w:lang w:eastAsia="en-GB"/>
        </w:rPr>
        <w:t xml:space="preserve">, </w:t>
      </w:r>
      <w:r w:rsidRPr="00F56D74">
        <w:rPr>
          <w:rFonts w:eastAsia="Times New Roman" w:cs="Times New Roman"/>
          <w:i/>
          <w:iCs/>
          <w:lang w:eastAsia="en-GB"/>
        </w:rPr>
        <w:t>25</w:t>
      </w:r>
      <w:r w:rsidRPr="00F56D74">
        <w:rPr>
          <w:rFonts w:eastAsia="Times New Roman" w:cs="Times New Roman"/>
          <w:lang w:eastAsia="en-GB"/>
        </w:rPr>
        <w:t>, 34.</w:t>
      </w:r>
    </w:p>
    <w:p w14:paraId="48CDA695"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Torrente, P., Salanova, M., Llorens, S., &amp; Schaufeli, W. B. (2012). Teams make it work: How team work engagement mediates between social resources and performance in teams. </w:t>
      </w:r>
      <w:r w:rsidRPr="00E6060C">
        <w:rPr>
          <w:rFonts w:ascii="Calibri" w:eastAsia="Calibri" w:hAnsi="Calibri" w:cs="Times New Roman"/>
          <w:i/>
          <w:iCs/>
          <w:lang w:eastAsia="en-GB"/>
        </w:rPr>
        <w:t>Psicothema, 24</w:t>
      </w:r>
      <w:r w:rsidRPr="00E6060C">
        <w:rPr>
          <w:rFonts w:ascii="Calibri" w:eastAsia="Calibri" w:hAnsi="Calibri" w:cs="Times New Roman"/>
          <w:lang w:eastAsia="en-GB"/>
        </w:rPr>
        <w:t xml:space="preserve">(1), 106-112. </w:t>
      </w:r>
    </w:p>
    <w:p w14:paraId="43DD9E9C" w14:textId="51F23C18" w:rsidR="001E25C9" w:rsidRPr="00F56D74" w:rsidRDefault="001E25C9" w:rsidP="001E25C9">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Tullar, J. (2008). </w:t>
      </w:r>
      <w:r w:rsidRPr="00F56D74">
        <w:rPr>
          <w:rFonts w:eastAsia="Times New Roman" w:cs="Times New Roman"/>
          <w:i/>
          <w:iCs/>
          <w:lang w:eastAsia="en-GB"/>
        </w:rPr>
        <w:t>An epidemiologic evaluation of a worksite based intervention</w:t>
      </w:r>
      <w:r w:rsidRPr="00F56D74">
        <w:rPr>
          <w:rFonts w:eastAsia="Times New Roman" w:cs="Times New Roman"/>
          <w:lang w:eastAsia="en-GB"/>
        </w:rPr>
        <w:t xml:space="preserve">. </w:t>
      </w:r>
      <w:r w:rsidR="00E17437">
        <w:rPr>
          <w:rFonts w:eastAsia="Times New Roman" w:cs="Times New Roman"/>
          <w:lang w:eastAsia="en-GB"/>
        </w:rPr>
        <w:t>(Doctoral</w:t>
      </w:r>
      <w:r>
        <w:rPr>
          <w:rFonts w:eastAsia="Times New Roman" w:cs="Times New Roman"/>
          <w:lang w:eastAsia="en-GB"/>
        </w:rPr>
        <w:t xml:space="preserve"> thesis). </w:t>
      </w:r>
      <w:r w:rsidRPr="00F56D74">
        <w:rPr>
          <w:rFonts w:eastAsia="Times New Roman" w:cs="Times New Roman"/>
          <w:lang w:eastAsia="en-GB"/>
        </w:rPr>
        <w:t>ProQuest.</w:t>
      </w:r>
      <w:r>
        <w:rPr>
          <w:rFonts w:eastAsia="Times New Roman" w:cs="Times New Roman"/>
          <w:lang w:eastAsia="en-GB"/>
        </w:rPr>
        <w:t xml:space="preserve"> The University of Texas, Houston, Texas, USA.</w:t>
      </w:r>
    </w:p>
    <w:p w14:paraId="147C7680"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lastRenderedPageBreak/>
        <w:t xml:space="preserve">Uman, L. S. (2011). Systematic reviews and meta-analyses. </w:t>
      </w:r>
      <w:r w:rsidRPr="00E6060C">
        <w:rPr>
          <w:rFonts w:ascii="Calibri" w:eastAsia="Calibri" w:hAnsi="Calibri" w:cs="Times New Roman"/>
          <w:i/>
          <w:iCs/>
        </w:rPr>
        <w:t>Journal of the Canadian Academy of Child and Adolescent Psychiatry</w:t>
      </w:r>
      <w:r w:rsidRPr="00E6060C">
        <w:rPr>
          <w:rFonts w:ascii="Calibri" w:eastAsia="Calibri" w:hAnsi="Calibri" w:cs="Times New Roman"/>
        </w:rPr>
        <w:t xml:space="preserve">, </w:t>
      </w:r>
      <w:r w:rsidRPr="00E6060C">
        <w:rPr>
          <w:rFonts w:ascii="Calibri" w:eastAsia="Calibri" w:hAnsi="Calibri" w:cs="Times New Roman"/>
          <w:i/>
          <w:iCs/>
        </w:rPr>
        <w:t>20</w:t>
      </w:r>
      <w:r w:rsidRPr="00E6060C">
        <w:rPr>
          <w:rFonts w:ascii="Calibri" w:eastAsia="Calibri" w:hAnsi="Calibri" w:cs="Times New Roman"/>
        </w:rPr>
        <w:t>(1), 57.</w:t>
      </w:r>
    </w:p>
    <w:p w14:paraId="05DAD436"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nl-NL"/>
        </w:rPr>
        <w:t xml:space="preserve">**Van Berkel, J., Boot, C. R. L., Proper, K. I., Bongers, P. M., &amp; van der Beek, A. J. (2014). </w:t>
      </w:r>
      <w:r w:rsidRPr="00E6060C">
        <w:rPr>
          <w:rFonts w:ascii="Calibri" w:eastAsia="Calibri" w:hAnsi="Calibri" w:cs="Times New Roman"/>
        </w:rPr>
        <w:t xml:space="preserve">Effectiveness of a worksite mindfulness-based multi-component intervention on lifestyle behaviors. </w:t>
      </w:r>
      <w:r w:rsidRPr="00E6060C">
        <w:rPr>
          <w:rFonts w:ascii="Calibri" w:eastAsia="Calibri" w:hAnsi="Calibri" w:cs="Times New Roman"/>
          <w:i/>
          <w:iCs/>
        </w:rPr>
        <w:t>International Journal of Behavioral Nutrition and Physical Activity, 11</w:t>
      </w:r>
      <w:r w:rsidRPr="00E6060C">
        <w:rPr>
          <w:rFonts w:ascii="Calibri" w:eastAsia="Calibri" w:hAnsi="Calibri" w:cs="Times New Roman"/>
        </w:rPr>
        <w:t>. doi: 10.1186/1479-5868-11-9.</w:t>
      </w:r>
    </w:p>
    <w:p w14:paraId="370BC893"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Van Muijen, J. J., Kopman, P., De Witte, K., De Cock, G., Susanj, Z., Lemoine, F., et al. (1999). </w:t>
      </w:r>
      <w:r w:rsidRPr="00E6060C">
        <w:rPr>
          <w:rFonts w:ascii="Calibri" w:eastAsia="Calibri" w:hAnsi="Calibri" w:cs="Times New Roman"/>
          <w:i/>
        </w:rPr>
        <w:t>Organizational culture: The FOCUS questionnaire</w:t>
      </w:r>
      <w:r w:rsidRPr="00E6060C">
        <w:rPr>
          <w:rFonts w:ascii="Calibri" w:eastAsia="Calibri" w:hAnsi="Calibri" w:cs="Times New Roman"/>
        </w:rPr>
        <w:t>. European Journal of Work and Organizational Psychology, (</w:t>
      </w:r>
      <w:r w:rsidRPr="00E6060C">
        <w:rPr>
          <w:rFonts w:ascii="Calibri" w:eastAsia="Calibri" w:hAnsi="Calibri" w:cs="Times New Roman"/>
          <w:i/>
        </w:rPr>
        <w:t>8)</w:t>
      </w:r>
      <w:r w:rsidRPr="00E6060C">
        <w:rPr>
          <w:rFonts w:ascii="Calibri" w:eastAsia="Calibri" w:hAnsi="Calibri" w:cs="Times New Roman"/>
        </w:rPr>
        <w:t xml:space="preserve"> 551-568.</w:t>
      </w:r>
    </w:p>
    <w:p w14:paraId="5A1A88A4" w14:textId="33C24226"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Van den Broeck, A., Ferris, D. L., Chang, C. H., &amp; Rosen, C. C. (2016). Review of Research on </w:t>
      </w:r>
      <w:r w:rsidR="00E850E2">
        <w:rPr>
          <w:rFonts w:ascii="Calibri" w:eastAsia="Calibri" w:hAnsi="Calibri" w:cs="Times New Roman"/>
          <w:lang w:eastAsia="en-GB"/>
        </w:rPr>
        <w:t>self-determination t</w:t>
      </w:r>
      <w:r w:rsidR="00C17CB1">
        <w:rPr>
          <w:rFonts w:ascii="Calibri" w:eastAsia="Calibri" w:hAnsi="Calibri" w:cs="Times New Roman"/>
          <w:lang w:eastAsia="en-GB"/>
        </w:rPr>
        <w:t>heory</w:t>
      </w:r>
      <w:r w:rsidRPr="00E6060C">
        <w:rPr>
          <w:rFonts w:ascii="Calibri" w:eastAsia="Calibri" w:hAnsi="Calibri" w:cs="Times New Roman"/>
          <w:lang w:eastAsia="en-GB"/>
        </w:rPr>
        <w:t xml:space="preserve">’s Basic Psychological Needs at Work. </w:t>
      </w:r>
      <w:r w:rsidRPr="00E6060C">
        <w:rPr>
          <w:rFonts w:ascii="Calibri" w:eastAsia="Calibri" w:hAnsi="Calibri" w:cs="Times New Roman"/>
          <w:i/>
          <w:iCs/>
          <w:lang w:eastAsia="en-GB"/>
        </w:rPr>
        <w:t>Journal of Management</w:t>
      </w:r>
      <w:r w:rsidRPr="00E6060C">
        <w:rPr>
          <w:rFonts w:ascii="Calibri" w:eastAsia="Calibri" w:hAnsi="Calibri" w:cs="Times New Roman"/>
          <w:lang w:eastAsia="en-GB"/>
        </w:rPr>
        <w:t xml:space="preserve">, </w:t>
      </w:r>
      <w:r w:rsidRPr="00E6060C">
        <w:rPr>
          <w:rFonts w:ascii="Calibri" w:eastAsia="Calibri" w:hAnsi="Calibri" w:cs="Times New Roman"/>
          <w:i/>
          <w:lang w:eastAsia="en-GB"/>
        </w:rPr>
        <w:t>20</w:t>
      </w:r>
      <w:r w:rsidRPr="00E6060C">
        <w:rPr>
          <w:rFonts w:ascii="Calibri" w:eastAsia="Calibri" w:hAnsi="Calibri" w:cs="Times New Roman"/>
          <w:lang w:eastAsia="en-GB"/>
        </w:rPr>
        <w:t>(10), 1-35.</w:t>
      </w:r>
    </w:p>
    <w:p w14:paraId="46F8E23B" w14:textId="77777777" w:rsidR="00E6060C" w:rsidRPr="00E6060C" w:rsidRDefault="00E6060C" w:rsidP="00E6060C">
      <w:pPr>
        <w:spacing w:line="360" w:lineRule="auto"/>
        <w:ind w:left="426" w:hanging="426"/>
        <w:contextualSpacing/>
        <w:rPr>
          <w:rFonts w:ascii="Calibri" w:eastAsia="Calibri" w:hAnsi="Calibri" w:cs="Times New Roman"/>
          <w:lang w:val="nl-NL" w:eastAsia="en-GB"/>
        </w:rPr>
      </w:pPr>
      <w:r w:rsidRPr="00E6060C">
        <w:rPr>
          <w:rFonts w:ascii="Calibri" w:eastAsia="Calibri" w:hAnsi="Calibri" w:cs="Times New Roman"/>
          <w:lang w:val="nl-NL" w:eastAsia="en-GB"/>
        </w:rPr>
        <w:t xml:space="preserve">Van den Broeck, A., Lens, W., De Witte, H., &amp; Van Coillie, H. (2013). </w:t>
      </w:r>
      <w:r w:rsidRPr="00E6060C">
        <w:rPr>
          <w:rFonts w:ascii="Calibri" w:eastAsia="Calibri" w:hAnsi="Calibri" w:cs="Times New Roman"/>
          <w:lang w:eastAsia="en-GB"/>
        </w:rPr>
        <w:t xml:space="preserve">Unraveling the importance of the quantity and the quality of workers' motivation for well-being: A person-centered perspective. </w:t>
      </w:r>
      <w:r w:rsidRPr="00E6060C">
        <w:rPr>
          <w:rFonts w:ascii="Calibri" w:eastAsia="Calibri" w:hAnsi="Calibri" w:cs="Times New Roman"/>
          <w:i/>
          <w:iCs/>
          <w:lang w:val="nl-NL" w:eastAsia="en-GB"/>
        </w:rPr>
        <w:t>Journal of Vocational Behavior, 82</w:t>
      </w:r>
      <w:r w:rsidRPr="00E6060C">
        <w:rPr>
          <w:rFonts w:ascii="Calibri" w:eastAsia="Calibri" w:hAnsi="Calibri" w:cs="Times New Roman"/>
          <w:lang w:val="nl-NL" w:eastAsia="en-GB"/>
        </w:rPr>
        <w:t>(1), 69-78. doi: 10.1016/j.jvb.2012.11.005</w:t>
      </w:r>
    </w:p>
    <w:p w14:paraId="550BC56D"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Van den Broeck, A., Vansteenkiste, M., De Witte, H., &amp; Lens, W. (2008). </w:t>
      </w:r>
      <w:r w:rsidRPr="00E6060C">
        <w:rPr>
          <w:rFonts w:ascii="Calibri" w:eastAsia="Calibri" w:hAnsi="Calibri" w:cs="Times New Roman"/>
          <w:lang w:eastAsia="en-GB"/>
        </w:rPr>
        <w:t xml:space="preserve">Explaining the relationships between job characteristics, burnout, and engagement: The role of basic psychological need satisfaction. </w:t>
      </w:r>
      <w:r w:rsidRPr="00E6060C">
        <w:rPr>
          <w:rFonts w:ascii="Calibri" w:eastAsia="Calibri" w:hAnsi="Calibri" w:cs="Times New Roman"/>
          <w:i/>
          <w:iCs/>
          <w:lang w:eastAsia="en-GB"/>
        </w:rPr>
        <w:t>Work and Stress, 22</w:t>
      </w:r>
      <w:r w:rsidRPr="00E6060C">
        <w:rPr>
          <w:rFonts w:ascii="Calibri" w:eastAsia="Calibri" w:hAnsi="Calibri" w:cs="Times New Roman"/>
          <w:lang w:eastAsia="en-GB"/>
        </w:rPr>
        <w:t>(3), 277-294. doi: 10.1080/02678370802393672</w:t>
      </w:r>
    </w:p>
    <w:p w14:paraId="3FA1D830"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Van den Broeck, A., Vansteenkiste, M., De Witte, H., Soenens, B., &amp; Lens, W. (2010). Capturing autonomy, competence, and relatedness at work: Construction and initial validation of the Work-related Basic Need Satisfaction scale. </w:t>
      </w:r>
      <w:r w:rsidRPr="00E6060C">
        <w:rPr>
          <w:rFonts w:ascii="Calibri" w:eastAsia="Calibri" w:hAnsi="Calibri" w:cs="Times New Roman"/>
          <w:i/>
          <w:iCs/>
          <w:lang w:eastAsia="en-GB"/>
        </w:rPr>
        <w:t>Journal of Occupational and Organisational Psychology, 83</w:t>
      </w:r>
      <w:r w:rsidRPr="00E6060C">
        <w:rPr>
          <w:rFonts w:ascii="Calibri" w:eastAsia="Calibri" w:hAnsi="Calibri" w:cs="Times New Roman"/>
          <w:lang w:eastAsia="en-GB"/>
        </w:rPr>
        <w:t>(4), 981-1002. doi: 10.1348/096317909x481382</w:t>
      </w:r>
    </w:p>
    <w:p w14:paraId="3EEF915D" w14:textId="77777777" w:rsidR="00E6060C" w:rsidRPr="00E6060C" w:rsidRDefault="00E6060C" w:rsidP="00E6060C">
      <w:pPr>
        <w:spacing w:line="360" w:lineRule="auto"/>
        <w:ind w:left="426" w:hanging="426"/>
        <w:contextualSpacing/>
        <w:rPr>
          <w:rFonts w:ascii="Calibri" w:eastAsia="Calibri" w:hAnsi="Calibri" w:cs="Times New Roman"/>
          <w:lang w:val="nl-NL" w:eastAsia="en-GB"/>
        </w:rPr>
      </w:pPr>
      <w:r w:rsidRPr="00E6060C">
        <w:rPr>
          <w:rFonts w:ascii="Calibri" w:eastAsia="Calibri" w:hAnsi="Calibri" w:cs="Times New Roman"/>
          <w:lang w:eastAsia="en-GB"/>
        </w:rPr>
        <w:t xml:space="preserve">Van den Heuvel, M., Demerouti, E., &amp; Peeters, M. (2012). </w:t>
      </w:r>
      <w:r w:rsidRPr="00E6060C">
        <w:rPr>
          <w:rFonts w:ascii="Calibri" w:eastAsia="Calibri" w:hAnsi="Calibri" w:cs="Times New Roman"/>
          <w:lang w:val="nl-NL" w:eastAsia="en-GB"/>
        </w:rPr>
        <w:t xml:space="preserve">Succesvol job craften door middel van een groepstraining. </w:t>
      </w:r>
      <w:r w:rsidRPr="00E6060C">
        <w:rPr>
          <w:rFonts w:ascii="Calibri" w:eastAsia="Calibri" w:hAnsi="Calibri" w:cs="Times New Roman"/>
          <w:i/>
          <w:iCs/>
          <w:lang w:val="nl-NL" w:eastAsia="en-GB"/>
        </w:rPr>
        <w:t>J. de Jonge en MCW Peeters (red.), Scherp in werk: Motivatie, zelfsturing en inzetbaarheid op het werk</w:t>
      </w:r>
      <w:r w:rsidRPr="00E6060C">
        <w:rPr>
          <w:rFonts w:ascii="Calibri" w:eastAsia="Calibri" w:hAnsi="Calibri" w:cs="Times New Roman"/>
          <w:lang w:val="nl-NL" w:eastAsia="en-GB"/>
        </w:rPr>
        <w:t xml:space="preserve">, 27-49. </w:t>
      </w:r>
    </w:p>
    <w:p w14:paraId="07A87428" w14:textId="2439594C"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nl-NL" w:eastAsia="en-GB"/>
        </w:rPr>
        <w:t xml:space="preserve">Vansteenkiste, M., Neyrinck, B., Niemiec, C. P., Soenens, B., De Witte, H., &amp; Van den Broeck, A. (2007). </w:t>
      </w:r>
      <w:r w:rsidRPr="00E6060C">
        <w:rPr>
          <w:rFonts w:ascii="Calibri" w:eastAsia="Calibri" w:hAnsi="Calibri" w:cs="Times New Roman"/>
          <w:lang w:eastAsia="en-GB"/>
        </w:rPr>
        <w:t xml:space="preserve">On the relations among work value orientations, psychological need satisfaction and job outcomes: A </w:t>
      </w:r>
      <w:r w:rsidR="00E850E2">
        <w:rPr>
          <w:rFonts w:ascii="Calibri" w:eastAsia="Calibri" w:hAnsi="Calibri" w:cs="Times New Roman"/>
          <w:lang w:eastAsia="en-GB"/>
        </w:rPr>
        <w:t>self-determination t</w:t>
      </w:r>
      <w:r w:rsidR="00C17CB1">
        <w:rPr>
          <w:rFonts w:ascii="Calibri" w:eastAsia="Calibri" w:hAnsi="Calibri" w:cs="Times New Roman"/>
          <w:lang w:eastAsia="en-GB"/>
        </w:rPr>
        <w:t>heory</w:t>
      </w:r>
      <w:r w:rsidRPr="00E6060C">
        <w:rPr>
          <w:rFonts w:ascii="Calibri" w:eastAsia="Calibri" w:hAnsi="Calibri" w:cs="Times New Roman"/>
          <w:lang w:eastAsia="en-GB"/>
        </w:rPr>
        <w:t xml:space="preserve"> approach. </w:t>
      </w:r>
      <w:r w:rsidRPr="00E6060C">
        <w:rPr>
          <w:rFonts w:ascii="Calibri" w:eastAsia="Calibri" w:hAnsi="Calibri" w:cs="Times New Roman"/>
          <w:i/>
          <w:iCs/>
          <w:lang w:eastAsia="en-GB"/>
        </w:rPr>
        <w:t>Journal of Occupational and Organisational Psychology, 80</w:t>
      </w:r>
      <w:r w:rsidRPr="00E6060C">
        <w:rPr>
          <w:rFonts w:ascii="Calibri" w:eastAsia="Calibri" w:hAnsi="Calibri" w:cs="Times New Roman"/>
          <w:lang w:eastAsia="en-GB"/>
        </w:rPr>
        <w:t>, 251-277. doi: 10.1348/096317906x111024</w:t>
      </w:r>
    </w:p>
    <w:p w14:paraId="647CCE10"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Vogt, W. P., &amp; Johnson, R. B. (2011). </w:t>
      </w:r>
      <w:r w:rsidRPr="00E6060C">
        <w:rPr>
          <w:rFonts w:ascii="Calibri" w:eastAsia="Calibri" w:hAnsi="Calibri" w:cs="Times New Roman"/>
          <w:i/>
          <w:iCs/>
        </w:rPr>
        <w:t>Dictionary of statistics &amp; methodology: A nontechnical guide for the social sciences</w:t>
      </w:r>
      <w:r w:rsidRPr="00E6060C">
        <w:rPr>
          <w:rFonts w:ascii="Calibri" w:eastAsia="Calibri" w:hAnsi="Calibri" w:cs="Times New Roman"/>
        </w:rPr>
        <w:t>. Sage.</w:t>
      </w:r>
    </w:p>
    <w:p w14:paraId="22FA2A1C"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Vroom, V. H. (1964). </w:t>
      </w:r>
      <w:r w:rsidRPr="00E6060C">
        <w:rPr>
          <w:rFonts w:ascii="Calibri" w:eastAsia="Calibri" w:hAnsi="Calibri" w:cs="Times New Roman"/>
          <w:i/>
          <w:iCs/>
          <w:lang w:eastAsia="en-GB"/>
        </w:rPr>
        <w:t>Work and Motivation</w:t>
      </w:r>
      <w:r w:rsidRPr="00E6060C">
        <w:rPr>
          <w:rFonts w:ascii="Calibri" w:eastAsia="Calibri" w:hAnsi="Calibri" w:cs="Times New Roman"/>
          <w:lang w:eastAsia="en-GB"/>
        </w:rPr>
        <w:t>. New York: Wiley.</w:t>
      </w:r>
    </w:p>
    <w:p w14:paraId="722E360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sv-SE" w:eastAsia="en-GB"/>
        </w:rPr>
        <w:lastRenderedPageBreak/>
        <w:t xml:space="preserve">**Vuori, J., Toppinen-Tanner, S., &amp; Mutanen, P. (2012). </w:t>
      </w:r>
      <w:r w:rsidRPr="00E6060C">
        <w:rPr>
          <w:rFonts w:ascii="Calibri" w:eastAsia="Calibri" w:hAnsi="Calibri" w:cs="Times New Roman"/>
          <w:lang w:eastAsia="en-GB"/>
        </w:rPr>
        <w:t xml:space="preserve">Effects of resource-building group intervention on career management and mental health in work organisations: Randomized controlled field trial. </w:t>
      </w:r>
      <w:r w:rsidRPr="00E6060C">
        <w:rPr>
          <w:rFonts w:ascii="Calibri" w:eastAsia="Calibri" w:hAnsi="Calibri" w:cs="Times New Roman"/>
          <w:i/>
          <w:iCs/>
          <w:lang w:eastAsia="en-GB"/>
        </w:rPr>
        <w:t>Journal of Applied Psychology, 97</w:t>
      </w:r>
      <w:r w:rsidRPr="00E6060C">
        <w:rPr>
          <w:rFonts w:ascii="Calibri" w:eastAsia="Calibri" w:hAnsi="Calibri" w:cs="Times New Roman"/>
          <w:lang w:eastAsia="en-GB"/>
        </w:rPr>
        <w:t>(2), 273-286. doi: 10.1037/a0025584</w:t>
      </w:r>
    </w:p>
    <w:p w14:paraId="71DBC425"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Wadsworth, Y. (1998). </w:t>
      </w:r>
      <w:r w:rsidRPr="00E6060C">
        <w:rPr>
          <w:rFonts w:ascii="Calibri" w:eastAsia="Calibri" w:hAnsi="Calibri" w:cs="Times New Roman"/>
          <w:iCs/>
          <w:lang w:eastAsia="en-GB"/>
        </w:rPr>
        <w:t>What is participatory action research?</w:t>
      </w:r>
      <w:r w:rsidRPr="00E6060C">
        <w:rPr>
          <w:rFonts w:ascii="Calibri" w:eastAsia="Calibri" w:hAnsi="Calibri" w:cs="Times New Roman"/>
          <w:i/>
          <w:iCs/>
          <w:lang w:eastAsia="en-GB"/>
        </w:rPr>
        <w:t xml:space="preserve"> Action research: International Paper 2. </w:t>
      </w:r>
      <w:r w:rsidRPr="00E6060C">
        <w:rPr>
          <w:rFonts w:ascii="Calibri" w:eastAsia="Calibri" w:hAnsi="Calibri" w:cs="Times New Roman"/>
          <w:lang w:eastAsia="en-GB"/>
        </w:rPr>
        <w:t>Retrieved July 31, 2014, from: http://www.aral.com.au/ari/p-ywadsworth98.html</w:t>
      </w:r>
    </w:p>
    <w:p w14:paraId="1700A75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Wall, T. D., Jackson, P. R., &amp; Mullarkey, S. (1995). Further evidence on some new measures of job control, cognitive demand and production responsibility. </w:t>
      </w:r>
      <w:r w:rsidRPr="00E6060C">
        <w:rPr>
          <w:rFonts w:ascii="Calibri" w:eastAsia="Calibri" w:hAnsi="Calibri" w:cs="Times New Roman"/>
          <w:i/>
          <w:iCs/>
          <w:lang w:eastAsia="en-GB"/>
        </w:rPr>
        <w:t xml:space="preserve">Journal of Organizational Behavior, 16, </w:t>
      </w:r>
      <w:r w:rsidRPr="00E6060C">
        <w:rPr>
          <w:rFonts w:ascii="Calibri" w:eastAsia="Calibri" w:hAnsi="Calibri" w:cs="Times New Roman"/>
          <w:lang w:eastAsia="en-GB"/>
        </w:rPr>
        <w:t>431–455. doi:10.1002/job.4030160505</w:t>
      </w:r>
    </w:p>
    <w:p w14:paraId="0F21989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de-DE" w:eastAsia="en-GB"/>
        </w:rPr>
        <w:t xml:space="preserve">Warr, P., Bindl, U. K., Parker, S. K., &amp; Inceoglu, I. (2014). </w:t>
      </w:r>
      <w:r w:rsidRPr="00E6060C">
        <w:rPr>
          <w:rFonts w:ascii="Calibri" w:eastAsia="Calibri" w:hAnsi="Calibri" w:cs="Times New Roman"/>
          <w:lang w:eastAsia="en-GB"/>
        </w:rPr>
        <w:t xml:space="preserve">Four-quadrant investigation of job-related affects and behaviours. </w:t>
      </w:r>
      <w:r w:rsidRPr="00E6060C">
        <w:rPr>
          <w:rFonts w:ascii="Calibri" w:eastAsia="Calibri" w:hAnsi="Calibri" w:cs="Times New Roman"/>
          <w:i/>
          <w:iCs/>
          <w:lang w:eastAsia="en-GB"/>
        </w:rPr>
        <w:t>European Journal of Work and Organisational Psychology, 23</w:t>
      </w:r>
      <w:r w:rsidRPr="00E6060C">
        <w:rPr>
          <w:rFonts w:ascii="Calibri" w:eastAsia="Calibri" w:hAnsi="Calibri" w:cs="Times New Roman"/>
          <w:lang w:eastAsia="en-GB"/>
        </w:rPr>
        <w:t xml:space="preserve">(3), 342-363. </w:t>
      </w:r>
    </w:p>
    <w:p w14:paraId="16E7B1B9" w14:textId="77777777" w:rsidR="00E6060C" w:rsidRPr="00E6060C" w:rsidRDefault="00E6060C" w:rsidP="00E6060C">
      <w:pPr>
        <w:spacing w:line="360" w:lineRule="auto"/>
        <w:ind w:left="426" w:hanging="426"/>
        <w:contextualSpacing/>
        <w:rPr>
          <w:rFonts w:ascii="Calibri" w:eastAsia="Calibri" w:hAnsi="Calibri" w:cs="Times New Roman"/>
          <w:bCs/>
          <w:lang w:eastAsia="en-GB"/>
        </w:rPr>
      </w:pPr>
      <w:r w:rsidRPr="00E6060C">
        <w:rPr>
          <w:rFonts w:ascii="Calibri" w:eastAsia="Calibri" w:hAnsi="Calibri" w:cs="Times New Roman"/>
          <w:bCs/>
          <w:lang w:eastAsia="en-GB"/>
        </w:rPr>
        <w:t xml:space="preserve">West, M., &amp; Dawson, J. (2012). Employee Engagement and NHS Performance. </w:t>
      </w:r>
      <w:r w:rsidRPr="00E6060C">
        <w:rPr>
          <w:rFonts w:ascii="Calibri" w:eastAsia="Calibri" w:hAnsi="Calibri" w:cs="Times New Roman"/>
          <w:bCs/>
          <w:i/>
          <w:iCs/>
          <w:lang w:eastAsia="en-GB"/>
        </w:rPr>
        <w:t>The King’s Fund</w:t>
      </w:r>
      <w:r w:rsidRPr="00E6060C">
        <w:rPr>
          <w:rFonts w:ascii="Calibri" w:eastAsia="Calibri" w:hAnsi="Calibri" w:cs="Times New Roman"/>
          <w:bCs/>
          <w:lang w:eastAsia="en-GB"/>
        </w:rPr>
        <w:t>.</w:t>
      </w:r>
    </w:p>
    <w:p w14:paraId="40DA4A0C" w14:textId="77777777" w:rsidR="003609BD" w:rsidRPr="00F56D74" w:rsidRDefault="003609BD" w:rsidP="003609BD">
      <w:pPr>
        <w:spacing w:line="360" w:lineRule="auto"/>
        <w:ind w:left="426" w:hanging="426"/>
        <w:contextualSpacing/>
        <w:rPr>
          <w:rFonts w:eastAsia="Times New Roman" w:cs="Times New Roman"/>
          <w:lang w:eastAsia="en-GB"/>
        </w:rPr>
      </w:pPr>
      <w:r w:rsidRPr="00F56D74">
        <w:rPr>
          <w:rFonts w:eastAsia="Times New Roman" w:cs="Times New Roman"/>
          <w:lang w:eastAsia="en-GB"/>
        </w:rPr>
        <w:t xml:space="preserve">West, C. P., Dyrbye, L. N., Rabatin, J. T., Call, T. G., Davidson, J. H., Multari, A., ... &amp; Shanafelt, T. D. (2014). Intervention to promote physician well-being, job satisfaction, and professionalism: a randomized clinical trial. </w:t>
      </w:r>
      <w:r w:rsidRPr="00F56D74">
        <w:rPr>
          <w:rFonts w:eastAsia="Times New Roman" w:cs="Times New Roman"/>
          <w:i/>
          <w:iCs/>
          <w:lang w:eastAsia="en-GB"/>
        </w:rPr>
        <w:t>JAMA internal medicine</w:t>
      </w:r>
      <w:r w:rsidRPr="00F56D74">
        <w:rPr>
          <w:rFonts w:eastAsia="Times New Roman" w:cs="Times New Roman"/>
          <w:lang w:eastAsia="en-GB"/>
        </w:rPr>
        <w:t xml:space="preserve">, </w:t>
      </w:r>
      <w:r w:rsidRPr="00F56D74">
        <w:rPr>
          <w:rFonts w:eastAsia="Times New Roman" w:cs="Times New Roman"/>
          <w:i/>
          <w:iCs/>
          <w:lang w:eastAsia="en-GB"/>
        </w:rPr>
        <w:t>174</w:t>
      </w:r>
      <w:r w:rsidRPr="00F56D74">
        <w:rPr>
          <w:rFonts w:eastAsia="Times New Roman" w:cs="Times New Roman"/>
          <w:lang w:eastAsia="en-GB"/>
        </w:rPr>
        <w:t>(4), 527-533.</w:t>
      </w:r>
    </w:p>
    <w:p w14:paraId="5199CA04"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*White, M., Wells, J. S. G., &amp; Butterworth, T. (2014). The impact of a large-scale quality improvement programme on work engagement: Preliminary results from a national cross-sectional-survey of the 'Productive Ward'. </w:t>
      </w:r>
      <w:r w:rsidRPr="00E6060C">
        <w:rPr>
          <w:rFonts w:ascii="Calibri" w:eastAsia="Calibri" w:hAnsi="Calibri" w:cs="Times New Roman"/>
          <w:i/>
          <w:iCs/>
        </w:rPr>
        <w:t>International journal of nursing studies, 51</w:t>
      </w:r>
      <w:r w:rsidRPr="00E6060C">
        <w:rPr>
          <w:rFonts w:ascii="Calibri" w:eastAsia="Calibri" w:hAnsi="Calibri" w:cs="Times New Roman"/>
        </w:rPr>
        <w:t>(12), 1634-1643. doi: 10.1016/j.ijnurstu.2014.05.002.</w:t>
      </w:r>
    </w:p>
    <w:p w14:paraId="13E7E40E"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rPr>
        <w:t xml:space="preserve">*Wiezer, N., Roozeboom, M. B., &amp; Oprins, E. (2013). Serious Gaming Used as Management Intervention to Prevent Work-Related Stress and Raise Work–Engagement among Workers </w:t>
      </w:r>
      <w:r w:rsidRPr="00E6060C">
        <w:rPr>
          <w:rFonts w:ascii="Calibri" w:eastAsia="Calibri" w:hAnsi="Calibri" w:cs="Times New Roman"/>
          <w:i/>
          <w:iCs/>
        </w:rPr>
        <w:t>Digital Human Modeling and Applications in Health, Safety, Ergonomics, and Risk Management. Human Body Modeling and Ergonomics</w:t>
      </w:r>
      <w:r w:rsidRPr="00E6060C">
        <w:rPr>
          <w:rFonts w:ascii="Calibri" w:eastAsia="Calibri" w:hAnsi="Calibri" w:cs="Times New Roman"/>
        </w:rPr>
        <w:t xml:space="preserve"> (pp. 149-158): Springer.</w:t>
      </w:r>
    </w:p>
    <w:p w14:paraId="4224B671" w14:textId="1429CFB6"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bCs/>
        </w:rPr>
        <w:t xml:space="preserve">Williams, G. C., &amp; Deci, E. L. (1996). Internalization of biopsychosocial values by medical students: a test of </w:t>
      </w:r>
      <w:r w:rsidR="00E850E2">
        <w:rPr>
          <w:rFonts w:ascii="Calibri" w:eastAsia="Calibri" w:hAnsi="Calibri" w:cs="Times New Roman"/>
          <w:bCs/>
        </w:rPr>
        <w:t>self-determination t</w:t>
      </w:r>
      <w:r w:rsidR="00C17CB1">
        <w:rPr>
          <w:rFonts w:ascii="Calibri" w:eastAsia="Calibri" w:hAnsi="Calibri" w:cs="Times New Roman"/>
          <w:bCs/>
        </w:rPr>
        <w:t>heory</w:t>
      </w:r>
      <w:r w:rsidRPr="00E6060C">
        <w:rPr>
          <w:rFonts w:ascii="Calibri" w:eastAsia="Calibri" w:hAnsi="Calibri" w:cs="Times New Roman"/>
          <w:bCs/>
        </w:rPr>
        <w:t xml:space="preserve">. </w:t>
      </w:r>
      <w:r w:rsidRPr="00E6060C">
        <w:rPr>
          <w:rFonts w:ascii="Calibri" w:eastAsia="Calibri" w:hAnsi="Calibri" w:cs="Times New Roman"/>
          <w:bCs/>
          <w:i/>
        </w:rPr>
        <w:t>Journal of Personality and Social Psychology, 70,</w:t>
      </w:r>
      <w:r w:rsidRPr="00E6060C">
        <w:rPr>
          <w:rFonts w:ascii="Calibri" w:eastAsia="Calibri" w:hAnsi="Calibri" w:cs="Times New Roman"/>
          <w:bCs/>
        </w:rPr>
        <w:t xml:space="preserve"> 767-779.</w:t>
      </w:r>
    </w:p>
    <w:p w14:paraId="1577E039"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val="pl-PL" w:eastAsia="en-GB"/>
        </w:rPr>
        <w:t xml:space="preserve">Wrzesniewski, A., &amp; Dutton, J. E. (2001). </w:t>
      </w:r>
      <w:r w:rsidRPr="00E6060C">
        <w:rPr>
          <w:rFonts w:ascii="Calibri" w:eastAsia="Calibri" w:hAnsi="Calibri" w:cs="Times New Roman"/>
          <w:lang w:eastAsia="en-GB"/>
        </w:rPr>
        <w:t xml:space="preserve">Crafting a job: Revisioning employees as active grafters of their work. </w:t>
      </w:r>
      <w:r w:rsidRPr="00E6060C">
        <w:rPr>
          <w:rFonts w:ascii="Calibri" w:eastAsia="Calibri" w:hAnsi="Calibri" w:cs="Times New Roman"/>
          <w:i/>
          <w:iCs/>
          <w:lang w:eastAsia="en-GB"/>
        </w:rPr>
        <w:t>Academy of Management Review, 26</w:t>
      </w:r>
      <w:r w:rsidRPr="00E6060C">
        <w:rPr>
          <w:rFonts w:ascii="Calibri" w:eastAsia="Calibri" w:hAnsi="Calibri" w:cs="Times New Roman"/>
          <w:lang w:eastAsia="en-GB"/>
        </w:rPr>
        <w:t xml:space="preserve">(2), 179-201. </w:t>
      </w:r>
    </w:p>
    <w:p w14:paraId="32E1B603" w14:textId="77777777" w:rsidR="00E6060C" w:rsidRPr="00E6060C" w:rsidRDefault="00E6060C" w:rsidP="00E6060C">
      <w:pPr>
        <w:spacing w:line="360" w:lineRule="auto"/>
        <w:ind w:left="426" w:hanging="426"/>
        <w:contextualSpacing/>
        <w:rPr>
          <w:rFonts w:ascii="Calibri" w:eastAsia="Calibri" w:hAnsi="Calibri" w:cs="Calibri"/>
        </w:rPr>
      </w:pPr>
      <w:r w:rsidRPr="00E6060C">
        <w:rPr>
          <w:rFonts w:ascii="Calibri" w:eastAsia="Calibri" w:hAnsi="Calibri" w:cs="Calibri"/>
        </w:rPr>
        <w:t>Xanthopoulou, D., Bakker, A. B., Demerouti, E., &amp; Schaufeli, W. B. (2007). The role of personal</w:t>
      </w:r>
    </w:p>
    <w:p w14:paraId="181059A0" w14:textId="77777777" w:rsidR="00E6060C" w:rsidRPr="00E6060C" w:rsidRDefault="00E6060C" w:rsidP="00DC7D2F">
      <w:pPr>
        <w:spacing w:line="360" w:lineRule="auto"/>
        <w:ind w:left="426"/>
        <w:contextualSpacing/>
        <w:rPr>
          <w:rFonts w:ascii="Calibri" w:eastAsia="Calibri" w:hAnsi="Calibri" w:cs="Calibri"/>
          <w:i/>
          <w:iCs/>
        </w:rPr>
      </w:pPr>
      <w:r w:rsidRPr="00E6060C">
        <w:rPr>
          <w:rFonts w:ascii="Calibri" w:eastAsia="Calibri" w:hAnsi="Calibri" w:cs="Calibri"/>
        </w:rPr>
        <w:t xml:space="preserve">resources in the job demands-resources model. </w:t>
      </w:r>
      <w:r w:rsidRPr="00E6060C">
        <w:rPr>
          <w:rFonts w:ascii="Calibri" w:eastAsia="Calibri" w:hAnsi="Calibri" w:cs="Calibri"/>
          <w:i/>
          <w:iCs/>
        </w:rPr>
        <w:t>International Journal of Stress Management,</w:t>
      </w:r>
    </w:p>
    <w:p w14:paraId="464AFC02" w14:textId="77777777" w:rsidR="00E6060C" w:rsidRPr="00E6060C" w:rsidRDefault="00E6060C" w:rsidP="00DC7D2F">
      <w:pPr>
        <w:spacing w:line="360" w:lineRule="auto"/>
        <w:ind w:left="426"/>
        <w:contextualSpacing/>
        <w:rPr>
          <w:rFonts w:ascii="Calibri" w:eastAsia="Calibri" w:hAnsi="Calibri" w:cs="Calibri"/>
        </w:rPr>
      </w:pPr>
      <w:r w:rsidRPr="00E6060C">
        <w:rPr>
          <w:rFonts w:ascii="Calibri" w:eastAsia="Calibri" w:hAnsi="Calibri" w:cs="Calibri"/>
          <w:i/>
          <w:iCs/>
        </w:rPr>
        <w:t>14</w:t>
      </w:r>
      <w:r w:rsidRPr="00E6060C">
        <w:rPr>
          <w:rFonts w:ascii="Calibri" w:eastAsia="Calibri" w:hAnsi="Calibri" w:cs="Calibri"/>
        </w:rPr>
        <w:t>, 121–141.</w:t>
      </w:r>
    </w:p>
    <w:p w14:paraId="45B2AAFF"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t xml:space="preserve">Xanthopoulou, D., Bakker, A. B., Demerouti, E., &amp; Schaufeli, W. B. (2009a). Reciprocal relationships between job resources, personal resources, and work engagement. </w:t>
      </w:r>
      <w:r w:rsidRPr="00E6060C">
        <w:rPr>
          <w:rFonts w:ascii="Calibri" w:eastAsia="Calibri" w:hAnsi="Calibri" w:cs="Times New Roman"/>
          <w:i/>
          <w:iCs/>
          <w:lang w:eastAsia="en-GB"/>
        </w:rPr>
        <w:t>Journal of Vocational Behavior, 74</w:t>
      </w:r>
      <w:r w:rsidRPr="00E6060C">
        <w:rPr>
          <w:rFonts w:ascii="Calibri" w:eastAsia="Calibri" w:hAnsi="Calibri" w:cs="Times New Roman"/>
          <w:lang w:eastAsia="en-GB"/>
        </w:rPr>
        <w:t>(3), 235-244. doi: 10.1016/j.jvb.2008.11.003</w:t>
      </w:r>
    </w:p>
    <w:p w14:paraId="7256E368" w14:textId="77777777" w:rsidR="00E6060C" w:rsidRPr="00E6060C" w:rsidRDefault="00E6060C" w:rsidP="00E6060C">
      <w:pPr>
        <w:spacing w:line="360" w:lineRule="auto"/>
        <w:ind w:left="426" w:hanging="426"/>
        <w:contextualSpacing/>
        <w:rPr>
          <w:rFonts w:ascii="Calibri" w:eastAsia="Calibri" w:hAnsi="Calibri" w:cs="Times New Roman"/>
          <w:lang w:eastAsia="en-GB"/>
        </w:rPr>
      </w:pPr>
      <w:r w:rsidRPr="00E6060C">
        <w:rPr>
          <w:rFonts w:ascii="Calibri" w:eastAsia="Calibri" w:hAnsi="Calibri" w:cs="Times New Roman"/>
          <w:lang w:eastAsia="en-GB"/>
        </w:rPr>
        <w:lastRenderedPageBreak/>
        <w:t xml:space="preserve">Xanthopoulou, D., Bakker, A. B., Demerouti, E., &amp; Schaufeli, W. B. (2009b). Work engagement and financial returns: A diary study on the role of job and personal resources. </w:t>
      </w:r>
      <w:r w:rsidRPr="00E6060C">
        <w:rPr>
          <w:rFonts w:ascii="Calibri" w:eastAsia="Calibri" w:hAnsi="Calibri" w:cs="Times New Roman"/>
          <w:i/>
          <w:iCs/>
          <w:lang w:eastAsia="en-GB"/>
        </w:rPr>
        <w:t>Journal of Occupational and Organisational Psychology, 82</w:t>
      </w:r>
      <w:r w:rsidRPr="00E6060C">
        <w:rPr>
          <w:rFonts w:ascii="Calibri" w:eastAsia="Calibri" w:hAnsi="Calibri" w:cs="Times New Roman"/>
          <w:lang w:eastAsia="en-GB"/>
        </w:rPr>
        <w:t>(1), 183-200. doi: 10.1348/096317908x285633</w:t>
      </w:r>
    </w:p>
    <w:p w14:paraId="5FE98F49" w14:textId="465F6EF4" w:rsidR="003609BD" w:rsidRPr="00F56D74" w:rsidRDefault="003609BD" w:rsidP="003609BD">
      <w:pPr>
        <w:spacing w:line="360" w:lineRule="auto"/>
        <w:ind w:left="426" w:hanging="426"/>
        <w:contextualSpacing/>
        <w:rPr>
          <w:rFonts w:eastAsia="Times New Roman" w:cs="Times New Roman"/>
          <w:lang w:eastAsia="en-GB"/>
        </w:rPr>
      </w:pPr>
      <w:r w:rsidRPr="00040FA1">
        <w:rPr>
          <w:rFonts w:eastAsia="Times New Roman" w:cs="Times New Roman"/>
          <w:lang w:eastAsia="en-GB"/>
        </w:rPr>
        <w:t>Yliniemi, T. (2012). Managing Work Engagement - Improving the Performance of Academic Staff</w:t>
      </w:r>
      <w:r>
        <w:rPr>
          <w:rFonts w:eastAsia="Times New Roman" w:cs="Times New Roman"/>
          <w:lang w:eastAsia="en-GB"/>
        </w:rPr>
        <w:t xml:space="preserve">. In </w:t>
      </w:r>
      <w:r w:rsidRPr="00040FA1">
        <w:rPr>
          <w:rFonts w:eastAsia="Times New Roman" w:cs="Times New Roman"/>
          <w:lang w:eastAsia="en-GB"/>
        </w:rPr>
        <w:t>Schiuma,</w:t>
      </w:r>
      <w:r>
        <w:rPr>
          <w:rFonts w:eastAsia="Times New Roman" w:cs="Times New Roman"/>
          <w:lang w:eastAsia="en-GB"/>
        </w:rPr>
        <w:t xml:space="preserve"> G. T.,</w:t>
      </w:r>
      <w:r w:rsidRPr="00040FA1">
        <w:rPr>
          <w:rFonts w:eastAsia="Times New Roman" w:cs="Times New Roman"/>
          <w:lang w:eastAsia="en-GB"/>
        </w:rPr>
        <w:t xml:space="preserve"> Spender,</w:t>
      </w:r>
      <w:r>
        <w:rPr>
          <w:rFonts w:eastAsia="Times New Roman" w:cs="Times New Roman"/>
          <w:lang w:eastAsia="en-GB"/>
        </w:rPr>
        <w:t xml:space="preserve"> J. C.,</w:t>
      </w:r>
      <w:r w:rsidRPr="00040FA1">
        <w:rPr>
          <w:rFonts w:eastAsia="Times New Roman" w:cs="Times New Roman"/>
          <w:lang w:eastAsia="en-GB"/>
        </w:rPr>
        <w:t xml:space="preserve"> &amp; Yigitcanlar</w:t>
      </w:r>
      <w:r>
        <w:rPr>
          <w:rFonts w:eastAsia="Times New Roman" w:cs="Times New Roman"/>
          <w:lang w:eastAsia="en-GB"/>
        </w:rPr>
        <w:t>, T. T</w:t>
      </w:r>
      <w:r w:rsidRPr="00040FA1">
        <w:rPr>
          <w:rFonts w:eastAsia="Times New Roman" w:cs="Times New Roman"/>
          <w:lang w:eastAsia="en-GB"/>
        </w:rPr>
        <w:t xml:space="preserve">, </w:t>
      </w:r>
      <w:r w:rsidRPr="00040FA1">
        <w:rPr>
          <w:rFonts w:eastAsia="Times New Roman" w:cs="Times New Roman"/>
          <w:i/>
          <w:iCs/>
          <w:lang w:eastAsia="en-GB"/>
        </w:rPr>
        <w:t>Proceedings of IFKAD-KCWS 2012, 7th International Forum on Knowledge Asset Dynamics, 13-15 June, 2012, Matera, Italy.</w:t>
      </w:r>
      <w:r w:rsidRPr="00040FA1">
        <w:rPr>
          <w:rFonts w:eastAsia="Times New Roman" w:cs="Times New Roman"/>
          <w:lang w:eastAsia="en-GB"/>
        </w:rPr>
        <w:t xml:space="preserve"> (Sivut 56-78). (International Forum on Knowledge Asset Dynamics). Matera, Italy: Institute of Knowledge Asset Management.</w:t>
      </w:r>
      <w:r>
        <w:rPr>
          <w:rFonts w:eastAsia="Times New Roman" w:cs="Times New Roman"/>
          <w:lang w:eastAsia="en-GB"/>
        </w:rPr>
        <w:t xml:space="preserve"> </w:t>
      </w:r>
      <w:r w:rsidR="00AD2512">
        <w:rPr>
          <w:rFonts w:eastAsia="Times New Roman" w:cs="Times New Roman"/>
          <w:lang w:eastAsia="en-GB"/>
        </w:rPr>
        <w:t xml:space="preserve">Retrieved from </w:t>
      </w:r>
      <w:r w:rsidRPr="00040FA1">
        <w:rPr>
          <w:rFonts w:eastAsia="Times New Roman" w:cs="Times New Roman"/>
          <w:lang w:eastAsia="en-GB"/>
        </w:rPr>
        <w:t>https://tutcris.tut.fi/portal/fi/publications/managing-work-engagement--improving-the-performance-of-academic-staff(85db6fb8-5b1a-4436-bcb7-eab3c042d395)/export.html</w:t>
      </w:r>
    </w:p>
    <w:p w14:paraId="0A5F06C5" w14:textId="77777777" w:rsidR="00E6060C" w:rsidRPr="00E6060C" w:rsidRDefault="00E6060C" w:rsidP="00E6060C">
      <w:pPr>
        <w:spacing w:line="360" w:lineRule="auto"/>
        <w:ind w:left="426" w:hanging="426"/>
        <w:contextualSpacing/>
        <w:rPr>
          <w:rFonts w:ascii="Calibri" w:eastAsia="Calibri" w:hAnsi="Calibri" w:cs="Times New Roman"/>
        </w:rPr>
      </w:pPr>
      <w:r w:rsidRPr="00E6060C">
        <w:rPr>
          <w:rFonts w:ascii="Calibri" w:eastAsia="Calibri" w:hAnsi="Calibri" w:cs="Times New Roman"/>
          <w:lang w:val="fr-FR"/>
        </w:rPr>
        <w:t xml:space="preserve">*Yuan, Q., Liu, S., Tang, S. H., &amp; Zhang, D. X. (2014). </w:t>
      </w:r>
      <w:r w:rsidRPr="00E6060C">
        <w:rPr>
          <w:rFonts w:ascii="Calibri" w:eastAsia="Calibri" w:hAnsi="Calibri" w:cs="Times New Roman"/>
        </w:rPr>
        <w:t xml:space="preserve">Happy@Work: protocol for a web-based randomized controlled trial to improve mental well-being among an Asian working population. </w:t>
      </w:r>
      <w:r w:rsidRPr="00E6060C">
        <w:rPr>
          <w:rFonts w:ascii="Calibri" w:eastAsia="Calibri" w:hAnsi="Calibri" w:cs="Times New Roman"/>
          <w:i/>
          <w:iCs/>
        </w:rPr>
        <w:t>Bmc Public Health, 14</w:t>
      </w:r>
      <w:r w:rsidRPr="00E6060C">
        <w:rPr>
          <w:rFonts w:ascii="Calibri" w:eastAsia="Calibri" w:hAnsi="Calibri" w:cs="Times New Roman"/>
        </w:rPr>
        <w:t xml:space="preserve">. doi: 10.1186/1471-2458-14-685 </w:t>
      </w:r>
    </w:p>
    <w:p w14:paraId="62F10B26" w14:textId="77777777" w:rsidR="005077F1" w:rsidRDefault="005077F1" w:rsidP="00732887">
      <w:pPr>
        <w:pStyle w:val="Heading1nonumbers"/>
        <w:sectPr w:rsidR="005077F1">
          <w:pgSz w:w="11906" w:h="16838"/>
          <w:pgMar w:top="1440" w:right="1440" w:bottom="1440" w:left="1440" w:header="708" w:footer="708" w:gutter="0"/>
          <w:cols w:space="708"/>
          <w:docGrid w:linePitch="360"/>
        </w:sectPr>
      </w:pPr>
    </w:p>
    <w:p w14:paraId="779143D9" w14:textId="63F7C023" w:rsidR="00E6060C" w:rsidRPr="00E6060C" w:rsidRDefault="00E6060C" w:rsidP="00732887">
      <w:pPr>
        <w:pStyle w:val="Heading1nonumbers"/>
      </w:pPr>
      <w:bookmarkStart w:id="551" w:name="_Toc468286051"/>
      <w:r w:rsidRPr="00E6060C">
        <w:lastRenderedPageBreak/>
        <w:t>Appendices</w:t>
      </w:r>
      <w:bookmarkEnd w:id="551"/>
    </w:p>
    <w:p w14:paraId="1AE4D8BD" w14:textId="77777777" w:rsidR="00E6060C" w:rsidRPr="00E6060C" w:rsidRDefault="00E6060C" w:rsidP="00E6060C"/>
    <w:p w14:paraId="585B9CB5" w14:textId="717E7C66" w:rsidR="00E6060C" w:rsidRPr="007B44F8" w:rsidRDefault="007B44F8" w:rsidP="007B44F8">
      <w:pPr>
        <w:pStyle w:val="Heading2nonumbers"/>
      </w:pPr>
      <w:bookmarkStart w:id="552" w:name="_Toc468286052"/>
      <w:r w:rsidRPr="007B44F8">
        <w:rPr>
          <w:rStyle w:val="Thesisheading2Char"/>
          <w:b/>
        </w:rPr>
        <w:t>Appendix 1</w:t>
      </w:r>
      <w:r w:rsidR="00983715" w:rsidRPr="007B44F8">
        <w:rPr>
          <w:b w:val="0"/>
        </w:rPr>
        <w:t>:</w:t>
      </w:r>
      <w:r w:rsidR="00E6060C" w:rsidRPr="007B44F8">
        <w:t xml:space="preserve"> Study 1 systematic review database search strategies</w:t>
      </w:r>
      <w:bookmarkEnd w:id="552"/>
    </w:p>
    <w:p w14:paraId="4D97A19F" w14:textId="77777777" w:rsidR="00E6060C" w:rsidRPr="00E6060C" w:rsidRDefault="00E6060C" w:rsidP="007B44F8"/>
    <w:p w14:paraId="4D2030BF" w14:textId="413ABCE5" w:rsidR="00E6060C" w:rsidRPr="00E6060C" w:rsidRDefault="00E6060C" w:rsidP="00E6060C">
      <w:pPr>
        <w:spacing w:line="360" w:lineRule="auto"/>
        <w:contextualSpacing/>
      </w:pPr>
      <w:r w:rsidRPr="00E6060C">
        <w:rPr>
          <w:i/>
        </w:rPr>
        <w:t>NOTE:</w:t>
      </w:r>
      <w:r w:rsidRPr="00E6060C">
        <w:t xml:space="preserve"> Search dates, number of hits and number of relevant hits, based on abstracts and titles only, are included with the search terms for each database below. These searches were also conducted on subsequent dates in order to check for additional sources which may have been published after previous searches were conducted. All searches were completed between May</w:t>
      </w:r>
      <w:r w:rsidR="00EE3D8C">
        <w:t>,</w:t>
      </w:r>
      <w:r w:rsidRPr="00E6060C">
        <w:t xml:space="preserve"> 2014 and May</w:t>
      </w:r>
      <w:r w:rsidR="00EE3D8C">
        <w:t>,</w:t>
      </w:r>
      <w:r w:rsidRPr="00E6060C">
        <w:t xml:space="preserve"> 2015. The final search terms used are included here. </w:t>
      </w:r>
    </w:p>
    <w:p w14:paraId="66FADD03" w14:textId="77777777" w:rsidR="00E6060C" w:rsidRPr="00E6060C" w:rsidRDefault="00E6060C" w:rsidP="00E6060C">
      <w:pPr>
        <w:spacing w:line="360" w:lineRule="auto"/>
        <w:contextualSpacing/>
      </w:pPr>
    </w:p>
    <w:p w14:paraId="40FD9CD3" w14:textId="77777777" w:rsidR="00E6060C" w:rsidRPr="00D6240B" w:rsidRDefault="00E6060C" w:rsidP="00D6240B">
      <w:pPr>
        <w:rPr>
          <w:b/>
        </w:rPr>
      </w:pPr>
      <w:r w:rsidRPr="00D6240B">
        <w:rPr>
          <w:b/>
        </w:rPr>
        <w:t>Search strategy for MEDLINE 11.08.14</w:t>
      </w:r>
    </w:p>
    <w:p w14:paraId="5C76113C" w14:textId="77777777" w:rsidR="00E6060C" w:rsidRPr="00E6060C" w:rsidRDefault="00E6060C" w:rsidP="00E6060C">
      <w:pPr>
        <w:spacing w:line="360" w:lineRule="auto"/>
        <w:contextualSpacing/>
        <w:rPr>
          <w:rFonts w:eastAsia="Times New Roman" w:cs="Arial Unicode MS"/>
          <w:b/>
          <w:i/>
        </w:rPr>
      </w:pPr>
    </w:p>
    <w:p w14:paraId="388008AF"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 xml:space="preserve">#1. Work engagement.ti </w:t>
      </w:r>
    </w:p>
    <w:p w14:paraId="22D9EBE8"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#2. Employee engagement.ti</w:t>
      </w:r>
    </w:p>
    <w:p w14:paraId="1D3BDDF4"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#3. Job engagement.ti</w:t>
      </w:r>
    </w:p>
    <w:p w14:paraId="1CBE95BC"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#4. #1 OR #2 OR #3</w:t>
      </w:r>
    </w:p>
    <w:p w14:paraId="56831AB2"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#5. Group intervention.ti</w:t>
      </w:r>
    </w:p>
    <w:p w14:paraId="7EA410DA"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#6. Individual intervention.ti</w:t>
      </w:r>
    </w:p>
    <w:p w14:paraId="77277480"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#7. Online intervention.ti</w:t>
      </w:r>
    </w:p>
    <w:p w14:paraId="3FAD55B3"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#8. Web intervention.ti</w:t>
      </w:r>
    </w:p>
    <w:p w14:paraId="77BD8FF6"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#9. Internet intervention.ti</w:t>
      </w:r>
    </w:p>
    <w:p w14:paraId="3E48CBB3"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#10. #5 OR #6 OR #7 OR #8</w:t>
      </w:r>
    </w:p>
    <w:p w14:paraId="09BB6B45"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#11. #3 AND #9</w:t>
      </w:r>
    </w:p>
    <w:p w14:paraId="760EF65A" w14:textId="77777777" w:rsidR="00E6060C" w:rsidRPr="00E6060C" w:rsidRDefault="00E6060C" w:rsidP="00E6060C">
      <w:pPr>
        <w:spacing w:line="360" w:lineRule="auto"/>
        <w:contextualSpacing/>
        <w:rPr>
          <w:rFonts w:eastAsia="Times New Roman" w:cs="Arial Unicode MS"/>
        </w:rPr>
      </w:pPr>
    </w:p>
    <w:p w14:paraId="370DD50E"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i/>
        </w:rPr>
        <w:t>Note:</w:t>
      </w:r>
      <w:r w:rsidRPr="00E6060C">
        <w:rPr>
          <w:rFonts w:eastAsia="Times New Roman" w:cs="Arial Unicode MS"/>
        </w:rPr>
        <w:t xml:space="preserve"> Experimenting with different words for ‘intervention’ did not reveal any more results which were not captured by using this search.</w:t>
      </w:r>
    </w:p>
    <w:p w14:paraId="28B34564" w14:textId="77777777" w:rsidR="00E6060C" w:rsidRPr="00E6060C" w:rsidRDefault="00E6060C" w:rsidP="00E6060C">
      <w:pPr>
        <w:spacing w:line="360" w:lineRule="auto"/>
        <w:contextualSpacing/>
        <w:rPr>
          <w:rFonts w:eastAsia="Times New Roman" w:cs="Arial Unicode MS"/>
        </w:rPr>
      </w:pPr>
    </w:p>
    <w:p w14:paraId="0079D5DD"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i/>
        </w:rPr>
        <w:t>Hits:</w:t>
      </w:r>
      <w:r w:rsidRPr="00E6060C">
        <w:rPr>
          <w:rFonts w:eastAsia="Times New Roman" w:cs="Arial Unicode MS"/>
        </w:rPr>
        <w:t xml:space="preserve"> 17. 12 relevant (based on titles / abstracts).</w:t>
      </w:r>
    </w:p>
    <w:p w14:paraId="5D0E2C2A" w14:textId="77777777" w:rsidR="00E6060C" w:rsidRPr="00E6060C" w:rsidRDefault="00E6060C" w:rsidP="00E6060C">
      <w:pPr>
        <w:spacing w:line="360" w:lineRule="auto"/>
        <w:contextualSpacing/>
        <w:rPr>
          <w:rFonts w:eastAsia="Times New Roman" w:cs="Arial Unicode MS"/>
          <w:b/>
          <w:i/>
        </w:rPr>
      </w:pPr>
    </w:p>
    <w:p w14:paraId="03C13FE6" w14:textId="77777777" w:rsidR="00E6060C" w:rsidRPr="00E6060C" w:rsidRDefault="00E6060C" w:rsidP="00E6060C">
      <w:pPr>
        <w:spacing w:line="360" w:lineRule="auto"/>
        <w:contextualSpacing/>
        <w:rPr>
          <w:rFonts w:eastAsia="Times New Roman" w:cs="Arial Unicode MS"/>
          <w:b/>
          <w:i/>
        </w:rPr>
      </w:pPr>
    </w:p>
    <w:p w14:paraId="27BD0411" w14:textId="77777777" w:rsidR="00E6060C" w:rsidRPr="00E6060C" w:rsidRDefault="00E6060C" w:rsidP="00E6060C">
      <w:pPr>
        <w:spacing w:line="360" w:lineRule="auto"/>
        <w:contextualSpacing/>
        <w:rPr>
          <w:rFonts w:eastAsia="Times New Roman" w:cs="Arial Unicode MS"/>
          <w:b/>
          <w:i/>
        </w:rPr>
      </w:pPr>
    </w:p>
    <w:p w14:paraId="1951CBC8" w14:textId="77777777" w:rsidR="00E6060C" w:rsidRPr="00E6060C" w:rsidRDefault="00E6060C" w:rsidP="00E6060C">
      <w:pPr>
        <w:spacing w:line="360" w:lineRule="auto"/>
        <w:contextualSpacing/>
        <w:rPr>
          <w:rFonts w:eastAsia="Times New Roman" w:cs="Arial Unicode MS"/>
          <w:b/>
          <w:i/>
        </w:rPr>
      </w:pPr>
    </w:p>
    <w:p w14:paraId="720375B2" w14:textId="77777777" w:rsidR="00E6060C" w:rsidRPr="00E6060C" w:rsidRDefault="00E6060C" w:rsidP="00E6060C">
      <w:pPr>
        <w:spacing w:line="360" w:lineRule="auto"/>
        <w:contextualSpacing/>
        <w:rPr>
          <w:rFonts w:eastAsia="Times New Roman" w:cs="Arial Unicode MS"/>
          <w:b/>
          <w:i/>
        </w:rPr>
      </w:pPr>
    </w:p>
    <w:p w14:paraId="09C716CB" w14:textId="77777777" w:rsidR="00E6060C" w:rsidRPr="00E6060C" w:rsidRDefault="00E6060C" w:rsidP="00E6060C">
      <w:pPr>
        <w:spacing w:line="360" w:lineRule="auto"/>
        <w:contextualSpacing/>
        <w:rPr>
          <w:rFonts w:eastAsia="Times New Roman" w:cs="Arial Unicode MS"/>
          <w:b/>
          <w:i/>
        </w:rPr>
      </w:pPr>
    </w:p>
    <w:p w14:paraId="5EB8961A" w14:textId="77777777" w:rsidR="00DD3B05" w:rsidRDefault="00DD3B05">
      <w:pPr>
        <w:spacing w:after="160"/>
        <w:rPr>
          <w:rFonts w:eastAsia="Times New Roman" w:cs="Arial Unicode MS"/>
          <w:b/>
        </w:rPr>
      </w:pPr>
      <w:r>
        <w:rPr>
          <w:rFonts w:eastAsia="Times New Roman" w:cs="Arial Unicode MS"/>
          <w:b/>
        </w:rPr>
        <w:br w:type="page"/>
      </w:r>
    </w:p>
    <w:p w14:paraId="35C2173B" w14:textId="5606D224" w:rsidR="00E6060C" w:rsidRPr="00E6060C" w:rsidRDefault="00E6060C" w:rsidP="00E6060C">
      <w:pPr>
        <w:spacing w:line="360" w:lineRule="auto"/>
        <w:contextualSpacing/>
        <w:rPr>
          <w:rFonts w:eastAsia="Times New Roman" w:cs="Arial Unicode MS"/>
        </w:rPr>
      </w:pPr>
      <w:r w:rsidRPr="00E6060C">
        <w:rPr>
          <w:rFonts w:eastAsia="Times New Roman" w:cs="Arial Unicode MS"/>
          <w:b/>
        </w:rPr>
        <w:lastRenderedPageBreak/>
        <w:t>Search strategy for Web of Science Core Collection 21.08.14</w:t>
      </w:r>
      <w:r w:rsidRPr="00E6060C">
        <w:rPr>
          <w:rFonts w:eastAsia="Times New Roman" w:cs="Arial Unicode MS"/>
        </w:rPr>
        <w:t xml:space="preserve"> </w:t>
      </w:r>
    </w:p>
    <w:p w14:paraId="7201EFB9" w14:textId="77777777" w:rsidR="00E6060C" w:rsidRPr="00E6060C" w:rsidRDefault="00E6060C" w:rsidP="00E6060C">
      <w:pPr>
        <w:spacing w:line="360" w:lineRule="auto"/>
        <w:contextualSpacing/>
        <w:rPr>
          <w:rFonts w:ascii="Calibri" w:hAnsi="Calibri"/>
          <w:b/>
          <w:i/>
        </w:rPr>
      </w:pPr>
    </w:p>
    <w:p w14:paraId="4F567C60" w14:textId="77777777" w:rsidR="00E6060C" w:rsidRPr="00E6060C" w:rsidRDefault="00E6060C" w:rsidP="00E6060C">
      <w:pPr>
        <w:spacing w:line="360" w:lineRule="auto"/>
        <w:contextualSpacing/>
        <w:rPr>
          <w:rFonts w:ascii="Calibri" w:hAnsi="Calibri"/>
        </w:rPr>
      </w:pPr>
      <w:r w:rsidRPr="00E6060C">
        <w:rPr>
          <w:rFonts w:ascii="Calibri" w:hAnsi="Calibri"/>
        </w:rPr>
        <w:t>#1. Work engagement.topic</w:t>
      </w:r>
    </w:p>
    <w:p w14:paraId="43EE4591" w14:textId="77777777" w:rsidR="00E6060C" w:rsidRPr="00E6060C" w:rsidRDefault="00E6060C" w:rsidP="00E6060C">
      <w:pPr>
        <w:spacing w:line="360" w:lineRule="auto"/>
        <w:contextualSpacing/>
        <w:rPr>
          <w:rFonts w:ascii="Calibri" w:hAnsi="Calibri"/>
        </w:rPr>
      </w:pPr>
      <w:r w:rsidRPr="00E6060C">
        <w:rPr>
          <w:rFonts w:ascii="Calibri" w:hAnsi="Calibri"/>
        </w:rPr>
        <w:t>#2. Employee engagement. topic</w:t>
      </w:r>
    </w:p>
    <w:p w14:paraId="26EFAB96" w14:textId="77777777" w:rsidR="00E6060C" w:rsidRPr="00E6060C" w:rsidRDefault="00E6060C" w:rsidP="00E6060C">
      <w:pPr>
        <w:spacing w:line="360" w:lineRule="auto"/>
        <w:contextualSpacing/>
        <w:rPr>
          <w:rFonts w:ascii="Calibri" w:hAnsi="Calibri"/>
        </w:rPr>
      </w:pPr>
      <w:r w:rsidRPr="00E6060C">
        <w:rPr>
          <w:rFonts w:ascii="Calibri" w:hAnsi="Calibri"/>
        </w:rPr>
        <w:t>#3. Job engagement. topic</w:t>
      </w:r>
    </w:p>
    <w:p w14:paraId="53966026" w14:textId="77777777" w:rsidR="00E6060C" w:rsidRPr="00E6060C" w:rsidRDefault="00E6060C" w:rsidP="00E6060C">
      <w:pPr>
        <w:spacing w:line="360" w:lineRule="auto"/>
        <w:contextualSpacing/>
        <w:rPr>
          <w:rFonts w:ascii="Calibri" w:hAnsi="Calibri"/>
        </w:rPr>
      </w:pPr>
      <w:r w:rsidRPr="00E6060C">
        <w:rPr>
          <w:rFonts w:ascii="Calibri" w:hAnsi="Calibri"/>
        </w:rPr>
        <w:t>#4. #1 OR #2 OR #3</w:t>
      </w:r>
    </w:p>
    <w:p w14:paraId="4AF376A8" w14:textId="77777777" w:rsidR="00E6060C" w:rsidRPr="00E6060C" w:rsidRDefault="00E6060C" w:rsidP="00E6060C">
      <w:pPr>
        <w:spacing w:line="360" w:lineRule="auto"/>
        <w:contextualSpacing/>
        <w:rPr>
          <w:rFonts w:ascii="Calibri" w:hAnsi="Calibri"/>
        </w:rPr>
      </w:pPr>
      <w:r w:rsidRPr="00E6060C">
        <w:rPr>
          <w:rFonts w:ascii="Calibri" w:hAnsi="Calibri"/>
        </w:rPr>
        <w:t>#5. Group intervention. topic</w:t>
      </w:r>
    </w:p>
    <w:p w14:paraId="791BF799" w14:textId="77777777" w:rsidR="00E6060C" w:rsidRPr="00E6060C" w:rsidRDefault="00E6060C" w:rsidP="00E6060C">
      <w:pPr>
        <w:spacing w:line="360" w:lineRule="auto"/>
        <w:contextualSpacing/>
        <w:rPr>
          <w:rFonts w:ascii="Calibri" w:hAnsi="Calibri"/>
        </w:rPr>
      </w:pPr>
      <w:r w:rsidRPr="00E6060C">
        <w:rPr>
          <w:rFonts w:ascii="Calibri" w:hAnsi="Calibri"/>
        </w:rPr>
        <w:t>#6. Individual intervention. topic</w:t>
      </w:r>
    </w:p>
    <w:p w14:paraId="40F6B05A" w14:textId="77777777" w:rsidR="00E6060C" w:rsidRPr="00E6060C" w:rsidRDefault="00E6060C" w:rsidP="00E6060C">
      <w:pPr>
        <w:spacing w:line="360" w:lineRule="auto"/>
        <w:contextualSpacing/>
        <w:rPr>
          <w:rFonts w:ascii="Calibri" w:hAnsi="Calibri"/>
        </w:rPr>
      </w:pPr>
      <w:r w:rsidRPr="00E6060C">
        <w:rPr>
          <w:rFonts w:ascii="Calibri" w:hAnsi="Calibri"/>
        </w:rPr>
        <w:t>#7. Online intervention. topic</w:t>
      </w:r>
    </w:p>
    <w:p w14:paraId="52D84BA1" w14:textId="77777777" w:rsidR="00E6060C" w:rsidRPr="00E6060C" w:rsidRDefault="00E6060C" w:rsidP="00E6060C">
      <w:pPr>
        <w:spacing w:line="360" w:lineRule="auto"/>
        <w:contextualSpacing/>
        <w:rPr>
          <w:rFonts w:ascii="Calibri" w:hAnsi="Calibri"/>
        </w:rPr>
      </w:pPr>
      <w:r w:rsidRPr="00E6060C">
        <w:rPr>
          <w:rFonts w:ascii="Calibri" w:hAnsi="Calibri"/>
        </w:rPr>
        <w:t>#8. Web intervention.topic</w:t>
      </w:r>
    </w:p>
    <w:p w14:paraId="4EDA3EA6" w14:textId="77777777" w:rsidR="00E6060C" w:rsidRPr="00E6060C" w:rsidRDefault="00E6060C" w:rsidP="00E6060C">
      <w:pPr>
        <w:spacing w:line="360" w:lineRule="auto"/>
        <w:contextualSpacing/>
        <w:rPr>
          <w:rFonts w:ascii="Calibri" w:hAnsi="Calibri"/>
        </w:rPr>
      </w:pPr>
      <w:r w:rsidRPr="00E6060C">
        <w:rPr>
          <w:rFonts w:ascii="Calibri" w:hAnsi="Calibri"/>
        </w:rPr>
        <w:t>#9  Internet intervention.topic</w:t>
      </w:r>
    </w:p>
    <w:p w14:paraId="25A23402" w14:textId="77777777" w:rsidR="00E6060C" w:rsidRPr="00E6060C" w:rsidRDefault="00E6060C" w:rsidP="00E6060C">
      <w:pPr>
        <w:spacing w:line="360" w:lineRule="auto"/>
        <w:contextualSpacing/>
        <w:rPr>
          <w:rFonts w:ascii="Calibri" w:hAnsi="Calibri"/>
        </w:rPr>
      </w:pPr>
      <w:r w:rsidRPr="00E6060C">
        <w:rPr>
          <w:rFonts w:ascii="Calibri" w:hAnsi="Calibri"/>
        </w:rPr>
        <w:t>#10. #5 OR #6 OR #7 OR #8 OR #9</w:t>
      </w:r>
    </w:p>
    <w:p w14:paraId="5AB1F210" w14:textId="77777777" w:rsidR="00E6060C" w:rsidRPr="00E6060C" w:rsidRDefault="00E6060C" w:rsidP="00E6060C">
      <w:pPr>
        <w:spacing w:line="360" w:lineRule="auto"/>
        <w:contextualSpacing/>
        <w:rPr>
          <w:rFonts w:ascii="Calibri" w:hAnsi="Calibri"/>
        </w:rPr>
      </w:pPr>
      <w:r w:rsidRPr="00E6060C">
        <w:rPr>
          <w:rFonts w:ascii="Calibri" w:hAnsi="Calibri"/>
        </w:rPr>
        <w:t>#11. #4 AND #10</w:t>
      </w:r>
    </w:p>
    <w:p w14:paraId="77A038A2" w14:textId="77777777" w:rsidR="00E6060C" w:rsidRPr="00E6060C" w:rsidRDefault="00E6060C" w:rsidP="00E6060C">
      <w:pPr>
        <w:spacing w:line="360" w:lineRule="auto"/>
        <w:contextualSpacing/>
        <w:rPr>
          <w:rFonts w:eastAsia="Times New Roman" w:cs="Arial Unicode MS"/>
        </w:rPr>
      </w:pPr>
    </w:p>
    <w:p w14:paraId="58A9A379"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i/>
        </w:rPr>
        <w:t>Hits:</w:t>
      </w:r>
      <w:r w:rsidRPr="00E6060C">
        <w:rPr>
          <w:rFonts w:eastAsia="Times New Roman" w:cs="Arial Unicode MS"/>
        </w:rPr>
        <w:t xml:space="preserve"> 409. 30 relevant (based on titles / abstracts).</w:t>
      </w:r>
    </w:p>
    <w:p w14:paraId="7EF14646" w14:textId="77777777" w:rsidR="00E6060C" w:rsidRPr="00E6060C" w:rsidRDefault="00E6060C" w:rsidP="00E6060C">
      <w:pPr>
        <w:spacing w:line="360" w:lineRule="auto"/>
        <w:contextualSpacing/>
        <w:rPr>
          <w:rFonts w:eastAsia="Times New Roman" w:cs="Arial Unicode MS"/>
          <w:b/>
          <w:bCs/>
          <w:iCs/>
        </w:rPr>
      </w:pPr>
    </w:p>
    <w:p w14:paraId="0921EC29"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b/>
          <w:bCs/>
          <w:iCs/>
        </w:rPr>
        <w:t>Search strategy for Scopus 19.08.14</w:t>
      </w:r>
    </w:p>
    <w:p w14:paraId="756D96C4" w14:textId="77777777" w:rsidR="00E6060C" w:rsidRPr="00E6060C" w:rsidRDefault="00E6060C" w:rsidP="00E6060C">
      <w:pPr>
        <w:spacing w:line="360" w:lineRule="auto"/>
        <w:contextualSpacing/>
        <w:rPr>
          <w:rFonts w:eastAsia="Times New Roman" w:cs="Arial Unicode MS"/>
          <w:b/>
          <w:iCs/>
          <w:lang w:val="en-US"/>
        </w:rPr>
      </w:pPr>
    </w:p>
    <w:p w14:paraId="083DCE0D" w14:textId="77777777" w:rsidR="00E6060C" w:rsidRPr="00E6060C" w:rsidRDefault="00E6060C" w:rsidP="00E6060C">
      <w:pPr>
        <w:spacing w:line="360" w:lineRule="auto"/>
        <w:contextualSpacing/>
        <w:rPr>
          <w:rFonts w:eastAsia="Times New Roman" w:cs="Arial Unicode MS"/>
          <w:iCs/>
          <w:u w:val="single"/>
          <w:lang w:val="en-US"/>
        </w:rPr>
      </w:pPr>
      <w:r w:rsidRPr="00E6060C">
        <w:rPr>
          <w:rFonts w:eastAsia="Times New Roman" w:cs="Arial Unicode MS"/>
          <w:iCs/>
          <w:u w:val="single"/>
          <w:lang w:val="en-US"/>
        </w:rPr>
        <w:t>Search 1</w:t>
      </w:r>
    </w:p>
    <w:p w14:paraId="46166B1D" w14:textId="77777777" w:rsidR="00E6060C" w:rsidRPr="00E6060C" w:rsidRDefault="00E6060C" w:rsidP="00E6060C">
      <w:pPr>
        <w:spacing w:line="360" w:lineRule="auto"/>
        <w:contextualSpacing/>
        <w:rPr>
          <w:rFonts w:eastAsia="Times New Roman" w:cs="Arial Unicode MS"/>
          <w:b/>
          <w:iCs/>
          <w:lang w:val="en-US"/>
        </w:rPr>
      </w:pPr>
    </w:p>
    <w:p w14:paraId="65181FAF"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bCs/>
          <w:iCs/>
          <w:lang w:val="en-US"/>
        </w:rPr>
        <w:t xml:space="preserve">(TITLE-ABS-KEY(work OR employee OR job) AND TITLE-ABS-KEY(group OR individual OR online OR web OR internet) AND TITLE-ABS-KEY(intervention OR compar*) AND TITLE-ABS-KEY(engagement)) AND (EXCLUDE(EXACTKEYWORD, "Adolescent") OR EXCLUDE(EXACTKEYWORD, "Students") OR EXCLUDE(EXACTKEYWORD, "Child") OR EXCLUDE(EXACTKEYWORD, "Adolescent") OR EXCLUDE(EXACTKEYWORD, "Students") OR EXCLUDE(EXACTKEYWORD, "Child")) AND (EXCLUDE(EXACTKEYWORD, "Education") OR EXCLUDE(EXACTKEYWORD, "Education")) AND (EXCLUDE(EXACTKEYWORD, "Aged") OR EXCLUDE(EXACTKEYWORD, "Mental disease") OR EXCLUDE(EXACTKEYWORD, "Mental health") OR EXCLUDE(EXACTKEYWORD, "Young Adult") OR EXCLUDE(EXACTKEYWORD, "Aged") OR EXCLUDE(EXACTKEYWORD, "Mental disease") OR EXCLUDE(EXACTKEYWORD, "Mental health") OR EXCLUDE(EXACTKEYWORD, "Young Adult")) </w:t>
      </w:r>
    </w:p>
    <w:p w14:paraId="698468D8" w14:textId="77777777" w:rsidR="00E6060C" w:rsidRPr="00E6060C" w:rsidRDefault="00E6060C" w:rsidP="00E6060C">
      <w:pPr>
        <w:spacing w:line="360" w:lineRule="auto"/>
        <w:contextualSpacing/>
        <w:rPr>
          <w:rFonts w:eastAsia="Times New Roman" w:cs="Arial Unicode MS"/>
          <w:bCs/>
          <w:iCs/>
          <w:lang w:val="en-US"/>
        </w:rPr>
      </w:pPr>
    </w:p>
    <w:p w14:paraId="17B7125E"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bCs/>
          <w:i/>
          <w:iCs/>
          <w:lang w:val="en-US"/>
        </w:rPr>
        <w:t>Hits</w:t>
      </w:r>
      <w:r w:rsidRPr="00E6060C">
        <w:rPr>
          <w:rFonts w:eastAsia="Times New Roman" w:cs="Arial Unicode MS"/>
          <w:bCs/>
          <w:iCs/>
          <w:lang w:val="en-US"/>
        </w:rPr>
        <w:t xml:space="preserve"> 831. </w:t>
      </w:r>
    </w:p>
    <w:p w14:paraId="65486934"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bCs/>
          <w:iCs/>
          <w:lang w:val="en-US"/>
        </w:rPr>
        <w:t>Excluded ‘Review’: hits 739</w:t>
      </w:r>
    </w:p>
    <w:p w14:paraId="25F8CD8E"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bCs/>
          <w:iCs/>
          <w:lang w:val="en-US"/>
        </w:rPr>
        <w:lastRenderedPageBreak/>
        <w:t xml:space="preserve">Limited to ‘work engagement’ and ‘engagement’ keywords: hits: 64. 6 relevant </w:t>
      </w:r>
      <w:r w:rsidRPr="00E6060C">
        <w:rPr>
          <w:rFonts w:eastAsia="Times New Roman" w:cs="Arial Unicode MS"/>
        </w:rPr>
        <w:t>(based on titles / abstracts).</w:t>
      </w:r>
    </w:p>
    <w:p w14:paraId="54F27602" w14:textId="77777777" w:rsidR="00E6060C" w:rsidRPr="00E6060C" w:rsidRDefault="00E6060C" w:rsidP="00E6060C">
      <w:pPr>
        <w:spacing w:line="360" w:lineRule="auto"/>
        <w:contextualSpacing/>
        <w:rPr>
          <w:rFonts w:eastAsia="Times New Roman" w:cs="Arial Unicode MS"/>
        </w:rPr>
      </w:pPr>
    </w:p>
    <w:p w14:paraId="74A6181E"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rPr>
        <w:t>This search was repeated on 18.09.14, revealing identical results.</w:t>
      </w:r>
    </w:p>
    <w:p w14:paraId="22F83E98" w14:textId="77777777" w:rsidR="00E6060C" w:rsidRPr="00E6060C" w:rsidRDefault="00E6060C" w:rsidP="00E6060C">
      <w:pPr>
        <w:spacing w:line="360" w:lineRule="auto"/>
        <w:contextualSpacing/>
        <w:rPr>
          <w:rFonts w:eastAsia="Times New Roman" w:cs="Arial Unicode MS"/>
          <w:bCs/>
          <w:iCs/>
          <w:lang w:val="en-US"/>
        </w:rPr>
      </w:pPr>
    </w:p>
    <w:p w14:paraId="28862543" w14:textId="77777777" w:rsidR="00E6060C" w:rsidRPr="00E6060C" w:rsidRDefault="00E6060C" w:rsidP="00E6060C">
      <w:pPr>
        <w:spacing w:line="360" w:lineRule="auto"/>
        <w:contextualSpacing/>
        <w:rPr>
          <w:rFonts w:eastAsia="Times New Roman" w:cs="Arial Unicode MS"/>
          <w:b/>
          <w:bCs/>
          <w:iCs/>
          <w:lang w:val="en-US"/>
        </w:rPr>
      </w:pPr>
      <w:r w:rsidRPr="00E6060C">
        <w:rPr>
          <w:rFonts w:eastAsia="Times New Roman" w:cs="Arial Unicode MS"/>
          <w:bCs/>
          <w:iCs/>
          <w:u w:val="single"/>
          <w:lang w:val="en-US"/>
        </w:rPr>
        <w:t>Search 2</w:t>
      </w:r>
      <w:r w:rsidRPr="00E6060C">
        <w:rPr>
          <w:rFonts w:eastAsia="Times New Roman" w:cs="Arial Unicode MS"/>
          <w:bCs/>
          <w:iCs/>
          <w:lang w:val="en-US"/>
        </w:rPr>
        <w:t xml:space="preserve"> - </w:t>
      </w:r>
      <w:r w:rsidRPr="00E6060C">
        <w:rPr>
          <w:rFonts w:eastAsia="Times New Roman" w:cs="Arial Unicode MS"/>
          <w:b/>
          <w:bCs/>
          <w:iCs/>
          <w:lang w:val="en-US"/>
        </w:rPr>
        <w:t>18.09.14</w:t>
      </w:r>
    </w:p>
    <w:p w14:paraId="3D503F3A" w14:textId="77777777" w:rsidR="00E6060C" w:rsidRPr="00E6060C" w:rsidRDefault="00E6060C" w:rsidP="00E6060C">
      <w:pPr>
        <w:spacing w:line="360" w:lineRule="auto"/>
        <w:contextualSpacing/>
        <w:rPr>
          <w:rFonts w:eastAsia="Times New Roman" w:cs="Arial Unicode MS"/>
          <w:bCs/>
          <w:iCs/>
          <w:lang w:val="en-US"/>
        </w:rPr>
      </w:pPr>
    </w:p>
    <w:p w14:paraId="4A965D46"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bCs/>
          <w:iCs/>
        </w:rPr>
        <w:t>((TITLE-ABS-KEY("work engagement") OR TITLE-ABS-KEY("employee engagement") OR TITLE-ABS-KEY("job engagement"))) AND ((TITLE-ABS-KEY(group W/5 intervention) OR TITLE-ABS-KEY(individual W/5 intervention) OR TITLE-ABS-KEY(web W/5 intervention) OR TITLE-ABS-KEY(internet W/5 intervention) OR TITLE-ABS-KEY(online W/5 intervention)))</w:t>
      </w:r>
    </w:p>
    <w:p w14:paraId="05853208" w14:textId="77777777" w:rsidR="00E6060C" w:rsidRPr="00E6060C" w:rsidRDefault="00E6060C" w:rsidP="00E6060C">
      <w:pPr>
        <w:spacing w:line="360" w:lineRule="auto"/>
        <w:contextualSpacing/>
        <w:rPr>
          <w:rFonts w:eastAsia="Times New Roman" w:cs="Arial Unicode MS"/>
          <w:bCs/>
          <w:iCs/>
          <w:lang w:val="en-US"/>
        </w:rPr>
      </w:pPr>
    </w:p>
    <w:p w14:paraId="61DD0A16"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bCs/>
          <w:iCs/>
          <w:lang w:val="en-US"/>
        </w:rPr>
        <w:t xml:space="preserve">Hits: 19. Relevant: 16 (some were the same as those found in search 1) </w:t>
      </w:r>
    </w:p>
    <w:p w14:paraId="77D8DC22" w14:textId="77777777" w:rsidR="00E6060C" w:rsidRPr="00E6060C" w:rsidRDefault="00E6060C" w:rsidP="00E6060C">
      <w:pPr>
        <w:spacing w:line="360" w:lineRule="auto"/>
        <w:contextualSpacing/>
        <w:rPr>
          <w:rFonts w:eastAsia="Times New Roman" w:cs="Arial Unicode MS"/>
          <w:bCs/>
          <w:iCs/>
          <w:lang w:val="en-US"/>
        </w:rPr>
      </w:pPr>
    </w:p>
    <w:p w14:paraId="55820501" w14:textId="77777777" w:rsidR="00E6060C" w:rsidRPr="00E6060C" w:rsidRDefault="00E6060C" w:rsidP="00E6060C">
      <w:pPr>
        <w:spacing w:line="360" w:lineRule="auto"/>
        <w:contextualSpacing/>
        <w:rPr>
          <w:rFonts w:eastAsia="Times New Roman" w:cs="Arial Unicode MS"/>
          <w:b/>
          <w:bCs/>
          <w:iCs/>
          <w:lang w:val="en-US"/>
        </w:rPr>
      </w:pPr>
      <w:r w:rsidRPr="00E6060C">
        <w:rPr>
          <w:rFonts w:eastAsia="Times New Roman" w:cs="Arial Unicode MS"/>
          <w:b/>
          <w:bCs/>
          <w:iCs/>
          <w:lang w:val="en-US"/>
        </w:rPr>
        <w:t>ProQuest Dissertations and Theses 15.08.14</w:t>
      </w:r>
    </w:p>
    <w:p w14:paraId="7806CC8E" w14:textId="77777777" w:rsidR="00E6060C" w:rsidRPr="00E6060C" w:rsidRDefault="00E6060C" w:rsidP="00E6060C">
      <w:pPr>
        <w:spacing w:line="360" w:lineRule="auto"/>
        <w:contextualSpacing/>
        <w:rPr>
          <w:rFonts w:eastAsia="Times New Roman" w:cs="Arial Unicode MS"/>
          <w:b/>
          <w:bCs/>
          <w:iCs/>
          <w:lang w:val="en-US"/>
        </w:rPr>
      </w:pPr>
    </w:p>
    <w:p w14:paraId="37E25195"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Databases covered:</w:t>
      </w:r>
    </w:p>
    <w:p w14:paraId="00608D7C" w14:textId="77777777" w:rsidR="00E6060C" w:rsidRPr="00E6060C" w:rsidRDefault="00E6060C" w:rsidP="00E6060C">
      <w:pPr>
        <w:spacing w:line="360" w:lineRule="auto"/>
        <w:contextualSpacing/>
        <w:rPr>
          <w:rFonts w:eastAsia="Times New Roman" w:cs="Arial Unicode MS"/>
          <w:iCs/>
          <w:lang w:val="en-US"/>
        </w:rPr>
      </w:pPr>
    </w:p>
    <w:p w14:paraId="1320850C"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COS Conference Papers Index</w:t>
      </w:r>
    </w:p>
    <w:p w14:paraId="619CDD46"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ProQuest Dissertations &amp; Theses: UK &amp; Ireland</w:t>
      </w:r>
    </w:p>
    <w:p w14:paraId="59E1AC50"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ProQuest Dissertations &amp; Theses A&amp;I</w:t>
      </w:r>
    </w:p>
    <w:p w14:paraId="419C5BF8" w14:textId="77777777" w:rsidR="00E6060C" w:rsidRPr="00E6060C" w:rsidRDefault="00E6060C" w:rsidP="00E6060C">
      <w:pPr>
        <w:spacing w:line="360" w:lineRule="auto"/>
        <w:contextualSpacing/>
        <w:rPr>
          <w:rFonts w:eastAsia="Times New Roman" w:cs="Arial Unicode MS"/>
          <w:b/>
          <w:iCs/>
          <w:lang w:val="en-US"/>
        </w:rPr>
      </w:pPr>
    </w:p>
    <w:p w14:paraId="268109F1" w14:textId="77777777" w:rsidR="00E6060C" w:rsidRPr="00E6060C" w:rsidRDefault="00E6060C" w:rsidP="00E6060C">
      <w:pPr>
        <w:spacing w:line="360" w:lineRule="auto"/>
        <w:contextualSpacing/>
        <w:rPr>
          <w:rFonts w:eastAsia="Times New Roman" w:cs="Arial Unicode MS"/>
          <w:iCs/>
          <w:u w:val="single"/>
          <w:lang w:val="en-US"/>
        </w:rPr>
      </w:pPr>
      <w:r w:rsidRPr="00E6060C">
        <w:rPr>
          <w:rFonts w:eastAsia="Times New Roman" w:cs="Arial Unicode MS"/>
          <w:iCs/>
          <w:u w:val="single"/>
          <w:lang w:val="en-US"/>
        </w:rPr>
        <w:t xml:space="preserve">Search 1: </w:t>
      </w:r>
    </w:p>
    <w:p w14:paraId="3F673C04" w14:textId="77777777" w:rsidR="00E6060C" w:rsidRPr="00E6060C" w:rsidRDefault="00E6060C" w:rsidP="00E6060C">
      <w:pPr>
        <w:spacing w:line="360" w:lineRule="auto"/>
        <w:contextualSpacing/>
        <w:rPr>
          <w:rFonts w:eastAsia="Times New Roman" w:cs="Arial Unicode MS"/>
          <w:iCs/>
          <w:lang w:val="en-US"/>
        </w:rPr>
      </w:pPr>
    </w:p>
    <w:p w14:paraId="76763AA5"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iCs/>
          <w:lang w:val="en-US"/>
        </w:rPr>
        <w:t xml:space="preserve">(work-engagement-intervention OR employee-engagement-intervention OR job-engagement-intervention) AND </w:t>
      </w:r>
      <w:r w:rsidRPr="00E6060C">
        <w:rPr>
          <w:rFonts w:eastAsia="Times New Roman" w:cs="Arial Unicode MS"/>
        </w:rPr>
        <w:t>la.exact (‘English’).</w:t>
      </w:r>
    </w:p>
    <w:p w14:paraId="30B4B9F0" w14:textId="77777777" w:rsidR="00E6060C" w:rsidRPr="00E6060C" w:rsidRDefault="00E6060C" w:rsidP="00E6060C">
      <w:pPr>
        <w:spacing w:line="360" w:lineRule="auto"/>
        <w:contextualSpacing/>
        <w:rPr>
          <w:rFonts w:eastAsia="Times New Roman" w:cs="Arial Unicode MS"/>
          <w:iCs/>
          <w:lang w:val="en-US"/>
        </w:rPr>
      </w:pPr>
    </w:p>
    <w:p w14:paraId="204DF88B" w14:textId="77777777" w:rsidR="00E6060C" w:rsidRPr="00E6060C" w:rsidRDefault="00E6060C" w:rsidP="00E6060C">
      <w:pPr>
        <w:spacing w:line="360" w:lineRule="auto"/>
        <w:contextualSpacing/>
        <w:rPr>
          <w:rFonts w:eastAsia="Times New Roman" w:cs="Arial Unicode MS"/>
          <w:bCs/>
          <w:iCs/>
          <w:lang w:val="en-US"/>
        </w:rPr>
      </w:pPr>
      <w:r w:rsidRPr="00E6060C">
        <w:rPr>
          <w:rFonts w:eastAsia="Times New Roman" w:cs="Arial Unicode MS"/>
          <w:iCs/>
          <w:lang w:val="en-US"/>
        </w:rPr>
        <w:t xml:space="preserve">Hits: 9. 1 relevant </w:t>
      </w:r>
      <w:r w:rsidRPr="00E6060C">
        <w:rPr>
          <w:rFonts w:eastAsia="Times New Roman" w:cs="Arial Unicode MS"/>
        </w:rPr>
        <w:t>(based on titles / abstracts).</w:t>
      </w:r>
    </w:p>
    <w:p w14:paraId="6A44A37E" w14:textId="77777777" w:rsidR="00E6060C" w:rsidRPr="00E6060C" w:rsidRDefault="00E6060C" w:rsidP="00E6060C">
      <w:pPr>
        <w:spacing w:line="360" w:lineRule="auto"/>
        <w:contextualSpacing/>
        <w:rPr>
          <w:rFonts w:eastAsia="Times New Roman" w:cs="Arial Unicode MS"/>
          <w:iCs/>
          <w:lang w:val="en-US"/>
        </w:rPr>
      </w:pPr>
    </w:p>
    <w:p w14:paraId="6640FF0C" w14:textId="77777777" w:rsidR="00E6060C" w:rsidRPr="00E6060C" w:rsidRDefault="00E6060C" w:rsidP="00E6060C">
      <w:pPr>
        <w:spacing w:line="360" w:lineRule="auto"/>
        <w:contextualSpacing/>
        <w:rPr>
          <w:rFonts w:eastAsia="Times New Roman" w:cs="Arial Unicode MS"/>
          <w:b/>
          <w:iCs/>
          <w:lang w:val="en-US"/>
        </w:rPr>
      </w:pPr>
      <w:r w:rsidRPr="00E6060C">
        <w:rPr>
          <w:rFonts w:eastAsia="Times New Roman" w:cs="Arial Unicode MS"/>
          <w:iCs/>
          <w:u w:val="single"/>
          <w:lang w:val="en-US"/>
        </w:rPr>
        <w:t>Search 2:</w:t>
      </w:r>
      <w:r w:rsidRPr="00E6060C">
        <w:rPr>
          <w:rFonts w:eastAsia="Times New Roman" w:cs="Arial Unicode MS"/>
          <w:iCs/>
          <w:lang w:val="en-US"/>
        </w:rPr>
        <w:t xml:space="preserve"> </w:t>
      </w:r>
      <w:r w:rsidRPr="00E6060C">
        <w:rPr>
          <w:rFonts w:eastAsia="Times New Roman" w:cs="Arial Unicode MS"/>
          <w:b/>
          <w:iCs/>
          <w:lang w:val="en-US"/>
        </w:rPr>
        <w:t>15.08.14 and 18.09.14</w:t>
      </w:r>
    </w:p>
    <w:p w14:paraId="66856D3D" w14:textId="77777777" w:rsidR="00E6060C" w:rsidRPr="00E6060C" w:rsidRDefault="00E6060C" w:rsidP="00E6060C">
      <w:pPr>
        <w:spacing w:line="360" w:lineRule="auto"/>
        <w:contextualSpacing/>
        <w:rPr>
          <w:rFonts w:eastAsia="Times New Roman" w:cs="Arial Unicode MS"/>
          <w:b/>
          <w:iCs/>
          <w:lang w:val="en-US"/>
        </w:rPr>
      </w:pPr>
    </w:p>
    <w:p w14:paraId="27BC9CFF" w14:textId="77777777" w:rsidR="00E6060C" w:rsidRPr="00E6060C" w:rsidRDefault="00E6060C" w:rsidP="00E6060C">
      <w:pPr>
        <w:spacing w:line="360" w:lineRule="auto"/>
        <w:contextualSpacing/>
        <w:rPr>
          <w:rFonts w:eastAsia="Times New Roman" w:cs="Arial Unicode MS"/>
        </w:rPr>
      </w:pPr>
      <w:r w:rsidRPr="00E6060C">
        <w:rPr>
          <w:rFonts w:eastAsia="Times New Roman" w:cs="Arial Unicode MS"/>
        </w:rPr>
        <w:t>(work-engagement OR employee-engagement OR job-engagement) AND (group-intervention OR individual-intervention OR online-intervention OR web-intervention OR internet-intervention) AND la.exact (‘English’).</w:t>
      </w:r>
    </w:p>
    <w:p w14:paraId="63633320"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lastRenderedPageBreak/>
        <w:t xml:space="preserve">Hits 128. 6 relevant </w:t>
      </w:r>
      <w:r w:rsidRPr="00E6060C">
        <w:rPr>
          <w:rFonts w:eastAsia="Times New Roman" w:cs="Arial Unicode MS"/>
        </w:rPr>
        <w:t>(based on titles / abstracts).</w:t>
      </w:r>
    </w:p>
    <w:p w14:paraId="6FAD3ED2" w14:textId="77777777" w:rsidR="00E6060C" w:rsidRPr="00E6060C" w:rsidRDefault="00E6060C" w:rsidP="00E6060C">
      <w:pPr>
        <w:spacing w:line="360" w:lineRule="auto"/>
        <w:contextualSpacing/>
        <w:rPr>
          <w:rFonts w:eastAsia="Times New Roman" w:cs="Arial Unicode MS"/>
          <w:b/>
          <w:iCs/>
          <w:lang w:val="en-US"/>
        </w:rPr>
      </w:pPr>
    </w:p>
    <w:p w14:paraId="644FE337" w14:textId="77777777" w:rsidR="00E6060C" w:rsidRPr="00E6060C" w:rsidRDefault="00E6060C" w:rsidP="00E6060C">
      <w:pPr>
        <w:spacing w:line="360" w:lineRule="auto"/>
        <w:contextualSpacing/>
        <w:rPr>
          <w:rFonts w:eastAsia="Times New Roman" w:cs="Arial Unicode MS"/>
          <w:b/>
          <w:iCs/>
          <w:lang w:val="en-US"/>
        </w:rPr>
      </w:pPr>
      <w:r w:rsidRPr="00E6060C">
        <w:rPr>
          <w:rFonts w:eastAsia="Times New Roman" w:cs="Arial Unicode MS"/>
          <w:b/>
          <w:iCs/>
          <w:lang w:val="en-US"/>
        </w:rPr>
        <w:t>International Bibliography of the Social Sciences (IBSS) 19.09.14</w:t>
      </w:r>
    </w:p>
    <w:p w14:paraId="67CCA898" w14:textId="77777777" w:rsidR="00E6060C" w:rsidRPr="00E6060C" w:rsidRDefault="00E6060C" w:rsidP="00E6060C">
      <w:pPr>
        <w:spacing w:line="360" w:lineRule="auto"/>
        <w:contextualSpacing/>
        <w:rPr>
          <w:rFonts w:eastAsia="Times New Roman" w:cs="Arial Unicode MS"/>
          <w:b/>
          <w:iCs/>
          <w:lang w:val="en-US"/>
        </w:rPr>
      </w:pPr>
    </w:p>
    <w:p w14:paraId="316CB379"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(work engagement OR employee engagement OR job engagement (Anywhere)) AND intervention (anywhere)</w:t>
      </w:r>
    </w:p>
    <w:p w14:paraId="322E0425" w14:textId="77777777" w:rsidR="00E6060C" w:rsidRPr="00E6060C" w:rsidRDefault="00E6060C" w:rsidP="00E6060C">
      <w:pPr>
        <w:spacing w:line="360" w:lineRule="auto"/>
        <w:contextualSpacing/>
        <w:rPr>
          <w:rFonts w:eastAsia="Times New Roman" w:cs="Arial Unicode MS"/>
          <w:iCs/>
          <w:lang w:val="en-US"/>
        </w:rPr>
      </w:pPr>
    </w:p>
    <w:p w14:paraId="2A61DB74"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 xml:space="preserve">Hits: 8. None relevant </w:t>
      </w:r>
      <w:r w:rsidRPr="00E6060C">
        <w:rPr>
          <w:rFonts w:eastAsia="Times New Roman" w:cs="Arial Unicode MS"/>
        </w:rPr>
        <w:t>(based on titles / abstracts).</w:t>
      </w:r>
    </w:p>
    <w:p w14:paraId="072CCD15" w14:textId="77777777" w:rsidR="00E6060C" w:rsidRPr="00E6060C" w:rsidRDefault="00E6060C" w:rsidP="00E6060C">
      <w:pPr>
        <w:spacing w:line="360" w:lineRule="auto"/>
        <w:contextualSpacing/>
        <w:rPr>
          <w:rFonts w:eastAsia="Times New Roman" w:cs="Arial Unicode MS"/>
          <w:iCs/>
          <w:lang w:val="en-US"/>
        </w:rPr>
      </w:pPr>
    </w:p>
    <w:p w14:paraId="5CC44D3C" w14:textId="77777777" w:rsidR="00E6060C" w:rsidRPr="00E6060C" w:rsidRDefault="00E6060C" w:rsidP="00E6060C">
      <w:pPr>
        <w:spacing w:line="360" w:lineRule="auto"/>
        <w:contextualSpacing/>
        <w:rPr>
          <w:rFonts w:eastAsia="Times New Roman" w:cs="Arial Unicode MS"/>
          <w:b/>
          <w:iCs/>
          <w:lang w:val="en-US"/>
        </w:rPr>
      </w:pPr>
      <w:r w:rsidRPr="00E6060C">
        <w:rPr>
          <w:rFonts w:eastAsia="Times New Roman" w:cs="Arial Unicode MS"/>
          <w:b/>
          <w:iCs/>
          <w:lang w:val="en-US"/>
        </w:rPr>
        <w:t>Trove – Australian theses 19.09.14</w:t>
      </w:r>
    </w:p>
    <w:p w14:paraId="71D3CFE2" w14:textId="77777777" w:rsidR="00E6060C" w:rsidRPr="00E6060C" w:rsidRDefault="00E6060C" w:rsidP="00E6060C">
      <w:pPr>
        <w:spacing w:line="360" w:lineRule="auto"/>
        <w:contextualSpacing/>
        <w:rPr>
          <w:rFonts w:eastAsia="Times New Roman" w:cs="Arial Unicode MS"/>
          <w:iCs/>
          <w:lang w:val="en-US"/>
        </w:rPr>
      </w:pPr>
    </w:p>
    <w:p w14:paraId="65DB102E" w14:textId="77777777" w:rsidR="00E6060C" w:rsidRPr="00E6060C" w:rsidRDefault="00E6060C" w:rsidP="00E6060C">
      <w:pPr>
        <w:spacing w:line="360" w:lineRule="auto"/>
        <w:contextualSpacing/>
        <w:rPr>
          <w:rFonts w:eastAsia="Times New Roman" w:cs="Arial Unicode MS"/>
          <w:b/>
          <w:iCs/>
          <w:lang w:val="en-US"/>
        </w:rPr>
      </w:pPr>
      <w:r w:rsidRPr="00E6060C">
        <w:rPr>
          <w:rFonts w:eastAsia="Times New Roman" w:cs="Arial Unicode MS"/>
          <w:iCs/>
          <w:u w:val="single"/>
          <w:lang w:val="en-US"/>
        </w:rPr>
        <w:t>Search 1</w:t>
      </w:r>
      <w:r w:rsidRPr="00E6060C">
        <w:rPr>
          <w:rFonts w:eastAsia="Times New Roman" w:cs="Arial Unicode MS"/>
          <w:iCs/>
          <w:lang w:val="en-US"/>
        </w:rPr>
        <w:t xml:space="preserve"> </w:t>
      </w:r>
    </w:p>
    <w:p w14:paraId="200890F3" w14:textId="77777777" w:rsidR="00E6060C" w:rsidRPr="00E6060C" w:rsidRDefault="00E6060C" w:rsidP="00E6060C">
      <w:pPr>
        <w:spacing w:line="360" w:lineRule="auto"/>
        <w:contextualSpacing/>
        <w:rPr>
          <w:rFonts w:eastAsia="Times New Roman" w:cs="Arial Unicode MS"/>
          <w:iCs/>
          <w:lang w:val="en-US"/>
        </w:rPr>
      </w:pPr>
    </w:p>
    <w:p w14:paraId="03AD84C3"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(‘work engagement’ OR ‘employee engagement’ or ‘job engagement’) AND ‘intervention’</w:t>
      </w:r>
    </w:p>
    <w:p w14:paraId="32CACF15" w14:textId="77777777" w:rsidR="00E6060C" w:rsidRPr="00E6060C" w:rsidRDefault="00E6060C" w:rsidP="00E6060C">
      <w:pPr>
        <w:spacing w:line="360" w:lineRule="auto"/>
        <w:contextualSpacing/>
        <w:rPr>
          <w:rFonts w:eastAsia="Times New Roman" w:cs="Arial Unicode MS"/>
          <w:iCs/>
          <w:lang w:val="en-US"/>
        </w:rPr>
      </w:pPr>
    </w:p>
    <w:p w14:paraId="297732D8"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
          <w:iCs/>
          <w:lang w:val="en-US"/>
        </w:rPr>
        <w:t>Hits:</w:t>
      </w:r>
      <w:r w:rsidRPr="00E6060C">
        <w:rPr>
          <w:rFonts w:eastAsia="Times New Roman" w:cs="Arial Unicode MS"/>
          <w:iCs/>
          <w:lang w:val="en-US"/>
        </w:rPr>
        <w:t xml:space="preserve"> 34. 4 relevant </w:t>
      </w:r>
      <w:r w:rsidRPr="00E6060C">
        <w:rPr>
          <w:rFonts w:eastAsia="Times New Roman" w:cs="Arial Unicode MS"/>
        </w:rPr>
        <w:t>(based on titles / abstracts).</w:t>
      </w:r>
      <w:r w:rsidRPr="00E6060C">
        <w:rPr>
          <w:rFonts w:eastAsia="Times New Roman" w:cs="Arial Unicode MS"/>
          <w:iCs/>
          <w:lang w:val="en-US"/>
        </w:rPr>
        <w:t xml:space="preserve"> </w:t>
      </w:r>
    </w:p>
    <w:p w14:paraId="5CE6569E" w14:textId="77777777" w:rsidR="00E6060C" w:rsidRPr="00E6060C" w:rsidRDefault="00E6060C" w:rsidP="00E6060C">
      <w:pPr>
        <w:spacing w:line="360" w:lineRule="auto"/>
        <w:contextualSpacing/>
        <w:rPr>
          <w:rFonts w:eastAsia="Times New Roman" w:cs="Arial Unicode MS"/>
          <w:iCs/>
          <w:u w:val="single"/>
          <w:lang w:val="en-US"/>
        </w:rPr>
      </w:pPr>
    </w:p>
    <w:p w14:paraId="0B95D68D" w14:textId="77777777" w:rsidR="00E6060C" w:rsidRPr="00E6060C" w:rsidRDefault="00E6060C" w:rsidP="00E6060C">
      <w:pPr>
        <w:spacing w:line="360" w:lineRule="auto"/>
        <w:contextualSpacing/>
        <w:rPr>
          <w:rFonts w:eastAsia="Times New Roman" w:cs="Arial Unicode MS"/>
          <w:b/>
          <w:iCs/>
          <w:lang w:val="en-US"/>
        </w:rPr>
      </w:pPr>
      <w:r w:rsidRPr="00E6060C">
        <w:rPr>
          <w:rFonts w:eastAsia="Times New Roman" w:cs="Arial Unicode MS"/>
          <w:b/>
          <w:iCs/>
          <w:lang w:val="en-US"/>
        </w:rPr>
        <w:t>Thesis Canada Portal (Canadian etheses)</w:t>
      </w:r>
    </w:p>
    <w:p w14:paraId="0E5488F6" w14:textId="77777777" w:rsidR="00E6060C" w:rsidRPr="00E6060C" w:rsidRDefault="00E6060C" w:rsidP="00E6060C">
      <w:pPr>
        <w:spacing w:line="360" w:lineRule="auto"/>
        <w:contextualSpacing/>
        <w:rPr>
          <w:rFonts w:eastAsia="Times New Roman" w:cs="Arial Unicode MS"/>
          <w:iCs/>
          <w:lang w:val="en-US"/>
        </w:rPr>
      </w:pPr>
    </w:p>
    <w:p w14:paraId="5C16FF83"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u w:val="single"/>
          <w:lang w:val="en-US"/>
        </w:rPr>
        <w:t>Search 1</w:t>
      </w:r>
      <w:r w:rsidRPr="00E6060C">
        <w:rPr>
          <w:rFonts w:eastAsia="Times New Roman" w:cs="Arial Unicode MS"/>
          <w:iCs/>
          <w:lang w:val="en-US"/>
        </w:rPr>
        <w:t xml:space="preserve"> </w:t>
      </w:r>
      <w:r w:rsidRPr="00E6060C">
        <w:rPr>
          <w:rFonts w:eastAsia="Times New Roman" w:cs="Arial Unicode MS"/>
          <w:b/>
          <w:iCs/>
          <w:lang w:val="en-US"/>
        </w:rPr>
        <w:t>19.09.14</w:t>
      </w:r>
    </w:p>
    <w:p w14:paraId="79551CA1" w14:textId="77777777" w:rsidR="00E6060C" w:rsidRPr="00E6060C" w:rsidRDefault="00E6060C" w:rsidP="00E6060C">
      <w:pPr>
        <w:spacing w:line="360" w:lineRule="auto"/>
        <w:contextualSpacing/>
        <w:rPr>
          <w:rFonts w:eastAsia="Times New Roman" w:cs="Arial Unicode MS"/>
          <w:iCs/>
          <w:lang w:val="en-US"/>
        </w:rPr>
      </w:pPr>
    </w:p>
    <w:p w14:paraId="513836BC"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(‘work engagement’ OR ‘employee engagement’ or ‘job engagement’) AND ‘intervention’)</w:t>
      </w:r>
    </w:p>
    <w:p w14:paraId="7498BA03" w14:textId="77777777" w:rsidR="00E6060C" w:rsidRPr="00E6060C" w:rsidRDefault="00E6060C" w:rsidP="00E6060C">
      <w:pPr>
        <w:spacing w:line="360" w:lineRule="auto"/>
        <w:contextualSpacing/>
        <w:rPr>
          <w:rFonts w:eastAsia="Times New Roman" w:cs="Arial Unicode MS"/>
          <w:iCs/>
          <w:lang w:val="en-US"/>
        </w:rPr>
      </w:pPr>
    </w:p>
    <w:p w14:paraId="2224FEA0"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 xml:space="preserve">0 hits. </w:t>
      </w:r>
    </w:p>
    <w:p w14:paraId="00490B95" w14:textId="77777777" w:rsidR="00E6060C" w:rsidRPr="00E6060C" w:rsidRDefault="00E6060C" w:rsidP="00E6060C">
      <w:pPr>
        <w:spacing w:line="360" w:lineRule="auto"/>
        <w:contextualSpacing/>
        <w:rPr>
          <w:rFonts w:eastAsia="Times New Roman" w:cs="Arial Unicode MS"/>
          <w:iCs/>
          <w:lang w:val="en-US"/>
        </w:rPr>
      </w:pPr>
    </w:p>
    <w:p w14:paraId="0D4E033C" w14:textId="77777777" w:rsidR="00E6060C" w:rsidRPr="00E6060C" w:rsidRDefault="00E6060C" w:rsidP="00E6060C">
      <w:pPr>
        <w:spacing w:line="360" w:lineRule="auto"/>
        <w:contextualSpacing/>
        <w:rPr>
          <w:rFonts w:eastAsia="Times New Roman" w:cs="Arial Unicode MS"/>
          <w:b/>
          <w:iCs/>
          <w:lang w:val="en-US"/>
        </w:rPr>
      </w:pPr>
      <w:r w:rsidRPr="00E6060C">
        <w:rPr>
          <w:rFonts w:eastAsia="Times New Roman" w:cs="Arial Unicode MS"/>
          <w:b/>
          <w:iCs/>
          <w:lang w:val="en-US"/>
        </w:rPr>
        <w:t>Google Scholar 15.08.14</w:t>
      </w:r>
    </w:p>
    <w:p w14:paraId="04DEDFCE" w14:textId="77777777" w:rsidR="00E6060C" w:rsidRPr="00E6060C" w:rsidRDefault="00E6060C" w:rsidP="00E6060C">
      <w:pPr>
        <w:spacing w:line="360" w:lineRule="auto"/>
        <w:contextualSpacing/>
        <w:rPr>
          <w:rFonts w:eastAsia="Times New Roman" w:cs="Arial Unicode MS"/>
          <w:b/>
          <w:iCs/>
          <w:lang w:val="en-US"/>
        </w:rPr>
      </w:pPr>
    </w:p>
    <w:p w14:paraId="753C9CDE" w14:textId="77777777" w:rsidR="00E6060C" w:rsidRPr="00E6060C" w:rsidRDefault="00E6060C" w:rsidP="00E6060C">
      <w:pPr>
        <w:spacing w:line="360" w:lineRule="auto"/>
        <w:contextualSpacing/>
        <w:rPr>
          <w:rFonts w:eastAsia="Times New Roman" w:cs="Arial Unicode MS"/>
          <w:iCs/>
          <w:u w:val="single"/>
          <w:lang w:val="en-US"/>
        </w:rPr>
      </w:pPr>
      <w:r w:rsidRPr="00E6060C">
        <w:rPr>
          <w:rFonts w:eastAsia="Times New Roman" w:cs="Arial Unicode MS"/>
          <w:iCs/>
          <w:u w:val="single"/>
          <w:lang w:val="en-US"/>
        </w:rPr>
        <w:t>Search 1</w:t>
      </w:r>
    </w:p>
    <w:p w14:paraId="315AE6B1" w14:textId="77777777" w:rsidR="00E6060C" w:rsidRPr="00E6060C" w:rsidRDefault="00E6060C" w:rsidP="00E6060C">
      <w:pPr>
        <w:spacing w:line="360" w:lineRule="auto"/>
        <w:contextualSpacing/>
        <w:rPr>
          <w:rFonts w:eastAsia="Times New Roman" w:cs="Arial Unicode MS"/>
          <w:iCs/>
          <w:lang w:val="en-US"/>
        </w:rPr>
      </w:pPr>
    </w:p>
    <w:p w14:paraId="0750D26C"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Advanced search: All words in title of article: employee engagement intervention</w:t>
      </w:r>
    </w:p>
    <w:p w14:paraId="42A51C9A" w14:textId="77777777" w:rsidR="00E6060C" w:rsidRPr="00E6060C" w:rsidRDefault="00E6060C" w:rsidP="00E6060C">
      <w:pPr>
        <w:spacing w:line="360" w:lineRule="auto"/>
        <w:contextualSpacing/>
        <w:rPr>
          <w:rFonts w:eastAsia="Times New Roman" w:cs="Arial Unicode MS"/>
          <w:iCs/>
          <w:lang w:val="en-US"/>
        </w:rPr>
      </w:pPr>
    </w:p>
    <w:p w14:paraId="53470F98"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
          <w:iCs/>
          <w:lang w:val="en-US"/>
        </w:rPr>
        <w:t>Hits:</w:t>
      </w:r>
      <w:r w:rsidRPr="00E6060C">
        <w:rPr>
          <w:rFonts w:eastAsia="Times New Roman" w:cs="Arial Unicode MS"/>
          <w:iCs/>
          <w:lang w:val="en-US"/>
        </w:rPr>
        <w:t xml:space="preserve"> 7. 3 relevant </w:t>
      </w:r>
      <w:r w:rsidRPr="00E6060C">
        <w:rPr>
          <w:rFonts w:eastAsia="Times New Roman" w:cs="Arial Unicode MS"/>
        </w:rPr>
        <w:t>(based on titles / abstracts).</w:t>
      </w:r>
    </w:p>
    <w:p w14:paraId="682E1747" w14:textId="77777777" w:rsidR="00E6060C" w:rsidRPr="00E6060C" w:rsidRDefault="00E6060C" w:rsidP="00E6060C">
      <w:pPr>
        <w:spacing w:line="360" w:lineRule="auto"/>
        <w:contextualSpacing/>
        <w:rPr>
          <w:rFonts w:eastAsia="Times New Roman" w:cs="Arial Unicode MS"/>
          <w:iCs/>
          <w:lang w:val="en-US"/>
        </w:rPr>
      </w:pPr>
    </w:p>
    <w:p w14:paraId="25CB33A5" w14:textId="77777777" w:rsidR="00DD3B05" w:rsidRDefault="00DD3B05">
      <w:pPr>
        <w:spacing w:after="160"/>
        <w:rPr>
          <w:rFonts w:eastAsia="Times New Roman" w:cs="Arial Unicode MS"/>
          <w:iCs/>
          <w:u w:val="single"/>
          <w:lang w:val="en-US"/>
        </w:rPr>
      </w:pPr>
      <w:r>
        <w:rPr>
          <w:rFonts w:eastAsia="Times New Roman" w:cs="Arial Unicode MS"/>
          <w:iCs/>
          <w:u w:val="single"/>
          <w:lang w:val="en-US"/>
        </w:rPr>
        <w:br w:type="page"/>
      </w:r>
    </w:p>
    <w:p w14:paraId="4B3FEF8F" w14:textId="6B9DF4F4" w:rsidR="00E6060C" w:rsidRPr="00E6060C" w:rsidRDefault="00E6060C" w:rsidP="00E6060C">
      <w:pPr>
        <w:spacing w:line="360" w:lineRule="auto"/>
        <w:contextualSpacing/>
        <w:rPr>
          <w:rFonts w:eastAsia="Times New Roman" w:cs="Arial Unicode MS"/>
          <w:iCs/>
          <w:u w:val="single"/>
          <w:lang w:val="en-US"/>
        </w:rPr>
      </w:pPr>
      <w:r w:rsidRPr="00E6060C">
        <w:rPr>
          <w:rFonts w:eastAsia="Times New Roman" w:cs="Arial Unicode MS"/>
          <w:iCs/>
          <w:u w:val="single"/>
          <w:lang w:val="en-US"/>
        </w:rPr>
        <w:lastRenderedPageBreak/>
        <w:t>Search 2</w:t>
      </w:r>
    </w:p>
    <w:p w14:paraId="6ED628F2" w14:textId="77777777" w:rsidR="00E6060C" w:rsidRPr="00E6060C" w:rsidRDefault="00E6060C" w:rsidP="00E6060C">
      <w:pPr>
        <w:spacing w:line="360" w:lineRule="auto"/>
        <w:contextualSpacing/>
        <w:rPr>
          <w:rFonts w:eastAsia="Times New Roman" w:cs="Arial Unicode MS"/>
          <w:iCs/>
          <w:lang w:val="en-US"/>
        </w:rPr>
      </w:pPr>
    </w:p>
    <w:p w14:paraId="28EDD09D"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Advanced search: All words in title of article: work engagement intervention</w:t>
      </w:r>
    </w:p>
    <w:p w14:paraId="4668E4E3" w14:textId="77777777" w:rsidR="00E6060C" w:rsidRPr="00E6060C" w:rsidRDefault="00E6060C" w:rsidP="00E6060C">
      <w:pPr>
        <w:spacing w:line="360" w:lineRule="auto"/>
        <w:contextualSpacing/>
        <w:rPr>
          <w:rFonts w:eastAsia="Times New Roman" w:cs="Arial Unicode MS"/>
          <w:iCs/>
          <w:lang w:val="en-US"/>
        </w:rPr>
      </w:pPr>
    </w:p>
    <w:p w14:paraId="4121A7BD"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Cs/>
          <w:lang w:val="en-US"/>
        </w:rPr>
        <w:t xml:space="preserve">Hits: 27. 10 relevant </w:t>
      </w:r>
      <w:r w:rsidRPr="00E6060C">
        <w:rPr>
          <w:rFonts w:eastAsia="Times New Roman" w:cs="Arial Unicode MS"/>
        </w:rPr>
        <w:t>(based on titles / abstracts).</w:t>
      </w:r>
    </w:p>
    <w:p w14:paraId="432CDE3E" w14:textId="77777777" w:rsidR="00E6060C" w:rsidRPr="00E6060C" w:rsidRDefault="00E6060C" w:rsidP="00E6060C">
      <w:pPr>
        <w:spacing w:line="360" w:lineRule="auto"/>
        <w:contextualSpacing/>
        <w:rPr>
          <w:rFonts w:eastAsia="Times New Roman" w:cs="Arial Unicode MS"/>
          <w:iCs/>
          <w:lang w:val="en-US"/>
        </w:rPr>
      </w:pPr>
      <w:r w:rsidRPr="00E6060C">
        <w:rPr>
          <w:rFonts w:eastAsia="Times New Roman" w:cs="Arial Unicode MS"/>
          <w:i/>
          <w:iCs/>
          <w:lang w:val="en-US"/>
        </w:rPr>
        <w:t>NOTE:</w:t>
      </w:r>
      <w:r w:rsidRPr="00E6060C">
        <w:rPr>
          <w:rFonts w:eastAsia="Times New Roman" w:cs="Arial Unicode MS"/>
          <w:iCs/>
          <w:lang w:val="en-US"/>
        </w:rPr>
        <w:t xml:space="preserve"> job engagement intervention (all in title) returned no hits</w:t>
      </w:r>
    </w:p>
    <w:p w14:paraId="2B56CF89" w14:textId="77777777" w:rsidR="00E6060C" w:rsidRPr="00E6060C" w:rsidRDefault="00E6060C" w:rsidP="00E6060C"/>
    <w:p w14:paraId="3C647A89" w14:textId="77777777" w:rsidR="00E6060C" w:rsidRPr="00E6060C" w:rsidRDefault="00E6060C" w:rsidP="00E6060C">
      <w:pPr>
        <w:rPr>
          <w:rFonts w:asciiTheme="majorHAnsi" w:eastAsiaTheme="majorEastAsia" w:hAnsiTheme="majorHAnsi" w:cstheme="majorBidi"/>
          <w:b/>
          <w:sz w:val="26"/>
          <w:szCs w:val="26"/>
        </w:rPr>
      </w:pPr>
      <w:r w:rsidRPr="00E6060C">
        <w:rPr>
          <w:b/>
        </w:rPr>
        <w:br w:type="page"/>
      </w:r>
    </w:p>
    <w:p w14:paraId="75BDA359" w14:textId="0D3F8765" w:rsidR="00E6060C" w:rsidRPr="00D6240B" w:rsidRDefault="00E6060C" w:rsidP="007B44F8">
      <w:pPr>
        <w:pStyle w:val="Heading2nonumbers"/>
      </w:pPr>
      <w:bookmarkStart w:id="553" w:name="_Toc468286053"/>
      <w:r w:rsidRPr="00D6240B">
        <w:lastRenderedPageBreak/>
        <w:t>Appendix 2: Study 1 coding guide</w:t>
      </w:r>
      <w:bookmarkEnd w:id="553"/>
    </w:p>
    <w:p w14:paraId="07307569" w14:textId="77777777" w:rsidR="00E6060C" w:rsidRPr="00E6060C" w:rsidRDefault="00E6060C" w:rsidP="00E6060C">
      <w:pPr>
        <w:spacing w:line="360" w:lineRule="auto"/>
        <w:contextualSpacing/>
        <w:jc w:val="center"/>
        <w:rPr>
          <w:b/>
        </w:rPr>
      </w:pPr>
    </w:p>
    <w:tbl>
      <w:tblPr>
        <w:tblStyle w:val="TableGrid8"/>
        <w:tblW w:w="10552" w:type="dxa"/>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1433"/>
        <w:gridCol w:w="2139"/>
        <w:gridCol w:w="6435"/>
      </w:tblGrid>
      <w:tr w:rsidR="00E6060C" w:rsidRPr="00E6060C" w14:paraId="1F5E4856" w14:textId="77777777" w:rsidTr="00E6060C">
        <w:trPr>
          <w:cantSplit/>
          <w:tblHeader/>
        </w:trPr>
        <w:tc>
          <w:tcPr>
            <w:tcW w:w="545" w:type="dxa"/>
            <w:tcBorders>
              <w:top w:val="single" w:sz="4" w:space="0" w:color="auto"/>
              <w:bottom w:val="single" w:sz="4" w:space="0" w:color="auto"/>
            </w:tcBorders>
          </w:tcPr>
          <w:p w14:paraId="6914FC28" w14:textId="77777777" w:rsidR="00E6060C" w:rsidRPr="00E6060C" w:rsidRDefault="00E6060C" w:rsidP="00E6060C">
            <w:pPr>
              <w:spacing w:line="360" w:lineRule="auto"/>
              <w:contextualSpacing/>
              <w:rPr>
                <w:b/>
              </w:rPr>
            </w:pPr>
            <w:r w:rsidRPr="00E6060C">
              <w:rPr>
                <w:b/>
              </w:rPr>
              <w:t>No.</w:t>
            </w:r>
          </w:p>
        </w:tc>
        <w:tc>
          <w:tcPr>
            <w:tcW w:w="1433" w:type="dxa"/>
            <w:tcBorders>
              <w:top w:val="single" w:sz="4" w:space="0" w:color="auto"/>
              <w:bottom w:val="single" w:sz="4" w:space="0" w:color="auto"/>
            </w:tcBorders>
          </w:tcPr>
          <w:p w14:paraId="651A8184" w14:textId="77777777" w:rsidR="00E6060C" w:rsidRPr="00E6060C" w:rsidRDefault="00E6060C" w:rsidP="00E6060C">
            <w:pPr>
              <w:spacing w:line="360" w:lineRule="auto"/>
              <w:contextualSpacing/>
              <w:rPr>
                <w:b/>
              </w:rPr>
            </w:pPr>
            <w:r w:rsidRPr="00E6060C">
              <w:rPr>
                <w:b/>
              </w:rPr>
              <w:t>Variable</w:t>
            </w:r>
          </w:p>
        </w:tc>
        <w:tc>
          <w:tcPr>
            <w:tcW w:w="2139" w:type="dxa"/>
            <w:tcBorders>
              <w:top w:val="single" w:sz="4" w:space="0" w:color="auto"/>
              <w:bottom w:val="single" w:sz="4" w:space="0" w:color="auto"/>
            </w:tcBorders>
          </w:tcPr>
          <w:p w14:paraId="44E78FE0" w14:textId="77777777" w:rsidR="00E6060C" w:rsidRPr="00E6060C" w:rsidRDefault="00E6060C" w:rsidP="00E6060C">
            <w:pPr>
              <w:spacing w:line="360" w:lineRule="auto"/>
              <w:contextualSpacing/>
              <w:rPr>
                <w:b/>
              </w:rPr>
            </w:pPr>
            <w:r w:rsidRPr="00E6060C">
              <w:rPr>
                <w:b/>
              </w:rPr>
              <w:t>Codes</w:t>
            </w:r>
          </w:p>
        </w:tc>
        <w:tc>
          <w:tcPr>
            <w:tcW w:w="6435" w:type="dxa"/>
            <w:tcBorders>
              <w:top w:val="single" w:sz="4" w:space="0" w:color="auto"/>
              <w:bottom w:val="single" w:sz="4" w:space="0" w:color="auto"/>
            </w:tcBorders>
          </w:tcPr>
          <w:p w14:paraId="028765F0" w14:textId="77777777" w:rsidR="00E6060C" w:rsidRPr="00E6060C" w:rsidRDefault="00E6060C" w:rsidP="00E6060C">
            <w:pPr>
              <w:spacing w:line="360" w:lineRule="auto"/>
              <w:rPr>
                <w:b/>
              </w:rPr>
            </w:pPr>
            <w:r w:rsidRPr="00E6060C">
              <w:rPr>
                <w:b/>
              </w:rPr>
              <w:t>Definition &amp; examples</w:t>
            </w:r>
          </w:p>
        </w:tc>
      </w:tr>
      <w:tr w:rsidR="00E6060C" w:rsidRPr="00E6060C" w14:paraId="6C675AC2" w14:textId="77777777" w:rsidTr="00E6060C">
        <w:tc>
          <w:tcPr>
            <w:tcW w:w="545" w:type="dxa"/>
            <w:tcBorders>
              <w:top w:val="single" w:sz="4" w:space="0" w:color="auto"/>
              <w:bottom w:val="single" w:sz="4" w:space="0" w:color="auto"/>
            </w:tcBorders>
          </w:tcPr>
          <w:p w14:paraId="7F09BBCB" w14:textId="77777777" w:rsidR="00E6060C" w:rsidRPr="00E6060C" w:rsidRDefault="00E6060C" w:rsidP="00E6060C">
            <w:pPr>
              <w:contextualSpacing/>
            </w:pPr>
            <w:r w:rsidRPr="00E6060C">
              <w:t>1</w:t>
            </w:r>
          </w:p>
        </w:tc>
        <w:tc>
          <w:tcPr>
            <w:tcW w:w="1433" w:type="dxa"/>
            <w:tcBorders>
              <w:top w:val="single" w:sz="4" w:space="0" w:color="auto"/>
              <w:bottom w:val="single" w:sz="4" w:space="0" w:color="auto"/>
            </w:tcBorders>
          </w:tcPr>
          <w:p w14:paraId="33766690" w14:textId="77777777" w:rsidR="00E6060C" w:rsidRPr="00E6060C" w:rsidRDefault="00E6060C" w:rsidP="00E6060C">
            <w:pPr>
              <w:contextualSpacing/>
            </w:pPr>
            <w:r w:rsidRPr="00E6060C">
              <w:t>Study number</w:t>
            </w:r>
          </w:p>
        </w:tc>
        <w:tc>
          <w:tcPr>
            <w:tcW w:w="2139" w:type="dxa"/>
            <w:tcBorders>
              <w:top w:val="single" w:sz="4" w:space="0" w:color="auto"/>
              <w:bottom w:val="single" w:sz="4" w:space="0" w:color="auto"/>
            </w:tcBorders>
          </w:tcPr>
          <w:p w14:paraId="60497A0D" w14:textId="77777777" w:rsidR="00E6060C" w:rsidRPr="00E6060C" w:rsidRDefault="00E6060C" w:rsidP="00E6060C">
            <w:pPr>
              <w:contextualSpacing/>
            </w:pPr>
            <w:r w:rsidRPr="00E6060C">
              <w:t>1, 2, 3…etc</w:t>
            </w:r>
          </w:p>
        </w:tc>
        <w:tc>
          <w:tcPr>
            <w:tcW w:w="6435" w:type="dxa"/>
            <w:tcBorders>
              <w:top w:val="single" w:sz="4" w:space="0" w:color="auto"/>
              <w:bottom w:val="single" w:sz="4" w:space="0" w:color="auto"/>
            </w:tcBorders>
          </w:tcPr>
          <w:p w14:paraId="7DDC3975" w14:textId="77777777" w:rsidR="00E6060C" w:rsidRPr="00E6060C" w:rsidRDefault="00E6060C" w:rsidP="00F15DDF">
            <w:pPr>
              <w:numPr>
                <w:ilvl w:val="0"/>
                <w:numId w:val="18"/>
              </w:numPr>
              <w:ind w:left="273" w:hanging="273"/>
              <w:contextualSpacing/>
            </w:pPr>
            <w:r w:rsidRPr="00E6060C">
              <w:t>Each study should have an individual number assigned to it which is the same as that assigned by the first coder</w:t>
            </w:r>
          </w:p>
          <w:p w14:paraId="04953D8F" w14:textId="77777777" w:rsidR="00E6060C" w:rsidRPr="00E6060C" w:rsidRDefault="00E6060C" w:rsidP="00F15DDF">
            <w:pPr>
              <w:numPr>
                <w:ilvl w:val="0"/>
                <w:numId w:val="18"/>
              </w:numPr>
              <w:ind w:left="273" w:hanging="273"/>
              <w:contextualSpacing/>
            </w:pPr>
            <w:r w:rsidRPr="00E6060C">
              <w:t xml:space="preserve">If a primary article / document contains two or more sets of results from </w:t>
            </w:r>
            <w:r w:rsidRPr="00E6060C">
              <w:rPr>
                <w:b/>
                <w:u w:val="single"/>
              </w:rPr>
              <w:t>independent</w:t>
            </w:r>
            <w:r w:rsidRPr="00E6060C">
              <w:t xml:space="preserve"> studies or samples (e.g. from two different countries), these should be treated separately and given their own identifying number. This means that each set of results can be included separately in meta-analyses</w:t>
            </w:r>
          </w:p>
        </w:tc>
      </w:tr>
      <w:tr w:rsidR="00E6060C" w:rsidRPr="00E6060C" w14:paraId="04AE7E91" w14:textId="77777777" w:rsidTr="00E6060C">
        <w:tc>
          <w:tcPr>
            <w:tcW w:w="545" w:type="dxa"/>
            <w:tcBorders>
              <w:top w:val="single" w:sz="4" w:space="0" w:color="auto"/>
            </w:tcBorders>
          </w:tcPr>
          <w:p w14:paraId="5411AD13" w14:textId="77777777" w:rsidR="00E6060C" w:rsidRPr="00E6060C" w:rsidRDefault="00E6060C" w:rsidP="00E6060C">
            <w:pPr>
              <w:contextualSpacing/>
            </w:pPr>
            <w:r w:rsidRPr="00E6060C">
              <w:t>2</w:t>
            </w:r>
          </w:p>
        </w:tc>
        <w:tc>
          <w:tcPr>
            <w:tcW w:w="1433" w:type="dxa"/>
            <w:tcBorders>
              <w:top w:val="single" w:sz="4" w:space="0" w:color="auto"/>
            </w:tcBorders>
          </w:tcPr>
          <w:p w14:paraId="4529A19F" w14:textId="77777777" w:rsidR="00E6060C" w:rsidRPr="00E6060C" w:rsidRDefault="00E6060C" w:rsidP="00E6060C">
            <w:pPr>
              <w:contextualSpacing/>
            </w:pPr>
            <w:r w:rsidRPr="00E6060C">
              <w:t>Reference</w:t>
            </w:r>
          </w:p>
        </w:tc>
        <w:tc>
          <w:tcPr>
            <w:tcW w:w="2139" w:type="dxa"/>
            <w:tcBorders>
              <w:top w:val="single" w:sz="4" w:space="0" w:color="auto"/>
            </w:tcBorders>
          </w:tcPr>
          <w:p w14:paraId="692A23EE" w14:textId="77777777" w:rsidR="00E6060C" w:rsidRPr="00E6060C" w:rsidRDefault="00E6060C" w:rsidP="00E6060C">
            <w:pPr>
              <w:contextualSpacing/>
            </w:pPr>
            <w:r w:rsidRPr="00E6060C">
              <w:t>First author &amp; year</w:t>
            </w:r>
          </w:p>
        </w:tc>
        <w:tc>
          <w:tcPr>
            <w:tcW w:w="6435" w:type="dxa"/>
            <w:tcBorders>
              <w:top w:val="single" w:sz="4" w:space="0" w:color="auto"/>
            </w:tcBorders>
          </w:tcPr>
          <w:p w14:paraId="10B15321" w14:textId="77777777" w:rsidR="00E6060C" w:rsidRPr="00E6060C" w:rsidRDefault="00E6060C" w:rsidP="00F15DDF">
            <w:pPr>
              <w:numPr>
                <w:ilvl w:val="0"/>
                <w:numId w:val="18"/>
              </w:numPr>
              <w:ind w:left="273" w:hanging="273"/>
              <w:contextualSpacing/>
            </w:pPr>
            <w:r w:rsidRPr="00E6060C">
              <w:t>Name each paper by the first author, followed by the year in which the paper / document was published / made available</w:t>
            </w:r>
          </w:p>
          <w:p w14:paraId="7DCEE184" w14:textId="77777777" w:rsidR="00E6060C" w:rsidRPr="00E6060C" w:rsidRDefault="00E6060C" w:rsidP="00F15DDF">
            <w:pPr>
              <w:numPr>
                <w:ilvl w:val="0"/>
                <w:numId w:val="18"/>
              </w:numPr>
              <w:ind w:left="273" w:hanging="273"/>
              <w:contextualSpacing/>
            </w:pPr>
            <w:r w:rsidRPr="00E6060C">
              <w:t>If two independent studies emerge from a single paper, add a code following the author name to distinguish between them (e.g GER for a study occurring in Germany, and SWE for a study occurring in Sweden)</w:t>
            </w:r>
          </w:p>
        </w:tc>
      </w:tr>
      <w:tr w:rsidR="00E6060C" w:rsidRPr="00E6060C" w14:paraId="296072A4" w14:textId="77777777" w:rsidTr="00E6060C">
        <w:tc>
          <w:tcPr>
            <w:tcW w:w="545" w:type="dxa"/>
            <w:tcBorders>
              <w:top w:val="single" w:sz="4" w:space="0" w:color="auto"/>
            </w:tcBorders>
          </w:tcPr>
          <w:p w14:paraId="353A2CA9" w14:textId="77777777" w:rsidR="00E6060C" w:rsidRPr="00E6060C" w:rsidRDefault="00E6060C" w:rsidP="00E6060C">
            <w:pPr>
              <w:contextualSpacing/>
            </w:pPr>
            <w:r w:rsidRPr="00E6060C">
              <w:t>3</w:t>
            </w:r>
          </w:p>
        </w:tc>
        <w:tc>
          <w:tcPr>
            <w:tcW w:w="1433" w:type="dxa"/>
            <w:tcBorders>
              <w:top w:val="single" w:sz="4" w:space="0" w:color="auto"/>
            </w:tcBorders>
          </w:tcPr>
          <w:p w14:paraId="13D01AC7" w14:textId="77777777" w:rsidR="00E6060C" w:rsidRPr="00E6060C" w:rsidRDefault="00E6060C" w:rsidP="00E6060C">
            <w:pPr>
              <w:contextualSpacing/>
            </w:pPr>
            <w:r w:rsidRPr="00E6060C">
              <w:t>Type of literature</w:t>
            </w:r>
          </w:p>
        </w:tc>
        <w:tc>
          <w:tcPr>
            <w:tcW w:w="2139" w:type="dxa"/>
            <w:tcBorders>
              <w:top w:val="single" w:sz="4" w:space="0" w:color="auto"/>
            </w:tcBorders>
          </w:tcPr>
          <w:p w14:paraId="319FED6E" w14:textId="77777777" w:rsidR="00E6060C" w:rsidRPr="00E6060C" w:rsidRDefault="00E6060C" w:rsidP="00E6060C">
            <w:pPr>
              <w:contextualSpacing/>
            </w:pPr>
            <w:r w:rsidRPr="00E6060C">
              <w:t>Published</w:t>
            </w:r>
          </w:p>
        </w:tc>
        <w:tc>
          <w:tcPr>
            <w:tcW w:w="6435" w:type="dxa"/>
            <w:tcBorders>
              <w:top w:val="single" w:sz="4" w:space="0" w:color="auto"/>
            </w:tcBorders>
          </w:tcPr>
          <w:p w14:paraId="5F646415" w14:textId="77777777" w:rsidR="00E6060C" w:rsidRPr="00E6060C" w:rsidRDefault="00E6060C" w:rsidP="00F15DDF">
            <w:pPr>
              <w:numPr>
                <w:ilvl w:val="0"/>
                <w:numId w:val="18"/>
              </w:numPr>
              <w:ind w:left="273" w:hanging="273"/>
              <w:contextualSpacing/>
            </w:pPr>
            <w:r w:rsidRPr="00E6060C">
              <w:t>Primary articles published in peer-reviewed journals</w:t>
            </w:r>
          </w:p>
        </w:tc>
      </w:tr>
      <w:tr w:rsidR="00E6060C" w:rsidRPr="00E6060C" w14:paraId="30D87E12" w14:textId="77777777" w:rsidTr="00E6060C">
        <w:tc>
          <w:tcPr>
            <w:tcW w:w="545" w:type="dxa"/>
            <w:tcBorders>
              <w:bottom w:val="nil"/>
            </w:tcBorders>
          </w:tcPr>
          <w:p w14:paraId="741ABE77" w14:textId="77777777" w:rsidR="00E6060C" w:rsidRPr="00E6060C" w:rsidRDefault="00E6060C" w:rsidP="00E6060C">
            <w:pPr>
              <w:contextualSpacing/>
            </w:pPr>
          </w:p>
        </w:tc>
        <w:tc>
          <w:tcPr>
            <w:tcW w:w="1433" w:type="dxa"/>
            <w:tcBorders>
              <w:bottom w:val="nil"/>
            </w:tcBorders>
          </w:tcPr>
          <w:p w14:paraId="4109C09C" w14:textId="77777777" w:rsidR="00E6060C" w:rsidRPr="00E6060C" w:rsidRDefault="00E6060C" w:rsidP="00E6060C">
            <w:pPr>
              <w:contextualSpacing/>
            </w:pPr>
          </w:p>
        </w:tc>
        <w:tc>
          <w:tcPr>
            <w:tcW w:w="2139" w:type="dxa"/>
            <w:tcBorders>
              <w:bottom w:val="nil"/>
            </w:tcBorders>
          </w:tcPr>
          <w:p w14:paraId="2E2EF15F" w14:textId="77777777" w:rsidR="00E6060C" w:rsidRPr="00E6060C" w:rsidRDefault="00E6060C" w:rsidP="00E6060C">
            <w:pPr>
              <w:contextualSpacing/>
            </w:pPr>
            <w:r w:rsidRPr="00E6060C">
              <w:t>Thesis</w:t>
            </w:r>
          </w:p>
        </w:tc>
        <w:tc>
          <w:tcPr>
            <w:tcW w:w="6435" w:type="dxa"/>
            <w:tcBorders>
              <w:bottom w:val="nil"/>
            </w:tcBorders>
          </w:tcPr>
          <w:p w14:paraId="59EE950A" w14:textId="77777777" w:rsidR="00E6060C" w:rsidRPr="00E6060C" w:rsidRDefault="00E6060C" w:rsidP="00F15DDF">
            <w:pPr>
              <w:numPr>
                <w:ilvl w:val="0"/>
                <w:numId w:val="18"/>
              </w:numPr>
              <w:ind w:left="273" w:hanging="273"/>
              <w:contextualSpacing/>
            </w:pPr>
            <w:r w:rsidRPr="00E6060C">
              <w:t>Either PhD or MA theses</w:t>
            </w:r>
          </w:p>
        </w:tc>
      </w:tr>
      <w:tr w:rsidR="00E6060C" w:rsidRPr="00E6060C" w14:paraId="086A084C" w14:textId="77777777" w:rsidTr="00E6060C">
        <w:tc>
          <w:tcPr>
            <w:tcW w:w="545" w:type="dxa"/>
            <w:tcBorders>
              <w:top w:val="nil"/>
              <w:bottom w:val="single" w:sz="4" w:space="0" w:color="auto"/>
            </w:tcBorders>
          </w:tcPr>
          <w:p w14:paraId="7C693F6B" w14:textId="77777777" w:rsidR="00E6060C" w:rsidRPr="00E6060C" w:rsidRDefault="00E6060C" w:rsidP="00E6060C">
            <w:pPr>
              <w:contextualSpacing/>
            </w:pPr>
          </w:p>
        </w:tc>
        <w:tc>
          <w:tcPr>
            <w:tcW w:w="1433" w:type="dxa"/>
            <w:tcBorders>
              <w:top w:val="nil"/>
              <w:bottom w:val="single" w:sz="4" w:space="0" w:color="auto"/>
            </w:tcBorders>
          </w:tcPr>
          <w:p w14:paraId="6CB2E5A1" w14:textId="77777777" w:rsidR="00E6060C" w:rsidRPr="00E6060C" w:rsidRDefault="00E6060C" w:rsidP="00E6060C">
            <w:pPr>
              <w:contextualSpacing/>
            </w:pPr>
          </w:p>
        </w:tc>
        <w:tc>
          <w:tcPr>
            <w:tcW w:w="2139" w:type="dxa"/>
            <w:tcBorders>
              <w:top w:val="nil"/>
              <w:bottom w:val="single" w:sz="4" w:space="0" w:color="auto"/>
            </w:tcBorders>
          </w:tcPr>
          <w:p w14:paraId="262031C6" w14:textId="77777777" w:rsidR="00E6060C" w:rsidRPr="00E6060C" w:rsidRDefault="00E6060C" w:rsidP="00E6060C">
            <w:pPr>
              <w:contextualSpacing/>
            </w:pPr>
            <w:r w:rsidRPr="00E6060C">
              <w:t>Grey</w:t>
            </w:r>
          </w:p>
        </w:tc>
        <w:tc>
          <w:tcPr>
            <w:tcW w:w="6435" w:type="dxa"/>
            <w:tcBorders>
              <w:top w:val="nil"/>
              <w:bottom w:val="single" w:sz="4" w:space="0" w:color="auto"/>
            </w:tcBorders>
          </w:tcPr>
          <w:p w14:paraId="3C223C24" w14:textId="77777777" w:rsidR="00E6060C" w:rsidRPr="00E6060C" w:rsidRDefault="00E6060C" w:rsidP="00F15DDF">
            <w:pPr>
              <w:numPr>
                <w:ilvl w:val="0"/>
                <w:numId w:val="18"/>
              </w:numPr>
              <w:ind w:left="273" w:hanging="273"/>
              <w:contextualSpacing/>
            </w:pPr>
            <w:r w:rsidRPr="00E6060C">
              <w:t xml:space="preserve">Reports / documents which are not published in peer-reviewed journals and which are not theses e.g. government reports, health organisation reports, conference papers etc. </w:t>
            </w:r>
          </w:p>
        </w:tc>
      </w:tr>
      <w:tr w:rsidR="00E6060C" w:rsidRPr="00E6060C" w14:paraId="434DC3CA" w14:textId="77777777" w:rsidTr="00E6060C">
        <w:tc>
          <w:tcPr>
            <w:tcW w:w="545" w:type="dxa"/>
            <w:tcBorders>
              <w:top w:val="single" w:sz="4" w:space="0" w:color="auto"/>
            </w:tcBorders>
          </w:tcPr>
          <w:p w14:paraId="66CD0F91" w14:textId="77777777" w:rsidR="00E6060C" w:rsidRPr="00E6060C" w:rsidRDefault="00E6060C" w:rsidP="00E6060C">
            <w:pPr>
              <w:contextualSpacing/>
            </w:pPr>
            <w:r w:rsidRPr="00E6060C">
              <w:t>4</w:t>
            </w:r>
          </w:p>
        </w:tc>
        <w:tc>
          <w:tcPr>
            <w:tcW w:w="1433" w:type="dxa"/>
            <w:tcBorders>
              <w:top w:val="single" w:sz="4" w:space="0" w:color="auto"/>
            </w:tcBorders>
          </w:tcPr>
          <w:p w14:paraId="63DB2436" w14:textId="77777777" w:rsidR="00E6060C" w:rsidRPr="00E6060C" w:rsidRDefault="00E6060C" w:rsidP="00E6060C">
            <w:pPr>
              <w:contextualSpacing/>
            </w:pPr>
            <w:r w:rsidRPr="00E6060C">
              <w:t>Design</w:t>
            </w:r>
          </w:p>
        </w:tc>
        <w:tc>
          <w:tcPr>
            <w:tcW w:w="2139" w:type="dxa"/>
            <w:tcBorders>
              <w:top w:val="single" w:sz="4" w:space="0" w:color="auto"/>
            </w:tcBorders>
          </w:tcPr>
          <w:p w14:paraId="69091317" w14:textId="77777777" w:rsidR="00E6060C" w:rsidRPr="00E6060C" w:rsidRDefault="00E6060C" w:rsidP="00E6060C">
            <w:pPr>
              <w:contextualSpacing/>
            </w:pPr>
            <w:r w:rsidRPr="00E6060C">
              <w:t>Randomised</w:t>
            </w:r>
          </w:p>
        </w:tc>
        <w:tc>
          <w:tcPr>
            <w:tcW w:w="6435" w:type="dxa"/>
            <w:tcBorders>
              <w:top w:val="single" w:sz="4" w:space="0" w:color="auto"/>
            </w:tcBorders>
          </w:tcPr>
          <w:p w14:paraId="1C2E53A4" w14:textId="77777777" w:rsidR="00E6060C" w:rsidRPr="00E6060C" w:rsidRDefault="00E6060C" w:rsidP="00F15DDF">
            <w:pPr>
              <w:numPr>
                <w:ilvl w:val="0"/>
                <w:numId w:val="18"/>
              </w:numPr>
              <w:ind w:left="273" w:hanging="273"/>
              <w:contextualSpacing/>
            </w:pPr>
            <w:r w:rsidRPr="00E6060C">
              <w:t>Study in which participants are randomly allocated to groups, including studies in which pairs of participants are matched and then randomised</w:t>
            </w:r>
          </w:p>
          <w:p w14:paraId="384B7ED7" w14:textId="77777777" w:rsidR="00E6060C" w:rsidRPr="00E6060C" w:rsidRDefault="00E6060C" w:rsidP="00F15DDF">
            <w:pPr>
              <w:numPr>
                <w:ilvl w:val="0"/>
                <w:numId w:val="18"/>
              </w:numPr>
              <w:ind w:left="273" w:hanging="273"/>
              <w:contextualSpacing/>
            </w:pPr>
            <w:r w:rsidRPr="00E6060C">
              <w:t>If an author states randomisation has occurred, but it is unclear how this has occurred, discuss this issue in the study’s respective ‘risk of bias’ table</w:t>
            </w:r>
          </w:p>
        </w:tc>
      </w:tr>
      <w:tr w:rsidR="00E6060C" w:rsidRPr="00E6060C" w14:paraId="7C0A4A35" w14:textId="77777777" w:rsidTr="00E6060C">
        <w:tc>
          <w:tcPr>
            <w:tcW w:w="545" w:type="dxa"/>
            <w:tcBorders>
              <w:bottom w:val="nil"/>
            </w:tcBorders>
          </w:tcPr>
          <w:p w14:paraId="195CF361" w14:textId="77777777" w:rsidR="00E6060C" w:rsidRPr="00E6060C" w:rsidRDefault="00E6060C" w:rsidP="00E6060C">
            <w:pPr>
              <w:contextualSpacing/>
            </w:pPr>
          </w:p>
        </w:tc>
        <w:tc>
          <w:tcPr>
            <w:tcW w:w="1433" w:type="dxa"/>
            <w:tcBorders>
              <w:bottom w:val="nil"/>
            </w:tcBorders>
          </w:tcPr>
          <w:p w14:paraId="1DF17F4C" w14:textId="77777777" w:rsidR="00E6060C" w:rsidRPr="00E6060C" w:rsidRDefault="00E6060C" w:rsidP="00E6060C">
            <w:pPr>
              <w:contextualSpacing/>
            </w:pPr>
          </w:p>
        </w:tc>
        <w:tc>
          <w:tcPr>
            <w:tcW w:w="2139" w:type="dxa"/>
            <w:tcBorders>
              <w:bottom w:val="nil"/>
            </w:tcBorders>
          </w:tcPr>
          <w:p w14:paraId="54AD3CC8" w14:textId="77777777" w:rsidR="00E6060C" w:rsidRPr="00E6060C" w:rsidRDefault="00E6060C" w:rsidP="00E6060C">
            <w:pPr>
              <w:contextualSpacing/>
            </w:pPr>
            <w:r w:rsidRPr="00E6060C">
              <w:t xml:space="preserve">Cluster randomised </w:t>
            </w:r>
          </w:p>
        </w:tc>
        <w:tc>
          <w:tcPr>
            <w:tcW w:w="6435" w:type="dxa"/>
            <w:tcBorders>
              <w:bottom w:val="nil"/>
            </w:tcBorders>
          </w:tcPr>
          <w:p w14:paraId="1501AB03" w14:textId="77777777" w:rsidR="00E6060C" w:rsidRPr="00E6060C" w:rsidRDefault="00E6060C" w:rsidP="00F15DDF">
            <w:pPr>
              <w:numPr>
                <w:ilvl w:val="0"/>
                <w:numId w:val="18"/>
              </w:numPr>
              <w:ind w:left="273" w:hanging="273"/>
              <w:contextualSpacing/>
            </w:pPr>
            <w:r w:rsidRPr="00E6060C">
              <w:t>Including randomisation at department level, ‘unit’ level etc but NOT randomised matched pairs</w:t>
            </w:r>
          </w:p>
        </w:tc>
      </w:tr>
      <w:tr w:rsidR="00E6060C" w:rsidRPr="00E6060C" w14:paraId="60470C71" w14:textId="77777777" w:rsidTr="00E6060C">
        <w:tc>
          <w:tcPr>
            <w:tcW w:w="545" w:type="dxa"/>
            <w:tcBorders>
              <w:top w:val="nil"/>
              <w:bottom w:val="single" w:sz="4" w:space="0" w:color="auto"/>
            </w:tcBorders>
          </w:tcPr>
          <w:p w14:paraId="31CDD555" w14:textId="77777777" w:rsidR="00E6060C" w:rsidRPr="00E6060C" w:rsidRDefault="00E6060C" w:rsidP="00E6060C">
            <w:pPr>
              <w:contextualSpacing/>
            </w:pPr>
          </w:p>
        </w:tc>
        <w:tc>
          <w:tcPr>
            <w:tcW w:w="1433" w:type="dxa"/>
            <w:tcBorders>
              <w:top w:val="nil"/>
              <w:bottom w:val="single" w:sz="4" w:space="0" w:color="auto"/>
            </w:tcBorders>
          </w:tcPr>
          <w:p w14:paraId="407DDDF1" w14:textId="77777777" w:rsidR="00E6060C" w:rsidRPr="00E6060C" w:rsidRDefault="00E6060C" w:rsidP="00E6060C">
            <w:pPr>
              <w:contextualSpacing/>
            </w:pPr>
          </w:p>
        </w:tc>
        <w:tc>
          <w:tcPr>
            <w:tcW w:w="2139" w:type="dxa"/>
            <w:tcBorders>
              <w:top w:val="nil"/>
              <w:bottom w:val="single" w:sz="4" w:space="0" w:color="auto"/>
            </w:tcBorders>
          </w:tcPr>
          <w:p w14:paraId="37B84C01" w14:textId="77777777" w:rsidR="00E6060C" w:rsidRPr="00E6060C" w:rsidRDefault="00E6060C" w:rsidP="00E6060C">
            <w:pPr>
              <w:contextualSpacing/>
            </w:pPr>
            <w:r w:rsidRPr="00E6060C">
              <w:t xml:space="preserve">Non-randomised </w:t>
            </w:r>
          </w:p>
        </w:tc>
        <w:tc>
          <w:tcPr>
            <w:tcW w:w="6435" w:type="dxa"/>
            <w:tcBorders>
              <w:top w:val="nil"/>
              <w:bottom w:val="single" w:sz="4" w:space="0" w:color="auto"/>
            </w:tcBorders>
          </w:tcPr>
          <w:p w14:paraId="344899F5" w14:textId="77777777" w:rsidR="00E6060C" w:rsidRPr="00E6060C" w:rsidRDefault="00E6060C" w:rsidP="00F15DDF">
            <w:pPr>
              <w:numPr>
                <w:ilvl w:val="0"/>
                <w:numId w:val="18"/>
              </w:numPr>
              <w:ind w:left="273" w:hanging="273"/>
              <w:contextualSpacing/>
            </w:pPr>
            <w:r w:rsidRPr="00E6060C">
              <w:t>No evidence of randomisation at any level</w:t>
            </w:r>
          </w:p>
        </w:tc>
      </w:tr>
      <w:tr w:rsidR="00E6060C" w:rsidRPr="00E6060C" w14:paraId="706A04B0" w14:textId="77777777" w:rsidTr="00E6060C">
        <w:tc>
          <w:tcPr>
            <w:tcW w:w="545" w:type="dxa"/>
            <w:tcBorders>
              <w:top w:val="single" w:sz="4" w:space="0" w:color="auto"/>
            </w:tcBorders>
          </w:tcPr>
          <w:p w14:paraId="20B52CFC" w14:textId="77777777" w:rsidR="00E6060C" w:rsidRPr="00E6060C" w:rsidRDefault="00E6060C" w:rsidP="00E6060C">
            <w:pPr>
              <w:contextualSpacing/>
            </w:pPr>
            <w:r w:rsidRPr="00E6060C">
              <w:t>5</w:t>
            </w:r>
          </w:p>
        </w:tc>
        <w:tc>
          <w:tcPr>
            <w:tcW w:w="1433" w:type="dxa"/>
            <w:tcBorders>
              <w:top w:val="single" w:sz="4" w:space="0" w:color="auto"/>
            </w:tcBorders>
          </w:tcPr>
          <w:p w14:paraId="618B8288" w14:textId="77777777" w:rsidR="00E6060C" w:rsidRPr="00E6060C" w:rsidRDefault="00E6060C" w:rsidP="00E6060C">
            <w:pPr>
              <w:contextualSpacing/>
            </w:pPr>
            <w:r w:rsidRPr="00E6060C">
              <w:t>Industry</w:t>
            </w:r>
          </w:p>
        </w:tc>
        <w:tc>
          <w:tcPr>
            <w:tcW w:w="2139" w:type="dxa"/>
            <w:tcBorders>
              <w:top w:val="single" w:sz="4" w:space="0" w:color="auto"/>
            </w:tcBorders>
          </w:tcPr>
          <w:p w14:paraId="401B8415" w14:textId="77777777" w:rsidR="00E6060C" w:rsidRPr="00E6060C" w:rsidRDefault="00E6060C" w:rsidP="00E6060C">
            <w:pPr>
              <w:contextualSpacing/>
            </w:pPr>
            <w:r w:rsidRPr="00E6060C">
              <w:t>Nursing</w:t>
            </w:r>
          </w:p>
        </w:tc>
        <w:tc>
          <w:tcPr>
            <w:tcW w:w="6435" w:type="dxa"/>
            <w:tcBorders>
              <w:top w:val="single" w:sz="4" w:space="0" w:color="auto"/>
            </w:tcBorders>
          </w:tcPr>
          <w:p w14:paraId="7AA6E9F3" w14:textId="77777777" w:rsidR="00E6060C" w:rsidRPr="00E6060C" w:rsidRDefault="00E6060C" w:rsidP="00F15DDF">
            <w:pPr>
              <w:numPr>
                <w:ilvl w:val="0"/>
                <w:numId w:val="18"/>
              </w:numPr>
              <w:ind w:left="273" w:hanging="273"/>
              <w:contextualSpacing/>
            </w:pPr>
            <w:r w:rsidRPr="00E6060C">
              <w:t xml:space="preserve">Categorise the organisations according to which type of industry they best represent. </w:t>
            </w:r>
          </w:p>
        </w:tc>
      </w:tr>
      <w:tr w:rsidR="00E6060C" w:rsidRPr="00E6060C" w14:paraId="63EC22FE" w14:textId="77777777" w:rsidTr="00E6060C">
        <w:tc>
          <w:tcPr>
            <w:tcW w:w="545" w:type="dxa"/>
          </w:tcPr>
          <w:p w14:paraId="2E42C60E" w14:textId="77777777" w:rsidR="00E6060C" w:rsidRPr="00E6060C" w:rsidRDefault="00E6060C" w:rsidP="00E6060C">
            <w:pPr>
              <w:contextualSpacing/>
            </w:pPr>
          </w:p>
        </w:tc>
        <w:tc>
          <w:tcPr>
            <w:tcW w:w="1433" w:type="dxa"/>
          </w:tcPr>
          <w:p w14:paraId="52B4D323" w14:textId="77777777" w:rsidR="00E6060C" w:rsidRPr="00E6060C" w:rsidRDefault="00E6060C" w:rsidP="00E6060C">
            <w:pPr>
              <w:contextualSpacing/>
            </w:pPr>
          </w:p>
        </w:tc>
        <w:tc>
          <w:tcPr>
            <w:tcW w:w="2139" w:type="dxa"/>
          </w:tcPr>
          <w:p w14:paraId="7E14CD90" w14:textId="77777777" w:rsidR="00E6060C" w:rsidRPr="00E6060C" w:rsidRDefault="00E6060C" w:rsidP="00E6060C">
            <w:pPr>
              <w:contextualSpacing/>
            </w:pPr>
            <w:r w:rsidRPr="00E6060C">
              <w:t>Financial services</w:t>
            </w:r>
          </w:p>
        </w:tc>
        <w:tc>
          <w:tcPr>
            <w:tcW w:w="6435" w:type="dxa"/>
          </w:tcPr>
          <w:p w14:paraId="7F1F0412" w14:textId="77777777" w:rsidR="00E6060C" w:rsidRPr="00E6060C" w:rsidRDefault="00E6060C" w:rsidP="00E6060C"/>
        </w:tc>
      </w:tr>
      <w:tr w:rsidR="00E6060C" w:rsidRPr="00E6060C" w14:paraId="413B20F3" w14:textId="77777777" w:rsidTr="00E6060C">
        <w:tc>
          <w:tcPr>
            <w:tcW w:w="545" w:type="dxa"/>
          </w:tcPr>
          <w:p w14:paraId="75075F3C" w14:textId="77777777" w:rsidR="00E6060C" w:rsidRPr="00E6060C" w:rsidRDefault="00E6060C" w:rsidP="00E6060C">
            <w:pPr>
              <w:contextualSpacing/>
            </w:pPr>
          </w:p>
        </w:tc>
        <w:tc>
          <w:tcPr>
            <w:tcW w:w="1433" w:type="dxa"/>
          </w:tcPr>
          <w:p w14:paraId="36DD6F64" w14:textId="77777777" w:rsidR="00E6060C" w:rsidRPr="00E6060C" w:rsidRDefault="00E6060C" w:rsidP="00E6060C">
            <w:pPr>
              <w:contextualSpacing/>
            </w:pPr>
          </w:p>
        </w:tc>
        <w:tc>
          <w:tcPr>
            <w:tcW w:w="2139" w:type="dxa"/>
          </w:tcPr>
          <w:p w14:paraId="68072D10" w14:textId="77777777" w:rsidR="00E6060C" w:rsidRPr="00E6060C" w:rsidRDefault="00E6060C" w:rsidP="00E6060C">
            <w:pPr>
              <w:contextualSpacing/>
            </w:pPr>
            <w:r w:rsidRPr="00E6060C">
              <w:t xml:space="preserve">Construction </w:t>
            </w:r>
          </w:p>
        </w:tc>
        <w:tc>
          <w:tcPr>
            <w:tcW w:w="6435" w:type="dxa"/>
          </w:tcPr>
          <w:p w14:paraId="7658A191" w14:textId="77777777" w:rsidR="00E6060C" w:rsidRPr="00E6060C" w:rsidRDefault="00E6060C" w:rsidP="00E6060C"/>
        </w:tc>
      </w:tr>
      <w:tr w:rsidR="00E6060C" w:rsidRPr="00E6060C" w14:paraId="568ACA74" w14:textId="77777777" w:rsidTr="00E6060C">
        <w:tc>
          <w:tcPr>
            <w:tcW w:w="545" w:type="dxa"/>
          </w:tcPr>
          <w:p w14:paraId="146BEC10" w14:textId="77777777" w:rsidR="00E6060C" w:rsidRPr="00E6060C" w:rsidRDefault="00E6060C" w:rsidP="00E6060C">
            <w:pPr>
              <w:contextualSpacing/>
            </w:pPr>
          </w:p>
        </w:tc>
        <w:tc>
          <w:tcPr>
            <w:tcW w:w="1433" w:type="dxa"/>
          </w:tcPr>
          <w:p w14:paraId="0B4BD6DE" w14:textId="77777777" w:rsidR="00E6060C" w:rsidRPr="00E6060C" w:rsidRDefault="00E6060C" w:rsidP="00E6060C">
            <w:pPr>
              <w:contextualSpacing/>
            </w:pPr>
          </w:p>
        </w:tc>
        <w:tc>
          <w:tcPr>
            <w:tcW w:w="2139" w:type="dxa"/>
          </w:tcPr>
          <w:p w14:paraId="777EA6D6" w14:textId="77777777" w:rsidR="00E6060C" w:rsidRPr="00E6060C" w:rsidRDefault="00E6060C" w:rsidP="00E6060C">
            <w:pPr>
              <w:contextualSpacing/>
            </w:pPr>
            <w:r w:rsidRPr="00E6060C">
              <w:t>Research institutes</w:t>
            </w:r>
          </w:p>
        </w:tc>
        <w:tc>
          <w:tcPr>
            <w:tcW w:w="6435" w:type="dxa"/>
          </w:tcPr>
          <w:p w14:paraId="50D355AE" w14:textId="77777777" w:rsidR="00E6060C" w:rsidRPr="00E6060C" w:rsidRDefault="00E6060C" w:rsidP="00E6060C"/>
        </w:tc>
      </w:tr>
      <w:tr w:rsidR="00E6060C" w:rsidRPr="00E6060C" w14:paraId="31D7B788" w14:textId="77777777" w:rsidTr="00E6060C">
        <w:tc>
          <w:tcPr>
            <w:tcW w:w="545" w:type="dxa"/>
          </w:tcPr>
          <w:p w14:paraId="2585A09B" w14:textId="77777777" w:rsidR="00E6060C" w:rsidRPr="00E6060C" w:rsidRDefault="00E6060C" w:rsidP="00E6060C">
            <w:pPr>
              <w:contextualSpacing/>
            </w:pPr>
          </w:p>
        </w:tc>
        <w:tc>
          <w:tcPr>
            <w:tcW w:w="1433" w:type="dxa"/>
          </w:tcPr>
          <w:p w14:paraId="126F1355" w14:textId="77777777" w:rsidR="00E6060C" w:rsidRPr="00E6060C" w:rsidRDefault="00E6060C" w:rsidP="00E6060C">
            <w:pPr>
              <w:contextualSpacing/>
            </w:pPr>
          </w:p>
        </w:tc>
        <w:tc>
          <w:tcPr>
            <w:tcW w:w="2139" w:type="dxa"/>
          </w:tcPr>
          <w:p w14:paraId="4A45601F" w14:textId="77777777" w:rsidR="00E6060C" w:rsidRPr="00E6060C" w:rsidRDefault="00E6060C" w:rsidP="00E6060C">
            <w:pPr>
              <w:contextualSpacing/>
            </w:pPr>
            <w:r w:rsidRPr="00E6060C">
              <w:t>Chemical company</w:t>
            </w:r>
          </w:p>
        </w:tc>
        <w:tc>
          <w:tcPr>
            <w:tcW w:w="6435" w:type="dxa"/>
          </w:tcPr>
          <w:p w14:paraId="62856099" w14:textId="77777777" w:rsidR="00E6060C" w:rsidRPr="00E6060C" w:rsidRDefault="00E6060C" w:rsidP="00E6060C"/>
        </w:tc>
      </w:tr>
      <w:tr w:rsidR="00E6060C" w:rsidRPr="00E6060C" w14:paraId="663F74DF" w14:textId="77777777" w:rsidTr="00E6060C">
        <w:tc>
          <w:tcPr>
            <w:tcW w:w="545" w:type="dxa"/>
          </w:tcPr>
          <w:p w14:paraId="3BA8B01A" w14:textId="77777777" w:rsidR="00E6060C" w:rsidRPr="00E6060C" w:rsidRDefault="00E6060C" w:rsidP="00E6060C">
            <w:pPr>
              <w:contextualSpacing/>
            </w:pPr>
          </w:p>
        </w:tc>
        <w:tc>
          <w:tcPr>
            <w:tcW w:w="1433" w:type="dxa"/>
          </w:tcPr>
          <w:p w14:paraId="5178AB2A" w14:textId="77777777" w:rsidR="00E6060C" w:rsidRPr="00E6060C" w:rsidRDefault="00E6060C" w:rsidP="00E6060C">
            <w:pPr>
              <w:contextualSpacing/>
            </w:pPr>
          </w:p>
        </w:tc>
        <w:tc>
          <w:tcPr>
            <w:tcW w:w="2139" w:type="dxa"/>
          </w:tcPr>
          <w:p w14:paraId="1D4B3C4F" w14:textId="77777777" w:rsidR="00E6060C" w:rsidRPr="00E6060C" w:rsidRDefault="00E6060C" w:rsidP="00E6060C">
            <w:pPr>
              <w:contextualSpacing/>
            </w:pPr>
            <w:r w:rsidRPr="00E6060C">
              <w:t>Manufacturing company</w:t>
            </w:r>
          </w:p>
        </w:tc>
        <w:tc>
          <w:tcPr>
            <w:tcW w:w="6435" w:type="dxa"/>
          </w:tcPr>
          <w:p w14:paraId="6A555234" w14:textId="77777777" w:rsidR="00E6060C" w:rsidRPr="00E6060C" w:rsidRDefault="00E6060C" w:rsidP="00E6060C"/>
        </w:tc>
      </w:tr>
      <w:tr w:rsidR="00E6060C" w:rsidRPr="00E6060C" w14:paraId="0A423A88" w14:textId="77777777" w:rsidTr="00E6060C">
        <w:tc>
          <w:tcPr>
            <w:tcW w:w="545" w:type="dxa"/>
          </w:tcPr>
          <w:p w14:paraId="2B738301" w14:textId="77777777" w:rsidR="00E6060C" w:rsidRPr="00E6060C" w:rsidRDefault="00E6060C" w:rsidP="00E6060C">
            <w:pPr>
              <w:contextualSpacing/>
            </w:pPr>
          </w:p>
        </w:tc>
        <w:tc>
          <w:tcPr>
            <w:tcW w:w="1433" w:type="dxa"/>
          </w:tcPr>
          <w:p w14:paraId="097577BC" w14:textId="77777777" w:rsidR="00E6060C" w:rsidRPr="00E6060C" w:rsidRDefault="00E6060C" w:rsidP="00E6060C">
            <w:pPr>
              <w:contextualSpacing/>
            </w:pPr>
          </w:p>
        </w:tc>
        <w:tc>
          <w:tcPr>
            <w:tcW w:w="2139" w:type="dxa"/>
          </w:tcPr>
          <w:p w14:paraId="7A7F2DE0" w14:textId="77777777" w:rsidR="00E6060C" w:rsidRPr="00E6060C" w:rsidRDefault="00E6060C" w:rsidP="00E6060C">
            <w:pPr>
              <w:contextualSpacing/>
            </w:pPr>
            <w:r w:rsidRPr="00E6060C">
              <w:t>Fire service</w:t>
            </w:r>
          </w:p>
        </w:tc>
        <w:tc>
          <w:tcPr>
            <w:tcW w:w="6435" w:type="dxa"/>
          </w:tcPr>
          <w:p w14:paraId="7C0FEE9F" w14:textId="77777777" w:rsidR="00E6060C" w:rsidRPr="00E6060C" w:rsidRDefault="00E6060C" w:rsidP="00E6060C"/>
        </w:tc>
      </w:tr>
      <w:tr w:rsidR="00E6060C" w:rsidRPr="00E6060C" w14:paraId="4C44D350" w14:textId="77777777" w:rsidTr="00E6060C">
        <w:tc>
          <w:tcPr>
            <w:tcW w:w="545" w:type="dxa"/>
          </w:tcPr>
          <w:p w14:paraId="29CC351F" w14:textId="77777777" w:rsidR="00E6060C" w:rsidRPr="00E6060C" w:rsidRDefault="00E6060C" w:rsidP="00E6060C">
            <w:pPr>
              <w:contextualSpacing/>
            </w:pPr>
          </w:p>
        </w:tc>
        <w:tc>
          <w:tcPr>
            <w:tcW w:w="1433" w:type="dxa"/>
          </w:tcPr>
          <w:p w14:paraId="1A1EA534" w14:textId="77777777" w:rsidR="00E6060C" w:rsidRPr="00E6060C" w:rsidRDefault="00E6060C" w:rsidP="00E6060C">
            <w:pPr>
              <w:contextualSpacing/>
            </w:pPr>
          </w:p>
        </w:tc>
        <w:tc>
          <w:tcPr>
            <w:tcW w:w="2139" w:type="dxa"/>
          </w:tcPr>
          <w:p w14:paraId="24B4858C" w14:textId="77777777" w:rsidR="00E6060C" w:rsidRPr="00E6060C" w:rsidRDefault="00E6060C" w:rsidP="00E6060C">
            <w:pPr>
              <w:contextualSpacing/>
            </w:pPr>
            <w:r w:rsidRPr="00E6060C">
              <w:t>Social work service</w:t>
            </w:r>
          </w:p>
        </w:tc>
        <w:tc>
          <w:tcPr>
            <w:tcW w:w="6435" w:type="dxa"/>
          </w:tcPr>
          <w:p w14:paraId="3C74148A" w14:textId="77777777" w:rsidR="00E6060C" w:rsidRPr="00E6060C" w:rsidRDefault="00E6060C" w:rsidP="00E6060C"/>
        </w:tc>
      </w:tr>
      <w:tr w:rsidR="00E6060C" w:rsidRPr="00E6060C" w14:paraId="123B435C" w14:textId="77777777" w:rsidTr="00E6060C">
        <w:tc>
          <w:tcPr>
            <w:tcW w:w="545" w:type="dxa"/>
          </w:tcPr>
          <w:p w14:paraId="076B9475" w14:textId="77777777" w:rsidR="00E6060C" w:rsidRPr="00E6060C" w:rsidRDefault="00E6060C" w:rsidP="00E6060C">
            <w:pPr>
              <w:contextualSpacing/>
            </w:pPr>
          </w:p>
        </w:tc>
        <w:tc>
          <w:tcPr>
            <w:tcW w:w="1433" w:type="dxa"/>
          </w:tcPr>
          <w:p w14:paraId="452B11AA" w14:textId="77777777" w:rsidR="00E6060C" w:rsidRPr="00E6060C" w:rsidRDefault="00E6060C" w:rsidP="00E6060C">
            <w:pPr>
              <w:contextualSpacing/>
            </w:pPr>
          </w:p>
        </w:tc>
        <w:tc>
          <w:tcPr>
            <w:tcW w:w="2139" w:type="dxa"/>
          </w:tcPr>
          <w:p w14:paraId="20517356" w14:textId="77777777" w:rsidR="00E6060C" w:rsidRPr="00E6060C" w:rsidRDefault="00E6060C" w:rsidP="00E6060C">
            <w:pPr>
              <w:contextualSpacing/>
            </w:pPr>
            <w:r w:rsidRPr="00E6060C">
              <w:t>Police service</w:t>
            </w:r>
          </w:p>
        </w:tc>
        <w:tc>
          <w:tcPr>
            <w:tcW w:w="6435" w:type="dxa"/>
          </w:tcPr>
          <w:p w14:paraId="6FC27624" w14:textId="77777777" w:rsidR="00E6060C" w:rsidRPr="00E6060C" w:rsidRDefault="00E6060C" w:rsidP="00E6060C"/>
        </w:tc>
      </w:tr>
      <w:tr w:rsidR="00E6060C" w:rsidRPr="00E6060C" w14:paraId="0EFB4171" w14:textId="77777777" w:rsidTr="00E6060C">
        <w:tc>
          <w:tcPr>
            <w:tcW w:w="545" w:type="dxa"/>
          </w:tcPr>
          <w:p w14:paraId="0693D2B4" w14:textId="77777777" w:rsidR="00E6060C" w:rsidRPr="00E6060C" w:rsidRDefault="00E6060C" w:rsidP="00E6060C">
            <w:pPr>
              <w:contextualSpacing/>
            </w:pPr>
          </w:p>
        </w:tc>
        <w:tc>
          <w:tcPr>
            <w:tcW w:w="1433" w:type="dxa"/>
          </w:tcPr>
          <w:p w14:paraId="7006F24B" w14:textId="77777777" w:rsidR="00E6060C" w:rsidRPr="00E6060C" w:rsidRDefault="00E6060C" w:rsidP="00E6060C">
            <w:pPr>
              <w:contextualSpacing/>
            </w:pPr>
          </w:p>
        </w:tc>
        <w:tc>
          <w:tcPr>
            <w:tcW w:w="2139" w:type="dxa"/>
          </w:tcPr>
          <w:p w14:paraId="558A1C35" w14:textId="77777777" w:rsidR="00E6060C" w:rsidRPr="00E6060C" w:rsidRDefault="00E6060C" w:rsidP="00E6060C">
            <w:pPr>
              <w:contextualSpacing/>
            </w:pPr>
            <w:r w:rsidRPr="00E6060C">
              <w:t>Welfare organisation</w:t>
            </w:r>
          </w:p>
        </w:tc>
        <w:tc>
          <w:tcPr>
            <w:tcW w:w="6435" w:type="dxa"/>
          </w:tcPr>
          <w:p w14:paraId="2E690BED" w14:textId="77777777" w:rsidR="00E6060C" w:rsidRPr="00E6060C" w:rsidRDefault="00E6060C" w:rsidP="00E6060C"/>
        </w:tc>
      </w:tr>
      <w:tr w:rsidR="00E6060C" w:rsidRPr="00E6060C" w14:paraId="24D75488" w14:textId="77777777" w:rsidTr="00E6060C">
        <w:tc>
          <w:tcPr>
            <w:tcW w:w="545" w:type="dxa"/>
            <w:tcBorders>
              <w:bottom w:val="nil"/>
            </w:tcBorders>
          </w:tcPr>
          <w:p w14:paraId="580A4452" w14:textId="77777777" w:rsidR="00E6060C" w:rsidRPr="00E6060C" w:rsidRDefault="00E6060C" w:rsidP="00E6060C">
            <w:pPr>
              <w:contextualSpacing/>
            </w:pPr>
          </w:p>
        </w:tc>
        <w:tc>
          <w:tcPr>
            <w:tcW w:w="1433" w:type="dxa"/>
            <w:tcBorders>
              <w:bottom w:val="nil"/>
            </w:tcBorders>
          </w:tcPr>
          <w:p w14:paraId="1CEBE771" w14:textId="77777777" w:rsidR="00E6060C" w:rsidRPr="00E6060C" w:rsidRDefault="00E6060C" w:rsidP="00E6060C">
            <w:pPr>
              <w:contextualSpacing/>
            </w:pPr>
          </w:p>
        </w:tc>
        <w:tc>
          <w:tcPr>
            <w:tcW w:w="2139" w:type="dxa"/>
            <w:tcBorders>
              <w:bottom w:val="nil"/>
            </w:tcBorders>
          </w:tcPr>
          <w:p w14:paraId="211A91E0" w14:textId="77777777" w:rsidR="00E6060C" w:rsidRPr="00E6060C" w:rsidRDefault="00E6060C" w:rsidP="00E6060C">
            <w:pPr>
              <w:contextualSpacing/>
            </w:pPr>
            <w:r w:rsidRPr="00E6060C">
              <w:t>Various</w:t>
            </w:r>
          </w:p>
        </w:tc>
        <w:tc>
          <w:tcPr>
            <w:tcW w:w="6435" w:type="dxa"/>
            <w:tcBorders>
              <w:bottom w:val="nil"/>
            </w:tcBorders>
          </w:tcPr>
          <w:p w14:paraId="135AFE38" w14:textId="77777777" w:rsidR="00E6060C" w:rsidRPr="00E6060C" w:rsidRDefault="00E6060C" w:rsidP="00E6060C"/>
        </w:tc>
      </w:tr>
      <w:tr w:rsidR="00E6060C" w:rsidRPr="00E6060C" w14:paraId="1520E9C9" w14:textId="77777777" w:rsidTr="00E6060C">
        <w:tc>
          <w:tcPr>
            <w:tcW w:w="545" w:type="dxa"/>
            <w:tcBorders>
              <w:top w:val="nil"/>
              <w:bottom w:val="single" w:sz="4" w:space="0" w:color="auto"/>
            </w:tcBorders>
          </w:tcPr>
          <w:p w14:paraId="73D2A2FF" w14:textId="77777777" w:rsidR="00E6060C" w:rsidRPr="00E6060C" w:rsidRDefault="00E6060C" w:rsidP="00E6060C">
            <w:pPr>
              <w:contextualSpacing/>
            </w:pPr>
          </w:p>
        </w:tc>
        <w:tc>
          <w:tcPr>
            <w:tcW w:w="1433" w:type="dxa"/>
            <w:tcBorders>
              <w:top w:val="nil"/>
              <w:bottom w:val="single" w:sz="4" w:space="0" w:color="auto"/>
            </w:tcBorders>
          </w:tcPr>
          <w:p w14:paraId="72C3F650" w14:textId="77777777" w:rsidR="00E6060C" w:rsidRPr="00E6060C" w:rsidRDefault="00E6060C" w:rsidP="00E6060C">
            <w:pPr>
              <w:contextualSpacing/>
            </w:pPr>
          </w:p>
        </w:tc>
        <w:tc>
          <w:tcPr>
            <w:tcW w:w="2139" w:type="dxa"/>
            <w:tcBorders>
              <w:top w:val="nil"/>
              <w:bottom w:val="single" w:sz="4" w:space="0" w:color="auto"/>
            </w:tcBorders>
          </w:tcPr>
          <w:p w14:paraId="62CD47A2" w14:textId="77777777" w:rsidR="00E6060C" w:rsidRPr="00E6060C" w:rsidRDefault="00E6060C" w:rsidP="00E6060C">
            <w:pPr>
              <w:contextualSpacing/>
            </w:pPr>
            <w:r w:rsidRPr="00E6060C">
              <w:t>Not specified</w:t>
            </w:r>
          </w:p>
        </w:tc>
        <w:tc>
          <w:tcPr>
            <w:tcW w:w="6435" w:type="dxa"/>
            <w:tcBorders>
              <w:top w:val="nil"/>
              <w:bottom w:val="single" w:sz="4" w:space="0" w:color="auto"/>
            </w:tcBorders>
          </w:tcPr>
          <w:p w14:paraId="7841F355" w14:textId="77777777" w:rsidR="00E6060C" w:rsidRPr="00E6060C" w:rsidRDefault="00E6060C" w:rsidP="00E6060C"/>
        </w:tc>
      </w:tr>
      <w:tr w:rsidR="00E6060C" w:rsidRPr="00E6060C" w14:paraId="28D30815" w14:textId="77777777" w:rsidTr="00E6060C">
        <w:tc>
          <w:tcPr>
            <w:tcW w:w="545" w:type="dxa"/>
            <w:tcBorders>
              <w:top w:val="single" w:sz="4" w:space="0" w:color="auto"/>
              <w:bottom w:val="nil"/>
            </w:tcBorders>
          </w:tcPr>
          <w:p w14:paraId="2AB578B2" w14:textId="77777777" w:rsidR="00E6060C" w:rsidRPr="00E6060C" w:rsidRDefault="00E6060C" w:rsidP="00E6060C">
            <w:pPr>
              <w:contextualSpacing/>
            </w:pPr>
            <w:r w:rsidRPr="00E6060C">
              <w:t>6</w:t>
            </w:r>
          </w:p>
        </w:tc>
        <w:tc>
          <w:tcPr>
            <w:tcW w:w="1433" w:type="dxa"/>
            <w:tcBorders>
              <w:top w:val="single" w:sz="4" w:space="0" w:color="auto"/>
              <w:bottom w:val="nil"/>
            </w:tcBorders>
          </w:tcPr>
          <w:p w14:paraId="0EE412BE" w14:textId="77777777" w:rsidR="00E6060C" w:rsidRPr="00E6060C" w:rsidRDefault="00E6060C" w:rsidP="00E6060C">
            <w:pPr>
              <w:contextualSpacing/>
            </w:pPr>
            <w:r w:rsidRPr="00E6060C">
              <w:t>Private or public organisation?</w:t>
            </w:r>
          </w:p>
        </w:tc>
        <w:tc>
          <w:tcPr>
            <w:tcW w:w="2139" w:type="dxa"/>
            <w:tcBorders>
              <w:top w:val="single" w:sz="4" w:space="0" w:color="auto"/>
              <w:bottom w:val="nil"/>
            </w:tcBorders>
          </w:tcPr>
          <w:p w14:paraId="5EAFC0D6" w14:textId="77777777" w:rsidR="00E6060C" w:rsidRPr="00E6060C" w:rsidRDefault="00E6060C" w:rsidP="00E6060C">
            <w:pPr>
              <w:contextualSpacing/>
            </w:pPr>
            <w:r w:rsidRPr="00E6060C">
              <w:t>Public</w:t>
            </w:r>
          </w:p>
        </w:tc>
        <w:tc>
          <w:tcPr>
            <w:tcW w:w="6435" w:type="dxa"/>
            <w:tcBorders>
              <w:top w:val="single" w:sz="4" w:space="0" w:color="auto"/>
              <w:bottom w:val="nil"/>
            </w:tcBorders>
          </w:tcPr>
          <w:p w14:paraId="1785CC54" w14:textId="77777777" w:rsidR="00E6060C" w:rsidRPr="00E6060C" w:rsidRDefault="00E6060C" w:rsidP="00F15DDF">
            <w:pPr>
              <w:numPr>
                <w:ilvl w:val="0"/>
                <w:numId w:val="18"/>
              </w:numPr>
              <w:ind w:left="273" w:hanging="273"/>
              <w:contextualSpacing/>
            </w:pPr>
            <w:r w:rsidRPr="00E6060C">
              <w:t xml:space="preserve">Organisations which are subsidised by the government e.g. hospitals, university research institutions </w:t>
            </w:r>
          </w:p>
          <w:p w14:paraId="02FC6C4A" w14:textId="77777777" w:rsidR="00E6060C" w:rsidRPr="00E6060C" w:rsidRDefault="00E6060C" w:rsidP="00F15DDF">
            <w:pPr>
              <w:numPr>
                <w:ilvl w:val="0"/>
                <w:numId w:val="18"/>
              </w:numPr>
              <w:ind w:left="273" w:hanging="273"/>
              <w:contextualSpacing/>
            </w:pPr>
            <w:r w:rsidRPr="00E6060C">
              <w:t>Use this definition for organisations in other countries which would be classed as ‘public’ in the UK</w:t>
            </w:r>
          </w:p>
        </w:tc>
      </w:tr>
      <w:tr w:rsidR="00E6060C" w:rsidRPr="00E6060C" w14:paraId="3D24F111" w14:textId="77777777" w:rsidTr="00E6060C">
        <w:tc>
          <w:tcPr>
            <w:tcW w:w="545" w:type="dxa"/>
            <w:tcBorders>
              <w:top w:val="nil"/>
              <w:bottom w:val="nil"/>
            </w:tcBorders>
          </w:tcPr>
          <w:p w14:paraId="42E9E61F" w14:textId="77777777" w:rsidR="00E6060C" w:rsidRPr="00E6060C" w:rsidRDefault="00E6060C" w:rsidP="00E6060C">
            <w:pPr>
              <w:contextualSpacing/>
            </w:pPr>
          </w:p>
        </w:tc>
        <w:tc>
          <w:tcPr>
            <w:tcW w:w="1433" w:type="dxa"/>
            <w:tcBorders>
              <w:top w:val="nil"/>
              <w:bottom w:val="nil"/>
            </w:tcBorders>
          </w:tcPr>
          <w:p w14:paraId="222E1199" w14:textId="77777777" w:rsidR="00E6060C" w:rsidRPr="00E6060C" w:rsidRDefault="00E6060C" w:rsidP="00E6060C">
            <w:pPr>
              <w:contextualSpacing/>
            </w:pPr>
          </w:p>
        </w:tc>
        <w:tc>
          <w:tcPr>
            <w:tcW w:w="2139" w:type="dxa"/>
            <w:tcBorders>
              <w:top w:val="nil"/>
              <w:bottom w:val="nil"/>
            </w:tcBorders>
          </w:tcPr>
          <w:p w14:paraId="5C65E85B" w14:textId="77777777" w:rsidR="00E6060C" w:rsidRPr="00E6060C" w:rsidRDefault="00E6060C" w:rsidP="00E6060C">
            <w:pPr>
              <w:contextualSpacing/>
            </w:pPr>
            <w:r w:rsidRPr="00E6060C">
              <w:t>Private</w:t>
            </w:r>
          </w:p>
        </w:tc>
        <w:tc>
          <w:tcPr>
            <w:tcW w:w="6435" w:type="dxa"/>
            <w:tcBorders>
              <w:top w:val="nil"/>
              <w:bottom w:val="nil"/>
            </w:tcBorders>
          </w:tcPr>
          <w:p w14:paraId="4C8FD9BA" w14:textId="77777777" w:rsidR="00E6060C" w:rsidRPr="00E6060C" w:rsidRDefault="00E6060C" w:rsidP="00F15DDF">
            <w:pPr>
              <w:numPr>
                <w:ilvl w:val="0"/>
                <w:numId w:val="18"/>
              </w:numPr>
              <w:ind w:left="273" w:hanging="273"/>
              <w:contextualSpacing/>
            </w:pPr>
            <w:r w:rsidRPr="00E6060C">
              <w:t>Organisations which are not subsidised by the government e.g. banks</w:t>
            </w:r>
          </w:p>
          <w:p w14:paraId="45A09946" w14:textId="77777777" w:rsidR="00E6060C" w:rsidRPr="00E6060C" w:rsidRDefault="00E6060C" w:rsidP="00F15DDF">
            <w:pPr>
              <w:numPr>
                <w:ilvl w:val="0"/>
                <w:numId w:val="18"/>
              </w:numPr>
              <w:ind w:left="273" w:hanging="273"/>
              <w:contextualSpacing/>
            </w:pPr>
            <w:r w:rsidRPr="00E6060C">
              <w:t>Use this definition for organisations in other countries which would be classed as ‘private’ in the UK</w:t>
            </w:r>
          </w:p>
        </w:tc>
      </w:tr>
      <w:tr w:rsidR="00E6060C" w:rsidRPr="00E6060C" w14:paraId="4B8416E5" w14:textId="77777777" w:rsidTr="00E6060C">
        <w:tc>
          <w:tcPr>
            <w:tcW w:w="545" w:type="dxa"/>
            <w:tcBorders>
              <w:top w:val="nil"/>
            </w:tcBorders>
          </w:tcPr>
          <w:p w14:paraId="4D40DC76" w14:textId="77777777" w:rsidR="00E6060C" w:rsidRPr="00E6060C" w:rsidRDefault="00E6060C" w:rsidP="00E6060C">
            <w:pPr>
              <w:contextualSpacing/>
            </w:pPr>
          </w:p>
        </w:tc>
        <w:tc>
          <w:tcPr>
            <w:tcW w:w="1433" w:type="dxa"/>
            <w:tcBorders>
              <w:top w:val="nil"/>
            </w:tcBorders>
          </w:tcPr>
          <w:p w14:paraId="4C56790D" w14:textId="77777777" w:rsidR="00E6060C" w:rsidRPr="00E6060C" w:rsidRDefault="00E6060C" w:rsidP="00E6060C">
            <w:pPr>
              <w:contextualSpacing/>
            </w:pPr>
          </w:p>
        </w:tc>
        <w:tc>
          <w:tcPr>
            <w:tcW w:w="2139" w:type="dxa"/>
            <w:tcBorders>
              <w:top w:val="nil"/>
            </w:tcBorders>
          </w:tcPr>
          <w:p w14:paraId="2C6ECDED" w14:textId="77777777" w:rsidR="00E6060C" w:rsidRPr="00E6060C" w:rsidRDefault="00E6060C" w:rsidP="00E6060C">
            <w:pPr>
              <w:contextualSpacing/>
            </w:pPr>
            <w:r w:rsidRPr="00E6060C">
              <w:t>Unknown</w:t>
            </w:r>
          </w:p>
        </w:tc>
        <w:tc>
          <w:tcPr>
            <w:tcW w:w="6435" w:type="dxa"/>
            <w:tcBorders>
              <w:top w:val="nil"/>
            </w:tcBorders>
          </w:tcPr>
          <w:p w14:paraId="31DECDA6" w14:textId="77777777" w:rsidR="00E6060C" w:rsidRPr="00E6060C" w:rsidRDefault="00E6060C" w:rsidP="00F15DDF">
            <w:pPr>
              <w:numPr>
                <w:ilvl w:val="0"/>
                <w:numId w:val="18"/>
              </w:numPr>
              <w:ind w:left="273" w:hanging="273"/>
              <w:contextualSpacing/>
            </w:pPr>
            <w:r w:rsidRPr="00E6060C">
              <w:t>Use this for studies which involve organisations across the public or private sector, preventing a code being assigned, or when there is not enough information to categorise an organisation</w:t>
            </w:r>
          </w:p>
        </w:tc>
      </w:tr>
      <w:tr w:rsidR="00E6060C" w:rsidRPr="00E6060C" w14:paraId="41F41CA1" w14:textId="77777777" w:rsidTr="00E6060C">
        <w:tc>
          <w:tcPr>
            <w:tcW w:w="545" w:type="dxa"/>
            <w:tcBorders>
              <w:top w:val="single" w:sz="4" w:space="0" w:color="auto"/>
            </w:tcBorders>
          </w:tcPr>
          <w:p w14:paraId="256F34DF" w14:textId="77777777" w:rsidR="00E6060C" w:rsidRPr="00E6060C" w:rsidRDefault="00E6060C" w:rsidP="00E6060C">
            <w:pPr>
              <w:contextualSpacing/>
            </w:pPr>
            <w:r w:rsidRPr="00E6060C">
              <w:t>7</w:t>
            </w:r>
          </w:p>
        </w:tc>
        <w:tc>
          <w:tcPr>
            <w:tcW w:w="1433" w:type="dxa"/>
            <w:tcBorders>
              <w:top w:val="single" w:sz="4" w:space="0" w:color="auto"/>
            </w:tcBorders>
          </w:tcPr>
          <w:p w14:paraId="364C1525" w14:textId="77777777" w:rsidR="00E6060C" w:rsidRPr="00E6060C" w:rsidRDefault="00E6060C" w:rsidP="00E6060C">
            <w:pPr>
              <w:contextualSpacing/>
            </w:pPr>
            <w:r w:rsidRPr="00E6060C">
              <w:t>Country</w:t>
            </w:r>
          </w:p>
        </w:tc>
        <w:tc>
          <w:tcPr>
            <w:tcW w:w="2139" w:type="dxa"/>
            <w:tcBorders>
              <w:top w:val="single" w:sz="4" w:space="0" w:color="auto"/>
            </w:tcBorders>
          </w:tcPr>
          <w:p w14:paraId="1FD406E2" w14:textId="77777777" w:rsidR="00E6060C" w:rsidRPr="00E6060C" w:rsidRDefault="00E6060C" w:rsidP="00E6060C">
            <w:pPr>
              <w:contextualSpacing/>
            </w:pPr>
            <w:r w:rsidRPr="00E6060C">
              <w:t>Exact name of country</w:t>
            </w:r>
          </w:p>
        </w:tc>
        <w:tc>
          <w:tcPr>
            <w:tcW w:w="6435" w:type="dxa"/>
            <w:tcBorders>
              <w:top w:val="single" w:sz="4" w:space="0" w:color="auto"/>
            </w:tcBorders>
          </w:tcPr>
          <w:p w14:paraId="2418C8CC" w14:textId="77777777" w:rsidR="00E6060C" w:rsidRPr="00E6060C" w:rsidRDefault="00E6060C" w:rsidP="00F15DDF">
            <w:pPr>
              <w:numPr>
                <w:ilvl w:val="0"/>
                <w:numId w:val="18"/>
              </w:numPr>
              <w:ind w:left="273" w:hanging="273"/>
              <w:contextualSpacing/>
            </w:pPr>
            <w:r w:rsidRPr="00E6060C">
              <w:t>Code the country exactly as found in the article (i.e. with the name of that country).</w:t>
            </w:r>
          </w:p>
          <w:p w14:paraId="65DBF287" w14:textId="77777777" w:rsidR="00E6060C" w:rsidRPr="00E6060C" w:rsidRDefault="00E6060C" w:rsidP="00F15DDF">
            <w:pPr>
              <w:numPr>
                <w:ilvl w:val="0"/>
                <w:numId w:val="18"/>
              </w:numPr>
              <w:ind w:left="273" w:hanging="273"/>
              <w:contextualSpacing/>
            </w:pPr>
            <w:r w:rsidRPr="00E6060C">
              <w:t xml:space="preserve">If a state or continent is given but no country, where possible deduct the country from other information given in the article / document, otherwise code as ‘unknown’. </w:t>
            </w:r>
          </w:p>
        </w:tc>
      </w:tr>
      <w:tr w:rsidR="00E6060C" w:rsidRPr="00E6060C" w14:paraId="019EA618" w14:textId="77777777" w:rsidTr="00E6060C">
        <w:tc>
          <w:tcPr>
            <w:tcW w:w="545" w:type="dxa"/>
            <w:tcBorders>
              <w:bottom w:val="nil"/>
            </w:tcBorders>
          </w:tcPr>
          <w:p w14:paraId="4CFB226E" w14:textId="77777777" w:rsidR="00E6060C" w:rsidRPr="00E6060C" w:rsidRDefault="00E6060C" w:rsidP="00E6060C">
            <w:pPr>
              <w:contextualSpacing/>
            </w:pPr>
          </w:p>
        </w:tc>
        <w:tc>
          <w:tcPr>
            <w:tcW w:w="1433" w:type="dxa"/>
            <w:tcBorders>
              <w:bottom w:val="nil"/>
            </w:tcBorders>
          </w:tcPr>
          <w:p w14:paraId="5964BCE9" w14:textId="77777777" w:rsidR="00E6060C" w:rsidRPr="00E6060C" w:rsidRDefault="00E6060C" w:rsidP="00E6060C">
            <w:pPr>
              <w:contextualSpacing/>
            </w:pPr>
          </w:p>
        </w:tc>
        <w:tc>
          <w:tcPr>
            <w:tcW w:w="2139" w:type="dxa"/>
            <w:tcBorders>
              <w:bottom w:val="nil"/>
            </w:tcBorders>
          </w:tcPr>
          <w:p w14:paraId="08B02684" w14:textId="77777777" w:rsidR="00E6060C" w:rsidRPr="00E6060C" w:rsidRDefault="00E6060C" w:rsidP="00E6060C">
            <w:pPr>
              <w:contextualSpacing/>
            </w:pPr>
            <w:r w:rsidRPr="00E6060C">
              <w:t>Various</w:t>
            </w:r>
          </w:p>
        </w:tc>
        <w:tc>
          <w:tcPr>
            <w:tcW w:w="6435" w:type="dxa"/>
            <w:tcBorders>
              <w:bottom w:val="nil"/>
            </w:tcBorders>
          </w:tcPr>
          <w:p w14:paraId="68C250B2" w14:textId="77777777" w:rsidR="00E6060C" w:rsidRPr="00E6060C" w:rsidRDefault="00E6060C" w:rsidP="00F15DDF">
            <w:pPr>
              <w:numPr>
                <w:ilvl w:val="0"/>
                <w:numId w:val="18"/>
              </w:numPr>
              <w:ind w:left="273" w:hanging="273"/>
              <w:contextualSpacing/>
            </w:pPr>
            <w:r w:rsidRPr="00E6060C">
              <w:t>If several countries are involved, state ‘various’, unless the samples involved in each country are counted as separate studies (see ‘study number’ above)</w:t>
            </w:r>
          </w:p>
        </w:tc>
      </w:tr>
      <w:tr w:rsidR="00E6060C" w:rsidRPr="00E6060C" w14:paraId="1B8DAC3E" w14:textId="77777777" w:rsidTr="00E6060C">
        <w:tc>
          <w:tcPr>
            <w:tcW w:w="545" w:type="dxa"/>
            <w:tcBorders>
              <w:top w:val="nil"/>
              <w:bottom w:val="single" w:sz="4" w:space="0" w:color="auto"/>
            </w:tcBorders>
          </w:tcPr>
          <w:p w14:paraId="3E5689A3" w14:textId="77777777" w:rsidR="00E6060C" w:rsidRPr="00E6060C" w:rsidRDefault="00E6060C" w:rsidP="00E6060C">
            <w:pPr>
              <w:contextualSpacing/>
            </w:pPr>
          </w:p>
        </w:tc>
        <w:tc>
          <w:tcPr>
            <w:tcW w:w="1433" w:type="dxa"/>
            <w:tcBorders>
              <w:top w:val="nil"/>
              <w:bottom w:val="single" w:sz="4" w:space="0" w:color="auto"/>
            </w:tcBorders>
          </w:tcPr>
          <w:p w14:paraId="18EAFE6C" w14:textId="77777777" w:rsidR="00E6060C" w:rsidRPr="00E6060C" w:rsidRDefault="00E6060C" w:rsidP="00E6060C">
            <w:pPr>
              <w:contextualSpacing/>
            </w:pPr>
          </w:p>
        </w:tc>
        <w:tc>
          <w:tcPr>
            <w:tcW w:w="2139" w:type="dxa"/>
            <w:tcBorders>
              <w:top w:val="nil"/>
              <w:bottom w:val="single" w:sz="4" w:space="0" w:color="auto"/>
            </w:tcBorders>
          </w:tcPr>
          <w:p w14:paraId="0A2F29C3" w14:textId="77777777" w:rsidR="00E6060C" w:rsidRPr="00E6060C" w:rsidRDefault="00E6060C" w:rsidP="00E6060C">
            <w:pPr>
              <w:contextualSpacing/>
            </w:pPr>
            <w:r w:rsidRPr="00E6060C">
              <w:t>Unknown</w:t>
            </w:r>
          </w:p>
        </w:tc>
        <w:tc>
          <w:tcPr>
            <w:tcW w:w="6435" w:type="dxa"/>
            <w:tcBorders>
              <w:top w:val="nil"/>
              <w:bottom w:val="single" w:sz="4" w:space="0" w:color="auto"/>
            </w:tcBorders>
          </w:tcPr>
          <w:p w14:paraId="4E61DDFA" w14:textId="77777777" w:rsidR="00E6060C" w:rsidRPr="00E6060C" w:rsidRDefault="00E6060C" w:rsidP="00F15DDF">
            <w:pPr>
              <w:numPr>
                <w:ilvl w:val="0"/>
                <w:numId w:val="18"/>
              </w:numPr>
              <w:ind w:left="273" w:hanging="273"/>
              <w:contextualSpacing/>
            </w:pPr>
            <w:r w:rsidRPr="00E6060C">
              <w:t xml:space="preserve">If a state or continent is given but no country, where possible deduct the country from other information given in the article / document, otherwise code as ‘unknown’. </w:t>
            </w:r>
          </w:p>
        </w:tc>
      </w:tr>
      <w:tr w:rsidR="00E6060C" w:rsidRPr="00E6060C" w14:paraId="17ABD58D" w14:textId="77777777" w:rsidTr="00E6060C">
        <w:tc>
          <w:tcPr>
            <w:tcW w:w="545" w:type="dxa"/>
            <w:tcBorders>
              <w:top w:val="single" w:sz="4" w:space="0" w:color="auto"/>
              <w:bottom w:val="nil"/>
            </w:tcBorders>
          </w:tcPr>
          <w:p w14:paraId="251599FF" w14:textId="5973730B" w:rsidR="00E6060C" w:rsidRPr="00E6060C" w:rsidRDefault="003C26F3" w:rsidP="00E6060C">
            <w:pPr>
              <w:contextualSpacing/>
            </w:pPr>
            <w:r>
              <w:t>8</w:t>
            </w:r>
          </w:p>
        </w:tc>
        <w:tc>
          <w:tcPr>
            <w:tcW w:w="1433" w:type="dxa"/>
            <w:tcBorders>
              <w:top w:val="single" w:sz="4" w:space="0" w:color="auto"/>
              <w:bottom w:val="nil"/>
            </w:tcBorders>
          </w:tcPr>
          <w:p w14:paraId="48C18C73" w14:textId="71F748AF" w:rsidR="00E6060C" w:rsidRPr="00E6060C" w:rsidRDefault="008D763C" w:rsidP="00E6060C">
            <w:pPr>
              <w:contextualSpacing/>
            </w:pPr>
            <w:r>
              <w:t xml:space="preserve">Type of intervention </w:t>
            </w:r>
          </w:p>
        </w:tc>
        <w:tc>
          <w:tcPr>
            <w:tcW w:w="2139" w:type="dxa"/>
            <w:tcBorders>
              <w:top w:val="single" w:sz="4" w:space="0" w:color="auto"/>
              <w:bottom w:val="nil"/>
            </w:tcBorders>
          </w:tcPr>
          <w:p w14:paraId="4435F630" w14:textId="77777777" w:rsidR="00E6060C" w:rsidRPr="00E6060C" w:rsidRDefault="00E6060C" w:rsidP="00E6060C">
            <w:pPr>
              <w:contextualSpacing/>
            </w:pPr>
            <w:r w:rsidRPr="00E6060C">
              <w:t>Job resource building</w:t>
            </w:r>
          </w:p>
        </w:tc>
        <w:tc>
          <w:tcPr>
            <w:tcW w:w="6435" w:type="dxa"/>
            <w:tcBorders>
              <w:top w:val="single" w:sz="4" w:space="0" w:color="auto"/>
              <w:bottom w:val="single" w:sz="4" w:space="0" w:color="auto"/>
            </w:tcBorders>
          </w:tcPr>
          <w:p w14:paraId="6532642E" w14:textId="0C2599E2" w:rsidR="00E6060C" w:rsidRPr="00E6060C" w:rsidRDefault="00E6060C" w:rsidP="00E6060C">
            <w:pPr>
              <w:contextualSpacing/>
            </w:pPr>
            <w:r w:rsidRPr="00E6060C">
              <w:rPr>
                <w:b/>
              </w:rPr>
              <w:t xml:space="preserve">Definition: </w:t>
            </w:r>
            <w:r w:rsidRPr="00E6060C">
              <w:t xml:space="preserve">In accordance with the </w:t>
            </w:r>
            <w:r w:rsidR="00A43B59">
              <w:t>Job Demands-Resources</w:t>
            </w:r>
            <w:r w:rsidRPr="00E6060C">
              <w:t xml:space="preserve"> model </w:t>
            </w:r>
            <w:r w:rsidRPr="00E6060C">
              <w:rPr>
                <w:rFonts w:ascii="Calibri" w:hAnsi="Calibri" w:cs="Calibri"/>
              </w:rPr>
              <w:t>(JD-R; Bakker and Demerouti, 2007; 2008), j</w:t>
            </w:r>
            <w:r w:rsidRPr="00E6060C">
              <w:t xml:space="preserve">ob resources </w:t>
            </w:r>
            <w:r w:rsidRPr="00E6060C">
              <w:rPr>
                <w:rFonts w:ascii="Calibri" w:hAnsi="Calibri" w:cs="Calibri"/>
              </w:rPr>
              <w:t>refer to physical, social or organisational aspects of the job (e.g. feedback, social support, development opportunities) that can reduce job demands (e.g. workload, emotional and cognitive demands), help employees to achieve work goals and stimulate personal learning and development. Thus, interventions which build job resources may focus on changing</w:t>
            </w:r>
            <w:r w:rsidRPr="00E6060C">
              <w:t xml:space="preserve"> aspects of:</w:t>
            </w:r>
          </w:p>
          <w:p w14:paraId="593A2342" w14:textId="77777777" w:rsidR="00E6060C" w:rsidRPr="00E6060C" w:rsidRDefault="00E6060C" w:rsidP="00F15DDF">
            <w:pPr>
              <w:numPr>
                <w:ilvl w:val="0"/>
                <w:numId w:val="18"/>
              </w:numPr>
              <w:ind w:left="273" w:hanging="273"/>
              <w:contextualSpacing/>
            </w:pPr>
            <w:r w:rsidRPr="00E6060C">
              <w:t>the physical environment e.g. redesigning physical layout of offices;</w:t>
            </w:r>
          </w:p>
          <w:p w14:paraId="2667800F" w14:textId="77777777" w:rsidR="00E6060C" w:rsidRPr="00E6060C" w:rsidRDefault="00E6060C" w:rsidP="00F15DDF">
            <w:pPr>
              <w:numPr>
                <w:ilvl w:val="0"/>
                <w:numId w:val="18"/>
              </w:numPr>
              <w:ind w:left="273" w:hanging="273"/>
              <w:contextualSpacing/>
            </w:pPr>
            <w:r w:rsidRPr="00E6060C">
              <w:t>the social environment e.g. increasing supervisor &amp; colleague support;</w:t>
            </w:r>
          </w:p>
          <w:p w14:paraId="6BA87432" w14:textId="77777777" w:rsidR="00E6060C" w:rsidRPr="00E6060C" w:rsidRDefault="00E6060C" w:rsidP="00F15DDF">
            <w:pPr>
              <w:numPr>
                <w:ilvl w:val="0"/>
                <w:numId w:val="18"/>
              </w:numPr>
              <w:ind w:left="273" w:hanging="273"/>
              <w:contextualSpacing/>
            </w:pPr>
            <w:r w:rsidRPr="00E6060C">
              <w:t>the resources of the individual e.g. job crafting interventions</w:t>
            </w:r>
          </w:p>
          <w:p w14:paraId="387E9D92" w14:textId="77777777" w:rsidR="00E6060C" w:rsidRPr="00E6060C" w:rsidRDefault="00E6060C" w:rsidP="00F15DDF">
            <w:pPr>
              <w:numPr>
                <w:ilvl w:val="0"/>
                <w:numId w:val="18"/>
              </w:numPr>
              <w:ind w:left="273" w:hanging="273"/>
              <w:contextualSpacing/>
            </w:pPr>
            <w:r w:rsidRPr="00E6060C">
              <w:t>systemic systems e.g. implementing an internal IT system</w:t>
            </w:r>
          </w:p>
          <w:p w14:paraId="6C6FCA2B" w14:textId="77777777" w:rsidR="00E6060C" w:rsidRPr="00E6060C" w:rsidRDefault="00E6060C" w:rsidP="00E6060C">
            <w:r w:rsidRPr="00E6060C">
              <w:rPr>
                <w:b/>
              </w:rPr>
              <w:t>NB:</w:t>
            </w:r>
            <w:r w:rsidRPr="00E6060C">
              <w:t xml:space="preserve"> Coding decisions may depend on the outcomes which have been collected; if the outcomes measured primarily reflect job resources, code the intervention as such.  In addition, </w:t>
            </w:r>
            <w:r w:rsidRPr="00E6060C">
              <w:rPr>
                <w:b/>
              </w:rPr>
              <w:t>code each intervention group within a study separately</w:t>
            </w:r>
          </w:p>
        </w:tc>
      </w:tr>
      <w:tr w:rsidR="00E6060C" w:rsidRPr="00E6060C" w14:paraId="1F94353C" w14:textId="77777777" w:rsidTr="00E6060C">
        <w:tc>
          <w:tcPr>
            <w:tcW w:w="545" w:type="dxa"/>
            <w:tcBorders>
              <w:top w:val="nil"/>
              <w:bottom w:val="nil"/>
            </w:tcBorders>
          </w:tcPr>
          <w:p w14:paraId="362C3480" w14:textId="77777777" w:rsidR="00E6060C" w:rsidRPr="00E6060C" w:rsidRDefault="00E6060C" w:rsidP="00E6060C">
            <w:pPr>
              <w:contextualSpacing/>
            </w:pPr>
          </w:p>
        </w:tc>
        <w:tc>
          <w:tcPr>
            <w:tcW w:w="1433" w:type="dxa"/>
            <w:tcBorders>
              <w:top w:val="nil"/>
              <w:bottom w:val="nil"/>
            </w:tcBorders>
          </w:tcPr>
          <w:p w14:paraId="58E6E7C4" w14:textId="77777777" w:rsidR="00E6060C" w:rsidRPr="00E6060C" w:rsidRDefault="00E6060C" w:rsidP="00E6060C">
            <w:pPr>
              <w:contextualSpacing/>
            </w:pPr>
          </w:p>
        </w:tc>
        <w:tc>
          <w:tcPr>
            <w:tcW w:w="2139" w:type="dxa"/>
            <w:tcBorders>
              <w:top w:val="nil"/>
              <w:bottom w:val="nil"/>
            </w:tcBorders>
          </w:tcPr>
          <w:p w14:paraId="2D563F2B" w14:textId="77777777" w:rsidR="00E6060C" w:rsidRPr="00E6060C" w:rsidRDefault="00E6060C" w:rsidP="00E6060C">
            <w:pPr>
              <w:contextualSpacing/>
            </w:pPr>
            <w:r w:rsidRPr="00E6060C">
              <w:t>Personal resource building</w:t>
            </w:r>
          </w:p>
        </w:tc>
        <w:tc>
          <w:tcPr>
            <w:tcW w:w="6435" w:type="dxa"/>
            <w:tcBorders>
              <w:top w:val="single" w:sz="4" w:space="0" w:color="auto"/>
              <w:bottom w:val="single" w:sz="4" w:space="0" w:color="auto"/>
            </w:tcBorders>
          </w:tcPr>
          <w:p w14:paraId="60C21CDA" w14:textId="77777777" w:rsidR="00E6060C" w:rsidRPr="00E6060C" w:rsidRDefault="00E6060C" w:rsidP="00E6060C">
            <w:pPr>
              <w:contextualSpacing/>
            </w:pPr>
            <w:r w:rsidRPr="00E6060C">
              <w:rPr>
                <w:b/>
              </w:rPr>
              <w:t xml:space="preserve">Definition: </w:t>
            </w:r>
            <w:r w:rsidRPr="00E6060C">
              <w:rPr>
                <w:rFonts w:ascii="Calibri" w:hAnsi="Calibri" w:cs="Calibri"/>
              </w:rPr>
              <w:t>Personal resources refer to ‘positive self-evaluations that are linked to resiliency and refer to individuals’ sense of their ability to control and impact upon their environment successfully’ (Bakker &amp; Demerouti, 2008 p.5). These include, but are not limited to, self-esteem, self-efficacy, resilience and optimism. Interventions which aim to increase personal resources may therefore include:</w:t>
            </w:r>
          </w:p>
          <w:p w14:paraId="11D9B4EF" w14:textId="77777777" w:rsidR="00E6060C" w:rsidRPr="00E6060C" w:rsidRDefault="00E6060C" w:rsidP="00F15DDF">
            <w:pPr>
              <w:numPr>
                <w:ilvl w:val="0"/>
                <w:numId w:val="18"/>
              </w:numPr>
              <w:ind w:left="273" w:hanging="273"/>
              <w:contextualSpacing/>
            </w:pPr>
            <w:r w:rsidRPr="00E6060C">
              <w:t>programmes to build self-efficacy, career self-efficacy, resilience or psychological capital</w:t>
            </w:r>
          </w:p>
          <w:p w14:paraId="67FEF137" w14:textId="77777777" w:rsidR="00E6060C" w:rsidRPr="00E6060C" w:rsidRDefault="00E6060C" w:rsidP="00F15DDF">
            <w:pPr>
              <w:numPr>
                <w:ilvl w:val="0"/>
                <w:numId w:val="18"/>
              </w:numPr>
              <w:ind w:left="273" w:hanging="273"/>
              <w:contextualSpacing/>
            </w:pPr>
            <w:r w:rsidRPr="00E6060C">
              <w:t>empowerment programmes</w:t>
            </w:r>
          </w:p>
          <w:p w14:paraId="3A78B441" w14:textId="77777777" w:rsidR="00E6060C" w:rsidRPr="00E6060C" w:rsidRDefault="00E6060C" w:rsidP="00F15DDF">
            <w:pPr>
              <w:numPr>
                <w:ilvl w:val="0"/>
                <w:numId w:val="18"/>
              </w:numPr>
              <w:ind w:left="273" w:hanging="273"/>
              <w:contextualSpacing/>
            </w:pPr>
            <w:r w:rsidRPr="00E6060C">
              <w:t>programmes to build on ‘strengths’ e.g. gratitude, kindness, curiosity</w:t>
            </w:r>
          </w:p>
          <w:p w14:paraId="43A80352" w14:textId="77777777" w:rsidR="00E6060C" w:rsidRPr="00E6060C" w:rsidRDefault="00E6060C" w:rsidP="00E6060C">
            <w:r w:rsidRPr="00E6060C">
              <w:rPr>
                <w:b/>
              </w:rPr>
              <w:t>NB:</w:t>
            </w:r>
            <w:r w:rsidRPr="00E6060C">
              <w:t xml:space="preserve"> Coding decisions may depend on the outcomes which have been collected; if the outcomes measured primarily reflect personal </w:t>
            </w:r>
            <w:r w:rsidRPr="00E6060C">
              <w:lastRenderedPageBreak/>
              <w:t xml:space="preserve">resources, code the intervention as such.  In addition, </w:t>
            </w:r>
            <w:r w:rsidRPr="00E6060C">
              <w:rPr>
                <w:b/>
              </w:rPr>
              <w:t>code each intervention group within a study separately</w:t>
            </w:r>
          </w:p>
        </w:tc>
      </w:tr>
      <w:tr w:rsidR="00E6060C" w:rsidRPr="00E6060C" w14:paraId="63C0AB77" w14:textId="77777777" w:rsidTr="00E6060C">
        <w:tc>
          <w:tcPr>
            <w:tcW w:w="545" w:type="dxa"/>
            <w:tcBorders>
              <w:top w:val="nil"/>
              <w:bottom w:val="nil"/>
            </w:tcBorders>
          </w:tcPr>
          <w:p w14:paraId="13CB0D79" w14:textId="77777777" w:rsidR="00E6060C" w:rsidRPr="00E6060C" w:rsidRDefault="00E6060C" w:rsidP="00E6060C">
            <w:pPr>
              <w:contextualSpacing/>
            </w:pPr>
          </w:p>
        </w:tc>
        <w:tc>
          <w:tcPr>
            <w:tcW w:w="1433" w:type="dxa"/>
            <w:tcBorders>
              <w:top w:val="nil"/>
              <w:bottom w:val="nil"/>
            </w:tcBorders>
          </w:tcPr>
          <w:p w14:paraId="6FD0AA27" w14:textId="77777777" w:rsidR="00E6060C" w:rsidRPr="00E6060C" w:rsidRDefault="00E6060C" w:rsidP="00E6060C">
            <w:pPr>
              <w:contextualSpacing/>
            </w:pPr>
          </w:p>
        </w:tc>
        <w:tc>
          <w:tcPr>
            <w:tcW w:w="2139" w:type="dxa"/>
            <w:tcBorders>
              <w:top w:val="nil"/>
              <w:bottom w:val="nil"/>
            </w:tcBorders>
          </w:tcPr>
          <w:p w14:paraId="331C9A26" w14:textId="77777777" w:rsidR="00E6060C" w:rsidRPr="00E6060C" w:rsidRDefault="00E6060C" w:rsidP="00E6060C">
            <w:pPr>
              <w:contextualSpacing/>
            </w:pPr>
            <w:r w:rsidRPr="00E6060C">
              <w:t>Health promotion</w:t>
            </w:r>
          </w:p>
        </w:tc>
        <w:tc>
          <w:tcPr>
            <w:tcW w:w="6435" w:type="dxa"/>
            <w:tcBorders>
              <w:top w:val="single" w:sz="4" w:space="0" w:color="auto"/>
              <w:bottom w:val="single" w:sz="4" w:space="0" w:color="auto"/>
            </w:tcBorders>
          </w:tcPr>
          <w:p w14:paraId="6B526092" w14:textId="099D525D" w:rsidR="00E6060C" w:rsidRPr="00E6060C" w:rsidRDefault="00E6060C" w:rsidP="00E6060C">
            <w:pPr>
              <w:ind w:left="34" w:hanging="34"/>
              <w:contextualSpacing/>
            </w:pPr>
            <w:r w:rsidRPr="00E6060C">
              <w:rPr>
                <w:b/>
              </w:rPr>
              <w:t xml:space="preserve">Definition: </w:t>
            </w:r>
            <w:r w:rsidRPr="00E6060C">
              <w:t>Typically,</w:t>
            </w:r>
            <w:r w:rsidRPr="00E6060C">
              <w:rPr>
                <w:b/>
              </w:rPr>
              <w:t xml:space="preserve"> </w:t>
            </w:r>
            <w:r w:rsidRPr="00E6060C">
              <w:t xml:space="preserve">‘Worksite Health Promotion’ (WHP) interventions aim to promote </w:t>
            </w:r>
            <w:r w:rsidRPr="00E6060C">
              <w:rPr>
                <w:rFonts w:ascii="Calibri" w:hAnsi="Calibri" w:cs="Calibri"/>
              </w:rPr>
              <w:t xml:space="preserve">positive outcomes such as work engagement, work-related </w:t>
            </w:r>
            <w:r w:rsidR="001D6140">
              <w:rPr>
                <w:rFonts w:ascii="Calibri" w:hAnsi="Calibri" w:cs="Calibri"/>
              </w:rPr>
              <w:t>well-being</w:t>
            </w:r>
            <w:r w:rsidRPr="00E6060C">
              <w:rPr>
                <w:rFonts w:ascii="Calibri" w:hAnsi="Calibri" w:cs="Calibri"/>
              </w:rPr>
              <w:t xml:space="preserve">, and employee performance and productivity, whilst reducing negative outcomes such as absenteeism and presenteeism. For the purposes of this meta-analysis ‘health promotion’ interventions refer to all interventions which aim to improve positive outcomes or reduce negative outcomes, and thus include:  </w:t>
            </w:r>
          </w:p>
          <w:p w14:paraId="524FA6CA" w14:textId="77777777" w:rsidR="00E6060C" w:rsidRPr="00E6060C" w:rsidRDefault="00E6060C" w:rsidP="00F15DDF">
            <w:pPr>
              <w:numPr>
                <w:ilvl w:val="0"/>
                <w:numId w:val="18"/>
              </w:numPr>
              <w:ind w:left="273" w:hanging="273"/>
              <w:contextualSpacing/>
            </w:pPr>
            <w:r w:rsidRPr="00E6060C">
              <w:t xml:space="preserve">stress reduction interventions </w:t>
            </w:r>
          </w:p>
          <w:p w14:paraId="54BE86FF" w14:textId="77777777" w:rsidR="00E6060C" w:rsidRPr="00E6060C" w:rsidRDefault="00E6060C" w:rsidP="00F15DDF">
            <w:pPr>
              <w:numPr>
                <w:ilvl w:val="0"/>
                <w:numId w:val="18"/>
              </w:numPr>
              <w:ind w:left="273" w:hanging="273"/>
              <w:contextualSpacing/>
            </w:pPr>
            <w:r w:rsidRPr="00E6060C">
              <w:t xml:space="preserve">mindfulness based programmes </w:t>
            </w:r>
          </w:p>
          <w:p w14:paraId="2C4DC8E4" w14:textId="77777777" w:rsidR="00E6060C" w:rsidRPr="00E6060C" w:rsidRDefault="00E6060C" w:rsidP="00F15DDF">
            <w:pPr>
              <w:numPr>
                <w:ilvl w:val="0"/>
                <w:numId w:val="18"/>
              </w:numPr>
              <w:ind w:left="273" w:hanging="273"/>
              <w:contextualSpacing/>
            </w:pPr>
            <w:r w:rsidRPr="00E6060C">
              <w:t>exercise programmes</w:t>
            </w:r>
          </w:p>
          <w:p w14:paraId="3F20AE04" w14:textId="77777777" w:rsidR="00E6060C" w:rsidRPr="00E6060C" w:rsidRDefault="00E6060C" w:rsidP="00E6060C">
            <w:r w:rsidRPr="00E6060C">
              <w:rPr>
                <w:b/>
              </w:rPr>
              <w:t>NB: Code each intervention group within a study separately</w:t>
            </w:r>
          </w:p>
        </w:tc>
      </w:tr>
      <w:tr w:rsidR="00E6060C" w:rsidRPr="00E6060C" w14:paraId="7C72128A" w14:textId="77777777" w:rsidTr="00E6060C">
        <w:tc>
          <w:tcPr>
            <w:tcW w:w="545" w:type="dxa"/>
            <w:tcBorders>
              <w:top w:val="nil"/>
              <w:bottom w:val="single" w:sz="4" w:space="0" w:color="auto"/>
            </w:tcBorders>
          </w:tcPr>
          <w:p w14:paraId="717ED02A" w14:textId="77777777" w:rsidR="00E6060C" w:rsidRPr="00E6060C" w:rsidRDefault="00E6060C" w:rsidP="00E6060C">
            <w:pPr>
              <w:contextualSpacing/>
            </w:pPr>
          </w:p>
        </w:tc>
        <w:tc>
          <w:tcPr>
            <w:tcW w:w="1433" w:type="dxa"/>
            <w:tcBorders>
              <w:top w:val="nil"/>
              <w:bottom w:val="single" w:sz="4" w:space="0" w:color="auto"/>
            </w:tcBorders>
          </w:tcPr>
          <w:p w14:paraId="2904D697" w14:textId="77777777" w:rsidR="00E6060C" w:rsidRPr="00E6060C" w:rsidRDefault="00E6060C" w:rsidP="00E6060C">
            <w:pPr>
              <w:contextualSpacing/>
            </w:pPr>
          </w:p>
        </w:tc>
        <w:tc>
          <w:tcPr>
            <w:tcW w:w="2139" w:type="dxa"/>
            <w:tcBorders>
              <w:top w:val="nil"/>
              <w:bottom w:val="single" w:sz="4" w:space="0" w:color="auto"/>
            </w:tcBorders>
          </w:tcPr>
          <w:p w14:paraId="39A93819" w14:textId="77777777" w:rsidR="00E6060C" w:rsidRPr="00E6060C" w:rsidRDefault="00E6060C" w:rsidP="00E6060C">
            <w:pPr>
              <w:contextualSpacing/>
            </w:pPr>
            <w:r w:rsidRPr="00E6060C">
              <w:t>Leadership training</w:t>
            </w:r>
          </w:p>
        </w:tc>
        <w:tc>
          <w:tcPr>
            <w:tcW w:w="6435" w:type="dxa"/>
            <w:tcBorders>
              <w:top w:val="single" w:sz="4" w:space="0" w:color="auto"/>
              <w:bottom w:val="single" w:sz="4" w:space="0" w:color="auto"/>
            </w:tcBorders>
          </w:tcPr>
          <w:p w14:paraId="2BD9D75F" w14:textId="77777777" w:rsidR="00E6060C" w:rsidRPr="00E6060C" w:rsidRDefault="00E6060C" w:rsidP="00E6060C">
            <w:pPr>
              <w:ind w:left="34" w:hanging="34"/>
              <w:contextualSpacing/>
            </w:pPr>
            <w:r w:rsidRPr="00E6060C">
              <w:rPr>
                <w:b/>
              </w:rPr>
              <w:t xml:space="preserve">Definition: </w:t>
            </w:r>
            <w:r w:rsidRPr="00E6060C">
              <w:t>Interventions conducted directly with leaders, managers and / or supervisors with the primary intention of impacting on these individuals’ leadership abilities and skills, and the secondary intention of impacting positively on their employees. Such interventions may include:</w:t>
            </w:r>
          </w:p>
          <w:p w14:paraId="5F282B81" w14:textId="77777777" w:rsidR="00E6060C" w:rsidRPr="00E6060C" w:rsidRDefault="00E6060C" w:rsidP="00F15DDF">
            <w:pPr>
              <w:numPr>
                <w:ilvl w:val="0"/>
                <w:numId w:val="19"/>
              </w:numPr>
              <w:ind w:left="317" w:hanging="283"/>
              <w:contextualSpacing/>
            </w:pPr>
            <w:r w:rsidRPr="00E6060C">
              <w:t>educative workshops</w:t>
            </w:r>
          </w:p>
          <w:p w14:paraId="2319E575" w14:textId="77777777" w:rsidR="00E6060C" w:rsidRPr="00E6060C" w:rsidRDefault="00E6060C" w:rsidP="00F15DDF">
            <w:pPr>
              <w:numPr>
                <w:ilvl w:val="0"/>
                <w:numId w:val="19"/>
              </w:numPr>
              <w:ind w:left="317" w:hanging="283"/>
              <w:contextualSpacing/>
            </w:pPr>
            <w:r w:rsidRPr="00E6060C">
              <w:t>self- and group- reflection</w:t>
            </w:r>
          </w:p>
          <w:p w14:paraId="33847B11" w14:textId="77777777" w:rsidR="00E6060C" w:rsidRPr="00E6060C" w:rsidRDefault="00E6060C" w:rsidP="00E6060C">
            <w:pPr>
              <w:ind w:left="34"/>
            </w:pPr>
            <w:r w:rsidRPr="00E6060C">
              <w:rPr>
                <w:b/>
              </w:rPr>
              <w:t>NB:</w:t>
            </w:r>
            <w:r w:rsidRPr="00E6060C">
              <w:t xml:space="preserve"> Studies measuring outcomes in the employees of managers only, as opposed to the managers themselves, should still be coded as a leadership intervention. In addition, </w:t>
            </w:r>
            <w:r w:rsidRPr="00E6060C">
              <w:rPr>
                <w:b/>
              </w:rPr>
              <w:t>code each intervention group within a study separately</w:t>
            </w:r>
          </w:p>
        </w:tc>
      </w:tr>
      <w:tr w:rsidR="00E6060C" w:rsidRPr="00E6060C" w14:paraId="29DF1C31" w14:textId="77777777" w:rsidTr="00E6060C">
        <w:tc>
          <w:tcPr>
            <w:tcW w:w="545" w:type="dxa"/>
            <w:tcBorders>
              <w:top w:val="single" w:sz="4" w:space="0" w:color="auto"/>
            </w:tcBorders>
          </w:tcPr>
          <w:p w14:paraId="62BCC684" w14:textId="77777777" w:rsidR="00E6060C" w:rsidRPr="00E6060C" w:rsidRDefault="00E6060C" w:rsidP="00E6060C">
            <w:pPr>
              <w:contextualSpacing/>
            </w:pPr>
            <w:r w:rsidRPr="00E6060C">
              <w:t>9</w:t>
            </w:r>
          </w:p>
        </w:tc>
        <w:tc>
          <w:tcPr>
            <w:tcW w:w="1433" w:type="dxa"/>
            <w:tcBorders>
              <w:top w:val="single" w:sz="4" w:space="0" w:color="auto"/>
            </w:tcBorders>
          </w:tcPr>
          <w:p w14:paraId="7F18993B" w14:textId="77777777" w:rsidR="00E6060C" w:rsidRPr="00E6060C" w:rsidRDefault="00E6060C" w:rsidP="00E6060C">
            <w:pPr>
              <w:contextualSpacing/>
            </w:pPr>
            <w:r w:rsidRPr="00E6060C">
              <w:t>Style of intervention</w:t>
            </w:r>
          </w:p>
        </w:tc>
        <w:tc>
          <w:tcPr>
            <w:tcW w:w="2139" w:type="dxa"/>
            <w:tcBorders>
              <w:top w:val="single" w:sz="4" w:space="0" w:color="auto"/>
            </w:tcBorders>
          </w:tcPr>
          <w:p w14:paraId="6DBB601F" w14:textId="77777777" w:rsidR="00E6060C" w:rsidRPr="00E6060C" w:rsidRDefault="00E6060C" w:rsidP="00E6060C">
            <w:pPr>
              <w:contextualSpacing/>
            </w:pPr>
            <w:r w:rsidRPr="00E6060C">
              <w:t>Individual</w:t>
            </w:r>
          </w:p>
        </w:tc>
        <w:tc>
          <w:tcPr>
            <w:tcW w:w="6435" w:type="dxa"/>
            <w:tcBorders>
              <w:top w:val="single" w:sz="4" w:space="0" w:color="auto"/>
            </w:tcBorders>
          </w:tcPr>
          <w:p w14:paraId="4863707C" w14:textId="77777777" w:rsidR="00E6060C" w:rsidRPr="00E6060C" w:rsidRDefault="00E6060C" w:rsidP="00F15DDF">
            <w:pPr>
              <w:numPr>
                <w:ilvl w:val="0"/>
                <w:numId w:val="18"/>
              </w:numPr>
              <w:ind w:left="273" w:hanging="273"/>
              <w:contextualSpacing/>
            </w:pPr>
            <w:r w:rsidRPr="00E6060C">
              <w:t>Conducted on a one-to-one, face-to-face basis</w:t>
            </w:r>
          </w:p>
        </w:tc>
      </w:tr>
      <w:tr w:rsidR="00E6060C" w:rsidRPr="00E6060C" w14:paraId="5CC9426A" w14:textId="77777777" w:rsidTr="00E6060C">
        <w:tc>
          <w:tcPr>
            <w:tcW w:w="545" w:type="dxa"/>
          </w:tcPr>
          <w:p w14:paraId="6F4940CA" w14:textId="77777777" w:rsidR="00E6060C" w:rsidRPr="00E6060C" w:rsidRDefault="00E6060C" w:rsidP="00E6060C">
            <w:pPr>
              <w:contextualSpacing/>
            </w:pPr>
          </w:p>
        </w:tc>
        <w:tc>
          <w:tcPr>
            <w:tcW w:w="1433" w:type="dxa"/>
          </w:tcPr>
          <w:p w14:paraId="6847800A" w14:textId="77777777" w:rsidR="00E6060C" w:rsidRPr="00E6060C" w:rsidRDefault="00E6060C" w:rsidP="00E6060C">
            <w:pPr>
              <w:contextualSpacing/>
            </w:pPr>
          </w:p>
        </w:tc>
        <w:tc>
          <w:tcPr>
            <w:tcW w:w="2139" w:type="dxa"/>
          </w:tcPr>
          <w:p w14:paraId="1A07E6D0" w14:textId="77777777" w:rsidR="00E6060C" w:rsidRPr="00E6060C" w:rsidRDefault="00E6060C" w:rsidP="00E6060C">
            <w:pPr>
              <w:contextualSpacing/>
            </w:pPr>
            <w:r w:rsidRPr="00E6060C">
              <w:t>Online</w:t>
            </w:r>
          </w:p>
        </w:tc>
        <w:tc>
          <w:tcPr>
            <w:tcW w:w="6435" w:type="dxa"/>
          </w:tcPr>
          <w:p w14:paraId="3C2E719C" w14:textId="77777777" w:rsidR="00E6060C" w:rsidRPr="00E6060C" w:rsidRDefault="00E6060C" w:rsidP="00F15DDF">
            <w:pPr>
              <w:numPr>
                <w:ilvl w:val="0"/>
                <w:numId w:val="18"/>
              </w:numPr>
              <w:ind w:left="273" w:hanging="273"/>
              <w:contextualSpacing/>
            </w:pPr>
            <w:r w:rsidRPr="00E6060C">
              <w:t>Conducted purely online, including both web based information resources and one-to-one e-coaching</w:t>
            </w:r>
          </w:p>
        </w:tc>
      </w:tr>
      <w:tr w:rsidR="00E6060C" w:rsidRPr="00E6060C" w14:paraId="371797A5" w14:textId="77777777" w:rsidTr="00E6060C">
        <w:tc>
          <w:tcPr>
            <w:tcW w:w="545" w:type="dxa"/>
          </w:tcPr>
          <w:p w14:paraId="3005C70F" w14:textId="77777777" w:rsidR="00E6060C" w:rsidRPr="00E6060C" w:rsidRDefault="00E6060C" w:rsidP="00E6060C">
            <w:pPr>
              <w:contextualSpacing/>
            </w:pPr>
          </w:p>
        </w:tc>
        <w:tc>
          <w:tcPr>
            <w:tcW w:w="1433" w:type="dxa"/>
          </w:tcPr>
          <w:p w14:paraId="68B24929" w14:textId="77777777" w:rsidR="00E6060C" w:rsidRPr="00E6060C" w:rsidRDefault="00E6060C" w:rsidP="00E6060C">
            <w:pPr>
              <w:contextualSpacing/>
            </w:pPr>
          </w:p>
        </w:tc>
        <w:tc>
          <w:tcPr>
            <w:tcW w:w="2139" w:type="dxa"/>
          </w:tcPr>
          <w:p w14:paraId="1AADAB60" w14:textId="77777777" w:rsidR="00E6060C" w:rsidRPr="00E6060C" w:rsidRDefault="00E6060C" w:rsidP="00E6060C">
            <w:pPr>
              <w:contextualSpacing/>
            </w:pPr>
            <w:r w:rsidRPr="00E6060C">
              <w:t>Group</w:t>
            </w:r>
          </w:p>
        </w:tc>
        <w:tc>
          <w:tcPr>
            <w:tcW w:w="6435" w:type="dxa"/>
          </w:tcPr>
          <w:p w14:paraId="1394308F" w14:textId="77777777" w:rsidR="00E6060C" w:rsidRPr="00E6060C" w:rsidRDefault="00E6060C" w:rsidP="00F15DDF">
            <w:pPr>
              <w:numPr>
                <w:ilvl w:val="0"/>
                <w:numId w:val="18"/>
              </w:numPr>
              <w:ind w:left="273" w:hanging="273"/>
              <w:contextualSpacing/>
            </w:pPr>
            <w:r w:rsidRPr="00E6060C">
              <w:t xml:space="preserve">Training conducted purely in groups, whether occurring ‘on-site’ or off. Includes training via webinars requiring participants in a particular study group to participate from the same location at the same time. </w:t>
            </w:r>
          </w:p>
        </w:tc>
      </w:tr>
      <w:tr w:rsidR="00E6060C" w:rsidRPr="00E6060C" w14:paraId="04A418B7" w14:textId="77777777" w:rsidTr="00E6060C">
        <w:tc>
          <w:tcPr>
            <w:tcW w:w="545" w:type="dxa"/>
            <w:tcBorders>
              <w:bottom w:val="nil"/>
            </w:tcBorders>
          </w:tcPr>
          <w:p w14:paraId="1F21698A" w14:textId="77777777" w:rsidR="00E6060C" w:rsidRPr="00E6060C" w:rsidRDefault="00E6060C" w:rsidP="00E6060C">
            <w:pPr>
              <w:contextualSpacing/>
            </w:pPr>
          </w:p>
        </w:tc>
        <w:tc>
          <w:tcPr>
            <w:tcW w:w="1433" w:type="dxa"/>
            <w:tcBorders>
              <w:bottom w:val="nil"/>
            </w:tcBorders>
          </w:tcPr>
          <w:p w14:paraId="5FDA8961" w14:textId="77777777" w:rsidR="00E6060C" w:rsidRPr="00E6060C" w:rsidRDefault="00E6060C" w:rsidP="00E6060C">
            <w:pPr>
              <w:contextualSpacing/>
            </w:pPr>
          </w:p>
        </w:tc>
        <w:tc>
          <w:tcPr>
            <w:tcW w:w="2139" w:type="dxa"/>
            <w:tcBorders>
              <w:bottom w:val="nil"/>
            </w:tcBorders>
          </w:tcPr>
          <w:p w14:paraId="5DD53B8F" w14:textId="77777777" w:rsidR="00E6060C" w:rsidRPr="00E6060C" w:rsidRDefault="00E6060C" w:rsidP="00E6060C">
            <w:pPr>
              <w:contextualSpacing/>
            </w:pPr>
            <w:r w:rsidRPr="00E6060C">
              <w:t>Individual &amp; online</w:t>
            </w:r>
          </w:p>
        </w:tc>
        <w:tc>
          <w:tcPr>
            <w:tcW w:w="6435" w:type="dxa"/>
            <w:tcBorders>
              <w:bottom w:val="nil"/>
            </w:tcBorders>
          </w:tcPr>
          <w:p w14:paraId="585AB750" w14:textId="77777777" w:rsidR="00E6060C" w:rsidRPr="00E6060C" w:rsidRDefault="00E6060C" w:rsidP="00F15DDF">
            <w:pPr>
              <w:numPr>
                <w:ilvl w:val="0"/>
                <w:numId w:val="18"/>
              </w:numPr>
              <w:ind w:left="273" w:hanging="273"/>
              <w:contextualSpacing/>
            </w:pPr>
            <w:r w:rsidRPr="00E6060C">
              <w:t xml:space="preserve">Predominantly a mixture of ‘individual’ and ‘online’ training, as defined above. </w:t>
            </w:r>
          </w:p>
          <w:p w14:paraId="2B375427" w14:textId="77777777" w:rsidR="00E6060C" w:rsidRPr="00E6060C" w:rsidRDefault="00E6060C" w:rsidP="00F15DDF">
            <w:pPr>
              <w:numPr>
                <w:ilvl w:val="0"/>
                <w:numId w:val="18"/>
              </w:numPr>
              <w:ind w:left="273" w:hanging="273"/>
              <w:contextualSpacing/>
            </w:pPr>
            <w:r w:rsidRPr="00E6060C">
              <w:t>There may be additional minor supporting elements e.g. buddy system</w:t>
            </w:r>
          </w:p>
        </w:tc>
      </w:tr>
      <w:tr w:rsidR="00E6060C" w:rsidRPr="00E6060C" w14:paraId="3616720D" w14:textId="77777777" w:rsidTr="00E6060C">
        <w:tc>
          <w:tcPr>
            <w:tcW w:w="545" w:type="dxa"/>
            <w:tcBorders>
              <w:top w:val="nil"/>
              <w:bottom w:val="single" w:sz="4" w:space="0" w:color="auto"/>
            </w:tcBorders>
          </w:tcPr>
          <w:p w14:paraId="2654CEF7" w14:textId="77777777" w:rsidR="00E6060C" w:rsidRPr="00E6060C" w:rsidRDefault="00E6060C" w:rsidP="00E6060C">
            <w:pPr>
              <w:contextualSpacing/>
            </w:pPr>
          </w:p>
        </w:tc>
        <w:tc>
          <w:tcPr>
            <w:tcW w:w="1433" w:type="dxa"/>
            <w:tcBorders>
              <w:top w:val="nil"/>
              <w:bottom w:val="single" w:sz="4" w:space="0" w:color="auto"/>
            </w:tcBorders>
          </w:tcPr>
          <w:p w14:paraId="1E94B332" w14:textId="77777777" w:rsidR="00E6060C" w:rsidRPr="00E6060C" w:rsidRDefault="00E6060C" w:rsidP="00E6060C">
            <w:pPr>
              <w:contextualSpacing/>
            </w:pPr>
          </w:p>
        </w:tc>
        <w:tc>
          <w:tcPr>
            <w:tcW w:w="2139" w:type="dxa"/>
            <w:tcBorders>
              <w:top w:val="nil"/>
              <w:bottom w:val="single" w:sz="4" w:space="0" w:color="auto"/>
            </w:tcBorders>
          </w:tcPr>
          <w:p w14:paraId="49AB5A5B" w14:textId="77777777" w:rsidR="00E6060C" w:rsidRPr="00E6060C" w:rsidRDefault="00E6060C" w:rsidP="00E6060C">
            <w:pPr>
              <w:contextualSpacing/>
            </w:pPr>
            <w:r w:rsidRPr="00E6060C">
              <w:t>Individual and group</w:t>
            </w:r>
          </w:p>
        </w:tc>
        <w:tc>
          <w:tcPr>
            <w:tcW w:w="6435" w:type="dxa"/>
            <w:tcBorders>
              <w:top w:val="nil"/>
              <w:bottom w:val="single" w:sz="4" w:space="0" w:color="auto"/>
            </w:tcBorders>
          </w:tcPr>
          <w:p w14:paraId="4DB6430E" w14:textId="77777777" w:rsidR="00E6060C" w:rsidRPr="00E6060C" w:rsidRDefault="00E6060C" w:rsidP="00F15DDF">
            <w:pPr>
              <w:numPr>
                <w:ilvl w:val="0"/>
                <w:numId w:val="18"/>
              </w:numPr>
              <w:ind w:left="273" w:hanging="273"/>
              <w:contextualSpacing/>
            </w:pPr>
            <w:r w:rsidRPr="00E6060C">
              <w:t>Predominantly a mixture of ‘individual’ and ‘group’ as defined above</w:t>
            </w:r>
          </w:p>
          <w:p w14:paraId="64373C70" w14:textId="77777777" w:rsidR="00E6060C" w:rsidRPr="00E6060C" w:rsidRDefault="00E6060C" w:rsidP="00F15DDF">
            <w:pPr>
              <w:numPr>
                <w:ilvl w:val="0"/>
                <w:numId w:val="18"/>
              </w:numPr>
              <w:ind w:left="273" w:hanging="273"/>
              <w:contextualSpacing/>
            </w:pPr>
            <w:r w:rsidRPr="00E6060C">
              <w:t>There may be additional minor supporting elements e.g. social support via social media such as a facebook page</w:t>
            </w:r>
          </w:p>
        </w:tc>
      </w:tr>
      <w:tr w:rsidR="00E6060C" w:rsidRPr="00E6060C" w14:paraId="69485E92" w14:textId="77777777" w:rsidTr="00E6060C">
        <w:tc>
          <w:tcPr>
            <w:tcW w:w="545" w:type="dxa"/>
            <w:tcBorders>
              <w:top w:val="single" w:sz="4" w:space="0" w:color="auto"/>
            </w:tcBorders>
          </w:tcPr>
          <w:p w14:paraId="0C804FBC" w14:textId="77777777" w:rsidR="00E6060C" w:rsidRPr="00E6060C" w:rsidRDefault="00E6060C" w:rsidP="00E6060C">
            <w:pPr>
              <w:contextualSpacing/>
            </w:pPr>
            <w:r w:rsidRPr="00E6060C">
              <w:t>10</w:t>
            </w:r>
          </w:p>
        </w:tc>
        <w:tc>
          <w:tcPr>
            <w:tcW w:w="1433" w:type="dxa"/>
            <w:tcBorders>
              <w:top w:val="single" w:sz="4" w:space="0" w:color="auto"/>
            </w:tcBorders>
          </w:tcPr>
          <w:p w14:paraId="317F8B5B" w14:textId="77777777" w:rsidR="00E6060C" w:rsidRPr="00E6060C" w:rsidRDefault="00E6060C" w:rsidP="00E6060C">
            <w:pPr>
              <w:contextualSpacing/>
            </w:pPr>
            <w:r w:rsidRPr="00E6060C">
              <w:t>No. intervention &amp; control groups</w:t>
            </w:r>
          </w:p>
        </w:tc>
        <w:tc>
          <w:tcPr>
            <w:tcW w:w="2139" w:type="dxa"/>
            <w:tcBorders>
              <w:top w:val="single" w:sz="4" w:space="0" w:color="auto"/>
            </w:tcBorders>
          </w:tcPr>
          <w:p w14:paraId="0511F469" w14:textId="77777777" w:rsidR="00E6060C" w:rsidRPr="00E6060C" w:rsidRDefault="00E6060C" w:rsidP="00E6060C">
            <w:pPr>
              <w:contextualSpacing/>
            </w:pPr>
            <w:r w:rsidRPr="00E6060C">
              <w:t xml:space="preserve">1, 1 </w:t>
            </w:r>
          </w:p>
          <w:p w14:paraId="1CDA0529" w14:textId="77777777" w:rsidR="00E6060C" w:rsidRPr="00E6060C" w:rsidRDefault="00E6060C" w:rsidP="00E6060C">
            <w:pPr>
              <w:contextualSpacing/>
            </w:pPr>
            <w:r w:rsidRPr="00E6060C">
              <w:t xml:space="preserve">1, 2 </w:t>
            </w:r>
          </w:p>
          <w:p w14:paraId="7304C564" w14:textId="77777777" w:rsidR="00E6060C" w:rsidRPr="00E6060C" w:rsidRDefault="00E6060C" w:rsidP="00E6060C">
            <w:pPr>
              <w:contextualSpacing/>
            </w:pPr>
            <w:r w:rsidRPr="00E6060C">
              <w:t>3, 1</w:t>
            </w:r>
          </w:p>
        </w:tc>
        <w:tc>
          <w:tcPr>
            <w:tcW w:w="6435" w:type="dxa"/>
            <w:tcBorders>
              <w:top w:val="single" w:sz="4" w:space="0" w:color="auto"/>
            </w:tcBorders>
          </w:tcPr>
          <w:p w14:paraId="191582D2" w14:textId="77777777" w:rsidR="00E6060C" w:rsidRPr="00E6060C" w:rsidRDefault="00E6060C" w:rsidP="00F15DDF">
            <w:pPr>
              <w:numPr>
                <w:ilvl w:val="0"/>
                <w:numId w:val="18"/>
              </w:numPr>
              <w:ind w:left="273" w:hanging="273"/>
              <w:contextualSpacing/>
            </w:pPr>
            <w:r w:rsidRPr="00E6060C">
              <w:t>State how many intervention and control groups there are e.g.’1, 1’ = 1 intervention group and 1 control group; 1, 2 = 1 intervention group and 2 control groups</w:t>
            </w:r>
          </w:p>
        </w:tc>
      </w:tr>
      <w:tr w:rsidR="00E6060C" w:rsidRPr="00E6060C" w14:paraId="48FD0470" w14:textId="77777777" w:rsidTr="00E6060C">
        <w:tc>
          <w:tcPr>
            <w:tcW w:w="545" w:type="dxa"/>
            <w:tcBorders>
              <w:top w:val="single" w:sz="4" w:space="0" w:color="auto"/>
            </w:tcBorders>
          </w:tcPr>
          <w:p w14:paraId="1860EE4B" w14:textId="77777777" w:rsidR="00E6060C" w:rsidRPr="00E6060C" w:rsidRDefault="00E6060C" w:rsidP="00E6060C">
            <w:pPr>
              <w:contextualSpacing/>
            </w:pPr>
            <w:r w:rsidRPr="00E6060C">
              <w:t>11</w:t>
            </w:r>
          </w:p>
        </w:tc>
        <w:tc>
          <w:tcPr>
            <w:tcW w:w="1433" w:type="dxa"/>
            <w:tcBorders>
              <w:top w:val="single" w:sz="4" w:space="0" w:color="auto"/>
            </w:tcBorders>
          </w:tcPr>
          <w:p w14:paraId="59A27242" w14:textId="77777777" w:rsidR="00E6060C" w:rsidRPr="00E6060C" w:rsidRDefault="00E6060C" w:rsidP="00E6060C">
            <w:pPr>
              <w:contextualSpacing/>
            </w:pPr>
            <w:r w:rsidRPr="00E6060C">
              <w:t>Measure used</w:t>
            </w:r>
          </w:p>
        </w:tc>
        <w:tc>
          <w:tcPr>
            <w:tcW w:w="2139" w:type="dxa"/>
            <w:tcBorders>
              <w:top w:val="single" w:sz="4" w:space="0" w:color="auto"/>
            </w:tcBorders>
          </w:tcPr>
          <w:p w14:paraId="480644F6" w14:textId="77777777" w:rsidR="00E6060C" w:rsidRPr="00E6060C" w:rsidRDefault="00E6060C" w:rsidP="00E6060C">
            <w:pPr>
              <w:contextualSpacing/>
            </w:pPr>
            <w:r w:rsidRPr="00E6060C">
              <w:t>UWES-17</w:t>
            </w:r>
          </w:p>
        </w:tc>
        <w:tc>
          <w:tcPr>
            <w:tcW w:w="6435" w:type="dxa"/>
            <w:tcBorders>
              <w:top w:val="single" w:sz="4" w:space="0" w:color="auto"/>
            </w:tcBorders>
          </w:tcPr>
          <w:p w14:paraId="33907C4A" w14:textId="77777777" w:rsidR="00E6060C" w:rsidRPr="00E6060C" w:rsidRDefault="00E6060C" w:rsidP="00F15DDF">
            <w:pPr>
              <w:numPr>
                <w:ilvl w:val="0"/>
                <w:numId w:val="18"/>
              </w:numPr>
              <w:ind w:left="273" w:hanging="273"/>
              <w:contextualSpacing/>
            </w:pPr>
            <w:r w:rsidRPr="00E6060C">
              <w:t xml:space="preserve">Full 17 item Utrecht Work Engagement Questionnaire used, in any language. </w:t>
            </w:r>
          </w:p>
        </w:tc>
      </w:tr>
      <w:tr w:rsidR="00E6060C" w:rsidRPr="00E6060C" w14:paraId="190F9383" w14:textId="77777777" w:rsidTr="00E6060C">
        <w:tc>
          <w:tcPr>
            <w:tcW w:w="545" w:type="dxa"/>
            <w:tcBorders>
              <w:bottom w:val="nil"/>
            </w:tcBorders>
          </w:tcPr>
          <w:p w14:paraId="2DA0298F" w14:textId="77777777" w:rsidR="00E6060C" w:rsidRPr="00E6060C" w:rsidRDefault="00E6060C" w:rsidP="00E6060C">
            <w:pPr>
              <w:contextualSpacing/>
            </w:pPr>
          </w:p>
        </w:tc>
        <w:tc>
          <w:tcPr>
            <w:tcW w:w="1433" w:type="dxa"/>
            <w:tcBorders>
              <w:bottom w:val="nil"/>
            </w:tcBorders>
          </w:tcPr>
          <w:p w14:paraId="746729DD" w14:textId="77777777" w:rsidR="00E6060C" w:rsidRPr="00E6060C" w:rsidRDefault="00E6060C" w:rsidP="00E6060C">
            <w:pPr>
              <w:contextualSpacing/>
            </w:pPr>
          </w:p>
        </w:tc>
        <w:tc>
          <w:tcPr>
            <w:tcW w:w="2139" w:type="dxa"/>
            <w:tcBorders>
              <w:bottom w:val="nil"/>
            </w:tcBorders>
          </w:tcPr>
          <w:p w14:paraId="34BDF819" w14:textId="77777777" w:rsidR="00E6060C" w:rsidRPr="00E6060C" w:rsidRDefault="00E6060C" w:rsidP="00E6060C">
            <w:pPr>
              <w:contextualSpacing/>
            </w:pPr>
            <w:r w:rsidRPr="00E6060C">
              <w:t>UWES-9</w:t>
            </w:r>
          </w:p>
        </w:tc>
        <w:tc>
          <w:tcPr>
            <w:tcW w:w="6435" w:type="dxa"/>
            <w:tcBorders>
              <w:bottom w:val="nil"/>
            </w:tcBorders>
          </w:tcPr>
          <w:p w14:paraId="76E3B7D0" w14:textId="77777777" w:rsidR="00E6060C" w:rsidRPr="00E6060C" w:rsidRDefault="00E6060C" w:rsidP="00F15DDF">
            <w:pPr>
              <w:numPr>
                <w:ilvl w:val="0"/>
                <w:numId w:val="18"/>
              </w:numPr>
              <w:ind w:left="273" w:hanging="273"/>
              <w:contextualSpacing/>
            </w:pPr>
            <w:r w:rsidRPr="00E6060C">
              <w:t xml:space="preserve">Abbreviated 9 item Utrecht Work Engagement Questionnaire used, in any language. </w:t>
            </w:r>
          </w:p>
        </w:tc>
      </w:tr>
      <w:tr w:rsidR="00E6060C" w:rsidRPr="00E6060C" w14:paraId="0B21CC3E" w14:textId="77777777" w:rsidTr="00E6060C">
        <w:tc>
          <w:tcPr>
            <w:tcW w:w="545" w:type="dxa"/>
            <w:tcBorders>
              <w:top w:val="nil"/>
              <w:bottom w:val="nil"/>
            </w:tcBorders>
          </w:tcPr>
          <w:p w14:paraId="059AC044" w14:textId="77777777" w:rsidR="00E6060C" w:rsidRPr="00E6060C" w:rsidRDefault="00E6060C" w:rsidP="00E6060C">
            <w:pPr>
              <w:contextualSpacing/>
            </w:pPr>
          </w:p>
        </w:tc>
        <w:tc>
          <w:tcPr>
            <w:tcW w:w="1433" w:type="dxa"/>
            <w:tcBorders>
              <w:top w:val="nil"/>
              <w:bottom w:val="nil"/>
            </w:tcBorders>
          </w:tcPr>
          <w:p w14:paraId="1CCEA29C" w14:textId="77777777" w:rsidR="00E6060C" w:rsidRPr="00E6060C" w:rsidRDefault="00E6060C" w:rsidP="00E6060C">
            <w:pPr>
              <w:contextualSpacing/>
            </w:pPr>
          </w:p>
        </w:tc>
        <w:tc>
          <w:tcPr>
            <w:tcW w:w="2139" w:type="dxa"/>
            <w:tcBorders>
              <w:top w:val="nil"/>
              <w:bottom w:val="nil"/>
            </w:tcBorders>
          </w:tcPr>
          <w:p w14:paraId="3E40ED19" w14:textId="77777777" w:rsidR="00E6060C" w:rsidRPr="00E6060C" w:rsidRDefault="00E6060C" w:rsidP="00E6060C">
            <w:pPr>
              <w:contextualSpacing/>
            </w:pPr>
            <w:r w:rsidRPr="00E6060C">
              <w:t>UWES-?</w:t>
            </w:r>
          </w:p>
        </w:tc>
        <w:tc>
          <w:tcPr>
            <w:tcW w:w="6435" w:type="dxa"/>
            <w:tcBorders>
              <w:top w:val="nil"/>
              <w:bottom w:val="nil"/>
            </w:tcBorders>
          </w:tcPr>
          <w:p w14:paraId="5BD4BB49" w14:textId="77777777" w:rsidR="00E6060C" w:rsidRPr="00E6060C" w:rsidRDefault="00E6060C" w:rsidP="00F15DDF">
            <w:pPr>
              <w:numPr>
                <w:ilvl w:val="0"/>
                <w:numId w:val="18"/>
              </w:numPr>
              <w:ind w:left="273" w:hanging="273"/>
              <w:contextualSpacing/>
            </w:pPr>
            <w:r w:rsidRPr="00E6060C">
              <w:t>Where the author has used an incomplete number of items for either the full or abbreviated version, state the number of items used overall e.g. UWES-6 items</w:t>
            </w:r>
          </w:p>
        </w:tc>
      </w:tr>
      <w:tr w:rsidR="00E6060C" w:rsidRPr="00E6060C" w14:paraId="0CE5FB9A" w14:textId="77777777" w:rsidTr="00E6060C">
        <w:tc>
          <w:tcPr>
            <w:tcW w:w="545" w:type="dxa"/>
            <w:tcBorders>
              <w:top w:val="nil"/>
              <w:bottom w:val="nil"/>
            </w:tcBorders>
          </w:tcPr>
          <w:p w14:paraId="2AA52F81" w14:textId="77777777" w:rsidR="00E6060C" w:rsidRPr="00E6060C" w:rsidRDefault="00E6060C" w:rsidP="00E6060C">
            <w:pPr>
              <w:contextualSpacing/>
            </w:pPr>
          </w:p>
        </w:tc>
        <w:tc>
          <w:tcPr>
            <w:tcW w:w="1433" w:type="dxa"/>
            <w:tcBorders>
              <w:top w:val="nil"/>
              <w:bottom w:val="nil"/>
            </w:tcBorders>
          </w:tcPr>
          <w:p w14:paraId="1E1C3E8F" w14:textId="77777777" w:rsidR="00E6060C" w:rsidRPr="00E6060C" w:rsidRDefault="00E6060C" w:rsidP="00E6060C">
            <w:pPr>
              <w:contextualSpacing/>
            </w:pPr>
          </w:p>
        </w:tc>
        <w:tc>
          <w:tcPr>
            <w:tcW w:w="2139" w:type="dxa"/>
            <w:tcBorders>
              <w:top w:val="nil"/>
              <w:bottom w:val="nil"/>
            </w:tcBorders>
          </w:tcPr>
          <w:p w14:paraId="3C98AD7F" w14:textId="5CE7547D" w:rsidR="00E6060C" w:rsidRPr="00E6060C" w:rsidRDefault="00DD3B05" w:rsidP="00E6060C">
            <w:pPr>
              <w:contextualSpacing/>
            </w:pPr>
            <w:r>
              <w:t>Name of scale e.g. Shirom Vigour Scale</w:t>
            </w:r>
          </w:p>
        </w:tc>
        <w:tc>
          <w:tcPr>
            <w:tcW w:w="6435" w:type="dxa"/>
            <w:tcBorders>
              <w:top w:val="nil"/>
              <w:bottom w:val="nil"/>
            </w:tcBorders>
          </w:tcPr>
          <w:p w14:paraId="4844A7CB" w14:textId="77777777" w:rsidR="00E6060C" w:rsidRPr="00E6060C" w:rsidRDefault="00E6060C" w:rsidP="00F15DDF">
            <w:pPr>
              <w:numPr>
                <w:ilvl w:val="0"/>
                <w:numId w:val="18"/>
              </w:numPr>
              <w:ind w:left="273" w:hanging="273"/>
              <w:contextualSpacing/>
            </w:pPr>
            <w:r w:rsidRPr="00E6060C">
              <w:t>Code all other validated, robust measures of work engagement by the name of that scale. Scales should contain an affective, cognitive and behavioural component for the study to be considered for inclusion</w:t>
            </w:r>
          </w:p>
        </w:tc>
      </w:tr>
      <w:tr w:rsidR="00E6060C" w:rsidRPr="00E6060C" w14:paraId="59992310" w14:textId="77777777" w:rsidTr="00E6060C">
        <w:tc>
          <w:tcPr>
            <w:tcW w:w="545" w:type="dxa"/>
            <w:tcBorders>
              <w:top w:val="nil"/>
              <w:bottom w:val="single" w:sz="4" w:space="0" w:color="auto"/>
            </w:tcBorders>
          </w:tcPr>
          <w:p w14:paraId="6DF20927" w14:textId="77777777" w:rsidR="00E6060C" w:rsidRPr="00E6060C" w:rsidRDefault="00E6060C" w:rsidP="00E6060C">
            <w:pPr>
              <w:contextualSpacing/>
            </w:pPr>
          </w:p>
        </w:tc>
        <w:tc>
          <w:tcPr>
            <w:tcW w:w="1433" w:type="dxa"/>
            <w:tcBorders>
              <w:top w:val="nil"/>
              <w:bottom w:val="single" w:sz="4" w:space="0" w:color="auto"/>
            </w:tcBorders>
          </w:tcPr>
          <w:p w14:paraId="7955FE92" w14:textId="77777777" w:rsidR="00E6060C" w:rsidRPr="00E6060C" w:rsidRDefault="00E6060C" w:rsidP="00E6060C">
            <w:pPr>
              <w:contextualSpacing/>
            </w:pPr>
          </w:p>
        </w:tc>
        <w:tc>
          <w:tcPr>
            <w:tcW w:w="2139" w:type="dxa"/>
            <w:tcBorders>
              <w:top w:val="nil"/>
              <w:bottom w:val="single" w:sz="4" w:space="0" w:color="auto"/>
            </w:tcBorders>
          </w:tcPr>
          <w:p w14:paraId="73142C55" w14:textId="77777777" w:rsidR="00E6060C" w:rsidRPr="00E6060C" w:rsidRDefault="00E6060C" w:rsidP="00E6060C">
            <w:pPr>
              <w:contextualSpacing/>
            </w:pPr>
            <w:r w:rsidRPr="00E6060C">
              <w:t>Unsure</w:t>
            </w:r>
          </w:p>
        </w:tc>
        <w:tc>
          <w:tcPr>
            <w:tcW w:w="6435" w:type="dxa"/>
            <w:tcBorders>
              <w:top w:val="nil"/>
              <w:bottom w:val="single" w:sz="4" w:space="0" w:color="auto"/>
            </w:tcBorders>
          </w:tcPr>
          <w:p w14:paraId="67F5BE79" w14:textId="77777777" w:rsidR="00E6060C" w:rsidRPr="00E6060C" w:rsidRDefault="00E6060C" w:rsidP="00F15DDF">
            <w:pPr>
              <w:numPr>
                <w:ilvl w:val="0"/>
                <w:numId w:val="18"/>
              </w:numPr>
              <w:ind w:left="273" w:hanging="273"/>
              <w:contextualSpacing/>
            </w:pPr>
            <w:r w:rsidRPr="00E6060C">
              <w:t>For studies which do not make it clear which scale of work engagement has been used</w:t>
            </w:r>
          </w:p>
        </w:tc>
      </w:tr>
      <w:tr w:rsidR="00E6060C" w:rsidRPr="00E6060C" w14:paraId="43587953" w14:textId="77777777" w:rsidTr="00E6060C">
        <w:tc>
          <w:tcPr>
            <w:tcW w:w="545" w:type="dxa"/>
            <w:tcBorders>
              <w:top w:val="single" w:sz="4" w:space="0" w:color="auto"/>
            </w:tcBorders>
          </w:tcPr>
          <w:p w14:paraId="62E3075C" w14:textId="77777777" w:rsidR="00E6060C" w:rsidRPr="00E6060C" w:rsidRDefault="00E6060C" w:rsidP="00E6060C">
            <w:pPr>
              <w:contextualSpacing/>
            </w:pPr>
            <w:r w:rsidRPr="00E6060C">
              <w:t>12</w:t>
            </w:r>
          </w:p>
        </w:tc>
        <w:tc>
          <w:tcPr>
            <w:tcW w:w="1433" w:type="dxa"/>
            <w:tcBorders>
              <w:top w:val="single" w:sz="4" w:space="0" w:color="auto"/>
            </w:tcBorders>
          </w:tcPr>
          <w:p w14:paraId="3A9E3980" w14:textId="77777777" w:rsidR="00E6060C" w:rsidRPr="00E6060C" w:rsidRDefault="00E6060C" w:rsidP="00E6060C">
            <w:pPr>
              <w:contextualSpacing/>
            </w:pPr>
            <w:r w:rsidRPr="00E6060C">
              <w:t>Outcomes</w:t>
            </w:r>
          </w:p>
        </w:tc>
        <w:tc>
          <w:tcPr>
            <w:tcW w:w="2139" w:type="dxa"/>
            <w:tcBorders>
              <w:top w:val="single" w:sz="4" w:space="0" w:color="auto"/>
            </w:tcBorders>
          </w:tcPr>
          <w:p w14:paraId="6310BE9C" w14:textId="77777777" w:rsidR="00E6060C" w:rsidRPr="00E6060C" w:rsidRDefault="00E6060C" w:rsidP="00E6060C">
            <w:pPr>
              <w:contextualSpacing/>
            </w:pPr>
            <w:r w:rsidRPr="00E6060C">
              <w:t>Work engagement</w:t>
            </w:r>
          </w:p>
        </w:tc>
        <w:tc>
          <w:tcPr>
            <w:tcW w:w="6435" w:type="dxa"/>
            <w:tcBorders>
              <w:top w:val="single" w:sz="4" w:space="0" w:color="auto"/>
            </w:tcBorders>
          </w:tcPr>
          <w:p w14:paraId="146D6215" w14:textId="77777777" w:rsidR="00E6060C" w:rsidRPr="00E6060C" w:rsidRDefault="00E6060C" w:rsidP="00F15DDF">
            <w:pPr>
              <w:numPr>
                <w:ilvl w:val="0"/>
                <w:numId w:val="18"/>
              </w:numPr>
              <w:ind w:left="273" w:hanging="273"/>
              <w:contextualSpacing/>
            </w:pPr>
            <w:r w:rsidRPr="00E6060C">
              <w:t xml:space="preserve">Code each outcome which has been measured, pertaining to work engagement, on a separate row, so, for example, a study which measures all four possible outcomes will have 4 rows </w:t>
            </w:r>
          </w:p>
        </w:tc>
      </w:tr>
      <w:tr w:rsidR="00E6060C" w:rsidRPr="00E6060C" w14:paraId="3B480A63" w14:textId="77777777" w:rsidTr="00E6060C">
        <w:tc>
          <w:tcPr>
            <w:tcW w:w="545" w:type="dxa"/>
          </w:tcPr>
          <w:p w14:paraId="343339BF" w14:textId="77777777" w:rsidR="00E6060C" w:rsidRPr="00E6060C" w:rsidRDefault="00E6060C" w:rsidP="00E6060C">
            <w:pPr>
              <w:contextualSpacing/>
            </w:pPr>
          </w:p>
        </w:tc>
        <w:tc>
          <w:tcPr>
            <w:tcW w:w="1433" w:type="dxa"/>
          </w:tcPr>
          <w:p w14:paraId="2C3B3100" w14:textId="77777777" w:rsidR="00E6060C" w:rsidRPr="00E6060C" w:rsidRDefault="00E6060C" w:rsidP="00E6060C">
            <w:pPr>
              <w:contextualSpacing/>
            </w:pPr>
          </w:p>
        </w:tc>
        <w:tc>
          <w:tcPr>
            <w:tcW w:w="2139" w:type="dxa"/>
          </w:tcPr>
          <w:p w14:paraId="75D393F4" w14:textId="77777777" w:rsidR="00E6060C" w:rsidRPr="00E6060C" w:rsidRDefault="00E6060C" w:rsidP="00E6060C">
            <w:pPr>
              <w:contextualSpacing/>
            </w:pPr>
            <w:r w:rsidRPr="00E6060C">
              <w:t>Vigour</w:t>
            </w:r>
          </w:p>
        </w:tc>
        <w:tc>
          <w:tcPr>
            <w:tcW w:w="6435" w:type="dxa"/>
          </w:tcPr>
          <w:p w14:paraId="50DFF85E" w14:textId="77777777" w:rsidR="00E6060C" w:rsidRPr="00E6060C" w:rsidRDefault="00E6060C" w:rsidP="00E6060C"/>
        </w:tc>
      </w:tr>
      <w:tr w:rsidR="00E6060C" w:rsidRPr="00E6060C" w14:paraId="5CA7833B" w14:textId="77777777" w:rsidTr="00E6060C">
        <w:tc>
          <w:tcPr>
            <w:tcW w:w="545" w:type="dxa"/>
            <w:tcBorders>
              <w:bottom w:val="nil"/>
            </w:tcBorders>
          </w:tcPr>
          <w:p w14:paraId="55C34271" w14:textId="77777777" w:rsidR="00E6060C" w:rsidRPr="00E6060C" w:rsidRDefault="00E6060C" w:rsidP="00E6060C">
            <w:pPr>
              <w:contextualSpacing/>
            </w:pPr>
          </w:p>
        </w:tc>
        <w:tc>
          <w:tcPr>
            <w:tcW w:w="1433" w:type="dxa"/>
            <w:tcBorders>
              <w:bottom w:val="nil"/>
            </w:tcBorders>
          </w:tcPr>
          <w:p w14:paraId="3ED8D805" w14:textId="77777777" w:rsidR="00E6060C" w:rsidRPr="00E6060C" w:rsidRDefault="00E6060C" w:rsidP="00E6060C">
            <w:pPr>
              <w:contextualSpacing/>
            </w:pPr>
          </w:p>
        </w:tc>
        <w:tc>
          <w:tcPr>
            <w:tcW w:w="2139" w:type="dxa"/>
            <w:tcBorders>
              <w:bottom w:val="nil"/>
            </w:tcBorders>
          </w:tcPr>
          <w:p w14:paraId="1FE41208" w14:textId="77777777" w:rsidR="00E6060C" w:rsidRPr="00E6060C" w:rsidRDefault="00E6060C" w:rsidP="00E6060C">
            <w:pPr>
              <w:contextualSpacing/>
            </w:pPr>
            <w:r w:rsidRPr="00E6060C">
              <w:t>Dedication</w:t>
            </w:r>
          </w:p>
        </w:tc>
        <w:tc>
          <w:tcPr>
            <w:tcW w:w="6435" w:type="dxa"/>
            <w:tcBorders>
              <w:bottom w:val="nil"/>
            </w:tcBorders>
          </w:tcPr>
          <w:p w14:paraId="0B948B0F" w14:textId="77777777" w:rsidR="00E6060C" w:rsidRPr="00E6060C" w:rsidRDefault="00E6060C" w:rsidP="00E6060C"/>
        </w:tc>
      </w:tr>
      <w:tr w:rsidR="00E6060C" w:rsidRPr="00E6060C" w14:paraId="0C66D8F5" w14:textId="77777777" w:rsidTr="00E6060C">
        <w:tc>
          <w:tcPr>
            <w:tcW w:w="545" w:type="dxa"/>
            <w:tcBorders>
              <w:top w:val="nil"/>
              <w:bottom w:val="single" w:sz="4" w:space="0" w:color="auto"/>
            </w:tcBorders>
          </w:tcPr>
          <w:p w14:paraId="216264E6" w14:textId="77777777" w:rsidR="00E6060C" w:rsidRPr="00E6060C" w:rsidRDefault="00E6060C" w:rsidP="00E6060C">
            <w:pPr>
              <w:contextualSpacing/>
            </w:pPr>
          </w:p>
        </w:tc>
        <w:tc>
          <w:tcPr>
            <w:tcW w:w="1433" w:type="dxa"/>
            <w:tcBorders>
              <w:top w:val="nil"/>
              <w:bottom w:val="single" w:sz="4" w:space="0" w:color="auto"/>
            </w:tcBorders>
          </w:tcPr>
          <w:p w14:paraId="56C585B3" w14:textId="77777777" w:rsidR="00E6060C" w:rsidRPr="00E6060C" w:rsidRDefault="00E6060C" w:rsidP="00E6060C">
            <w:pPr>
              <w:contextualSpacing/>
            </w:pPr>
          </w:p>
        </w:tc>
        <w:tc>
          <w:tcPr>
            <w:tcW w:w="2139" w:type="dxa"/>
            <w:tcBorders>
              <w:top w:val="nil"/>
              <w:bottom w:val="single" w:sz="4" w:space="0" w:color="auto"/>
            </w:tcBorders>
          </w:tcPr>
          <w:p w14:paraId="72A6FC11" w14:textId="77777777" w:rsidR="00E6060C" w:rsidRPr="00E6060C" w:rsidRDefault="00E6060C" w:rsidP="00E6060C">
            <w:pPr>
              <w:contextualSpacing/>
            </w:pPr>
            <w:r w:rsidRPr="00E6060C">
              <w:t>Absorption</w:t>
            </w:r>
          </w:p>
        </w:tc>
        <w:tc>
          <w:tcPr>
            <w:tcW w:w="6435" w:type="dxa"/>
            <w:tcBorders>
              <w:top w:val="nil"/>
              <w:bottom w:val="single" w:sz="4" w:space="0" w:color="auto"/>
            </w:tcBorders>
          </w:tcPr>
          <w:p w14:paraId="0B21026D" w14:textId="77777777" w:rsidR="00E6060C" w:rsidRPr="00E6060C" w:rsidRDefault="00E6060C" w:rsidP="00E6060C"/>
        </w:tc>
      </w:tr>
      <w:tr w:rsidR="00E6060C" w:rsidRPr="00E6060C" w14:paraId="46F24883" w14:textId="77777777" w:rsidTr="00E6060C">
        <w:tc>
          <w:tcPr>
            <w:tcW w:w="545" w:type="dxa"/>
            <w:tcBorders>
              <w:top w:val="single" w:sz="4" w:space="0" w:color="auto"/>
            </w:tcBorders>
          </w:tcPr>
          <w:p w14:paraId="609DDBCF" w14:textId="77777777" w:rsidR="00E6060C" w:rsidRPr="00E6060C" w:rsidRDefault="00E6060C" w:rsidP="00E6060C">
            <w:pPr>
              <w:contextualSpacing/>
            </w:pPr>
            <w:r w:rsidRPr="00E6060C">
              <w:t>13</w:t>
            </w:r>
          </w:p>
        </w:tc>
        <w:tc>
          <w:tcPr>
            <w:tcW w:w="1433" w:type="dxa"/>
            <w:tcBorders>
              <w:top w:val="single" w:sz="4" w:space="0" w:color="auto"/>
            </w:tcBorders>
          </w:tcPr>
          <w:p w14:paraId="230685DE" w14:textId="77777777" w:rsidR="00E6060C" w:rsidRPr="00E6060C" w:rsidRDefault="00E6060C" w:rsidP="00E6060C">
            <w:pPr>
              <w:contextualSpacing/>
            </w:pPr>
            <w:r w:rsidRPr="00E6060C">
              <w:t>Waves</w:t>
            </w:r>
          </w:p>
        </w:tc>
        <w:tc>
          <w:tcPr>
            <w:tcW w:w="2139" w:type="dxa"/>
            <w:tcBorders>
              <w:top w:val="single" w:sz="4" w:space="0" w:color="auto"/>
            </w:tcBorders>
          </w:tcPr>
          <w:p w14:paraId="4C4A5E2E" w14:textId="77777777" w:rsidR="00E6060C" w:rsidRPr="00E6060C" w:rsidRDefault="00E6060C" w:rsidP="00E6060C">
            <w:pPr>
              <w:contextualSpacing/>
            </w:pPr>
            <w:r w:rsidRPr="00E6060C">
              <w:t>T1-T2 + length of wave</w:t>
            </w:r>
          </w:p>
        </w:tc>
        <w:tc>
          <w:tcPr>
            <w:tcW w:w="6435" w:type="dxa"/>
            <w:tcBorders>
              <w:top w:val="single" w:sz="4" w:space="0" w:color="auto"/>
            </w:tcBorders>
          </w:tcPr>
          <w:p w14:paraId="5C0BDDF4" w14:textId="77777777" w:rsidR="00E6060C" w:rsidRPr="00E6060C" w:rsidRDefault="00E6060C" w:rsidP="00F15DDF">
            <w:pPr>
              <w:numPr>
                <w:ilvl w:val="0"/>
                <w:numId w:val="18"/>
              </w:numPr>
              <w:ind w:left="273" w:hanging="273"/>
              <w:contextualSpacing/>
            </w:pPr>
            <w:r w:rsidRPr="00E6060C">
              <w:t>Data collected at T1 (pre-intervention / baseline) and T2 (post-intervention). State the length of time between T1 and T2 exactly as stated in the study (e.g. 6 months, 90 days)</w:t>
            </w:r>
          </w:p>
          <w:p w14:paraId="4E4ED246" w14:textId="77777777" w:rsidR="00E6060C" w:rsidRPr="00E6060C" w:rsidRDefault="00E6060C" w:rsidP="00F15DDF">
            <w:pPr>
              <w:numPr>
                <w:ilvl w:val="0"/>
                <w:numId w:val="18"/>
              </w:numPr>
              <w:ind w:left="273" w:hanging="273"/>
              <w:contextualSpacing/>
            </w:pPr>
            <w:r w:rsidRPr="00E6060C">
              <w:t xml:space="preserve">Code each outcome which has been measured at each time point on separate rows. For example, a study which has measured ‘vigour’ at T2 and T3 will have two rows for vigour, one stating T1-T2 in the ‘waves’ column, and one stating ‘T1-T3’.  </w:t>
            </w:r>
          </w:p>
          <w:p w14:paraId="40E5B234" w14:textId="77777777" w:rsidR="00E6060C" w:rsidRPr="00E6060C" w:rsidRDefault="00E6060C" w:rsidP="00E6060C">
            <w:r w:rsidRPr="00E6060C">
              <w:rPr>
                <w:b/>
              </w:rPr>
              <w:t>NB:</w:t>
            </w:r>
            <w:r w:rsidRPr="00E6060C">
              <w:t xml:space="preserve"> Do </w:t>
            </w:r>
            <w:r w:rsidRPr="00E6060C">
              <w:rPr>
                <w:b/>
              </w:rPr>
              <w:t>NOT</w:t>
            </w:r>
            <w:r w:rsidRPr="00E6060C">
              <w:t xml:space="preserve"> count data collection which has occurred half way through an intervention as occurring at T2, as this data will not be included in a meta-analysis of the effect of interventions across T1-T2. Rather, to maintain consistency, count the post-intervention data collection time point as T2.   </w:t>
            </w:r>
          </w:p>
        </w:tc>
      </w:tr>
      <w:tr w:rsidR="00E6060C" w:rsidRPr="00E6060C" w14:paraId="02727AE5" w14:textId="77777777" w:rsidTr="00E6060C">
        <w:tc>
          <w:tcPr>
            <w:tcW w:w="545" w:type="dxa"/>
            <w:tcBorders>
              <w:bottom w:val="nil"/>
            </w:tcBorders>
          </w:tcPr>
          <w:p w14:paraId="57D49857" w14:textId="77777777" w:rsidR="00E6060C" w:rsidRPr="00E6060C" w:rsidRDefault="00E6060C" w:rsidP="00E6060C">
            <w:pPr>
              <w:contextualSpacing/>
            </w:pPr>
          </w:p>
        </w:tc>
        <w:tc>
          <w:tcPr>
            <w:tcW w:w="1433" w:type="dxa"/>
            <w:tcBorders>
              <w:bottom w:val="nil"/>
            </w:tcBorders>
          </w:tcPr>
          <w:p w14:paraId="11E517C7" w14:textId="77777777" w:rsidR="00E6060C" w:rsidRPr="00E6060C" w:rsidRDefault="00E6060C" w:rsidP="00E6060C">
            <w:pPr>
              <w:contextualSpacing/>
            </w:pPr>
          </w:p>
        </w:tc>
        <w:tc>
          <w:tcPr>
            <w:tcW w:w="2139" w:type="dxa"/>
            <w:tcBorders>
              <w:bottom w:val="nil"/>
            </w:tcBorders>
          </w:tcPr>
          <w:p w14:paraId="1CCDDC6D" w14:textId="77777777" w:rsidR="00E6060C" w:rsidRPr="00E6060C" w:rsidRDefault="00E6060C" w:rsidP="00E6060C">
            <w:pPr>
              <w:contextualSpacing/>
            </w:pPr>
            <w:r w:rsidRPr="00E6060C">
              <w:t xml:space="preserve">T1-T3 + length of time since T2 / post-intervention </w:t>
            </w:r>
          </w:p>
        </w:tc>
        <w:tc>
          <w:tcPr>
            <w:tcW w:w="6435" w:type="dxa"/>
            <w:tcBorders>
              <w:bottom w:val="nil"/>
            </w:tcBorders>
          </w:tcPr>
          <w:p w14:paraId="208DFEBE" w14:textId="77777777" w:rsidR="00E6060C" w:rsidRPr="00E6060C" w:rsidRDefault="00E6060C" w:rsidP="00F15DDF">
            <w:pPr>
              <w:numPr>
                <w:ilvl w:val="0"/>
                <w:numId w:val="18"/>
              </w:numPr>
              <w:ind w:left="273" w:hanging="273"/>
              <w:contextualSpacing/>
            </w:pPr>
            <w:r w:rsidRPr="00E6060C">
              <w:t>Data collected at T1 (pre- intervention) and at follow-up, but not necessarily at T2 (post-intervention). State the length of time between the end of the intervention and T3 exactly as stated in the study (e.g 2 months, 6 months)</w:t>
            </w:r>
          </w:p>
        </w:tc>
      </w:tr>
      <w:tr w:rsidR="00E6060C" w:rsidRPr="00E6060C" w14:paraId="6BB34FDA" w14:textId="77777777" w:rsidTr="00E6060C">
        <w:tc>
          <w:tcPr>
            <w:tcW w:w="545" w:type="dxa"/>
            <w:tcBorders>
              <w:top w:val="single" w:sz="4" w:space="0" w:color="auto"/>
            </w:tcBorders>
          </w:tcPr>
          <w:p w14:paraId="7CE15BAF" w14:textId="77777777" w:rsidR="00E6060C" w:rsidRPr="00E6060C" w:rsidRDefault="00E6060C" w:rsidP="00E6060C">
            <w:pPr>
              <w:contextualSpacing/>
            </w:pPr>
            <w:r w:rsidRPr="00E6060C">
              <w:t>14</w:t>
            </w:r>
          </w:p>
        </w:tc>
        <w:tc>
          <w:tcPr>
            <w:tcW w:w="1433" w:type="dxa"/>
            <w:tcBorders>
              <w:top w:val="single" w:sz="4" w:space="0" w:color="auto"/>
            </w:tcBorders>
          </w:tcPr>
          <w:p w14:paraId="6C874721" w14:textId="77777777" w:rsidR="00E6060C" w:rsidRPr="00E6060C" w:rsidRDefault="00E6060C" w:rsidP="00E6060C">
            <w:pPr>
              <w:contextualSpacing/>
            </w:pPr>
            <w:r w:rsidRPr="00E6060C">
              <w:t>Intention-to-treat principle followed?</w:t>
            </w:r>
          </w:p>
        </w:tc>
        <w:tc>
          <w:tcPr>
            <w:tcW w:w="2139" w:type="dxa"/>
            <w:tcBorders>
              <w:top w:val="single" w:sz="4" w:space="0" w:color="auto"/>
            </w:tcBorders>
          </w:tcPr>
          <w:p w14:paraId="1CC0A5D1" w14:textId="77777777" w:rsidR="00E6060C" w:rsidRPr="00E6060C" w:rsidRDefault="00E6060C" w:rsidP="00E6060C">
            <w:pPr>
              <w:contextualSpacing/>
            </w:pPr>
            <w:r w:rsidRPr="00E6060C">
              <w:t>ITT followed</w:t>
            </w:r>
          </w:p>
        </w:tc>
        <w:tc>
          <w:tcPr>
            <w:tcW w:w="6435" w:type="dxa"/>
            <w:tcBorders>
              <w:top w:val="single" w:sz="4" w:space="0" w:color="auto"/>
            </w:tcBorders>
          </w:tcPr>
          <w:p w14:paraId="25A5FAE6" w14:textId="77777777" w:rsidR="00E6060C" w:rsidRPr="00E6060C" w:rsidRDefault="00E6060C" w:rsidP="00F15DDF">
            <w:pPr>
              <w:numPr>
                <w:ilvl w:val="0"/>
                <w:numId w:val="18"/>
              </w:numPr>
              <w:ind w:left="273" w:hanging="273"/>
              <w:contextualSpacing/>
            </w:pPr>
            <w:r w:rsidRPr="00E6060C">
              <w:t xml:space="preserve">According to the Cochrane handbook, a ‘full ITT analysis’ refers to an analysis which includes ‘all participants who did not receive the assigned intervention according to the protocol as well as those who were lost to follow-up’(see Appendix 1 for more info). </w:t>
            </w:r>
          </w:p>
          <w:p w14:paraId="6B971754" w14:textId="77777777" w:rsidR="00E6060C" w:rsidRPr="00E6060C" w:rsidRDefault="00E6060C" w:rsidP="00F15DDF">
            <w:pPr>
              <w:numPr>
                <w:ilvl w:val="0"/>
                <w:numId w:val="18"/>
              </w:numPr>
              <w:ind w:left="273" w:hanging="273"/>
              <w:contextualSpacing/>
            </w:pPr>
            <w:r w:rsidRPr="00E6060C">
              <w:t xml:space="preserve">In terms of the studies involved in this meta-analysis, </w:t>
            </w:r>
            <w:r w:rsidRPr="00E6060C">
              <w:rPr>
                <w:b/>
                <w:u w:val="single"/>
              </w:rPr>
              <w:t>ITT analysis refers to an analysis using imputation for missing values</w:t>
            </w:r>
            <w:r w:rsidRPr="00E6060C">
              <w:t>. It is based on the total number of randomized participants at baseline (see section 16.2.1 &amp; 16.2.3 of the Cochrane Handbook for more info).</w:t>
            </w:r>
          </w:p>
          <w:p w14:paraId="1E66E030" w14:textId="77777777" w:rsidR="00E6060C" w:rsidRPr="00E6060C" w:rsidRDefault="00E6060C" w:rsidP="00F15DDF">
            <w:pPr>
              <w:numPr>
                <w:ilvl w:val="0"/>
                <w:numId w:val="18"/>
              </w:numPr>
              <w:ind w:left="273" w:hanging="273"/>
              <w:contextualSpacing/>
            </w:pPr>
            <w:r w:rsidRPr="00E6060C">
              <w:t>In accordance with The Cochrane Handbook, do not rely on authors’ judgements of whether an ITT analysis has been performed, but deduce the nature of the analysis from the information given</w:t>
            </w:r>
          </w:p>
        </w:tc>
      </w:tr>
      <w:tr w:rsidR="00E6060C" w:rsidRPr="00E6060C" w14:paraId="444CC1FA" w14:textId="77777777" w:rsidTr="00E6060C">
        <w:tc>
          <w:tcPr>
            <w:tcW w:w="545" w:type="dxa"/>
            <w:tcBorders>
              <w:bottom w:val="nil"/>
            </w:tcBorders>
          </w:tcPr>
          <w:p w14:paraId="590B43CC" w14:textId="77777777" w:rsidR="00E6060C" w:rsidRPr="00E6060C" w:rsidRDefault="00E6060C" w:rsidP="00E6060C">
            <w:pPr>
              <w:contextualSpacing/>
            </w:pPr>
          </w:p>
        </w:tc>
        <w:tc>
          <w:tcPr>
            <w:tcW w:w="1433" w:type="dxa"/>
            <w:tcBorders>
              <w:bottom w:val="nil"/>
            </w:tcBorders>
          </w:tcPr>
          <w:p w14:paraId="2034CEA4" w14:textId="77777777" w:rsidR="00E6060C" w:rsidRPr="00E6060C" w:rsidRDefault="00E6060C" w:rsidP="00E6060C">
            <w:pPr>
              <w:contextualSpacing/>
            </w:pPr>
          </w:p>
        </w:tc>
        <w:tc>
          <w:tcPr>
            <w:tcW w:w="2139" w:type="dxa"/>
            <w:tcBorders>
              <w:bottom w:val="nil"/>
            </w:tcBorders>
          </w:tcPr>
          <w:p w14:paraId="24E821C7" w14:textId="77777777" w:rsidR="00E6060C" w:rsidRPr="00E6060C" w:rsidRDefault="00E6060C" w:rsidP="00E6060C">
            <w:pPr>
              <w:contextualSpacing/>
            </w:pPr>
            <w:r w:rsidRPr="00E6060C">
              <w:t>ITT not followed</w:t>
            </w:r>
          </w:p>
        </w:tc>
        <w:tc>
          <w:tcPr>
            <w:tcW w:w="6435" w:type="dxa"/>
            <w:tcBorders>
              <w:bottom w:val="nil"/>
            </w:tcBorders>
          </w:tcPr>
          <w:p w14:paraId="78648B9B" w14:textId="77777777" w:rsidR="00E6060C" w:rsidRPr="00E6060C" w:rsidRDefault="00E6060C" w:rsidP="00F15DDF">
            <w:pPr>
              <w:numPr>
                <w:ilvl w:val="0"/>
                <w:numId w:val="18"/>
              </w:numPr>
              <w:ind w:left="273" w:hanging="273"/>
              <w:contextualSpacing/>
            </w:pPr>
            <w:r w:rsidRPr="00E6060C">
              <w:t xml:space="preserve">Any analysis which does not follow the principles of ITT analysis described above e.g. available case analysis, per-protocol analysis. </w:t>
            </w:r>
          </w:p>
        </w:tc>
      </w:tr>
      <w:tr w:rsidR="00E6060C" w:rsidRPr="00E6060C" w14:paraId="3FCD6FB6" w14:textId="77777777" w:rsidTr="00E6060C">
        <w:tc>
          <w:tcPr>
            <w:tcW w:w="545" w:type="dxa"/>
            <w:tcBorders>
              <w:top w:val="nil"/>
              <w:bottom w:val="single" w:sz="4" w:space="0" w:color="auto"/>
            </w:tcBorders>
          </w:tcPr>
          <w:p w14:paraId="4FBA79A6" w14:textId="77777777" w:rsidR="00E6060C" w:rsidRPr="00E6060C" w:rsidRDefault="00E6060C" w:rsidP="00E6060C">
            <w:pPr>
              <w:contextualSpacing/>
            </w:pPr>
          </w:p>
        </w:tc>
        <w:tc>
          <w:tcPr>
            <w:tcW w:w="1433" w:type="dxa"/>
            <w:tcBorders>
              <w:top w:val="nil"/>
              <w:bottom w:val="single" w:sz="4" w:space="0" w:color="auto"/>
            </w:tcBorders>
          </w:tcPr>
          <w:p w14:paraId="3FD9A960" w14:textId="77777777" w:rsidR="00E6060C" w:rsidRPr="00E6060C" w:rsidRDefault="00E6060C" w:rsidP="00E6060C">
            <w:pPr>
              <w:contextualSpacing/>
            </w:pPr>
          </w:p>
        </w:tc>
        <w:tc>
          <w:tcPr>
            <w:tcW w:w="2139" w:type="dxa"/>
            <w:tcBorders>
              <w:top w:val="nil"/>
              <w:bottom w:val="single" w:sz="4" w:space="0" w:color="auto"/>
            </w:tcBorders>
          </w:tcPr>
          <w:p w14:paraId="1C439A13" w14:textId="77777777" w:rsidR="00E6060C" w:rsidRPr="00E6060C" w:rsidRDefault="00E6060C" w:rsidP="00E6060C">
            <w:pPr>
              <w:contextualSpacing/>
            </w:pPr>
            <w:r w:rsidRPr="00E6060C">
              <w:t>Both</w:t>
            </w:r>
          </w:p>
        </w:tc>
        <w:tc>
          <w:tcPr>
            <w:tcW w:w="6435" w:type="dxa"/>
            <w:tcBorders>
              <w:top w:val="nil"/>
              <w:bottom w:val="single" w:sz="4" w:space="0" w:color="auto"/>
            </w:tcBorders>
          </w:tcPr>
          <w:p w14:paraId="687A8857" w14:textId="77777777" w:rsidR="00E6060C" w:rsidRPr="00E6060C" w:rsidRDefault="00E6060C" w:rsidP="00F15DDF">
            <w:pPr>
              <w:numPr>
                <w:ilvl w:val="0"/>
                <w:numId w:val="18"/>
              </w:numPr>
              <w:ind w:left="273" w:hanging="273"/>
              <w:contextualSpacing/>
            </w:pPr>
            <w:r w:rsidRPr="00E6060C">
              <w:t>Both an ITT analysis, and an analysis which has not followed the principles of ITT, have been conducted</w:t>
            </w:r>
          </w:p>
        </w:tc>
      </w:tr>
      <w:tr w:rsidR="00E6060C" w:rsidRPr="00E6060C" w14:paraId="4CA50443" w14:textId="77777777" w:rsidTr="00E6060C">
        <w:tc>
          <w:tcPr>
            <w:tcW w:w="545" w:type="dxa"/>
            <w:tcBorders>
              <w:top w:val="single" w:sz="4" w:space="0" w:color="auto"/>
            </w:tcBorders>
          </w:tcPr>
          <w:p w14:paraId="4743677E" w14:textId="77777777" w:rsidR="00E6060C" w:rsidRPr="00E6060C" w:rsidRDefault="00E6060C" w:rsidP="00E6060C">
            <w:pPr>
              <w:contextualSpacing/>
            </w:pPr>
            <w:r w:rsidRPr="00E6060C">
              <w:lastRenderedPageBreak/>
              <w:t>15</w:t>
            </w:r>
          </w:p>
        </w:tc>
        <w:tc>
          <w:tcPr>
            <w:tcW w:w="1433" w:type="dxa"/>
            <w:tcBorders>
              <w:top w:val="single" w:sz="4" w:space="0" w:color="auto"/>
            </w:tcBorders>
          </w:tcPr>
          <w:p w14:paraId="7FE62676" w14:textId="77777777" w:rsidR="00E6060C" w:rsidRPr="00E6060C" w:rsidRDefault="00E6060C" w:rsidP="00E6060C">
            <w:pPr>
              <w:contextualSpacing/>
            </w:pPr>
            <w:r w:rsidRPr="00E6060C">
              <w:t xml:space="preserve">Analysis adjusted? </w:t>
            </w:r>
          </w:p>
        </w:tc>
        <w:tc>
          <w:tcPr>
            <w:tcW w:w="2139" w:type="dxa"/>
            <w:tcBorders>
              <w:top w:val="single" w:sz="4" w:space="0" w:color="auto"/>
            </w:tcBorders>
          </w:tcPr>
          <w:p w14:paraId="3B5E66F7" w14:textId="77777777" w:rsidR="00E6060C" w:rsidRPr="00E6060C" w:rsidRDefault="00E6060C" w:rsidP="00E6060C">
            <w:pPr>
              <w:contextualSpacing/>
            </w:pPr>
            <w:r w:rsidRPr="00E6060C">
              <w:t>Yes – baseline values only</w:t>
            </w:r>
          </w:p>
        </w:tc>
        <w:tc>
          <w:tcPr>
            <w:tcW w:w="6435" w:type="dxa"/>
            <w:tcBorders>
              <w:top w:val="single" w:sz="4" w:space="0" w:color="auto"/>
            </w:tcBorders>
          </w:tcPr>
          <w:p w14:paraId="2FA0F35D" w14:textId="77777777" w:rsidR="00E6060C" w:rsidRPr="00E6060C" w:rsidRDefault="00E6060C" w:rsidP="00F15DDF">
            <w:pPr>
              <w:numPr>
                <w:ilvl w:val="0"/>
                <w:numId w:val="18"/>
              </w:numPr>
              <w:ind w:left="273" w:hanging="273"/>
              <w:contextualSpacing/>
            </w:pPr>
            <w:r w:rsidRPr="00E6060C">
              <w:t xml:space="preserve">An analysis which has been adjusted for covariates (e.g. age, gender, education etc.) and / or baseline differences on the outcome measure / dependent variables.  Please note which adjustment has occurred. If both, please state ‘adjusted – both’ </w:t>
            </w:r>
          </w:p>
        </w:tc>
      </w:tr>
      <w:tr w:rsidR="00E6060C" w:rsidRPr="00E6060C" w14:paraId="4D38B991" w14:textId="77777777" w:rsidTr="00E6060C">
        <w:tc>
          <w:tcPr>
            <w:tcW w:w="545" w:type="dxa"/>
          </w:tcPr>
          <w:p w14:paraId="71A15122" w14:textId="77777777" w:rsidR="00E6060C" w:rsidRPr="00E6060C" w:rsidRDefault="00E6060C" w:rsidP="00E6060C">
            <w:pPr>
              <w:contextualSpacing/>
            </w:pPr>
          </w:p>
        </w:tc>
        <w:tc>
          <w:tcPr>
            <w:tcW w:w="1433" w:type="dxa"/>
          </w:tcPr>
          <w:p w14:paraId="54B27A8A" w14:textId="77777777" w:rsidR="00E6060C" w:rsidRPr="00E6060C" w:rsidRDefault="00E6060C" w:rsidP="00E6060C">
            <w:pPr>
              <w:contextualSpacing/>
            </w:pPr>
          </w:p>
        </w:tc>
        <w:tc>
          <w:tcPr>
            <w:tcW w:w="2139" w:type="dxa"/>
          </w:tcPr>
          <w:p w14:paraId="5E13DD44" w14:textId="77777777" w:rsidR="00E6060C" w:rsidRPr="00E6060C" w:rsidRDefault="00E6060C" w:rsidP="00E6060C">
            <w:pPr>
              <w:contextualSpacing/>
            </w:pPr>
            <w:r w:rsidRPr="00E6060C">
              <w:t>Yes - covariates</w:t>
            </w:r>
          </w:p>
        </w:tc>
        <w:tc>
          <w:tcPr>
            <w:tcW w:w="6435" w:type="dxa"/>
          </w:tcPr>
          <w:p w14:paraId="3B1C7170" w14:textId="77777777" w:rsidR="00E6060C" w:rsidRPr="00E6060C" w:rsidRDefault="00E6060C" w:rsidP="00F15DDF">
            <w:pPr>
              <w:numPr>
                <w:ilvl w:val="0"/>
                <w:numId w:val="18"/>
              </w:numPr>
              <w:ind w:left="273" w:hanging="273"/>
              <w:contextualSpacing/>
            </w:pPr>
            <w:r w:rsidRPr="00E6060C">
              <w:t>See above</w:t>
            </w:r>
          </w:p>
        </w:tc>
      </w:tr>
      <w:tr w:rsidR="00E6060C" w:rsidRPr="00E6060C" w14:paraId="76F97120" w14:textId="77777777" w:rsidTr="00E6060C">
        <w:tc>
          <w:tcPr>
            <w:tcW w:w="545" w:type="dxa"/>
          </w:tcPr>
          <w:p w14:paraId="1433CE63" w14:textId="77777777" w:rsidR="00E6060C" w:rsidRPr="00E6060C" w:rsidRDefault="00E6060C" w:rsidP="00E6060C">
            <w:pPr>
              <w:contextualSpacing/>
            </w:pPr>
          </w:p>
        </w:tc>
        <w:tc>
          <w:tcPr>
            <w:tcW w:w="1433" w:type="dxa"/>
          </w:tcPr>
          <w:p w14:paraId="22817639" w14:textId="77777777" w:rsidR="00E6060C" w:rsidRPr="00E6060C" w:rsidRDefault="00E6060C" w:rsidP="00E6060C">
            <w:pPr>
              <w:contextualSpacing/>
            </w:pPr>
          </w:p>
        </w:tc>
        <w:tc>
          <w:tcPr>
            <w:tcW w:w="2139" w:type="dxa"/>
          </w:tcPr>
          <w:p w14:paraId="5BA11C68" w14:textId="77777777" w:rsidR="00E6060C" w:rsidRPr="00E6060C" w:rsidRDefault="00E6060C" w:rsidP="00E6060C">
            <w:pPr>
              <w:contextualSpacing/>
            </w:pPr>
            <w:r w:rsidRPr="00E6060C">
              <w:t>No - Not adjusted</w:t>
            </w:r>
          </w:p>
        </w:tc>
        <w:tc>
          <w:tcPr>
            <w:tcW w:w="6435" w:type="dxa"/>
          </w:tcPr>
          <w:p w14:paraId="4ECBA85C" w14:textId="77777777" w:rsidR="00E6060C" w:rsidRPr="00E6060C" w:rsidRDefault="00E6060C" w:rsidP="00F15DDF">
            <w:pPr>
              <w:numPr>
                <w:ilvl w:val="0"/>
                <w:numId w:val="18"/>
              </w:numPr>
              <w:ind w:left="273" w:hanging="273"/>
              <w:contextualSpacing/>
            </w:pPr>
            <w:r w:rsidRPr="00E6060C">
              <w:t>Results which have not been adjusted for covariates  e.g. raw means and SDs, F values which have not been adjusted etc</w:t>
            </w:r>
          </w:p>
          <w:p w14:paraId="76069E72" w14:textId="77777777" w:rsidR="00E6060C" w:rsidRPr="00E6060C" w:rsidRDefault="00E6060C" w:rsidP="00E6060C">
            <w:r w:rsidRPr="00E6060C">
              <w:rPr>
                <w:b/>
              </w:rPr>
              <w:t>NB:</w:t>
            </w:r>
            <w:r w:rsidRPr="00E6060C">
              <w:t xml:space="preserve"> If studies include both adjusted and non-adjusted results (e.g. raw means and SDS and adjusted F-values), it is necessary only to code the adjusted results </w:t>
            </w:r>
          </w:p>
        </w:tc>
      </w:tr>
    </w:tbl>
    <w:p w14:paraId="725D392E" w14:textId="6A43CD8D" w:rsidR="00E6060C" w:rsidRPr="00E6060C" w:rsidRDefault="00E6060C" w:rsidP="00E6060C">
      <w:pPr>
        <w:rPr>
          <w:b/>
          <w:bCs/>
        </w:rPr>
      </w:pPr>
    </w:p>
    <w:p w14:paraId="1C3CA288" w14:textId="77777777" w:rsidR="00E6060C" w:rsidRPr="00E6060C" w:rsidRDefault="00E6060C" w:rsidP="00E6060C">
      <w:pPr>
        <w:keepNext/>
        <w:keepLines/>
        <w:spacing w:before="40" w:line="360" w:lineRule="auto"/>
        <w:contextualSpacing/>
        <w:outlineLvl w:val="1"/>
        <w:rPr>
          <w:rFonts w:asciiTheme="majorHAnsi" w:eastAsiaTheme="majorEastAsia" w:hAnsiTheme="majorHAnsi" w:cstheme="majorBidi"/>
          <w:b/>
          <w:sz w:val="26"/>
          <w:szCs w:val="26"/>
        </w:rPr>
        <w:sectPr w:rsidR="00E6060C" w:rsidRPr="00E6060C">
          <w:pgSz w:w="11906" w:h="16838"/>
          <w:pgMar w:top="1440" w:right="1440" w:bottom="1440" w:left="1440" w:header="708" w:footer="708" w:gutter="0"/>
          <w:cols w:space="708"/>
          <w:docGrid w:linePitch="360"/>
        </w:sectPr>
      </w:pPr>
    </w:p>
    <w:p w14:paraId="4DA1ABCA" w14:textId="77777777" w:rsidR="00734AC2" w:rsidRPr="00734AC2" w:rsidRDefault="00E6060C" w:rsidP="00734AC2">
      <w:pPr>
        <w:pStyle w:val="Heading2nonumbers"/>
        <w:rPr>
          <w:vanish/>
          <w:specVanish/>
        </w:rPr>
      </w:pPr>
      <w:bookmarkStart w:id="554" w:name="_Toc468286054"/>
      <w:r w:rsidRPr="00E6060C">
        <w:lastRenderedPageBreak/>
        <w:t>Appendix 3a: Work engagement intervention studies which were followed up for eligibility but eventually excluded from the systematic review</w:t>
      </w:r>
      <w:bookmarkEnd w:id="554"/>
    </w:p>
    <w:p w14:paraId="2EBEAA7D" w14:textId="22DC6439" w:rsidR="00E6060C" w:rsidRPr="00734AC2" w:rsidRDefault="00E6060C" w:rsidP="00734AC2">
      <w:pPr>
        <w:rPr>
          <w:rFonts w:asciiTheme="majorHAnsi" w:hAnsiTheme="majorHAnsi"/>
          <w:b/>
          <w:vanish/>
          <w:sz w:val="28"/>
          <w:szCs w:val="28"/>
        </w:rPr>
      </w:pPr>
      <w:r w:rsidRPr="00734AC2">
        <w:rPr>
          <w:rFonts w:asciiTheme="majorHAnsi" w:hAnsiTheme="majorHAnsi"/>
          <w:b/>
          <w:sz w:val="28"/>
          <w:szCs w:val="28"/>
        </w:rPr>
        <w:t>, and reasons for their exclusion (</w:t>
      </w:r>
      <w:r w:rsidRPr="00734AC2">
        <w:rPr>
          <w:rFonts w:asciiTheme="majorHAnsi" w:hAnsiTheme="majorHAnsi"/>
          <w:b/>
          <w:i/>
          <w:sz w:val="28"/>
          <w:szCs w:val="28"/>
        </w:rPr>
        <w:t>K</w:t>
      </w:r>
      <w:r w:rsidR="00E7098C" w:rsidRPr="00734AC2">
        <w:rPr>
          <w:rFonts w:asciiTheme="majorHAnsi" w:hAnsiTheme="majorHAnsi"/>
          <w:b/>
          <w:sz w:val="28"/>
          <w:szCs w:val="28"/>
        </w:rPr>
        <w:t>=15</w:t>
      </w:r>
      <w:r w:rsidRPr="00734AC2">
        <w:rPr>
          <w:rFonts w:asciiTheme="majorHAnsi" w:hAnsiTheme="majorHAnsi"/>
          <w:b/>
          <w:sz w:val="28"/>
          <w:szCs w:val="28"/>
        </w:rPr>
        <w:t>)</w:t>
      </w:r>
      <w:r w:rsidR="00734AC2" w:rsidRPr="00734AC2">
        <w:rPr>
          <w:rFonts w:asciiTheme="majorHAnsi" w:hAnsiTheme="majorHAnsi"/>
          <w:b/>
          <w:sz w:val="28"/>
          <w:szCs w:val="28"/>
        </w:rPr>
        <w:t xml:space="preserve"> </w:t>
      </w:r>
    </w:p>
    <w:p w14:paraId="7059FB9B" w14:textId="77777777" w:rsidR="00945CC5" w:rsidRPr="00E6060C" w:rsidRDefault="00945CC5" w:rsidP="00E6060C"/>
    <w:tbl>
      <w:tblPr>
        <w:tblStyle w:val="TableGrid8"/>
        <w:tblW w:w="143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4"/>
        <w:gridCol w:w="1562"/>
        <w:gridCol w:w="921"/>
        <w:gridCol w:w="3402"/>
        <w:gridCol w:w="935"/>
        <w:gridCol w:w="1049"/>
        <w:gridCol w:w="1599"/>
        <w:gridCol w:w="1236"/>
        <w:gridCol w:w="1727"/>
        <w:gridCol w:w="1155"/>
      </w:tblGrid>
      <w:tr w:rsidR="00E6060C" w:rsidRPr="00E6060C" w14:paraId="7A5588CC" w14:textId="77777777" w:rsidTr="00E6060C">
        <w:trPr>
          <w:trHeight w:val="175"/>
          <w:tblHeader/>
        </w:trPr>
        <w:tc>
          <w:tcPr>
            <w:tcW w:w="744" w:type="dxa"/>
            <w:vMerge w:val="restart"/>
            <w:tcBorders>
              <w:top w:val="single" w:sz="4" w:space="0" w:color="auto"/>
              <w:bottom w:val="single" w:sz="4" w:space="0" w:color="auto"/>
            </w:tcBorders>
          </w:tcPr>
          <w:p w14:paraId="639F3D3F" w14:textId="77777777" w:rsidR="00E6060C" w:rsidRPr="00E6060C" w:rsidRDefault="00E6060C" w:rsidP="00E6060C">
            <w:pPr>
              <w:contextualSpacing/>
              <w:rPr>
                <w:b/>
              </w:rPr>
            </w:pPr>
            <w:r w:rsidRPr="00E6060C">
              <w:rPr>
                <w:b/>
              </w:rPr>
              <w:t>No.</w:t>
            </w:r>
          </w:p>
        </w:tc>
        <w:tc>
          <w:tcPr>
            <w:tcW w:w="1562" w:type="dxa"/>
            <w:vMerge w:val="restart"/>
            <w:tcBorders>
              <w:top w:val="single" w:sz="4" w:space="0" w:color="auto"/>
              <w:bottom w:val="single" w:sz="4" w:space="0" w:color="auto"/>
            </w:tcBorders>
          </w:tcPr>
          <w:p w14:paraId="6EFD90CC" w14:textId="77777777" w:rsidR="00E6060C" w:rsidRPr="00E6060C" w:rsidRDefault="00E6060C" w:rsidP="00E6060C">
            <w:pPr>
              <w:contextualSpacing/>
              <w:rPr>
                <w:b/>
              </w:rPr>
            </w:pPr>
            <w:r w:rsidRPr="00E6060C">
              <w:rPr>
                <w:b/>
              </w:rPr>
              <w:t>Excluded study reference</w:t>
            </w:r>
          </w:p>
        </w:tc>
        <w:tc>
          <w:tcPr>
            <w:tcW w:w="921" w:type="dxa"/>
            <w:vMerge w:val="restart"/>
            <w:tcBorders>
              <w:top w:val="single" w:sz="4" w:space="0" w:color="auto"/>
              <w:bottom w:val="single" w:sz="4" w:space="0" w:color="auto"/>
            </w:tcBorders>
          </w:tcPr>
          <w:p w14:paraId="10A8C611" w14:textId="77777777" w:rsidR="00E6060C" w:rsidRPr="00E6060C" w:rsidRDefault="00E6060C" w:rsidP="00E6060C">
            <w:pPr>
              <w:contextualSpacing/>
              <w:rPr>
                <w:b/>
              </w:rPr>
            </w:pPr>
            <w:r w:rsidRPr="00E6060C">
              <w:rPr>
                <w:b/>
              </w:rPr>
              <w:t>Type of doc*</w:t>
            </w:r>
          </w:p>
        </w:tc>
        <w:tc>
          <w:tcPr>
            <w:tcW w:w="3402" w:type="dxa"/>
            <w:vMerge w:val="restart"/>
            <w:tcBorders>
              <w:top w:val="single" w:sz="4" w:space="0" w:color="auto"/>
              <w:bottom w:val="single" w:sz="4" w:space="0" w:color="auto"/>
            </w:tcBorders>
          </w:tcPr>
          <w:p w14:paraId="35C339A4" w14:textId="77777777" w:rsidR="00E6060C" w:rsidRPr="00E6060C" w:rsidRDefault="00E6060C" w:rsidP="00E6060C">
            <w:pPr>
              <w:contextualSpacing/>
              <w:rPr>
                <w:b/>
              </w:rPr>
            </w:pPr>
            <w:r w:rsidRPr="00E6060C">
              <w:rPr>
                <w:b/>
              </w:rPr>
              <w:t>Intervention type</w:t>
            </w:r>
          </w:p>
        </w:tc>
        <w:tc>
          <w:tcPr>
            <w:tcW w:w="1984" w:type="dxa"/>
            <w:gridSpan w:val="2"/>
            <w:tcBorders>
              <w:top w:val="single" w:sz="4" w:space="0" w:color="auto"/>
              <w:bottom w:val="single" w:sz="4" w:space="0" w:color="auto"/>
            </w:tcBorders>
          </w:tcPr>
          <w:p w14:paraId="1D871CA6" w14:textId="77777777" w:rsidR="00E6060C" w:rsidRPr="00E6060C" w:rsidRDefault="00E6060C" w:rsidP="00E6060C">
            <w:pPr>
              <w:contextualSpacing/>
              <w:rPr>
                <w:b/>
              </w:rPr>
            </w:pPr>
            <w:r w:rsidRPr="00E6060C">
              <w:rPr>
                <w:b/>
              </w:rPr>
              <w:t>Contacted?</w:t>
            </w:r>
          </w:p>
        </w:tc>
        <w:tc>
          <w:tcPr>
            <w:tcW w:w="1599" w:type="dxa"/>
            <w:vMerge w:val="restart"/>
            <w:tcBorders>
              <w:top w:val="single" w:sz="4" w:space="0" w:color="auto"/>
              <w:bottom w:val="nil"/>
            </w:tcBorders>
          </w:tcPr>
          <w:p w14:paraId="6362DE80" w14:textId="77777777" w:rsidR="00E6060C" w:rsidRPr="00E6060C" w:rsidRDefault="00E6060C" w:rsidP="00E6060C">
            <w:pPr>
              <w:contextualSpacing/>
              <w:rPr>
                <w:b/>
              </w:rPr>
            </w:pPr>
            <w:r w:rsidRPr="00E6060C">
              <w:rPr>
                <w:b/>
              </w:rPr>
              <w:t>Why contacted</w:t>
            </w:r>
          </w:p>
        </w:tc>
        <w:tc>
          <w:tcPr>
            <w:tcW w:w="1236" w:type="dxa"/>
            <w:vMerge w:val="restart"/>
            <w:tcBorders>
              <w:top w:val="single" w:sz="4" w:space="0" w:color="auto"/>
              <w:bottom w:val="nil"/>
            </w:tcBorders>
          </w:tcPr>
          <w:p w14:paraId="62FEB84D" w14:textId="77777777" w:rsidR="00E6060C" w:rsidRPr="00E6060C" w:rsidRDefault="00E6060C" w:rsidP="00E6060C">
            <w:pPr>
              <w:contextualSpacing/>
              <w:rPr>
                <w:b/>
              </w:rPr>
            </w:pPr>
            <w:r w:rsidRPr="00E6060C">
              <w:rPr>
                <w:b/>
              </w:rPr>
              <w:t>Response?</w:t>
            </w:r>
          </w:p>
        </w:tc>
        <w:tc>
          <w:tcPr>
            <w:tcW w:w="1727" w:type="dxa"/>
            <w:vMerge w:val="restart"/>
            <w:tcBorders>
              <w:top w:val="single" w:sz="4" w:space="0" w:color="auto"/>
              <w:bottom w:val="nil"/>
            </w:tcBorders>
          </w:tcPr>
          <w:p w14:paraId="60F16013" w14:textId="77777777" w:rsidR="00E6060C" w:rsidRPr="00E6060C" w:rsidRDefault="00E6060C" w:rsidP="00E6060C">
            <w:pPr>
              <w:contextualSpacing/>
              <w:rPr>
                <w:b/>
              </w:rPr>
            </w:pPr>
            <w:r w:rsidRPr="00E6060C">
              <w:rPr>
                <w:b/>
              </w:rPr>
              <w:t>Reason for exclusion</w:t>
            </w:r>
          </w:p>
        </w:tc>
        <w:tc>
          <w:tcPr>
            <w:tcW w:w="1155" w:type="dxa"/>
            <w:vMerge w:val="restart"/>
            <w:tcBorders>
              <w:top w:val="single" w:sz="4" w:space="0" w:color="auto"/>
              <w:bottom w:val="nil"/>
            </w:tcBorders>
          </w:tcPr>
          <w:p w14:paraId="26FFADA4" w14:textId="77777777" w:rsidR="00E6060C" w:rsidRPr="00E6060C" w:rsidRDefault="00E6060C" w:rsidP="00E6060C">
            <w:pPr>
              <w:contextualSpacing/>
              <w:rPr>
                <w:b/>
              </w:rPr>
            </w:pPr>
            <w:r w:rsidRPr="00E6060C">
              <w:rPr>
                <w:b/>
              </w:rPr>
              <w:t>Date decision made</w:t>
            </w:r>
          </w:p>
          <w:p w14:paraId="39B54645" w14:textId="77777777" w:rsidR="00E6060C" w:rsidRPr="00E6060C" w:rsidRDefault="00E6060C" w:rsidP="00E6060C">
            <w:pPr>
              <w:rPr>
                <w:b/>
              </w:rPr>
            </w:pPr>
          </w:p>
        </w:tc>
      </w:tr>
      <w:tr w:rsidR="00E6060C" w:rsidRPr="00E6060C" w14:paraId="4331B222" w14:textId="77777777" w:rsidTr="00E6060C">
        <w:trPr>
          <w:trHeight w:val="174"/>
        </w:trPr>
        <w:tc>
          <w:tcPr>
            <w:tcW w:w="744" w:type="dxa"/>
            <w:vMerge/>
            <w:tcBorders>
              <w:top w:val="single" w:sz="4" w:space="0" w:color="auto"/>
              <w:bottom w:val="single" w:sz="4" w:space="0" w:color="auto"/>
            </w:tcBorders>
          </w:tcPr>
          <w:p w14:paraId="3E6E021B" w14:textId="77777777" w:rsidR="00E6060C" w:rsidRPr="00E6060C" w:rsidRDefault="00E6060C" w:rsidP="00E6060C"/>
        </w:tc>
        <w:tc>
          <w:tcPr>
            <w:tcW w:w="1562" w:type="dxa"/>
            <w:vMerge/>
            <w:tcBorders>
              <w:top w:val="single" w:sz="4" w:space="0" w:color="auto"/>
              <w:bottom w:val="single" w:sz="4" w:space="0" w:color="auto"/>
            </w:tcBorders>
          </w:tcPr>
          <w:p w14:paraId="1D53935D" w14:textId="77777777" w:rsidR="00E6060C" w:rsidRPr="00E6060C" w:rsidRDefault="00E6060C" w:rsidP="00E6060C"/>
        </w:tc>
        <w:tc>
          <w:tcPr>
            <w:tcW w:w="921" w:type="dxa"/>
            <w:vMerge/>
            <w:tcBorders>
              <w:top w:val="single" w:sz="4" w:space="0" w:color="auto"/>
              <w:bottom w:val="single" w:sz="4" w:space="0" w:color="auto"/>
            </w:tcBorders>
          </w:tcPr>
          <w:p w14:paraId="2A490A30" w14:textId="77777777" w:rsidR="00E6060C" w:rsidRPr="00E6060C" w:rsidRDefault="00E6060C" w:rsidP="00E6060C">
            <w:pPr>
              <w:rPr>
                <w:b/>
              </w:rPr>
            </w:pPr>
          </w:p>
        </w:tc>
        <w:tc>
          <w:tcPr>
            <w:tcW w:w="3402" w:type="dxa"/>
            <w:vMerge/>
            <w:tcBorders>
              <w:top w:val="single" w:sz="4" w:space="0" w:color="auto"/>
              <w:bottom w:val="single" w:sz="4" w:space="0" w:color="auto"/>
            </w:tcBorders>
          </w:tcPr>
          <w:p w14:paraId="4F189E24" w14:textId="77777777" w:rsidR="00E6060C" w:rsidRPr="00E6060C" w:rsidRDefault="00E6060C" w:rsidP="00E6060C">
            <w:pPr>
              <w:rPr>
                <w:b/>
              </w:rPr>
            </w:pPr>
          </w:p>
        </w:tc>
        <w:tc>
          <w:tcPr>
            <w:tcW w:w="935" w:type="dxa"/>
            <w:tcBorders>
              <w:top w:val="single" w:sz="4" w:space="0" w:color="auto"/>
              <w:bottom w:val="single" w:sz="4" w:space="0" w:color="auto"/>
            </w:tcBorders>
          </w:tcPr>
          <w:p w14:paraId="7E77A896" w14:textId="77777777" w:rsidR="00E6060C" w:rsidRPr="00E6060C" w:rsidRDefault="00E6060C" w:rsidP="00E6060C">
            <w:pPr>
              <w:rPr>
                <w:b/>
              </w:rPr>
            </w:pPr>
            <w:r w:rsidRPr="00E6060C">
              <w:rPr>
                <w:b/>
              </w:rPr>
              <w:t>Yes / No</w:t>
            </w:r>
          </w:p>
        </w:tc>
        <w:tc>
          <w:tcPr>
            <w:tcW w:w="1049" w:type="dxa"/>
            <w:tcBorders>
              <w:top w:val="single" w:sz="4" w:space="0" w:color="auto"/>
              <w:bottom w:val="single" w:sz="4" w:space="0" w:color="auto"/>
            </w:tcBorders>
          </w:tcPr>
          <w:p w14:paraId="4F8B76B5" w14:textId="77777777" w:rsidR="00E6060C" w:rsidRPr="00E6060C" w:rsidRDefault="00E6060C" w:rsidP="00E6060C">
            <w:pPr>
              <w:rPr>
                <w:b/>
              </w:rPr>
            </w:pPr>
            <w:r w:rsidRPr="00E6060C">
              <w:rPr>
                <w:b/>
              </w:rPr>
              <w:t>Last date of contact</w:t>
            </w:r>
          </w:p>
        </w:tc>
        <w:tc>
          <w:tcPr>
            <w:tcW w:w="1599" w:type="dxa"/>
            <w:vMerge/>
            <w:tcBorders>
              <w:top w:val="nil"/>
              <w:bottom w:val="single" w:sz="4" w:space="0" w:color="auto"/>
            </w:tcBorders>
          </w:tcPr>
          <w:p w14:paraId="3455CD1B" w14:textId="77777777" w:rsidR="00E6060C" w:rsidRPr="00E6060C" w:rsidRDefault="00E6060C" w:rsidP="00E6060C"/>
        </w:tc>
        <w:tc>
          <w:tcPr>
            <w:tcW w:w="1236" w:type="dxa"/>
            <w:vMerge/>
            <w:tcBorders>
              <w:top w:val="nil"/>
              <w:bottom w:val="single" w:sz="4" w:space="0" w:color="auto"/>
            </w:tcBorders>
          </w:tcPr>
          <w:p w14:paraId="5AAA45FF" w14:textId="77777777" w:rsidR="00E6060C" w:rsidRPr="00E6060C" w:rsidRDefault="00E6060C" w:rsidP="00E6060C"/>
        </w:tc>
        <w:tc>
          <w:tcPr>
            <w:tcW w:w="1727" w:type="dxa"/>
            <w:vMerge/>
            <w:tcBorders>
              <w:top w:val="nil"/>
              <w:bottom w:val="single" w:sz="4" w:space="0" w:color="auto"/>
            </w:tcBorders>
          </w:tcPr>
          <w:p w14:paraId="514C2286" w14:textId="77777777" w:rsidR="00E6060C" w:rsidRPr="00E6060C" w:rsidRDefault="00E6060C" w:rsidP="00E6060C"/>
        </w:tc>
        <w:tc>
          <w:tcPr>
            <w:tcW w:w="1155" w:type="dxa"/>
            <w:vMerge/>
            <w:tcBorders>
              <w:top w:val="nil"/>
              <w:bottom w:val="single" w:sz="4" w:space="0" w:color="auto"/>
            </w:tcBorders>
          </w:tcPr>
          <w:p w14:paraId="70D5552E" w14:textId="77777777" w:rsidR="00E6060C" w:rsidRPr="00E6060C" w:rsidRDefault="00E6060C" w:rsidP="00E6060C">
            <w:pPr>
              <w:rPr>
                <w:b/>
              </w:rPr>
            </w:pPr>
          </w:p>
        </w:tc>
      </w:tr>
      <w:tr w:rsidR="00E6060C" w:rsidRPr="00E6060C" w14:paraId="5A026056" w14:textId="77777777" w:rsidTr="00E6060C">
        <w:trPr>
          <w:trHeight w:val="340"/>
        </w:trPr>
        <w:tc>
          <w:tcPr>
            <w:tcW w:w="14330" w:type="dxa"/>
            <w:gridSpan w:val="10"/>
            <w:tcBorders>
              <w:top w:val="single" w:sz="4" w:space="0" w:color="auto"/>
              <w:bottom w:val="single" w:sz="4" w:space="0" w:color="auto"/>
            </w:tcBorders>
            <w:vAlign w:val="center"/>
          </w:tcPr>
          <w:p w14:paraId="648B95E5" w14:textId="77777777" w:rsidR="00E6060C" w:rsidRPr="00E6060C" w:rsidRDefault="00E6060C" w:rsidP="00E6060C">
            <w:pPr>
              <w:rPr>
                <w:b/>
              </w:rPr>
            </w:pPr>
            <w:r w:rsidRPr="00E6060C">
              <w:rPr>
                <w:b/>
              </w:rPr>
              <w:t>STUDIES WITH NO MEASURE OF WORK ENGAGEMENT INCLUDED</w:t>
            </w:r>
          </w:p>
        </w:tc>
      </w:tr>
      <w:tr w:rsidR="006A2D00" w:rsidRPr="00E6060C" w14:paraId="770B193B" w14:textId="77777777" w:rsidTr="006A2D00">
        <w:trPr>
          <w:trHeight w:val="709"/>
        </w:trPr>
        <w:tc>
          <w:tcPr>
            <w:tcW w:w="744" w:type="dxa"/>
            <w:tcBorders>
              <w:top w:val="nil"/>
              <w:bottom w:val="nil"/>
            </w:tcBorders>
          </w:tcPr>
          <w:p w14:paraId="722D1AB1" w14:textId="3C3688BB" w:rsidR="006A2D00" w:rsidRPr="00E6060C" w:rsidRDefault="00F72513" w:rsidP="0079494E">
            <w:r>
              <w:t>1</w:t>
            </w:r>
          </w:p>
        </w:tc>
        <w:tc>
          <w:tcPr>
            <w:tcW w:w="1562" w:type="dxa"/>
            <w:tcBorders>
              <w:top w:val="nil"/>
              <w:bottom w:val="nil"/>
            </w:tcBorders>
          </w:tcPr>
          <w:p w14:paraId="4765FC40" w14:textId="77777777" w:rsidR="006A2D00" w:rsidRPr="00E6060C" w:rsidRDefault="006A2D00" w:rsidP="0079494E">
            <w:r w:rsidRPr="00E6060C">
              <w:t>Blandford, 2005</w:t>
            </w:r>
          </w:p>
        </w:tc>
        <w:tc>
          <w:tcPr>
            <w:tcW w:w="921" w:type="dxa"/>
            <w:tcBorders>
              <w:top w:val="nil"/>
              <w:bottom w:val="nil"/>
            </w:tcBorders>
          </w:tcPr>
          <w:p w14:paraId="2E8AF825" w14:textId="77777777" w:rsidR="006A2D00" w:rsidRPr="00E6060C" w:rsidRDefault="006A2D00" w:rsidP="0079494E">
            <w:r w:rsidRPr="00E6060C">
              <w:t>T</w:t>
            </w:r>
          </w:p>
        </w:tc>
        <w:tc>
          <w:tcPr>
            <w:tcW w:w="3402" w:type="dxa"/>
            <w:tcBorders>
              <w:top w:val="nil"/>
              <w:bottom w:val="nil"/>
            </w:tcBorders>
          </w:tcPr>
          <w:p w14:paraId="245E7591" w14:textId="77777777" w:rsidR="006A2D00" w:rsidRPr="00E6060C" w:rsidRDefault="006A2D00" w:rsidP="0079494E">
            <w:r w:rsidRPr="00E6060C">
              <w:t>Personal mastery training</w:t>
            </w:r>
          </w:p>
        </w:tc>
        <w:tc>
          <w:tcPr>
            <w:tcW w:w="935" w:type="dxa"/>
            <w:tcBorders>
              <w:top w:val="nil"/>
              <w:bottom w:val="nil"/>
            </w:tcBorders>
          </w:tcPr>
          <w:p w14:paraId="56D0F226" w14:textId="77777777" w:rsidR="006A2D00" w:rsidRPr="00E6060C" w:rsidRDefault="006A2D00" w:rsidP="0079494E">
            <w:r w:rsidRPr="00E6060C">
              <w:t>Yes</w:t>
            </w:r>
          </w:p>
        </w:tc>
        <w:tc>
          <w:tcPr>
            <w:tcW w:w="1049" w:type="dxa"/>
            <w:tcBorders>
              <w:top w:val="nil"/>
              <w:bottom w:val="nil"/>
            </w:tcBorders>
          </w:tcPr>
          <w:p w14:paraId="28E677AB" w14:textId="77777777" w:rsidR="006A2D00" w:rsidRPr="00E6060C" w:rsidRDefault="006A2D00" w:rsidP="0079494E">
            <w:r w:rsidRPr="00E6060C">
              <w:t>22.08.14</w:t>
            </w:r>
          </w:p>
        </w:tc>
        <w:tc>
          <w:tcPr>
            <w:tcW w:w="1599" w:type="dxa"/>
            <w:tcBorders>
              <w:top w:val="nil"/>
              <w:bottom w:val="nil"/>
            </w:tcBorders>
          </w:tcPr>
          <w:p w14:paraId="2C89A91F" w14:textId="77777777" w:rsidR="006A2D00" w:rsidRPr="00E6060C" w:rsidRDefault="006A2D00" w:rsidP="0079494E">
            <w:r w:rsidRPr="00E6060C">
              <w:t xml:space="preserve">Need access to full MA thesis </w:t>
            </w:r>
          </w:p>
        </w:tc>
        <w:tc>
          <w:tcPr>
            <w:tcW w:w="1236" w:type="dxa"/>
            <w:tcBorders>
              <w:top w:val="nil"/>
              <w:bottom w:val="nil"/>
            </w:tcBorders>
          </w:tcPr>
          <w:p w14:paraId="3829E779" w14:textId="77777777" w:rsidR="006A2D00" w:rsidRPr="00E6060C" w:rsidRDefault="006A2D00" w:rsidP="0079494E">
            <w:r w:rsidRPr="00E6060C">
              <w:t>Yes – gained access</w:t>
            </w:r>
          </w:p>
        </w:tc>
        <w:tc>
          <w:tcPr>
            <w:tcW w:w="1727" w:type="dxa"/>
            <w:tcBorders>
              <w:top w:val="nil"/>
              <w:bottom w:val="nil"/>
            </w:tcBorders>
          </w:tcPr>
          <w:p w14:paraId="3AA1E54C" w14:textId="77777777" w:rsidR="006A2D00" w:rsidRPr="00E6060C" w:rsidRDefault="006A2D00" w:rsidP="0079494E">
            <w:r w:rsidRPr="00E6060C">
              <w:t>No measure of engagement</w:t>
            </w:r>
          </w:p>
        </w:tc>
        <w:tc>
          <w:tcPr>
            <w:tcW w:w="1155" w:type="dxa"/>
            <w:tcBorders>
              <w:top w:val="nil"/>
              <w:bottom w:val="nil"/>
            </w:tcBorders>
          </w:tcPr>
          <w:p w14:paraId="6FE6745D" w14:textId="77777777" w:rsidR="006A2D00" w:rsidRPr="00E6060C" w:rsidRDefault="006A2D00" w:rsidP="0079494E">
            <w:r w:rsidRPr="00E6060C">
              <w:t>21.11.14</w:t>
            </w:r>
          </w:p>
        </w:tc>
      </w:tr>
      <w:tr w:rsidR="00E6060C" w:rsidRPr="00E6060C" w14:paraId="2C378304" w14:textId="77777777" w:rsidTr="006A2D00">
        <w:trPr>
          <w:trHeight w:val="567"/>
        </w:trPr>
        <w:tc>
          <w:tcPr>
            <w:tcW w:w="744" w:type="dxa"/>
            <w:tcBorders>
              <w:top w:val="nil"/>
            </w:tcBorders>
          </w:tcPr>
          <w:p w14:paraId="3F7F416B" w14:textId="1AC02CCC" w:rsidR="00E6060C" w:rsidRPr="00E6060C" w:rsidRDefault="00F72513" w:rsidP="00E6060C">
            <w:r>
              <w:t>2</w:t>
            </w:r>
          </w:p>
        </w:tc>
        <w:tc>
          <w:tcPr>
            <w:tcW w:w="1562" w:type="dxa"/>
            <w:tcBorders>
              <w:top w:val="nil"/>
            </w:tcBorders>
          </w:tcPr>
          <w:p w14:paraId="0FFD7C6B" w14:textId="77777777" w:rsidR="00E6060C" w:rsidRPr="00E6060C" w:rsidRDefault="00E6060C" w:rsidP="00E6060C">
            <w:r w:rsidRPr="00E6060C">
              <w:t>Kalisch, 2007</w:t>
            </w:r>
          </w:p>
        </w:tc>
        <w:tc>
          <w:tcPr>
            <w:tcW w:w="921" w:type="dxa"/>
            <w:tcBorders>
              <w:top w:val="nil"/>
            </w:tcBorders>
          </w:tcPr>
          <w:p w14:paraId="0A9AC07C" w14:textId="77777777" w:rsidR="00E6060C" w:rsidRPr="00E6060C" w:rsidRDefault="00E6060C" w:rsidP="00E6060C">
            <w:r w:rsidRPr="00E6060C">
              <w:t>P</w:t>
            </w:r>
          </w:p>
        </w:tc>
        <w:tc>
          <w:tcPr>
            <w:tcW w:w="3402" w:type="dxa"/>
            <w:tcBorders>
              <w:top w:val="nil"/>
            </w:tcBorders>
          </w:tcPr>
          <w:p w14:paraId="6DD6FD95" w14:textId="77777777" w:rsidR="00E6060C" w:rsidRPr="00E6060C" w:rsidRDefault="00E6060C" w:rsidP="00E6060C">
            <w:r w:rsidRPr="00E6060C">
              <w:t>Enhancing staff teamwork and engagement</w:t>
            </w:r>
          </w:p>
        </w:tc>
        <w:tc>
          <w:tcPr>
            <w:tcW w:w="935" w:type="dxa"/>
            <w:tcBorders>
              <w:top w:val="nil"/>
            </w:tcBorders>
          </w:tcPr>
          <w:p w14:paraId="6BCB213B" w14:textId="77777777" w:rsidR="00E6060C" w:rsidRPr="00E6060C" w:rsidRDefault="00E6060C" w:rsidP="00E6060C">
            <w:r w:rsidRPr="00E6060C">
              <w:t>No</w:t>
            </w:r>
          </w:p>
        </w:tc>
        <w:tc>
          <w:tcPr>
            <w:tcW w:w="1049" w:type="dxa"/>
            <w:tcBorders>
              <w:top w:val="nil"/>
            </w:tcBorders>
          </w:tcPr>
          <w:p w14:paraId="6AC6C80C" w14:textId="77777777" w:rsidR="00E6060C" w:rsidRPr="00E6060C" w:rsidRDefault="00E6060C" w:rsidP="00E6060C">
            <w:r w:rsidRPr="00E6060C">
              <w:t>NA</w:t>
            </w:r>
          </w:p>
        </w:tc>
        <w:tc>
          <w:tcPr>
            <w:tcW w:w="1599" w:type="dxa"/>
            <w:tcBorders>
              <w:top w:val="nil"/>
            </w:tcBorders>
          </w:tcPr>
          <w:p w14:paraId="66F558B0" w14:textId="77777777" w:rsidR="00E6060C" w:rsidRPr="00E6060C" w:rsidRDefault="00E6060C" w:rsidP="00E6060C">
            <w:r w:rsidRPr="00E6060C">
              <w:t>NA</w:t>
            </w:r>
          </w:p>
        </w:tc>
        <w:tc>
          <w:tcPr>
            <w:tcW w:w="1236" w:type="dxa"/>
            <w:tcBorders>
              <w:top w:val="nil"/>
            </w:tcBorders>
          </w:tcPr>
          <w:p w14:paraId="6D583A2B" w14:textId="77777777" w:rsidR="00E6060C" w:rsidRPr="00E6060C" w:rsidRDefault="00E6060C" w:rsidP="00E6060C">
            <w:r w:rsidRPr="00E6060C">
              <w:t>NA</w:t>
            </w:r>
          </w:p>
        </w:tc>
        <w:tc>
          <w:tcPr>
            <w:tcW w:w="1727" w:type="dxa"/>
            <w:tcBorders>
              <w:top w:val="nil"/>
            </w:tcBorders>
          </w:tcPr>
          <w:p w14:paraId="6CBC627A" w14:textId="77777777" w:rsidR="00E6060C" w:rsidRPr="00E6060C" w:rsidRDefault="00E6060C" w:rsidP="00E6060C">
            <w:r w:rsidRPr="00E6060C">
              <w:t>No measure of engagement</w:t>
            </w:r>
          </w:p>
        </w:tc>
        <w:tc>
          <w:tcPr>
            <w:tcW w:w="1155" w:type="dxa"/>
            <w:tcBorders>
              <w:top w:val="nil"/>
            </w:tcBorders>
          </w:tcPr>
          <w:p w14:paraId="121AE107" w14:textId="77777777" w:rsidR="00E6060C" w:rsidRPr="00E6060C" w:rsidRDefault="00E6060C" w:rsidP="00E6060C">
            <w:r w:rsidRPr="00E6060C">
              <w:t>Aug 14</w:t>
            </w:r>
          </w:p>
        </w:tc>
      </w:tr>
      <w:tr w:rsidR="006A2D00" w:rsidRPr="00E6060C" w14:paraId="22A441EB" w14:textId="77777777" w:rsidTr="0079494E">
        <w:trPr>
          <w:trHeight w:val="567"/>
        </w:trPr>
        <w:tc>
          <w:tcPr>
            <w:tcW w:w="744" w:type="dxa"/>
            <w:tcBorders>
              <w:bottom w:val="nil"/>
            </w:tcBorders>
          </w:tcPr>
          <w:p w14:paraId="6905D0D2" w14:textId="219A64FC" w:rsidR="006A2D00" w:rsidRPr="00E6060C" w:rsidRDefault="00F72513" w:rsidP="0079494E">
            <w:r>
              <w:t>3</w:t>
            </w:r>
          </w:p>
        </w:tc>
        <w:tc>
          <w:tcPr>
            <w:tcW w:w="1562" w:type="dxa"/>
            <w:tcBorders>
              <w:bottom w:val="nil"/>
            </w:tcBorders>
          </w:tcPr>
          <w:p w14:paraId="1F28F191" w14:textId="77777777" w:rsidR="006A2D00" w:rsidRPr="00E6060C" w:rsidRDefault="006A2D00" w:rsidP="0079494E">
            <w:r w:rsidRPr="00E6060C">
              <w:t>Lashinger, 2012</w:t>
            </w:r>
          </w:p>
        </w:tc>
        <w:tc>
          <w:tcPr>
            <w:tcW w:w="921" w:type="dxa"/>
            <w:tcBorders>
              <w:bottom w:val="nil"/>
            </w:tcBorders>
          </w:tcPr>
          <w:p w14:paraId="00C80306" w14:textId="77777777" w:rsidR="006A2D00" w:rsidRPr="00E6060C" w:rsidRDefault="006A2D00" w:rsidP="0079494E">
            <w:r w:rsidRPr="00E6060C">
              <w:t>P</w:t>
            </w:r>
          </w:p>
        </w:tc>
        <w:tc>
          <w:tcPr>
            <w:tcW w:w="3402" w:type="dxa"/>
            <w:tcBorders>
              <w:bottom w:val="nil"/>
            </w:tcBorders>
          </w:tcPr>
          <w:p w14:paraId="1428AB43" w14:textId="77777777" w:rsidR="006A2D00" w:rsidRPr="00E6060C" w:rsidRDefault="006A2D00" w:rsidP="0079494E">
            <w:r w:rsidRPr="00E6060C">
              <w:t>6 month intervention in nurses called CREW (Civility, Respect, and Engagement in the Workplace) - impact on empowerment, experiences of supervisor &amp; co-worker incivility, and trust in nursing management, evaluated.</w:t>
            </w:r>
          </w:p>
        </w:tc>
        <w:tc>
          <w:tcPr>
            <w:tcW w:w="935" w:type="dxa"/>
            <w:tcBorders>
              <w:bottom w:val="nil"/>
            </w:tcBorders>
          </w:tcPr>
          <w:p w14:paraId="773EF803" w14:textId="77777777" w:rsidR="006A2D00" w:rsidRPr="00E6060C" w:rsidRDefault="006A2D00" w:rsidP="0079494E">
            <w:r w:rsidRPr="00E6060C">
              <w:t>Yes</w:t>
            </w:r>
          </w:p>
        </w:tc>
        <w:tc>
          <w:tcPr>
            <w:tcW w:w="1049" w:type="dxa"/>
            <w:tcBorders>
              <w:bottom w:val="nil"/>
            </w:tcBorders>
          </w:tcPr>
          <w:p w14:paraId="45BD8C27" w14:textId="77777777" w:rsidR="006A2D00" w:rsidRPr="00E6060C" w:rsidRDefault="006A2D00" w:rsidP="0079494E">
            <w:r w:rsidRPr="00E6060C">
              <w:t>22.08.14</w:t>
            </w:r>
          </w:p>
        </w:tc>
        <w:tc>
          <w:tcPr>
            <w:tcW w:w="1599" w:type="dxa"/>
            <w:tcBorders>
              <w:bottom w:val="nil"/>
            </w:tcBorders>
          </w:tcPr>
          <w:p w14:paraId="13B69C8C" w14:textId="77777777" w:rsidR="006A2D00" w:rsidRPr="00E6060C" w:rsidRDefault="006A2D00" w:rsidP="0079494E">
            <w:r w:rsidRPr="00E6060C">
              <w:t>Needed access to full article to determine if it has a measure of WE</w:t>
            </w:r>
          </w:p>
        </w:tc>
        <w:tc>
          <w:tcPr>
            <w:tcW w:w="1236" w:type="dxa"/>
            <w:tcBorders>
              <w:bottom w:val="nil"/>
            </w:tcBorders>
          </w:tcPr>
          <w:p w14:paraId="5FA05B4F" w14:textId="77777777" w:rsidR="006A2D00" w:rsidRPr="00E6060C" w:rsidRDefault="006A2D00" w:rsidP="0079494E">
            <w:r w:rsidRPr="00E6060C">
              <w:t>Yes – gained access</w:t>
            </w:r>
          </w:p>
        </w:tc>
        <w:tc>
          <w:tcPr>
            <w:tcW w:w="1727" w:type="dxa"/>
            <w:tcBorders>
              <w:bottom w:val="nil"/>
            </w:tcBorders>
          </w:tcPr>
          <w:p w14:paraId="25DBC53C" w14:textId="77777777" w:rsidR="006A2D00" w:rsidRPr="00E6060C" w:rsidRDefault="006A2D00" w:rsidP="0079494E">
            <w:r w:rsidRPr="00E6060C">
              <w:t>No measure of  engagement</w:t>
            </w:r>
          </w:p>
        </w:tc>
        <w:tc>
          <w:tcPr>
            <w:tcW w:w="1155" w:type="dxa"/>
            <w:tcBorders>
              <w:bottom w:val="nil"/>
            </w:tcBorders>
          </w:tcPr>
          <w:p w14:paraId="7B2A58F9" w14:textId="77777777" w:rsidR="006A2D00" w:rsidRPr="00E6060C" w:rsidRDefault="006A2D00" w:rsidP="0079494E">
            <w:r w:rsidRPr="00E6060C">
              <w:t>25.08.14</w:t>
            </w:r>
          </w:p>
        </w:tc>
      </w:tr>
      <w:tr w:rsidR="006A2D00" w:rsidRPr="00E6060C" w14:paraId="56722F38" w14:textId="77777777" w:rsidTr="006A2D00">
        <w:trPr>
          <w:trHeight w:val="567"/>
        </w:trPr>
        <w:tc>
          <w:tcPr>
            <w:tcW w:w="744" w:type="dxa"/>
            <w:tcBorders>
              <w:top w:val="nil"/>
              <w:bottom w:val="nil"/>
            </w:tcBorders>
          </w:tcPr>
          <w:p w14:paraId="25BC714C" w14:textId="264BD8B7" w:rsidR="006A2D00" w:rsidRPr="00E6060C" w:rsidRDefault="00F72513" w:rsidP="0079494E">
            <w:r>
              <w:t>4</w:t>
            </w:r>
          </w:p>
        </w:tc>
        <w:tc>
          <w:tcPr>
            <w:tcW w:w="1562" w:type="dxa"/>
            <w:tcBorders>
              <w:top w:val="nil"/>
              <w:bottom w:val="nil"/>
            </w:tcBorders>
          </w:tcPr>
          <w:p w14:paraId="49534940" w14:textId="77777777" w:rsidR="006A2D00" w:rsidRPr="00E6060C" w:rsidRDefault="006A2D00" w:rsidP="0079494E">
            <w:r w:rsidRPr="00E6060C">
              <w:t>Tullar, 2008</w:t>
            </w:r>
          </w:p>
        </w:tc>
        <w:tc>
          <w:tcPr>
            <w:tcW w:w="921" w:type="dxa"/>
            <w:tcBorders>
              <w:top w:val="nil"/>
              <w:bottom w:val="nil"/>
            </w:tcBorders>
          </w:tcPr>
          <w:p w14:paraId="1B2DF185" w14:textId="77777777" w:rsidR="006A2D00" w:rsidRPr="00E6060C" w:rsidRDefault="006A2D00" w:rsidP="0079494E">
            <w:r w:rsidRPr="00E6060C">
              <w:t>Grey</w:t>
            </w:r>
          </w:p>
        </w:tc>
        <w:tc>
          <w:tcPr>
            <w:tcW w:w="3402" w:type="dxa"/>
            <w:tcBorders>
              <w:top w:val="nil"/>
              <w:bottom w:val="nil"/>
            </w:tcBorders>
          </w:tcPr>
          <w:p w14:paraId="4C9749EA" w14:textId="77777777" w:rsidR="006A2D00" w:rsidRPr="00E6060C" w:rsidRDefault="006A2D00" w:rsidP="0079494E">
            <w:r w:rsidRPr="00E6060C">
              <w:t xml:space="preserve">Sacred Vocation Program (SVP) to change the content of work for healthcare workers (ie the meaningfulness of work) in Dallas. 5 self-discovery group sessions aimed to recommit workers to their work, and allow them to suggest organisational changes and present them to management. </w:t>
            </w:r>
          </w:p>
        </w:tc>
        <w:tc>
          <w:tcPr>
            <w:tcW w:w="935" w:type="dxa"/>
            <w:tcBorders>
              <w:top w:val="nil"/>
              <w:bottom w:val="nil"/>
            </w:tcBorders>
          </w:tcPr>
          <w:p w14:paraId="62FB849A" w14:textId="77777777" w:rsidR="006A2D00" w:rsidRPr="00E6060C" w:rsidRDefault="006A2D00" w:rsidP="0079494E">
            <w:r w:rsidRPr="00E6060C">
              <w:t>Yes</w:t>
            </w:r>
          </w:p>
        </w:tc>
        <w:tc>
          <w:tcPr>
            <w:tcW w:w="1049" w:type="dxa"/>
            <w:tcBorders>
              <w:top w:val="nil"/>
              <w:bottom w:val="nil"/>
            </w:tcBorders>
          </w:tcPr>
          <w:p w14:paraId="661AE5AE" w14:textId="77777777" w:rsidR="006A2D00" w:rsidRPr="00E6060C" w:rsidRDefault="006A2D00" w:rsidP="0079494E">
            <w:r w:rsidRPr="00E6060C">
              <w:t>22.08.14</w:t>
            </w:r>
          </w:p>
        </w:tc>
        <w:tc>
          <w:tcPr>
            <w:tcW w:w="1599" w:type="dxa"/>
            <w:tcBorders>
              <w:top w:val="nil"/>
              <w:bottom w:val="nil"/>
            </w:tcBorders>
          </w:tcPr>
          <w:p w14:paraId="30EA26F8" w14:textId="77777777" w:rsidR="006A2D00" w:rsidRPr="00E6060C" w:rsidRDefault="006A2D00" w:rsidP="0079494E">
            <w:r w:rsidRPr="00E6060C">
              <w:t xml:space="preserve">Need access to full PhD thesis </w:t>
            </w:r>
          </w:p>
        </w:tc>
        <w:tc>
          <w:tcPr>
            <w:tcW w:w="1236" w:type="dxa"/>
            <w:tcBorders>
              <w:top w:val="nil"/>
              <w:bottom w:val="nil"/>
            </w:tcBorders>
          </w:tcPr>
          <w:p w14:paraId="21E5BB02" w14:textId="77777777" w:rsidR="006A2D00" w:rsidRPr="00E6060C" w:rsidRDefault="006A2D00" w:rsidP="0079494E">
            <w:r w:rsidRPr="00E6060C">
              <w:t>Yes – received full thesis</w:t>
            </w:r>
          </w:p>
        </w:tc>
        <w:tc>
          <w:tcPr>
            <w:tcW w:w="1727" w:type="dxa"/>
            <w:tcBorders>
              <w:top w:val="nil"/>
              <w:bottom w:val="nil"/>
            </w:tcBorders>
          </w:tcPr>
          <w:p w14:paraId="0543F713" w14:textId="77777777" w:rsidR="006A2D00" w:rsidRPr="00E6060C" w:rsidRDefault="006A2D00" w:rsidP="0079494E">
            <w:r w:rsidRPr="00E6060C">
              <w:t>No measure of engagement</w:t>
            </w:r>
          </w:p>
        </w:tc>
        <w:tc>
          <w:tcPr>
            <w:tcW w:w="1155" w:type="dxa"/>
            <w:tcBorders>
              <w:top w:val="nil"/>
              <w:bottom w:val="nil"/>
            </w:tcBorders>
          </w:tcPr>
          <w:p w14:paraId="1B6A41FC" w14:textId="77777777" w:rsidR="006A2D00" w:rsidRPr="00E6060C" w:rsidRDefault="006A2D00" w:rsidP="0079494E">
            <w:r w:rsidRPr="00E6060C">
              <w:t>26.08.14</w:t>
            </w:r>
          </w:p>
        </w:tc>
      </w:tr>
      <w:tr w:rsidR="00E6060C" w:rsidRPr="00E6060C" w14:paraId="69D631F8" w14:textId="77777777" w:rsidTr="006A2D00">
        <w:trPr>
          <w:trHeight w:val="567"/>
        </w:trPr>
        <w:tc>
          <w:tcPr>
            <w:tcW w:w="744" w:type="dxa"/>
            <w:tcBorders>
              <w:top w:val="nil"/>
              <w:bottom w:val="nil"/>
            </w:tcBorders>
          </w:tcPr>
          <w:p w14:paraId="68A9F024" w14:textId="77777777" w:rsidR="00E6060C" w:rsidRPr="00E6060C" w:rsidRDefault="00E6060C" w:rsidP="00E6060C">
            <w:r w:rsidRPr="00E6060C">
              <w:t>5</w:t>
            </w:r>
          </w:p>
        </w:tc>
        <w:tc>
          <w:tcPr>
            <w:tcW w:w="1562" w:type="dxa"/>
            <w:tcBorders>
              <w:top w:val="nil"/>
              <w:bottom w:val="nil"/>
            </w:tcBorders>
          </w:tcPr>
          <w:p w14:paraId="5A6E7E0D" w14:textId="6BA5B09B" w:rsidR="00E6060C" w:rsidRPr="00E6060C" w:rsidRDefault="00E6060C" w:rsidP="00395453">
            <w:r w:rsidRPr="00E6060C">
              <w:t>Van den Heuvel</w:t>
            </w:r>
            <w:r w:rsidR="00621EEA">
              <w:t xml:space="preserve"> et al.</w:t>
            </w:r>
            <w:r w:rsidRPr="00E6060C">
              <w:t>,</w:t>
            </w:r>
            <w:r w:rsidR="00395453">
              <w:t xml:space="preserve"> </w:t>
            </w:r>
            <w:r w:rsidRPr="00E6060C">
              <w:t>2012</w:t>
            </w:r>
          </w:p>
        </w:tc>
        <w:tc>
          <w:tcPr>
            <w:tcW w:w="921" w:type="dxa"/>
            <w:tcBorders>
              <w:top w:val="nil"/>
              <w:bottom w:val="nil"/>
            </w:tcBorders>
          </w:tcPr>
          <w:p w14:paraId="5BE6A4EB" w14:textId="77777777" w:rsidR="00E6060C" w:rsidRPr="00E6060C" w:rsidRDefault="00E6060C" w:rsidP="00E6060C">
            <w:r w:rsidRPr="00E6060C">
              <w:t>P</w:t>
            </w:r>
          </w:p>
        </w:tc>
        <w:tc>
          <w:tcPr>
            <w:tcW w:w="3402" w:type="dxa"/>
            <w:tcBorders>
              <w:top w:val="nil"/>
              <w:bottom w:val="nil"/>
            </w:tcBorders>
          </w:tcPr>
          <w:p w14:paraId="3A51B04D" w14:textId="77777777" w:rsidR="00E6060C" w:rsidRPr="00E6060C" w:rsidRDefault="00E6060C" w:rsidP="00F15DDF">
            <w:pPr>
              <w:numPr>
                <w:ilvl w:val="0"/>
                <w:numId w:val="12"/>
              </w:numPr>
              <w:ind w:left="251" w:hanging="251"/>
              <w:contextualSpacing/>
            </w:pPr>
            <w:r w:rsidRPr="00E6060C">
              <w:t xml:space="preserve">Job crafting intervention to increase job and personal resources – 1 day of training </w:t>
            </w:r>
            <w:r w:rsidRPr="00E6060C">
              <w:lastRenderedPageBreak/>
              <w:t>followed by 4 wks working on self-set crafting goals</w:t>
            </w:r>
          </w:p>
          <w:p w14:paraId="6AE54726" w14:textId="77777777" w:rsidR="00E6060C" w:rsidRPr="00E6060C" w:rsidRDefault="00E6060C" w:rsidP="00F15DDF">
            <w:pPr>
              <w:numPr>
                <w:ilvl w:val="0"/>
                <w:numId w:val="12"/>
              </w:numPr>
              <w:ind w:left="251" w:hanging="251"/>
              <w:contextualSpacing/>
            </w:pPr>
            <w:r w:rsidRPr="00E6060C">
              <w:t>Intention to increase self-efficacy, positive affect</w:t>
            </w:r>
          </w:p>
        </w:tc>
        <w:tc>
          <w:tcPr>
            <w:tcW w:w="935" w:type="dxa"/>
            <w:tcBorders>
              <w:top w:val="nil"/>
              <w:bottom w:val="nil"/>
            </w:tcBorders>
          </w:tcPr>
          <w:p w14:paraId="78E75A16" w14:textId="77777777" w:rsidR="00E6060C" w:rsidRPr="00E6060C" w:rsidRDefault="00E6060C" w:rsidP="00E6060C">
            <w:r w:rsidRPr="00E6060C">
              <w:lastRenderedPageBreak/>
              <w:t>Yes</w:t>
            </w:r>
          </w:p>
        </w:tc>
        <w:tc>
          <w:tcPr>
            <w:tcW w:w="1049" w:type="dxa"/>
            <w:tcBorders>
              <w:top w:val="nil"/>
              <w:bottom w:val="nil"/>
            </w:tcBorders>
          </w:tcPr>
          <w:p w14:paraId="5E7803BD" w14:textId="77777777" w:rsidR="00E6060C" w:rsidRPr="00E6060C" w:rsidRDefault="00E6060C" w:rsidP="00E6060C">
            <w:r w:rsidRPr="00E6060C">
              <w:t>March 2014</w:t>
            </w:r>
          </w:p>
        </w:tc>
        <w:tc>
          <w:tcPr>
            <w:tcW w:w="1599" w:type="dxa"/>
            <w:tcBorders>
              <w:top w:val="nil"/>
              <w:bottom w:val="nil"/>
            </w:tcBorders>
          </w:tcPr>
          <w:p w14:paraId="3D344C57" w14:textId="77777777" w:rsidR="00E6060C" w:rsidRPr="00E6060C" w:rsidRDefault="00E6060C" w:rsidP="00E6060C">
            <w:r w:rsidRPr="00E6060C">
              <w:t>To see if paper had been translated</w:t>
            </w:r>
          </w:p>
        </w:tc>
        <w:tc>
          <w:tcPr>
            <w:tcW w:w="1236" w:type="dxa"/>
            <w:tcBorders>
              <w:top w:val="nil"/>
              <w:bottom w:val="nil"/>
            </w:tcBorders>
          </w:tcPr>
          <w:p w14:paraId="1A6187EA" w14:textId="77777777" w:rsidR="00E6060C" w:rsidRPr="00E6060C" w:rsidRDefault="00E6060C" w:rsidP="00E6060C">
            <w:r w:rsidRPr="00E6060C">
              <w:t>Yes - results in English sent to me</w:t>
            </w:r>
          </w:p>
          <w:p w14:paraId="2AA7DB79" w14:textId="77777777" w:rsidR="00E6060C" w:rsidRPr="00E6060C" w:rsidRDefault="00E6060C" w:rsidP="00E6060C"/>
        </w:tc>
        <w:tc>
          <w:tcPr>
            <w:tcW w:w="1727" w:type="dxa"/>
            <w:tcBorders>
              <w:top w:val="nil"/>
              <w:bottom w:val="nil"/>
            </w:tcBorders>
          </w:tcPr>
          <w:p w14:paraId="049B8508" w14:textId="77777777" w:rsidR="00E6060C" w:rsidRPr="00E6060C" w:rsidRDefault="00E6060C" w:rsidP="00E6060C">
            <w:r w:rsidRPr="00E6060C">
              <w:lastRenderedPageBreak/>
              <w:t>No measure of engagement</w:t>
            </w:r>
          </w:p>
          <w:p w14:paraId="5D4B2FBD" w14:textId="77777777" w:rsidR="00E6060C" w:rsidRPr="00E6060C" w:rsidRDefault="00E6060C" w:rsidP="00E6060C"/>
        </w:tc>
        <w:tc>
          <w:tcPr>
            <w:tcW w:w="1155" w:type="dxa"/>
            <w:tcBorders>
              <w:top w:val="nil"/>
              <w:bottom w:val="nil"/>
            </w:tcBorders>
          </w:tcPr>
          <w:p w14:paraId="28734977" w14:textId="77777777" w:rsidR="00E6060C" w:rsidRPr="00E6060C" w:rsidRDefault="00E6060C" w:rsidP="00E6060C">
            <w:r w:rsidRPr="00E6060C">
              <w:t>June 2014</w:t>
            </w:r>
          </w:p>
        </w:tc>
      </w:tr>
      <w:tr w:rsidR="006A2D00" w:rsidRPr="00E6060C" w14:paraId="227E4E9A" w14:textId="77777777" w:rsidTr="006A2D00">
        <w:trPr>
          <w:trHeight w:val="567"/>
        </w:trPr>
        <w:tc>
          <w:tcPr>
            <w:tcW w:w="744" w:type="dxa"/>
            <w:tcBorders>
              <w:top w:val="nil"/>
              <w:bottom w:val="single" w:sz="4" w:space="0" w:color="auto"/>
            </w:tcBorders>
          </w:tcPr>
          <w:p w14:paraId="197F531B" w14:textId="0BDB8B8F" w:rsidR="006A2D00" w:rsidRPr="00E6060C" w:rsidRDefault="00F72513" w:rsidP="0079494E">
            <w:r>
              <w:t>6</w:t>
            </w:r>
          </w:p>
        </w:tc>
        <w:tc>
          <w:tcPr>
            <w:tcW w:w="1562" w:type="dxa"/>
            <w:tcBorders>
              <w:top w:val="nil"/>
              <w:bottom w:val="single" w:sz="4" w:space="0" w:color="auto"/>
            </w:tcBorders>
          </w:tcPr>
          <w:p w14:paraId="44A3E6F5" w14:textId="77777777" w:rsidR="006A2D00" w:rsidRPr="00E6060C" w:rsidRDefault="006A2D00" w:rsidP="0079494E">
            <w:r w:rsidRPr="00E6060C">
              <w:t>West et al, 2014</w:t>
            </w:r>
          </w:p>
        </w:tc>
        <w:tc>
          <w:tcPr>
            <w:tcW w:w="921" w:type="dxa"/>
            <w:tcBorders>
              <w:top w:val="nil"/>
              <w:bottom w:val="single" w:sz="4" w:space="0" w:color="auto"/>
            </w:tcBorders>
          </w:tcPr>
          <w:p w14:paraId="5EE02F07" w14:textId="77777777" w:rsidR="006A2D00" w:rsidRPr="00E6060C" w:rsidRDefault="006A2D00" w:rsidP="0079494E">
            <w:r w:rsidRPr="00E6060C">
              <w:t>P</w:t>
            </w:r>
          </w:p>
        </w:tc>
        <w:tc>
          <w:tcPr>
            <w:tcW w:w="3402" w:type="dxa"/>
            <w:tcBorders>
              <w:top w:val="nil"/>
              <w:bottom w:val="single" w:sz="4" w:space="0" w:color="auto"/>
            </w:tcBorders>
          </w:tcPr>
          <w:p w14:paraId="5978FA34" w14:textId="77777777" w:rsidR="006A2D00" w:rsidRPr="00E6060C" w:rsidRDefault="006A2D00" w:rsidP="0079494E">
            <w:r w:rsidRPr="00E6060C">
              <w:t xml:space="preserve">Facilitated physician discussion groups – 19 over 9 months (one every other week). Incorporated mindfulness, reflection, shared experience and small-group learning. </w:t>
            </w:r>
          </w:p>
        </w:tc>
        <w:tc>
          <w:tcPr>
            <w:tcW w:w="935" w:type="dxa"/>
            <w:tcBorders>
              <w:top w:val="nil"/>
              <w:bottom w:val="single" w:sz="4" w:space="0" w:color="auto"/>
            </w:tcBorders>
          </w:tcPr>
          <w:p w14:paraId="112394DB" w14:textId="77777777" w:rsidR="006A2D00" w:rsidRPr="00E6060C" w:rsidRDefault="006A2D00" w:rsidP="0079494E">
            <w:r w:rsidRPr="00E6060C">
              <w:t>No</w:t>
            </w:r>
          </w:p>
        </w:tc>
        <w:tc>
          <w:tcPr>
            <w:tcW w:w="1049" w:type="dxa"/>
            <w:tcBorders>
              <w:top w:val="nil"/>
              <w:bottom w:val="single" w:sz="4" w:space="0" w:color="auto"/>
            </w:tcBorders>
          </w:tcPr>
          <w:p w14:paraId="1D12419E" w14:textId="77777777" w:rsidR="006A2D00" w:rsidRPr="00E6060C" w:rsidRDefault="006A2D00" w:rsidP="0079494E">
            <w:r w:rsidRPr="00E6060C">
              <w:t>22.08.14</w:t>
            </w:r>
          </w:p>
        </w:tc>
        <w:tc>
          <w:tcPr>
            <w:tcW w:w="1599" w:type="dxa"/>
            <w:tcBorders>
              <w:top w:val="nil"/>
              <w:bottom w:val="single" w:sz="4" w:space="0" w:color="auto"/>
            </w:tcBorders>
          </w:tcPr>
          <w:p w14:paraId="606C1CBE" w14:textId="77777777" w:rsidR="006A2D00" w:rsidRPr="00E6060C" w:rsidRDefault="006A2D00" w:rsidP="0079494E"/>
        </w:tc>
        <w:tc>
          <w:tcPr>
            <w:tcW w:w="1236" w:type="dxa"/>
            <w:tcBorders>
              <w:top w:val="nil"/>
              <w:bottom w:val="single" w:sz="4" w:space="0" w:color="auto"/>
            </w:tcBorders>
          </w:tcPr>
          <w:p w14:paraId="2E9796C4" w14:textId="77777777" w:rsidR="006A2D00" w:rsidRPr="00E6060C" w:rsidRDefault="006A2D00" w:rsidP="0079494E"/>
        </w:tc>
        <w:tc>
          <w:tcPr>
            <w:tcW w:w="1727" w:type="dxa"/>
            <w:tcBorders>
              <w:top w:val="nil"/>
              <w:bottom w:val="single" w:sz="4" w:space="0" w:color="auto"/>
            </w:tcBorders>
          </w:tcPr>
          <w:p w14:paraId="087FACB5" w14:textId="77777777" w:rsidR="006A2D00" w:rsidRPr="00E6060C" w:rsidRDefault="006A2D00" w:rsidP="0079494E">
            <w:r w:rsidRPr="00E6060C">
              <w:t>No engagement measure include which meets the inclusion criteria</w:t>
            </w:r>
          </w:p>
        </w:tc>
        <w:tc>
          <w:tcPr>
            <w:tcW w:w="1155" w:type="dxa"/>
            <w:tcBorders>
              <w:top w:val="nil"/>
              <w:bottom w:val="single" w:sz="4" w:space="0" w:color="auto"/>
            </w:tcBorders>
          </w:tcPr>
          <w:p w14:paraId="25114484" w14:textId="77777777" w:rsidR="006A2D00" w:rsidRPr="00E6060C" w:rsidRDefault="006A2D00" w:rsidP="0079494E">
            <w:r w:rsidRPr="00E6060C">
              <w:t>23.08.14</w:t>
            </w:r>
          </w:p>
        </w:tc>
      </w:tr>
      <w:tr w:rsidR="00E6060C" w:rsidRPr="00E6060C" w14:paraId="3A32FEB4" w14:textId="77777777" w:rsidTr="006A2D00">
        <w:trPr>
          <w:trHeight w:val="359"/>
        </w:trPr>
        <w:tc>
          <w:tcPr>
            <w:tcW w:w="14330" w:type="dxa"/>
            <w:gridSpan w:val="10"/>
            <w:tcBorders>
              <w:top w:val="single" w:sz="4" w:space="0" w:color="auto"/>
              <w:bottom w:val="single" w:sz="4" w:space="0" w:color="auto"/>
            </w:tcBorders>
            <w:vAlign w:val="center"/>
          </w:tcPr>
          <w:p w14:paraId="79367BA9" w14:textId="77777777" w:rsidR="00E6060C" w:rsidRPr="00E6060C" w:rsidRDefault="00E6060C" w:rsidP="00E6060C">
            <w:pPr>
              <w:rPr>
                <w:b/>
              </w:rPr>
            </w:pPr>
            <w:r w:rsidRPr="00E6060C">
              <w:rPr>
                <w:b/>
              </w:rPr>
              <w:t>STUDIES IN A FOREIGN LANGUAGE</w:t>
            </w:r>
          </w:p>
        </w:tc>
      </w:tr>
      <w:tr w:rsidR="00E6060C" w:rsidRPr="00E6060C" w14:paraId="1075D2FA" w14:textId="77777777" w:rsidTr="00E6060C">
        <w:trPr>
          <w:trHeight w:val="842"/>
        </w:trPr>
        <w:tc>
          <w:tcPr>
            <w:tcW w:w="744" w:type="dxa"/>
            <w:tcBorders>
              <w:top w:val="single" w:sz="4" w:space="0" w:color="auto"/>
            </w:tcBorders>
          </w:tcPr>
          <w:p w14:paraId="5162000E" w14:textId="77777777" w:rsidR="00E6060C" w:rsidRPr="00E6060C" w:rsidRDefault="00E6060C" w:rsidP="00E6060C">
            <w:r w:rsidRPr="00E6060C">
              <w:t>7</w:t>
            </w:r>
          </w:p>
        </w:tc>
        <w:tc>
          <w:tcPr>
            <w:tcW w:w="1562" w:type="dxa"/>
            <w:tcBorders>
              <w:top w:val="single" w:sz="4" w:space="0" w:color="auto"/>
            </w:tcBorders>
          </w:tcPr>
          <w:p w14:paraId="37A8E98F" w14:textId="77777777" w:rsidR="00E6060C" w:rsidRPr="00E6060C" w:rsidRDefault="00E6060C" w:rsidP="00E6060C">
            <w:r w:rsidRPr="00E6060C">
              <w:t>Kawaharada, 2013</w:t>
            </w:r>
          </w:p>
        </w:tc>
        <w:tc>
          <w:tcPr>
            <w:tcW w:w="921" w:type="dxa"/>
            <w:tcBorders>
              <w:top w:val="single" w:sz="4" w:space="0" w:color="auto"/>
            </w:tcBorders>
          </w:tcPr>
          <w:p w14:paraId="6614EFEF" w14:textId="77777777" w:rsidR="00E6060C" w:rsidRPr="00E6060C" w:rsidRDefault="00E6060C" w:rsidP="00E6060C">
            <w:r w:rsidRPr="00E6060C">
              <w:t>P</w:t>
            </w:r>
          </w:p>
        </w:tc>
        <w:tc>
          <w:tcPr>
            <w:tcW w:w="3402" w:type="dxa"/>
            <w:tcBorders>
              <w:top w:val="single" w:sz="4" w:space="0" w:color="auto"/>
            </w:tcBorders>
          </w:tcPr>
          <w:p w14:paraId="4C458D9F" w14:textId="275F0038" w:rsidR="00E6060C" w:rsidRPr="00E6060C" w:rsidRDefault="00E6060C" w:rsidP="00E6060C">
            <w:r w:rsidRPr="00E6060C">
              <w:t>Stress management – CoQ10 given to nurses and a ‘good intake group’ comp</w:t>
            </w:r>
            <w:r w:rsidR="007A60EE">
              <w:t>ared with a ‘bad intake group’.</w:t>
            </w:r>
            <w:r w:rsidRPr="00E6060C">
              <w:t xml:space="preserve"> It may reduce physical symptoms and therefore enhance work engagement (UWES-J used)</w:t>
            </w:r>
          </w:p>
        </w:tc>
        <w:tc>
          <w:tcPr>
            <w:tcW w:w="935" w:type="dxa"/>
            <w:tcBorders>
              <w:top w:val="single" w:sz="4" w:space="0" w:color="auto"/>
            </w:tcBorders>
          </w:tcPr>
          <w:p w14:paraId="2356F8E3" w14:textId="77777777" w:rsidR="00E6060C" w:rsidRPr="00E6060C" w:rsidRDefault="00E6060C" w:rsidP="00E6060C">
            <w:r w:rsidRPr="00E6060C">
              <w:t>No</w:t>
            </w:r>
          </w:p>
        </w:tc>
        <w:tc>
          <w:tcPr>
            <w:tcW w:w="1049" w:type="dxa"/>
            <w:tcBorders>
              <w:top w:val="single" w:sz="4" w:space="0" w:color="auto"/>
            </w:tcBorders>
          </w:tcPr>
          <w:p w14:paraId="5A96D40F" w14:textId="77777777" w:rsidR="00E6060C" w:rsidRPr="00E6060C" w:rsidRDefault="00E6060C" w:rsidP="00E6060C">
            <w:r w:rsidRPr="00E6060C">
              <w:t>22.08.14</w:t>
            </w:r>
          </w:p>
        </w:tc>
        <w:tc>
          <w:tcPr>
            <w:tcW w:w="1599" w:type="dxa"/>
            <w:tcBorders>
              <w:top w:val="single" w:sz="4" w:space="0" w:color="auto"/>
            </w:tcBorders>
          </w:tcPr>
          <w:p w14:paraId="67523B1C" w14:textId="77777777" w:rsidR="00E6060C" w:rsidRPr="00E6060C" w:rsidRDefault="00E6060C" w:rsidP="00E6060C">
            <w:r w:rsidRPr="00E6060C">
              <w:t>NA</w:t>
            </w:r>
          </w:p>
        </w:tc>
        <w:tc>
          <w:tcPr>
            <w:tcW w:w="1236" w:type="dxa"/>
            <w:tcBorders>
              <w:top w:val="single" w:sz="4" w:space="0" w:color="auto"/>
            </w:tcBorders>
          </w:tcPr>
          <w:p w14:paraId="58B27E15" w14:textId="77777777" w:rsidR="00E6060C" w:rsidRPr="00E6060C" w:rsidRDefault="00E6060C" w:rsidP="00E6060C">
            <w:r w:rsidRPr="00E6060C">
              <w:t>NA</w:t>
            </w:r>
          </w:p>
        </w:tc>
        <w:tc>
          <w:tcPr>
            <w:tcW w:w="1727" w:type="dxa"/>
            <w:tcBorders>
              <w:top w:val="single" w:sz="4" w:space="0" w:color="auto"/>
            </w:tcBorders>
          </w:tcPr>
          <w:p w14:paraId="529BCE75" w14:textId="77777777" w:rsidR="00E6060C" w:rsidRPr="00E6060C" w:rsidRDefault="00E6060C" w:rsidP="00E6060C">
            <w:r w:rsidRPr="00E6060C">
              <w:t>In Chinese except for the abstract</w:t>
            </w:r>
          </w:p>
        </w:tc>
        <w:tc>
          <w:tcPr>
            <w:tcW w:w="1155" w:type="dxa"/>
            <w:tcBorders>
              <w:top w:val="single" w:sz="4" w:space="0" w:color="auto"/>
            </w:tcBorders>
          </w:tcPr>
          <w:p w14:paraId="3E4C4EBF" w14:textId="77777777" w:rsidR="00E6060C" w:rsidRPr="00E6060C" w:rsidRDefault="00E6060C" w:rsidP="00E6060C">
            <w:r w:rsidRPr="00E6060C">
              <w:t>22.08.14</w:t>
            </w:r>
          </w:p>
        </w:tc>
      </w:tr>
      <w:tr w:rsidR="00E6060C" w:rsidRPr="00E6060C" w14:paraId="1E228E02" w14:textId="77777777" w:rsidTr="00E6060C">
        <w:trPr>
          <w:trHeight w:val="567"/>
        </w:trPr>
        <w:tc>
          <w:tcPr>
            <w:tcW w:w="744" w:type="dxa"/>
            <w:tcBorders>
              <w:bottom w:val="single" w:sz="4" w:space="0" w:color="auto"/>
            </w:tcBorders>
          </w:tcPr>
          <w:p w14:paraId="132B6F47" w14:textId="77777777" w:rsidR="00E6060C" w:rsidRPr="00E6060C" w:rsidRDefault="00E6060C" w:rsidP="00E6060C">
            <w:r w:rsidRPr="00E6060C">
              <w:t>8</w:t>
            </w:r>
          </w:p>
        </w:tc>
        <w:tc>
          <w:tcPr>
            <w:tcW w:w="1562" w:type="dxa"/>
            <w:tcBorders>
              <w:bottom w:val="single" w:sz="4" w:space="0" w:color="auto"/>
            </w:tcBorders>
          </w:tcPr>
          <w:p w14:paraId="0458C1F3" w14:textId="77777777" w:rsidR="00E6060C" w:rsidRPr="00E6060C" w:rsidRDefault="00E6060C" w:rsidP="00E6060C">
            <w:r w:rsidRPr="00E6060C">
              <w:t>Palheta, 2012</w:t>
            </w:r>
          </w:p>
        </w:tc>
        <w:tc>
          <w:tcPr>
            <w:tcW w:w="921" w:type="dxa"/>
            <w:tcBorders>
              <w:bottom w:val="single" w:sz="4" w:space="0" w:color="auto"/>
            </w:tcBorders>
          </w:tcPr>
          <w:p w14:paraId="5C1541DF" w14:textId="77777777" w:rsidR="00E6060C" w:rsidRPr="00E6060C" w:rsidRDefault="00E6060C" w:rsidP="00E6060C">
            <w:r w:rsidRPr="00E6060C">
              <w:t>P</w:t>
            </w:r>
          </w:p>
        </w:tc>
        <w:tc>
          <w:tcPr>
            <w:tcW w:w="3402" w:type="dxa"/>
            <w:tcBorders>
              <w:bottom w:val="single" w:sz="4" w:space="0" w:color="auto"/>
            </w:tcBorders>
          </w:tcPr>
          <w:p w14:paraId="368CE380" w14:textId="77777777" w:rsidR="00E6060C" w:rsidRPr="00E6060C" w:rsidRDefault="00E6060C" w:rsidP="00E6060C">
            <w:r w:rsidRPr="00E6060C">
              <w:t xml:space="preserve">Participatory process to increase the motivation and self-esteem of healthcare workers in Manaus, stimulate team-work and change attitudes towards service users. </w:t>
            </w:r>
          </w:p>
        </w:tc>
        <w:tc>
          <w:tcPr>
            <w:tcW w:w="935" w:type="dxa"/>
            <w:tcBorders>
              <w:bottom w:val="single" w:sz="4" w:space="0" w:color="auto"/>
            </w:tcBorders>
          </w:tcPr>
          <w:p w14:paraId="56007705" w14:textId="77777777" w:rsidR="00E6060C" w:rsidRPr="00E6060C" w:rsidRDefault="00E6060C" w:rsidP="00E6060C">
            <w:r w:rsidRPr="00E6060C">
              <w:t>No</w:t>
            </w:r>
          </w:p>
        </w:tc>
        <w:tc>
          <w:tcPr>
            <w:tcW w:w="1049" w:type="dxa"/>
            <w:tcBorders>
              <w:bottom w:val="single" w:sz="4" w:space="0" w:color="auto"/>
            </w:tcBorders>
          </w:tcPr>
          <w:p w14:paraId="6AE2ECA1" w14:textId="77777777" w:rsidR="00E6060C" w:rsidRPr="00E6060C" w:rsidRDefault="00E6060C" w:rsidP="00E6060C">
            <w:r w:rsidRPr="00E6060C">
              <w:t>22.08.14</w:t>
            </w:r>
          </w:p>
        </w:tc>
        <w:tc>
          <w:tcPr>
            <w:tcW w:w="1599" w:type="dxa"/>
            <w:tcBorders>
              <w:bottom w:val="single" w:sz="4" w:space="0" w:color="auto"/>
            </w:tcBorders>
          </w:tcPr>
          <w:p w14:paraId="1E9CD952" w14:textId="77777777" w:rsidR="00E6060C" w:rsidRPr="00E6060C" w:rsidRDefault="00E6060C" w:rsidP="00E6060C">
            <w:r w:rsidRPr="00E6060C">
              <w:t>NA</w:t>
            </w:r>
          </w:p>
        </w:tc>
        <w:tc>
          <w:tcPr>
            <w:tcW w:w="1236" w:type="dxa"/>
            <w:tcBorders>
              <w:bottom w:val="single" w:sz="4" w:space="0" w:color="auto"/>
            </w:tcBorders>
          </w:tcPr>
          <w:p w14:paraId="0249E9F2" w14:textId="77777777" w:rsidR="00E6060C" w:rsidRPr="00E6060C" w:rsidRDefault="00E6060C" w:rsidP="00E6060C">
            <w:r w:rsidRPr="00E6060C">
              <w:t>NA</w:t>
            </w:r>
          </w:p>
        </w:tc>
        <w:tc>
          <w:tcPr>
            <w:tcW w:w="1727" w:type="dxa"/>
            <w:tcBorders>
              <w:bottom w:val="single" w:sz="4" w:space="0" w:color="auto"/>
            </w:tcBorders>
          </w:tcPr>
          <w:p w14:paraId="68A0A381" w14:textId="77777777" w:rsidR="00E6060C" w:rsidRPr="00E6060C" w:rsidRDefault="00E6060C" w:rsidP="00E6060C">
            <w:r w:rsidRPr="00E6060C">
              <w:t>In Portugese, except for the abstract</w:t>
            </w:r>
          </w:p>
        </w:tc>
        <w:tc>
          <w:tcPr>
            <w:tcW w:w="1155" w:type="dxa"/>
            <w:tcBorders>
              <w:bottom w:val="single" w:sz="4" w:space="0" w:color="auto"/>
            </w:tcBorders>
          </w:tcPr>
          <w:p w14:paraId="75AD8DB7" w14:textId="77777777" w:rsidR="00E6060C" w:rsidRPr="00E6060C" w:rsidRDefault="00E6060C" w:rsidP="00E6060C">
            <w:r w:rsidRPr="00E6060C">
              <w:t>22.08.14</w:t>
            </w:r>
          </w:p>
        </w:tc>
      </w:tr>
      <w:tr w:rsidR="00E6060C" w:rsidRPr="00E6060C" w14:paraId="7D0400B2" w14:textId="77777777" w:rsidTr="00E6060C">
        <w:trPr>
          <w:trHeight w:val="221"/>
        </w:trPr>
        <w:tc>
          <w:tcPr>
            <w:tcW w:w="14330" w:type="dxa"/>
            <w:gridSpan w:val="10"/>
            <w:tcBorders>
              <w:top w:val="single" w:sz="4" w:space="0" w:color="auto"/>
              <w:bottom w:val="single" w:sz="4" w:space="0" w:color="auto"/>
            </w:tcBorders>
            <w:vAlign w:val="center"/>
          </w:tcPr>
          <w:p w14:paraId="2EAEA530" w14:textId="77777777" w:rsidR="00E6060C" w:rsidRPr="00E6060C" w:rsidRDefault="00E6060C" w:rsidP="00E6060C">
            <w:pPr>
              <w:rPr>
                <w:b/>
              </w:rPr>
            </w:pPr>
            <w:r w:rsidRPr="00E6060C">
              <w:rPr>
                <w:b/>
              </w:rPr>
              <w:t>STUDIES USING A MEASURE OF ENGAGEMENT WHICH DOES NOT MEET THE INCLUSION CRITERIA</w:t>
            </w:r>
          </w:p>
        </w:tc>
      </w:tr>
      <w:tr w:rsidR="006A2D00" w:rsidRPr="00E6060C" w14:paraId="35CC3A36" w14:textId="77777777" w:rsidTr="006A2D00">
        <w:trPr>
          <w:trHeight w:val="709"/>
        </w:trPr>
        <w:tc>
          <w:tcPr>
            <w:tcW w:w="744" w:type="dxa"/>
            <w:tcBorders>
              <w:top w:val="nil"/>
              <w:bottom w:val="nil"/>
            </w:tcBorders>
          </w:tcPr>
          <w:p w14:paraId="7732566D" w14:textId="28220F90" w:rsidR="006A2D00" w:rsidRPr="00E6060C" w:rsidRDefault="00F72513" w:rsidP="0079494E">
            <w:r>
              <w:t>9</w:t>
            </w:r>
          </w:p>
        </w:tc>
        <w:tc>
          <w:tcPr>
            <w:tcW w:w="1562" w:type="dxa"/>
            <w:tcBorders>
              <w:top w:val="nil"/>
              <w:bottom w:val="nil"/>
            </w:tcBorders>
          </w:tcPr>
          <w:p w14:paraId="612A9A64" w14:textId="77777777" w:rsidR="006A2D00" w:rsidRPr="00E6060C" w:rsidRDefault="006A2D00" w:rsidP="0079494E">
            <w:r>
              <w:t>Black, 2001</w:t>
            </w:r>
          </w:p>
        </w:tc>
        <w:tc>
          <w:tcPr>
            <w:tcW w:w="921" w:type="dxa"/>
            <w:tcBorders>
              <w:top w:val="nil"/>
              <w:bottom w:val="nil"/>
            </w:tcBorders>
          </w:tcPr>
          <w:p w14:paraId="3A71E5D7" w14:textId="77777777" w:rsidR="006A2D00" w:rsidRPr="00E6060C" w:rsidRDefault="006A2D00" w:rsidP="0079494E">
            <w:r w:rsidRPr="00E6060C">
              <w:t xml:space="preserve">P </w:t>
            </w:r>
          </w:p>
        </w:tc>
        <w:tc>
          <w:tcPr>
            <w:tcW w:w="3402" w:type="dxa"/>
            <w:tcBorders>
              <w:top w:val="nil"/>
              <w:bottom w:val="nil"/>
            </w:tcBorders>
          </w:tcPr>
          <w:p w14:paraId="3E8B3815" w14:textId="77777777" w:rsidR="006A2D00" w:rsidRPr="00E6060C" w:rsidRDefault="006A2D00" w:rsidP="00F15DDF">
            <w:pPr>
              <w:numPr>
                <w:ilvl w:val="0"/>
                <w:numId w:val="8"/>
              </w:numPr>
              <w:ind w:left="176" w:hanging="176"/>
              <w:contextualSpacing/>
            </w:pPr>
            <w:r>
              <w:t xml:space="preserve">Strengths-based approach </w:t>
            </w:r>
            <w:r w:rsidRPr="00E6060C">
              <w:t xml:space="preserve">to increase personal resources </w:t>
            </w:r>
          </w:p>
          <w:p w14:paraId="7DF34256" w14:textId="77777777" w:rsidR="006A2D00" w:rsidRDefault="006A2D00" w:rsidP="00F15DDF">
            <w:pPr>
              <w:numPr>
                <w:ilvl w:val="0"/>
                <w:numId w:val="8"/>
              </w:numPr>
              <w:ind w:left="176" w:hanging="176"/>
              <w:contextualSpacing/>
            </w:pPr>
            <w:r>
              <w:t xml:space="preserve">9 hospitals formed the intervention group and 151 </w:t>
            </w:r>
            <w:r>
              <w:lastRenderedPageBreak/>
              <w:t>hospitals formed the control group</w:t>
            </w:r>
          </w:p>
          <w:p w14:paraId="7844CCBB" w14:textId="77777777" w:rsidR="006A2D00" w:rsidRPr="00E6060C" w:rsidRDefault="006A2D00" w:rsidP="00F15DDF">
            <w:pPr>
              <w:numPr>
                <w:ilvl w:val="0"/>
                <w:numId w:val="8"/>
              </w:numPr>
              <w:ind w:left="176" w:hanging="176"/>
              <w:contextualSpacing/>
            </w:pPr>
            <w:r>
              <w:t>Intervention lasted 3 years</w:t>
            </w:r>
          </w:p>
        </w:tc>
        <w:tc>
          <w:tcPr>
            <w:tcW w:w="935" w:type="dxa"/>
            <w:tcBorders>
              <w:top w:val="nil"/>
              <w:bottom w:val="nil"/>
            </w:tcBorders>
          </w:tcPr>
          <w:p w14:paraId="026F2CEE" w14:textId="77777777" w:rsidR="006A2D00" w:rsidRPr="00E6060C" w:rsidRDefault="006A2D00" w:rsidP="0079494E">
            <w:r w:rsidRPr="00E6060C">
              <w:lastRenderedPageBreak/>
              <w:t>No</w:t>
            </w:r>
          </w:p>
        </w:tc>
        <w:tc>
          <w:tcPr>
            <w:tcW w:w="1049" w:type="dxa"/>
            <w:tcBorders>
              <w:top w:val="nil"/>
              <w:bottom w:val="nil"/>
            </w:tcBorders>
          </w:tcPr>
          <w:p w14:paraId="7E1B57D6" w14:textId="77777777" w:rsidR="006A2D00" w:rsidRPr="00E6060C" w:rsidRDefault="006A2D00" w:rsidP="0079494E">
            <w:r w:rsidRPr="00E6060C">
              <w:t>NA</w:t>
            </w:r>
          </w:p>
        </w:tc>
        <w:tc>
          <w:tcPr>
            <w:tcW w:w="1599" w:type="dxa"/>
            <w:tcBorders>
              <w:top w:val="nil"/>
              <w:bottom w:val="nil"/>
            </w:tcBorders>
          </w:tcPr>
          <w:p w14:paraId="7A05A17B" w14:textId="77777777" w:rsidR="006A2D00" w:rsidRPr="00E6060C" w:rsidRDefault="006A2D00" w:rsidP="0079494E">
            <w:r w:rsidRPr="00E6060C">
              <w:t>NA</w:t>
            </w:r>
          </w:p>
        </w:tc>
        <w:tc>
          <w:tcPr>
            <w:tcW w:w="1236" w:type="dxa"/>
            <w:tcBorders>
              <w:top w:val="nil"/>
              <w:bottom w:val="nil"/>
            </w:tcBorders>
          </w:tcPr>
          <w:p w14:paraId="4510DC73" w14:textId="77777777" w:rsidR="006A2D00" w:rsidRPr="00E6060C" w:rsidRDefault="006A2D00" w:rsidP="0079494E">
            <w:r w:rsidRPr="00E6060C">
              <w:t>NA</w:t>
            </w:r>
          </w:p>
        </w:tc>
        <w:tc>
          <w:tcPr>
            <w:tcW w:w="1727" w:type="dxa"/>
            <w:tcBorders>
              <w:top w:val="nil"/>
              <w:bottom w:val="nil"/>
            </w:tcBorders>
          </w:tcPr>
          <w:p w14:paraId="32E60FDB" w14:textId="77777777" w:rsidR="006A2D00" w:rsidRPr="00E6060C" w:rsidRDefault="006A2D00" w:rsidP="00F15DDF">
            <w:pPr>
              <w:numPr>
                <w:ilvl w:val="0"/>
                <w:numId w:val="7"/>
              </w:numPr>
              <w:ind w:left="175" w:hanging="175"/>
              <w:contextualSpacing/>
            </w:pPr>
            <w:r w:rsidRPr="00E6060C">
              <w:t>Gallup Q12 used, which doesn’t meet inclusion criteria</w:t>
            </w:r>
          </w:p>
          <w:p w14:paraId="3EFB0380" w14:textId="77777777" w:rsidR="006A2D00" w:rsidRPr="00E6060C" w:rsidRDefault="006A2D00" w:rsidP="00F15DDF">
            <w:pPr>
              <w:numPr>
                <w:ilvl w:val="0"/>
                <w:numId w:val="9"/>
              </w:numPr>
              <w:ind w:left="175" w:hanging="175"/>
              <w:contextualSpacing/>
            </w:pPr>
            <w:r w:rsidRPr="00E6060C">
              <w:lastRenderedPageBreak/>
              <w:t>Data required to calculate an effect size is not available</w:t>
            </w:r>
          </w:p>
        </w:tc>
        <w:tc>
          <w:tcPr>
            <w:tcW w:w="1155" w:type="dxa"/>
            <w:tcBorders>
              <w:top w:val="nil"/>
              <w:bottom w:val="nil"/>
            </w:tcBorders>
          </w:tcPr>
          <w:p w14:paraId="3EC20F28" w14:textId="77777777" w:rsidR="006A2D00" w:rsidRPr="00E6060C" w:rsidRDefault="006A2D00" w:rsidP="0079494E">
            <w:r w:rsidRPr="00E6060C">
              <w:lastRenderedPageBreak/>
              <w:t>Aug 14</w:t>
            </w:r>
          </w:p>
        </w:tc>
      </w:tr>
      <w:tr w:rsidR="006A2D00" w:rsidRPr="00E6060C" w14:paraId="4E32C81E" w14:textId="77777777" w:rsidTr="006A2D00">
        <w:trPr>
          <w:trHeight w:val="709"/>
        </w:trPr>
        <w:tc>
          <w:tcPr>
            <w:tcW w:w="744" w:type="dxa"/>
            <w:tcBorders>
              <w:top w:val="nil"/>
              <w:bottom w:val="nil"/>
            </w:tcBorders>
          </w:tcPr>
          <w:p w14:paraId="76E20ACC" w14:textId="3FBFE9C4" w:rsidR="006A2D00" w:rsidRPr="00E6060C" w:rsidRDefault="006A2D00" w:rsidP="00F72513">
            <w:r>
              <w:t>1</w:t>
            </w:r>
            <w:r w:rsidR="00F72513">
              <w:t>0</w:t>
            </w:r>
          </w:p>
        </w:tc>
        <w:tc>
          <w:tcPr>
            <w:tcW w:w="1562" w:type="dxa"/>
            <w:tcBorders>
              <w:top w:val="nil"/>
              <w:bottom w:val="nil"/>
            </w:tcBorders>
          </w:tcPr>
          <w:p w14:paraId="58C52480" w14:textId="77777777" w:rsidR="006A2D00" w:rsidRDefault="006A2D00" w:rsidP="0079494E">
            <w:r>
              <w:t>Connelly, 2002</w:t>
            </w:r>
          </w:p>
          <w:p w14:paraId="1E162E06" w14:textId="77777777" w:rsidR="006A2D00" w:rsidRDefault="006A2D00" w:rsidP="0079494E"/>
        </w:tc>
        <w:tc>
          <w:tcPr>
            <w:tcW w:w="921" w:type="dxa"/>
            <w:tcBorders>
              <w:top w:val="nil"/>
              <w:bottom w:val="nil"/>
            </w:tcBorders>
          </w:tcPr>
          <w:p w14:paraId="53F068C1" w14:textId="77777777" w:rsidR="006A2D00" w:rsidRPr="00E6060C" w:rsidRDefault="006A2D00" w:rsidP="0079494E">
            <w:r w:rsidRPr="00E6060C">
              <w:t xml:space="preserve">P </w:t>
            </w:r>
          </w:p>
        </w:tc>
        <w:tc>
          <w:tcPr>
            <w:tcW w:w="3402" w:type="dxa"/>
            <w:tcBorders>
              <w:top w:val="nil"/>
              <w:bottom w:val="nil"/>
            </w:tcBorders>
          </w:tcPr>
          <w:p w14:paraId="48EFA661" w14:textId="77777777" w:rsidR="006A2D00" w:rsidRPr="00E6060C" w:rsidRDefault="006A2D00" w:rsidP="00F15DDF">
            <w:pPr>
              <w:numPr>
                <w:ilvl w:val="0"/>
                <w:numId w:val="8"/>
              </w:numPr>
              <w:ind w:left="176" w:hanging="176"/>
              <w:contextualSpacing/>
            </w:pPr>
            <w:r>
              <w:t xml:space="preserve">6 month strengths-based approach </w:t>
            </w:r>
            <w:r w:rsidRPr="00E6060C">
              <w:t xml:space="preserve">to increase personal resources </w:t>
            </w:r>
          </w:p>
          <w:p w14:paraId="2CCEB127" w14:textId="77777777" w:rsidR="006A2D00" w:rsidRPr="00E6060C" w:rsidRDefault="006A2D00" w:rsidP="00F15DDF">
            <w:pPr>
              <w:numPr>
                <w:ilvl w:val="0"/>
                <w:numId w:val="8"/>
              </w:numPr>
              <w:ind w:left="176" w:hanging="176"/>
              <w:contextualSpacing/>
            </w:pPr>
            <w:r w:rsidRPr="00E6060C">
              <w:t>Feedback individually and in groups</w:t>
            </w:r>
          </w:p>
          <w:p w14:paraId="106EFDD0" w14:textId="77777777" w:rsidR="006A2D00" w:rsidRDefault="006A2D00" w:rsidP="00F15DDF">
            <w:pPr>
              <w:numPr>
                <w:ilvl w:val="0"/>
                <w:numId w:val="8"/>
              </w:numPr>
              <w:ind w:left="176" w:hanging="176"/>
              <w:contextualSpacing/>
            </w:pPr>
            <w:r>
              <w:t>Post feedback follow up d</w:t>
            </w:r>
            <w:r w:rsidRPr="00E6060C">
              <w:t>evelopment activities related to dominant talents</w:t>
            </w:r>
          </w:p>
        </w:tc>
        <w:tc>
          <w:tcPr>
            <w:tcW w:w="935" w:type="dxa"/>
            <w:tcBorders>
              <w:top w:val="nil"/>
              <w:bottom w:val="nil"/>
            </w:tcBorders>
          </w:tcPr>
          <w:p w14:paraId="0D0BC379" w14:textId="77777777" w:rsidR="006A2D00" w:rsidRPr="00E6060C" w:rsidRDefault="006A2D00" w:rsidP="0079494E">
            <w:r w:rsidRPr="00E6060C">
              <w:t>No</w:t>
            </w:r>
          </w:p>
        </w:tc>
        <w:tc>
          <w:tcPr>
            <w:tcW w:w="1049" w:type="dxa"/>
            <w:tcBorders>
              <w:top w:val="nil"/>
              <w:bottom w:val="nil"/>
            </w:tcBorders>
          </w:tcPr>
          <w:p w14:paraId="1756A132" w14:textId="77777777" w:rsidR="006A2D00" w:rsidRPr="00E6060C" w:rsidRDefault="006A2D00" w:rsidP="0079494E">
            <w:r w:rsidRPr="00E6060C">
              <w:t>NA</w:t>
            </w:r>
          </w:p>
        </w:tc>
        <w:tc>
          <w:tcPr>
            <w:tcW w:w="1599" w:type="dxa"/>
            <w:tcBorders>
              <w:top w:val="nil"/>
              <w:bottom w:val="nil"/>
            </w:tcBorders>
          </w:tcPr>
          <w:p w14:paraId="7172C364" w14:textId="77777777" w:rsidR="006A2D00" w:rsidRPr="00E6060C" w:rsidRDefault="006A2D00" w:rsidP="0079494E">
            <w:r w:rsidRPr="00E6060C">
              <w:t>NA</w:t>
            </w:r>
          </w:p>
        </w:tc>
        <w:tc>
          <w:tcPr>
            <w:tcW w:w="1236" w:type="dxa"/>
            <w:tcBorders>
              <w:top w:val="nil"/>
              <w:bottom w:val="nil"/>
            </w:tcBorders>
          </w:tcPr>
          <w:p w14:paraId="5ABED76D" w14:textId="77777777" w:rsidR="006A2D00" w:rsidRPr="00E6060C" w:rsidRDefault="006A2D00" w:rsidP="0079494E">
            <w:r w:rsidRPr="00E6060C">
              <w:t>NA</w:t>
            </w:r>
          </w:p>
        </w:tc>
        <w:tc>
          <w:tcPr>
            <w:tcW w:w="1727" w:type="dxa"/>
            <w:tcBorders>
              <w:top w:val="nil"/>
              <w:bottom w:val="nil"/>
            </w:tcBorders>
          </w:tcPr>
          <w:p w14:paraId="665B536D" w14:textId="77777777" w:rsidR="006A2D00" w:rsidRPr="00E6060C" w:rsidRDefault="006A2D00" w:rsidP="00F15DDF">
            <w:pPr>
              <w:numPr>
                <w:ilvl w:val="0"/>
                <w:numId w:val="7"/>
              </w:numPr>
              <w:ind w:left="175" w:hanging="175"/>
              <w:contextualSpacing/>
            </w:pPr>
            <w:r w:rsidRPr="00E6060C">
              <w:t>Gallup Q12 used, which doesn’t meet inclusion criteria</w:t>
            </w:r>
          </w:p>
          <w:p w14:paraId="589C6CD7" w14:textId="77777777" w:rsidR="006A2D00" w:rsidRPr="00E6060C" w:rsidRDefault="006A2D00" w:rsidP="00F15DDF">
            <w:pPr>
              <w:numPr>
                <w:ilvl w:val="0"/>
                <w:numId w:val="7"/>
              </w:numPr>
              <w:ind w:left="175" w:hanging="175"/>
              <w:contextualSpacing/>
            </w:pPr>
            <w:r w:rsidRPr="00E6060C">
              <w:t>Data required to calculate an effect size is not available</w:t>
            </w:r>
          </w:p>
        </w:tc>
        <w:tc>
          <w:tcPr>
            <w:tcW w:w="1155" w:type="dxa"/>
            <w:tcBorders>
              <w:top w:val="nil"/>
              <w:bottom w:val="nil"/>
            </w:tcBorders>
          </w:tcPr>
          <w:p w14:paraId="040851B2" w14:textId="77777777" w:rsidR="006A2D00" w:rsidRPr="00E6060C" w:rsidRDefault="006A2D00" w:rsidP="0079494E">
            <w:r w:rsidRPr="00E6060C">
              <w:t>Aug 14</w:t>
            </w:r>
          </w:p>
        </w:tc>
      </w:tr>
      <w:tr w:rsidR="006A2D00" w:rsidRPr="00E6060C" w14:paraId="2B7966F0" w14:textId="77777777" w:rsidTr="006A2D00">
        <w:trPr>
          <w:trHeight w:val="709"/>
        </w:trPr>
        <w:tc>
          <w:tcPr>
            <w:tcW w:w="744" w:type="dxa"/>
            <w:tcBorders>
              <w:top w:val="nil"/>
              <w:bottom w:val="nil"/>
            </w:tcBorders>
          </w:tcPr>
          <w:p w14:paraId="743CA358" w14:textId="6CCA32A0" w:rsidR="006A2D00" w:rsidRPr="00E6060C" w:rsidRDefault="00F72513" w:rsidP="0079494E">
            <w:r>
              <w:t>11</w:t>
            </w:r>
          </w:p>
        </w:tc>
        <w:tc>
          <w:tcPr>
            <w:tcW w:w="1562" w:type="dxa"/>
            <w:tcBorders>
              <w:top w:val="nil"/>
              <w:bottom w:val="nil"/>
            </w:tcBorders>
          </w:tcPr>
          <w:p w14:paraId="55535A95" w14:textId="77777777" w:rsidR="006A2D00" w:rsidRPr="00E6060C" w:rsidRDefault="006A2D00" w:rsidP="0079494E">
            <w:r w:rsidRPr="00E6060C">
              <w:t xml:space="preserve">Stoller </w:t>
            </w:r>
            <w:r>
              <w:t>et al.,</w:t>
            </w:r>
            <w:r w:rsidRPr="00E6060C">
              <w:t xml:space="preserve"> 2010</w:t>
            </w:r>
          </w:p>
        </w:tc>
        <w:tc>
          <w:tcPr>
            <w:tcW w:w="921" w:type="dxa"/>
            <w:tcBorders>
              <w:top w:val="nil"/>
              <w:bottom w:val="nil"/>
            </w:tcBorders>
          </w:tcPr>
          <w:p w14:paraId="79C6EA74" w14:textId="77777777" w:rsidR="006A2D00" w:rsidRPr="00E6060C" w:rsidRDefault="006A2D00" w:rsidP="0079494E">
            <w:r w:rsidRPr="00E6060C">
              <w:t>T</w:t>
            </w:r>
          </w:p>
        </w:tc>
        <w:tc>
          <w:tcPr>
            <w:tcW w:w="3402" w:type="dxa"/>
            <w:tcBorders>
              <w:top w:val="nil"/>
              <w:bottom w:val="nil"/>
            </w:tcBorders>
          </w:tcPr>
          <w:p w14:paraId="5F1D6CA9" w14:textId="77777777" w:rsidR="006A2D00" w:rsidRPr="00E6060C" w:rsidRDefault="006A2D00" w:rsidP="0079494E">
            <w:r w:rsidRPr="00E6060C">
              <w:t xml:space="preserve">Increasing collaboration across depts. by fostering teamwork. Leaders of separate respiratory therapy (RT) depts collaborated to develop a scorecard of RT outcomes </w:t>
            </w:r>
          </w:p>
        </w:tc>
        <w:tc>
          <w:tcPr>
            <w:tcW w:w="935" w:type="dxa"/>
            <w:tcBorders>
              <w:top w:val="nil"/>
              <w:bottom w:val="nil"/>
            </w:tcBorders>
          </w:tcPr>
          <w:p w14:paraId="06DE6770" w14:textId="77777777" w:rsidR="006A2D00" w:rsidRPr="00E6060C" w:rsidRDefault="006A2D00" w:rsidP="0079494E">
            <w:r w:rsidRPr="00E6060C">
              <w:t>No</w:t>
            </w:r>
          </w:p>
        </w:tc>
        <w:tc>
          <w:tcPr>
            <w:tcW w:w="1049" w:type="dxa"/>
            <w:tcBorders>
              <w:top w:val="nil"/>
              <w:bottom w:val="nil"/>
            </w:tcBorders>
          </w:tcPr>
          <w:p w14:paraId="1D32F793" w14:textId="77777777" w:rsidR="006A2D00" w:rsidRPr="00E6060C" w:rsidRDefault="006A2D00" w:rsidP="0079494E">
            <w:r w:rsidRPr="00E6060C">
              <w:t>NA</w:t>
            </w:r>
          </w:p>
        </w:tc>
        <w:tc>
          <w:tcPr>
            <w:tcW w:w="1599" w:type="dxa"/>
            <w:tcBorders>
              <w:top w:val="nil"/>
              <w:bottom w:val="nil"/>
            </w:tcBorders>
          </w:tcPr>
          <w:p w14:paraId="47508B9B" w14:textId="77777777" w:rsidR="006A2D00" w:rsidRPr="00E6060C" w:rsidRDefault="006A2D00" w:rsidP="0079494E">
            <w:r w:rsidRPr="00E6060C">
              <w:t>NA</w:t>
            </w:r>
          </w:p>
        </w:tc>
        <w:tc>
          <w:tcPr>
            <w:tcW w:w="1236" w:type="dxa"/>
            <w:tcBorders>
              <w:top w:val="nil"/>
              <w:bottom w:val="nil"/>
            </w:tcBorders>
          </w:tcPr>
          <w:p w14:paraId="7808A4E7" w14:textId="77777777" w:rsidR="006A2D00" w:rsidRPr="00E6060C" w:rsidRDefault="006A2D00" w:rsidP="0079494E">
            <w:r w:rsidRPr="00E6060C">
              <w:t>NA</w:t>
            </w:r>
          </w:p>
        </w:tc>
        <w:tc>
          <w:tcPr>
            <w:tcW w:w="1727" w:type="dxa"/>
            <w:tcBorders>
              <w:top w:val="nil"/>
              <w:bottom w:val="nil"/>
            </w:tcBorders>
          </w:tcPr>
          <w:p w14:paraId="7EAB2BD3" w14:textId="77777777" w:rsidR="006A2D00" w:rsidRPr="00E6060C" w:rsidRDefault="006A2D00" w:rsidP="00F15DDF">
            <w:pPr>
              <w:numPr>
                <w:ilvl w:val="0"/>
                <w:numId w:val="7"/>
              </w:numPr>
              <w:ind w:left="175" w:hanging="175"/>
              <w:contextualSpacing/>
            </w:pPr>
            <w:r w:rsidRPr="00E6060C">
              <w:t>Gallup Q12 used, which doesn’t meet inclusion criteria</w:t>
            </w:r>
          </w:p>
          <w:p w14:paraId="07BD2BE0" w14:textId="77777777" w:rsidR="006A2D00" w:rsidRPr="00E6060C" w:rsidRDefault="006A2D00" w:rsidP="00F15DDF">
            <w:pPr>
              <w:numPr>
                <w:ilvl w:val="0"/>
                <w:numId w:val="7"/>
              </w:numPr>
              <w:ind w:left="175" w:hanging="175"/>
              <w:contextualSpacing/>
            </w:pPr>
            <w:r w:rsidRPr="00E6060C">
              <w:t>No pre-post means and SDs are provided</w:t>
            </w:r>
          </w:p>
        </w:tc>
        <w:tc>
          <w:tcPr>
            <w:tcW w:w="1155" w:type="dxa"/>
            <w:tcBorders>
              <w:top w:val="nil"/>
              <w:bottom w:val="nil"/>
            </w:tcBorders>
          </w:tcPr>
          <w:p w14:paraId="7F48EB57" w14:textId="77777777" w:rsidR="006A2D00" w:rsidRPr="00E6060C" w:rsidRDefault="006A2D00" w:rsidP="0079494E">
            <w:r w:rsidRPr="00E6060C">
              <w:t>Aug 2014</w:t>
            </w:r>
          </w:p>
        </w:tc>
      </w:tr>
      <w:tr w:rsidR="006A2D00" w:rsidRPr="00E6060C" w14:paraId="45084430" w14:textId="77777777" w:rsidTr="006A2D00">
        <w:trPr>
          <w:trHeight w:val="709"/>
        </w:trPr>
        <w:tc>
          <w:tcPr>
            <w:tcW w:w="744" w:type="dxa"/>
            <w:tcBorders>
              <w:top w:val="nil"/>
              <w:bottom w:val="single" w:sz="4" w:space="0" w:color="auto"/>
            </w:tcBorders>
          </w:tcPr>
          <w:p w14:paraId="224E46EC" w14:textId="5B967ACD" w:rsidR="006A2D00" w:rsidRPr="00E6060C" w:rsidRDefault="00F72513" w:rsidP="0079494E">
            <w:r>
              <w:t>12</w:t>
            </w:r>
          </w:p>
        </w:tc>
        <w:tc>
          <w:tcPr>
            <w:tcW w:w="1562" w:type="dxa"/>
            <w:tcBorders>
              <w:top w:val="nil"/>
              <w:bottom w:val="single" w:sz="4" w:space="0" w:color="auto"/>
            </w:tcBorders>
          </w:tcPr>
          <w:p w14:paraId="300387FA" w14:textId="77777777" w:rsidR="006A2D00" w:rsidRPr="00E6060C" w:rsidRDefault="006A2D00" w:rsidP="0079494E">
            <w:r w:rsidRPr="00E6060C">
              <w:t>Tonvongval, 2013</w:t>
            </w:r>
          </w:p>
        </w:tc>
        <w:tc>
          <w:tcPr>
            <w:tcW w:w="921" w:type="dxa"/>
            <w:tcBorders>
              <w:top w:val="nil"/>
              <w:bottom w:val="single" w:sz="4" w:space="0" w:color="auto"/>
            </w:tcBorders>
          </w:tcPr>
          <w:p w14:paraId="12845D29" w14:textId="77777777" w:rsidR="006A2D00" w:rsidRPr="00E6060C" w:rsidRDefault="006A2D00" w:rsidP="0079494E">
            <w:r w:rsidRPr="00E6060C">
              <w:t>G</w:t>
            </w:r>
          </w:p>
        </w:tc>
        <w:tc>
          <w:tcPr>
            <w:tcW w:w="3402" w:type="dxa"/>
            <w:tcBorders>
              <w:top w:val="nil"/>
              <w:bottom w:val="single" w:sz="4" w:space="0" w:color="auto"/>
            </w:tcBorders>
          </w:tcPr>
          <w:p w14:paraId="7AF6B17A" w14:textId="77777777" w:rsidR="006A2D00" w:rsidRPr="00E6060C" w:rsidRDefault="006A2D00" w:rsidP="0079494E">
            <w:r w:rsidRPr="00E6060C">
              <w:t>Transformational leadership (TFL) intervention in Thailand – a case study</w:t>
            </w:r>
          </w:p>
        </w:tc>
        <w:tc>
          <w:tcPr>
            <w:tcW w:w="935" w:type="dxa"/>
            <w:tcBorders>
              <w:top w:val="nil"/>
              <w:bottom w:val="single" w:sz="4" w:space="0" w:color="auto"/>
            </w:tcBorders>
          </w:tcPr>
          <w:p w14:paraId="65038F60" w14:textId="77777777" w:rsidR="006A2D00" w:rsidRPr="00E6060C" w:rsidRDefault="006A2D00" w:rsidP="0079494E">
            <w:r w:rsidRPr="00E6060C">
              <w:t>No</w:t>
            </w:r>
          </w:p>
        </w:tc>
        <w:tc>
          <w:tcPr>
            <w:tcW w:w="1049" w:type="dxa"/>
            <w:tcBorders>
              <w:top w:val="nil"/>
              <w:bottom w:val="single" w:sz="4" w:space="0" w:color="auto"/>
            </w:tcBorders>
          </w:tcPr>
          <w:p w14:paraId="54A05208" w14:textId="77777777" w:rsidR="006A2D00" w:rsidRPr="00E6060C" w:rsidRDefault="006A2D00" w:rsidP="0079494E">
            <w:r w:rsidRPr="00E6060C">
              <w:t>NA</w:t>
            </w:r>
          </w:p>
        </w:tc>
        <w:tc>
          <w:tcPr>
            <w:tcW w:w="1599" w:type="dxa"/>
            <w:tcBorders>
              <w:top w:val="nil"/>
              <w:bottom w:val="single" w:sz="4" w:space="0" w:color="auto"/>
            </w:tcBorders>
          </w:tcPr>
          <w:p w14:paraId="2577D5EC" w14:textId="77777777" w:rsidR="006A2D00" w:rsidRPr="00E6060C" w:rsidRDefault="006A2D00" w:rsidP="0079494E">
            <w:r w:rsidRPr="00E6060C">
              <w:t>NA</w:t>
            </w:r>
          </w:p>
        </w:tc>
        <w:tc>
          <w:tcPr>
            <w:tcW w:w="1236" w:type="dxa"/>
            <w:tcBorders>
              <w:top w:val="nil"/>
              <w:bottom w:val="single" w:sz="4" w:space="0" w:color="auto"/>
            </w:tcBorders>
          </w:tcPr>
          <w:p w14:paraId="0156907C" w14:textId="77777777" w:rsidR="006A2D00" w:rsidRPr="00E6060C" w:rsidRDefault="006A2D00" w:rsidP="0079494E">
            <w:r w:rsidRPr="00E6060C">
              <w:t>NA</w:t>
            </w:r>
          </w:p>
        </w:tc>
        <w:tc>
          <w:tcPr>
            <w:tcW w:w="1727" w:type="dxa"/>
            <w:tcBorders>
              <w:top w:val="nil"/>
              <w:bottom w:val="single" w:sz="4" w:space="0" w:color="auto"/>
            </w:tcBorders>
          </w:tcPr>
          <w:p w14:paraId="70F19F0A" w14:textId="77777777" w:rsidR="006A2D00" w:rsidRPr="00E6060C" w:rsidRDefault="006A2D00" w:rsidP="0079494E">
            <w:r w:rsidRPr="00E6060C">
              <w:t xml:space="preserve">No robust measure of WE – a combination of job satisfaction and the extra effort section of the </w:t>
            </w:r>
            <w:r w:rsidRPr="00E6060C">
              <w:lastRenderedPageBreak/>
              <w:t>MLQ** is used as a measure for engagement</w:t>
            </w:r>
          </w:p>
        </w:tc>
        <w:tc>
          <w:tcPr>
            <w:tcW w:w="1155" w:type="dxa"/>
            <w:tcBorders>
              <w:top w:val="nil"/>
              <w:bottom w:val="single" w:sz="4" w:space="0" w:color="auto"/>
            </w:tcBorders>
          </w:tcPr>
          <w:p w14:paraId="006F331B" w14:textId="77777777" w:rsidR="006A2D00" w:rsidRPr="00E6060C" w:rsidRDefault="006A2D00" w:rsidP="0079494E">
            <w:r w:rsidRPr="00E6060C">
              <w:lastRenderedPageBreak/>
              <w:t>Aug 2014</w:t>
            </w:r>
          </w:p>
        </w:tc>
      </w:tr>
      <w:tr w:rsidR="00BF077B" w:rsidRPr="00E6060C" w14:paraId="5F257AB6" w14:textId="77777777" w:rsidTr="006A2D00">
        <w:trPr>
          <w:trHeight w:val="343"/>
        </w:trPr>
        <w:tc>
          <w:tcPr>
            <w:tcW w:w="14330" w:type="dxa"/>
            <w:gridSpan w:val="10"/>
            <w:tcBorders>
              <w:top w:val="single" w:sz="4" w:space="0" w:color="auto"/>
              <w:bottom w:val="single" w:sz="4" w:space="0" w:color="auto"/>
            </w:tcBorders>
          </w:tcPr>
          <w:p w14:paraId="22101C96" w14:textId="77777777" w:rsidR="00BF077B" w:rsidRPr="00E6060C" w:rsidRDefault="00BF077B" w:rsidP="00BF077B">
            <w:pPr>
              <w:spacing w:line="360" w:lineRule="auto"/>
              <w:contextualSpacing/>
              <w:rPr>
                <w:b/>
              </w:rPr>
            </w:pPr>
            <w:r w:rsidRPr="00E6060C">
              <w:rPr>
                <w:b/>
              </w:rPr>
              <w:t xml:space="preserve">NO ACCESS TO PAPERS / NO RESPONSE FROM AUTHORS </w:t>
            </w:r>
          </w:p>
        </w:tc>
      </w:tr>
      <w:tr w:rsidR="00F72513" w:rsidRPr="00E6060C" w14:paraId="2FCA50E3" w14:textId="77777777" w:rsidTr="00F72513">
        <w:trPr>
          <w:trHeight w:val="709"/>
        </w:trPr>
        <w:tc>
          <w:tcPr>
            <w:tcW w:w="744" w:type="dxa"/>
            <w:tcBorders>
              <w:bottom w:val="nil"/>
            </w:tcBorders>
          </w:tcPr>
          <w:p w14:paraId="15F96C1F" w14:textId="4A0F421B" w:rsidR="00F72513" w:rsidRPr="00E6060C" w:rsidRDefault="00F72513" w:rsidP="0079494E">
            <w:r>
              <w:t>13</w:t>
            </w:r>
          </w:p>
        </w:tc>
        <w:tc>
          <w:tcPr>
            <w:tcW w:w="1562" w:type="dxa"/>
            <w:tcBorders>
              <w:bottom w:val="nil"/>
            </w:tcBorders>
          </w:tcPr>
          <w:p w14:paraId="1CB59E68" w14:textId="77777777" w:rsidR="00F72513" w:rsidRPr="00E6060C" w:rsidRDefault="00F72513" w:rsidP="0079494E">
            <w:r w:rsidRPr="00E6060C">
              <w:t>Griffin, 2009</w:t>
            </w:r>
          </w:p>
        </w:tc>
        <w:tc>
          <w:tcPr>
            <w:tcW w:w="921" w:type="dxa"/>
            <w:tcBorders>
              <w:bottom w:val="nil"/>
            </w:tcBorders>
          </w:tcPr>
          <w:p w14:paraId="7E8AB7A5" w14:textId="77777777" w:rsidR="00F72513" w:rsidRPr="00E6060C" w:rsidRDefault="00F72513" w:rsidP="0079494E">
            <w:r w:rsidRPr="00E6060C">
              <w:t>T</w:t>
            </w:r>
          </w:p>
        </w:tc>
        <w:tc>
          <w:tcPr>
            <w:tcW w:w="3402" w:type="dxa"/>
            <w:tcBorders>
              <w:bottom w:val="nil"/>
            </w:tcBorders>
          </w:tcPr>
          <w:p w14:paraId="2AB43A2A" w14:textId="77777777" w:rsidR="00F72513" w:rsidRPr="00E6060C" w:rsidRDefault="00F72513" w:rsidP="0079494E">
            <w:r w:rsidRPr="00E6060C">
              <w:t>Systemic - implementation of a management-by-objective dashboard</w:t>
            </w:r>
          </w:p>
        </w:tc>
        <w:tc>
          <w:tcPr>
            <w:tcW w:w="935" w:type="dxa"/>
            <w:tcBorders>
              <w:bottom w:val="nil"/>
            </w:tcBorders>
          </w:tcPr>
          <w:p w14:paraId="5F283599" w14:textId="77777777" w:rsidR="00F72513" w:rsidRPr="00E6060C" w:rsidRDefault="00F72513" w:rsidP="0079494E">
            <w:r w:rsidRPr="00E6060C">
              <w:t>Yes</w:t>
            </w:r>
          </w:p>
        </w:tc>
        <w:tc>
          <w:tcPr>
            <w:tcW w:w="1049" w:type="dxa"/>
            <w:tcBorders>
              <w:bottom w:val="nil"/>
            </w:tcBorders>
          </w:tcPr>
          <w:p w14:paraId="249D0E58" w14:textId="77777777" w:rsidR="00F72513" w:rsidRPr="00E6060C" w:rsidRDefault="00F72513" w:rsidP="0079494E">
            <w:r w:rsidRPr="00E6060C">
              <w:t>22.08.14</w:t>
            </w:r>
          </w:p>
        </w:tc>
        <w:tc>
          <w:tcPr>
            <w:tcW w:w="1599" w:type="dxa"/>
            <w:tcBorders>
              <w:bottom w:val="nil"/>
            </w:tcBorders>
          </w:tcPr>
          <w:p w14:paraId="383BFEB1" w14:textId="77777777" w:rsidR="00F72513" w:rsidRPr="00E6060C" w:rsidRDefault="00F72513" w:rsidP="0079494E">
            <w:r w:rsidRPr="00E6060C">
              <w:t>Need access to full PhD thesis</w:t>
            </w:r>
          </w:p>
        </w:tc>
        <w:tc>
          <w:tcPr>
            <w:tcW w:w="1236" w:type="dxa"/>
            <w:tcBorders>
              <w:bottom w:val="nil"/>
            </w:tcBorders>
          </w:tcPr>
          <w:p w14:paraId="70A69308" w14:textId="77777777" w:rsidR="00F72513" w:rsidRPr="00E6060C" w:rsidRDefault="00F72513" w:rsidP="0079494E">
            <w:r w:rsidRPr="00E6060C">
              <w:t>No</w:t>
            </w:r>
          </w:p>
        </w:tc>
        <w:tc>
          <w:tcPr>
            <w:tcW w:w="1727" w:type="dxa"/>
            <w:tcBorders>
              <w:bottom w:val="nil"/>
            </w:tcBorders>
          </w:tcPr>
          <w:p w14:paraId="416385BA" w14:textId="77777777" w:rsidR="00F72513" w:rsidRPr="00E6060C" w:rsidRDefault="00F72513" w:rsidP="00F15DDF">
            <w:pPr>
              <w:numPr>
                <w:ilvl w:val="0"/>
                <w:numId w:val="5"/>
              </w:numPr>
              <w:ind w:left="175" w:hanging="175"/>
              <w:contextualSpacing/>
            </w:pPr>
            <w:r w:rsidRPr="00E6060C">
              <w:t xml:space="preserve">No response </w:t>
            </w:r>
          </w:p>
          <w:p w14:paraId="220E1919" w14:textId="77777777" w:rsidR="00F72513" w:rsidRPr="00E6060C" w:rsidRDefault="00F72513" w:rsidP="00F15DDF">
            <w:pPr>
              <w:numPr>
                <w:ilvl w:val="0"/>
                <w:numId w:val="5"/>
              </w:numPr>
              <w:ind w:left="175" w:hanging="175"/>
              <w:contextualSpacing/>
            </w:pPr>
            <w:r w:rsidRPr="00E6060C">
              <w:t>No access to full PhD thesis</w:t>
            </w:r>
          </w:p>
        </w:tc>
        <w:tc>
          <w:tcPr>
            <w:tcW w:w="1155" w:type="dxa"/>
            <w:tcBorders>
              <w:bottom w:val="nil"/>
            </w:tcBorders>
          </w:tcPr>
          <w:p w14:paraId="11E59679" w14:textId="77777777" w:rsidR="00F72513" w:rsidRPr="00E6060C" w:rsidRDefault="00F72513" w:rsidP="0079494E">
            <w:r w:rsidRPr="00E6060C">
              <w:t>21.11.14</w:t>
            </w:r>
          </w:p>
        </w:tc>
      </w:tr>
      <w:tr w:rsidR="00BF077B" w:rsidRPr="00E6060C" w14:paraId="1E73D97D" w14:textId="77777777" w:rsidTr="00F72513">
        <w:trPr>
          <w:trHeight w:val="709"/>
        </w:trPr>
        <w:tc>
          <w:tcPr>
            <w:tcW w:w="744" w:type="dxa"/>
            <w:tcBorders>
              <w:top w:val="nil"/>
              <w:bottom w:val="nil"/>
            </w:tcBorders>
          </w:tcPr>
          <w:p w14:paraId="3BE17840" w14:textId="66A6EEDA" w:rsidR="00BF077B" w:rsidRPr="00E6060C" w:rsidRDefault="00F72513" w:rsidP="00BF077B">
            <w:r>
              <w:t>14</w:t>
            </w:r>
          </w:p>
        </w:tc>
        <w:tc>
          <w:tcPr>
            <w:tcW w:w="1562" w:type="dxa"/>
            <w:tcBorders>
              <w:top w:val="nil"/>
              <w:bottom w:val="nil"/>
            </w:tcBorders>
          </w:tcPr>
          <w:p w14:paraId="53CF0AD0" w14:textId="77777777" w:rsidR="00BF077B" w:rsidRPr="00E6060C" w:rsidRDefault="00BF077B" w:rsidP="00BF077B">
            <w:r w:rsidRPr="00E6060C">
              <w:t>Steier, 2010</w:t>
            </w:r>
          </w:p>
        </w:tc>
        <w:tc>
          <w:tcPr>
            <w:tcW w:w="921" w:type="dxa"/>
            <w:tcBorders>
              <w:top w:val="nil"/>
              <w:bottom w:val="nil"/>
            </w:tcBorders>
          </w:tcPr>
          <w:p w14:paraId="48DEA60D" w14:textId="77777777" w:rsidR="00BF077B" w:rsidRPr="00E6060C" w:rsidRDefault="00BF077B" w:rsidP="00BF077B">
            <w:r w:rsidRPr="00E6060C">
              <w:t>T</w:t>
            </w:r>
          </w:p>
        </w:tc>
        <w:tc>
          <w:tcPr>
            <w:tcW w:w="3402" w:type="dxa"/>
            <w:tcBorders>
              <w:top w:val="nil"/>
              <w:bottom w:val="nil"/>
            </w:tcBorders>
          </w:tcPr>
          <w:p w14:paraId="20952E6B" w14:textId="77777777" w:rsidR="00BF077B" w:rsidRPr="00E6060C" w:rsidRDefault="00BF077B" w:rsidP="00BF077B">
            <w:r w:rsidRPr="00E6060C">
              <w:t xml:space="preserve">Educational learning &amp; training programme </w:t>
            </w:r>
          </w:p>
        </w:tc>
        <w:tc>
          <w:tcPr>
            <w:tcW w:w="935" w:type="dxa"/>
            <w:tcBorders>
              <w:top w:val="nil"/>
              <w:bottom w:val="nil"/>
            </w:tcBorders>
          </w:tcPr>
          <w:p w14:paraId="162295B7" w14:textId="77777777" w:rsidR="00BF077B" w:rsidRPr="00E6060C" w:rsidRDefault="00BF077B" w:rsidP="00BF077B">
            <w:r w:rsidRPr="00E6060C">
              <w:t>Yes</w:t>
            </w:r>
          </w:p>
        </w:tc>
        <w:tc>
          <w:tcPr>
            <w:tcW w:w="1049" w:type="dxa"/>
            <w:tcBorders>
              <w:top w:val="nil"/>
              <w:bottom w:val="nil"/>
            </w:tcBorders>
          </w:tcPr>
          <w:p w14:paraId="47D654F6" w14:textId="77777777" w:rsidR="00BF077B" w:rsidRPr="00E6060C" w:rsidRDefault="00BF077B" w:rsidP="00BF077B">
            <w:r w:rsidRPr="00E6060C">
              <w:t>22.08.14</w:t>
            </w:r>
          </w:p>
        </w:tc>
        <w:tc>
          <w:tcPr>
            <w:tcW w:w="1599" w:type="dxa"/>
            <w:tcBorders>
              <w:top w:val="nil"/>
              <w:bottom w:val="nil"/>
            </w:tcBorders>
          </w:tcPr>
          <w:p w14:paraId="04864626" w14:textId="77777777" w:rsidR="00BF077B" w:rsidRPr="00E6060C" w:rsidRDefault="00BF077B" w:rsidP="00BF077B">
            <w:r w:rsidRPr="00E6060C">
              <w:t>Need access to full PhD thesis</w:t>
            </w:r>
          </w:p>
        </w:tc>
        <w:tc>
          <w:tcPr>
            <w:tcW w:w="1236" w:type="dxa"/>
            <w:tcBorders>
              <w:top w:val="nil"/>
              <w:bottom w:val="nil"/>
            </w:tcBorders>
          </w:tcPr>
          <w:p w14:paraId="2E3DDF0C" w14:textId="77777777" w:rsidR="00BF077B" w:rsidRPr="00E6060C" w:rsidRDefault="00BF077B" w:rsidP="00BF077B">
            <w:r w:rsidRPr="00E6060C">
              <w:t>No</w:t>
            </w:r>
          </w:p>
        </w:tc>
        <w:tc>
          <w:tcPr>
            <w:tcW w:w="1727" w:type="dxa"/>
            <w:tcBorders>
              <w:top w:val="nil"/>
              <w:bottom w:val="nil"/>
            </w:tcBorders>
          </w:tcPr>
          <w:p w14:paraId="16A28E87" w14:textId="77777777" w:rsidR="00BF077B" w:rsidRPr="00E6060C" w:rsidRDefault="00BF077B" w:rsidP="00F15DDF">
            <w:pPr>
              <w:numPr>
                <w:ilvl w:val="0"/>
                <w:numId w:val="11"/>
              </w:numPr>
              <w:ind w:left="135" w:hanging="142"/>
              <w:contextualSpacing/>
            </w:pPr>
            <w:r w:rsidRPr="00E6060C">
              <w:t>No response</w:t>
            </w:r>
          </w:p>
          <w:p w14:paraId="7542893C" w14:textId="77777777" w:rsidR="00BF077B" w:rsidRPr="00E6060C" w:rsidRDefault="00BF077B" w:rsidP="00F15DDF">
            <w:pPr>
              <w:numPr>
                <w:ilvl w:val="0"/>
                <w:numId w:val="11"/>
              </w:numPr>
              <w:ind w:left="135" w:hanging="142"/>
              <w:contextualSpacing/>
            </w:pPr>
            <w:r w:rsidRPr="00E6060C">
              <w:t xml:space="preserve">No access to thesis </w:t>
            </w:r>
          </w:p>
        </w:tc>
        <w:tc>
          <w:tcPr>
            <w:tcW w:w="1155" w:type="dxa"/>
            <w:tcBorders>
              <w:top w:val="nil"/>
              <w:bottom w:val="nil"/>
            </w:tcBorders>
          </w:tcPr>
          <w:p w14:paraId="1497CBD8" w14:textId="77777777" w:rsidR="00BF077B" w:rsidRPr="00E6060C" w:rsidRDefault="00BF077B" w:rsidP="00BF077B">
            <w:r w:rsidRPr="00E6060C">
              <w:t>21.11.14</w:t>
            </w:r>
          </w:p>
        </w:tc>
      </w:tr>
      <w:tr w:rsidR="00BF077B" w:rsidRPr="00E6060C" w14:paraId="2A6521B1" w14:textId="77777777" w:rsidTr="00F72513">
        <w:trPr>
          <w:trHeight w:val="709"/>
        </w:trPr>
        <w:tc>
          <w:tcPr>
            <w:tcW w:w="744" w:type="dxa"/>
            <w:tcBorders>
              <w:top w:val="nil"/>
            </w:tcBorders>
          </w:tcPr>
          <w:p w14:paraId="5D6B56D7" w14:textId="2F414E0E" w:rsidR="00BF077B" w:rsidRPr="00E6060C" w:rsidRDefault="00F72513" w:rsidP="00BF077B">
            <w:r>
              <w:t>15</w:t>
            </w:r>
          </w:p>
        </w:tc>
        <w:tc>
          <w:tcPr>
            <w:tcW w:w="1562" w:type="dxa"/>
            <w:tcBorders>
              <w:top w:val="nil"/>
            </w:tcBorders>
          </w:tcPr>
          <w:p w14:paraId="79EF6C6A" w14:textId="12C6F56B" w:rsidR="00BF077B" w:rsidRPr="00E6060C" w:rsidRDefault="00C912B3" w:rsidP="00BF077B">
            <w:r>
              <w:t xml:space="preserve">Yliniemi et al., </w:t>
            </w:r>
            <w:r w:rsidR="00BF077B" w:rsidRPr="00E6060C">
              <w:t>2012</w:t>
            </w:r>
          </w:p>
        </w:tc>
        <w:tc>
          <w:tcPr>
            <w:tcW w:w="921" w:type="dxa"/>
            <w:tcBorders>
              <w:top w:val="nil"/>
            </w:tcBorders>
          </w:tcPr>
          <w:p w14:paraId="711F1770" w14:textId="77777777" w:rsidR="00BF077B" w:rsidRPr="00E6060C" w:rsidRDefault="00BF077B" w:rsidP="00BF077B">
            <w:r w:rsidRPr="00E6060C">
              <w:t>G</w:t>
            </w:r>
          </w:p>
        </w:tc>
        <w:tc>
          <w:tcPr>
            <w:tcW w:w="3402" w:type="dxa"/>
            <w:tcBorders>
              <w:top w:val="nil"/>
            </w:tcBorders>
          </w:tcPr>
          <w:p w14:paraId="50D32A7C" w14:textId="77777777" w:rsidR="00BF077B" w:rsidRPr="00E6060C" w:rsidRDefault="00BF077B" w:rsidP="00BF077B">
            <w:r w:rsidRPr="00E6060C">
              <w:t xml:space="preserve">No access to paper on the website therefore nature of intervention / if an intervention is conducted, is unknown.  </w:t>
            </w:r>
          </w:p>
        </w:tc>
        <w:tc>
          <w:tcPr>
            <w:tcW w:w="935" w:type="dxa"/>
            <w:tcBorders>
              <w:top w:val="nil"/>
            </w:tcBorders>
          </w:tcPr>
          <w:p w14:paraId="5011A832" w14:textId="77777777" w:rsidR="00BF077B" w:rsidRPr="00E6060C" w:rsidRDefault="00BF077B" w:rsidP="00BF077B">
            <w:r w:rsidRPr="00E6060C">
              <w:t>Yes</w:t>
            </w:r>
          </w:p>
        </w:tc>
        <w:tc>
          <w:tcPr>
            <w:tcW w:w="1049" w:type="dxa"/>
            <w:tcBorders>
              <w:top w:val="nil"/>
            </w:tcBorders>
          </w:tcPr>
          <w:p w14:paraId="506E5523" w14:textId="77777777" w:rsidR="00BF077B" w:rsidRPr="00E6060C" w:rsidRDefault="00BF077B" w:rsidP="00BF077B">
            <w:r w:rsidRPr="00E6060C">
              <w:t>22.08.14</w:t>
            </w:r>
          </w:p>
        </w:tc>
        <w:tc>
          <w:tcPr>
            <w:tcW w:w="1599" w:type="dxa"/>
            <w:tcBorders>
              <w:top w:val="nil"/>
            </w:tcBorders>
          </w:tcPr>
          <w:p w14:paraId="33C50ACA" w14:textId="77777777" w:rsidR="00BF077B" w:rsidRPr="00E6060C" w:rsidRDefault="00BF077B" w:rsidP="00F15DDF">
            <w:pPr>
              <w:numPr>
                <w:ilvl w:val="0"/>
                <w:numId w:val="10"/>
              </w:numPr>
              <w:ind w:left="161" w:hanging="161"/>
              <w:contextualSpacing/>
            </w:pPr>
            <w:r w:rsidRPr="00E6060C">
              <w:t xml:space="preserve">Need access to the online conference paper </w:t>
            </w:r>
          </w:p>
          <w:p w14:paraId="293BB084" w14:textId="21D6CE5C" w:rsidR="00BF077B" w:rsidRPr="00E6060C" w:rsidRDefault="004D7400" w:rsidP="00F15DDF">
            <w:pPr>
              <w:numPr>
                <w:ilvl w:val="0"/>
                <w:numId w:val="10"/>
              </w:numPr>
              <w:ind w:left="161" w:hanging="161"/>
              <w:contextualSpacing/>
            </w:pPr>
            <w:r>
              <w:t>Need data to calculate an effect size</w:t>
            </w:r>
            <w:r w:rsidR="00BF077B" w:rsidRPr="00E6060C">
              <w:t xml:space="preserve"> </w:t>
            </w:r>
          </w:p>
        </w:tc>
        <w:tc>
          <w:tcPr>
            <w:tcW w:w="1236" w:type="dxa"/>
            <w:tcBorders>
              <w:top w:val="nil"/>
            </w:tcBorders>
          </w:tcPr>
          <w:p w14:paraId="71EF7637" w14:textId="77777777" w:rsidR="00BF077B" w:rsidRPr="00E6060C" w:rsidRDefault="00BF077B" w:rsidP="00BF077B">
            <w:r w:rsidRPr="00E6060C">
              <w:t>No</w:t>
            </w:r>
          </w:p>
        </w:tc>
        <w:tc>
          <w:tcPr>
            <w:tcW w:w="1727" w:type="dxa"/>
            <w:tcBorders>
              <w:top w:val="nil"/>
            </w:tcBorders>
          </w:tcPr>
          <w:p w14:paraId="0A971A03" w14:textId="77777777" w:rsidR="00BF077B" w:rsidRPr="00E6060C" w:rsidRDefault="00BF077B" w:rsidP="00F15DDF">
            <w:pPr>
              <w:numPr>
                <w:ilvl w:val="0"/>
                <w:numId w:val="14"/>
              </w:numPr>
              <w:ind w:left="175" w:hanging="175"/>
              <w:contextualSpacing/>
            </w:pPr>
            <w:r w:rsidRPr="00E6060C">
              <w:t>No response</w:t>
            </w:r>
          </w:p>
        </w:tc>
        <w:tc>
          <w:tcPr>
            <w:tcW w:w="1155" w:type="dxa"/>
            <w:tcBorders>
              <w:top w:val="nil"/>
            </w:tcBorders>
          </w:tcPr>
          <w:p w14:paraId="61CDACA5" w14:textId="77777777" w:rsidR="00BF077B" w:rsidRPr="00E6060C" w:rsidRDefault="00BF077B" w:rsidP="00BF077B">
            <w:r w:rsidRPr="00E6060C">
              <w:t>21.11.14</w:t>
            </w:r>
          </w:p>
        </w:tc>
      </w:tr>
    </w:tbl>
    <w:p w14:paraId="23B57BBD" w14:textId="77777777" w:rsidR="00E6060C" w:rsidRPr="00E6060C" w:rsidRDefault="00E6060C" w:rsidP="00E6060C">
      <w:pPr>
        <w:jc w:val="both"/>
      </w:pPr>
    </w:p>
    <w:p w14:paraId="0458C0FB" w14:textId="77777777" w:rsidR="00E6060C" w:rsidRPr="00E6060C" w:rsidRDefault="00E6060C" w:rsidP="00E6060C">
      <w:r w:rsidRPr="00E6060C">
        <w:br w:type="page"/>
      </w:r>
    </w:p>
    <w:p w14:paraId="628226D9" w14:textId="292E2725" w:rsidR="00734AC2" w:rsidRPr="00734AC2" w:rsidRDefault="00E6060C" w:rsidP="00734AC2">
      <w:pPr>
        <w:pStyle w:val="Heading2nonumbers"/>
        <w:rPr>
          <w:vanish/>
          <w:specVanish/>
        </w:rPr>
      </w:pPr>
      <w:bookmarkStart w:id="555" w:name="_Toc468286055"/>
      <w:r w:rsidRPr="00E6060C">
        <w:lastRenderedPageBreak/>
        <w:t>Appendix 3b: Work engagement intervention studies which were in</w:t>
      </w:r>
      <w:r w:rsidR="0034292B">
        <w:t>cluded in the systematic review</w:t>
      </w:r>
      <w:r w:rsidRPr="00E6060C">
        <w:t xml:space="preserve"> bu</w:t>
      </w:r>
      <w:r w:rsidR="00734AC2">
        <w:t>t excluded from meta-analyse</w:t>
      </w:r>
      <w:r w:rsidRPr="00E6060C">
        <w:t>s</w:t>
      </w:r>
      <w:bookmarkEnd w:id="555"/>
    </w:p>
    <w:p w14:paraId="20C7F715" w14:textId="20AA1475" w:rsidR="00E6060C" w:rsidRPr="00734AC2" w:rsidRDefault="00E6060C" w:rsidP="00734AC2">
      <w:pPr>
        <w:rPr>
          <w:rFonts w:asciiTheme="majorHAnsi" w:hAnsiTheme="majorHAnsi"/>
          <w:b/>
          <w:sz w:val="28"/>
          <w:szCs w:val="28"/>
        </w:rPr>
      </w:pPr>
      <w:r w:rsidRPr="00734AC2">
        <w:rPr>
          <w:rFonts w:asciiTheme="majorHAnsi" w:hAnsiTheme="majorHAnsi"/>
          <w:b/>
          <w:sz w:val="28"/>
          <w:szCs w:val="28"/>
        </w:rPr>
        <w:t xml:space="preserve"> are listed in the table below, in conjunction with reasons for their </w:t>
      </w:r>
      <w:r w:rsidR="0034292B" w:rsidRPr="00734AC2">
        <w:rPr>
          <w:rFonts w:asciiTheme="majorHAnsi" w:hAnsiTheme="majorHAnsi"/>
          <w:b/>
          <w:sz w:val="28"/>
          <w:szCs w:val="28"/>
        </w:rPr>
        <w:t>exclusion</w:t>
      </w:r>
      <w:r w:rsidRPr="00734AC2">
        <w:rPr>
          <w:rFonts w:asciiTheme="majorHAnsi" w:hAnsiTheme="majorHAnsi"/>
          <w:b/>
          <w:sz w:val="28"/>
          <w:szCs w:val="28"/>
        </w:rPr>
        <w:t xml:space="preserve"> (</w:t>
      </w:r>
      <w:r w:rsidRPr="00734AC2">
        <w:rPr>
          <w:rFonts w:asciiTheme="majorHAnsi" w:hAnsiTheme="majorHAnsi"/>
          <w:b/>
          <w:i/>
          <w:sz w:val="28"/>
          <w:szCs w:val="28"/>
        </w:rPr>
        <w:t>K</w:t>
      </w:r>
      <w:r w:rsidRPr="00734AC2">
        <w:rPr>
          <w:rFonts w:asciiTheme="majorHAnsi" w:hAnsiTheme="majorHAnsi"/>
          <w:b/>
          <w:sz w:val="28"/>
          <w:szCs w:val="28"/>
        </w:rPr>
        <w:t>=13)</w:t>
      </w:r>
      <w:r w:rsidR="00734AC2" w:rsidRPr="00734AC2">
        <w:rPr>
          <w:rFonts w:asciiTheme="majorHAnsi" w:hAnsiTheme="majorHAnsi"/>
          <w:b/>
          <w:sz w:val="28"/>
          <w:szCs w:val="28"/>
        </w:rPr>
        <w:t xml:space="preserve"> </w:t>
      </w:r>
    </w:p>
    <w:p w14:paraId="731AD09E" w14:textId="77777777" w:rsidR="00734AC2" w:rsidRPr="00E6060C" w:rsidRDefault="00734AC2" w:rsidP="00E6060C"/>
    <w:tbl>
      <w:tblPr>
        <w:tblStyle w:val="TableGrid8"/>
        <w:tblW w:w="14330" w:type="dxa"/>
        <w:tblLayout w:type="fixed"/>
        <w:tblLook w:val="04A0" w:firstRow="1" w:lastRow="0" w:firstColumn="1" w:lastColumn="0" w:noHBand="0" w:noVBand="1"/>
      </w:tblPr>
      <w:tblGrid>
        <w:gridCol w:w="744"/>
        <w:gridCol w:w="1562"/>
        <w:gridCol w:w="921"/>
        <w:gridCol w:w="3402"/>
        <w:gridCol w:w="935"/>
        <w:gridCol w:w="1049"/>
        <w:gridCol w:w="1599"/>
        <w:gridCol w:w="1236"/>
        <w:gridCol w:w="1727"/>
        <w:gridCol w:w="1155"/>
      </w:tblGrid>
      <w:tr w:rsidR="00E6060C" w:rsidRPr="00E6060C" w14:paraId="5EB76EAA" w14:textId="77777777" w:rsidTr="00E6060C">
        <w:trPr>
          <w:trHeight w:val="175"/>
          <w:tblHeader/>
        </w:trPr>
        <w:tc>
          <w:tcPr>
            <w:tcW w:w="744" w:type="dxa"/>
            <w:vMerge w:val="restart"/>
            <w:tcBorders>
              <w:left w:val="nil"/>
              <w:bottom w:val="single" w:sz="4" w:space="0" w:color="auto"/>
              <w:right w:val="nil"/>
            </w:tcBorders>
          </w:tcPr>
          <w:p w14:paraId="325E9D52" w14:textId="77777777" w:rsidR="00E6060C" w:rsidRPr="00E6060C" w:rsidRDefault="00E6060C" w:rsidP="00E6060C">
            <w:pPr>
              <w:contextualSpacing/>
              <w:rPr>
                <w:b/>
              </w:rPr>
            </w:pPr>
            <w:r w:rsidRPr="00E6060C">
              <w:rPr>
                <w:b/>
              </w:rPr>
              <w:t>No.</w:t>
            </w:r>
          </w:p>
        </w:tc>
        <w:tc>
          <w:tcPr>
            <w:tcW w:w="1562" w:type="dxa"/>
            <w:vMerge w:val="restart"/>
            <w:tcBorders>
              <w:left w:val="nil"/>
              <w:bottom w:val="single" w:sz="4" w:space="0" w:color="auto"/>
              <w:right w:val="nil"/>
            </w:tcBorders>
          </w:tcPr>
          <w:p w14:paraId="72C63192" w14:textId="77777777" w:rsidR="00E6060C" w:rsidRPr="00E6060C" w:rsidRDefault="00E6060C" w:rsidP="00E6060C">
            <w:pPr>
              <w:contextualSpacing/>
              <w:rPr>
                <w:b/>
              </w:rPr>
            </w:pPr>
            <w:r w:rsidRPr="00E6060C">
              <w:rPr>
                <w:b/>
              </w:rPr>
              <w:t>Excluded study reference</w:t>
            </w:r>
          </w:p>
        </w:tc>
        <w:tc>
          <w:tcPr>
            <w:tcW w:w="921" w:type="dxa"/>
            <w:vMerge w:val="restart"/>
            <w:tcBorders>
              <w:left w:val="nil"/>
              <w:bottom w:val="single" w:sz="4" w:space="0" w:color="auto"/>
              <w:right w:val="nil"/>
            </w:tcBorders>
          </w:tcPr>
          <w:p w14:paraId="3868A5A0" w14:textId="77777777" w:rsidR="00E6060C" w:rsidRPr="00E6060C" w:rsidRDefault="00E6060C" w:rsidP="00E6060C">
            <w:pPr>
              <w:contextualSpacing/>
              <w:rPr>
                <w:b/>
              </w:rPr>
            </w:pPr>
            <w:r w:rsidRPr="00E6060C">
              <w:rPr>
                <w:b/>
              </w:rPr>
              <w:t>Type of doc*</w:t>
            </w:r>
          </w:p>
        </w:tc>
        <w:tc>
          <w:tcPr>
            <w:tcW w:w="3402" w:type="dxa"/>
            <w:vMerge w:val="restart"/>
            <w:tcBorders>
              <w:left w:val="nil"/>
              <w:bottom w:val="single" w:sz="4" w:space="0" w:color="auto"/>
              <w:right w:val="nil"/>
            </w:tcBorders>
          </w:tcPr>
          <w:p w14:paraId="21A6C112" w14:textId="77777777" w:rsidR="00E6060C" w:rsidRPr="00E6060C" w:rsidRDefault="00E6060C" w:rsidP="00E6060C">
            <w:pPr>
              <w:contextualSpacing/>
              <w:rPr>
                <w:b/>
              </w:rPr>
            </w:pPr>
            <w:r w:rsidRPr="00E6060C">
              <w:rPr>
                <w:b/>
              </w:rPr>
              <w:t>Intervention type</w:t>
            </w:r>
          </w:p>
        </w:tc>
        <w:tc>
          <w:tcPr>
            <w:tcW w:w="1984" w:type="dxa"/>
            <w:gridSpan w:val="2"/>
            <w:tcBorders>
              <w:left w:val="nil"/>
              <w:bottom w:val="single" w:sz="4" w:space="0" w:color="auto"/>
              <w:right w:val="nil"/>
            </w:tcBorders>
          </w:tcPr>
          <w:p w14:paraId="15499021" w14:textId="77777777" w:rsidR="00E6060C" w:rsidRPr="00E6060C" w:rsidRDefault="00E6060C" w:rsidP="00E6060C">
            <w:pPr>
              <w:contextualSpacing/>
              <w:rPr>
                <w:b/>
              </w:rPr>
            </w:pPr>
            <w:r w:rsidRPr="00E6060C">
              <w:rPr>
                <w:b/>
              </w:rPr>
              <w:t>Contacted?</w:t>
            </w:r>
          </w:p>
        </w:tc>
        <w:tc>
          <w:tcPr>
            <w:tcW w:w="1599" w:type="dxa"/>
            <w:vMerge w:val="restart"/>
            <w:tcBorders>
              <w:left w:val="nil"/>
              <w:bottom w:val="single" w:sz="4" w:space="0" w:color="auto"/>
              <w:right w:val="nil"/>
            </w:tcBorders>
          </w:tcPr>
          <w:p w14:paraId="422B0B7E" w14:textId="77777777" w:rsidR="00E6060C" w:rsidRPr="00E6060C" w:rsidRDefault="00E6060C" w:rsidP="00E6060C">
            <w:pPr>
              <w:contextualSpacing/>
              <w:rPr>
                <w:b/>
              </w:rPr>
            </w:pPr>
            <w:r w:rsidRPr="00E6060C">
              <w:rPr>
                <w:b/>
              </w:rPr>
              <w:t>Why contacted</w:t>
            </w:r>
          </w:p>
        </w:tc>
        <w:tc>
          <w:tcPr>
            <w:tcW w:w="1236" w:type="dxa"/>
            <w:vMerge w:val="restart"/>
            <w:tcBorders>
              <w:left w:val="nil"/>
              <w:bottom w:val="single" w:sz="4" w:space="0" w:color="auto"/>
              <w:right w:val="nil"/>
            </w:tcBorders>
          </w:tcPr>
          <w:p w14:paraId="0864C1E2" w14:textId="77777777" w:rsidR="00E6060C" w:rsidRPr="00E6060C" w:rsidRDefault="00E6060C" w:rsidP="00E6060C">
            <w:pPr>
              <w:contextualSpacing/>
              <w:rPr>
                <w:b/>
              </w:rPr>
            </w:pPr>
            <w:r w:rsidRPr="00E6060C">
              <w:rPr>
                <w:b/>
              </w:rPr>
              <w:t>Response?</w:t>
            </w:r>
          </w:p>
        </w:tc>
        <w:tc>
          <w:tcPr>
            <w:tcW w:w="1727" w:type="dxa"/>
            <w:vMerge w:val="restart"/>
            <w:tcBorders>
              <w:left w:val="nil"/>
              <w:bottom w:val="single" w:sz="4" w:space="0" w:color="auto"/>
              <w:right w:val="nil"/>
            </w:tcBorders>
          </w:tcPr>
          <w:p w14:paraId="1C6EBE2A" w14:textId="77777777" w:rsidR="00E6060C" w:rsidRPr="00E6060C" w:rsidRDefault="00E6060C" w:rsidP="00E6060C">
            <w:pPr>
              <w:contextualSpacing/>
              <w:rPr>
                <w:b/>
              </w:rPr>
            </w:pPr>
            <w:r w:rsidRPr="00E6060C">
              <w:rPr>
                <w:b/>
              </w:rPr>
              <w:t>Reason for exclusion</w:t>
            </w:r>
          </w:p>
        </w:tc>
        <w:tc>
          <w:tcPr>
            <w:tcW w:w="1155" w:type="dxa"/>
            <w:vMerge w:val="restart"/>
            <w:tcBorders>
              <w:left w:val="nil"/>
              <w:bottom w:val="single" w:sz="4" w:space="0" w:color="auto"/>
              <w:right w:val="nil"/>
            </w:tcBorders>
          </w:tcPr>
          <w:p w14:paraId="5F821A89" w14:textId="77777777" w:rsidR="00E6060C" w:rsidRPr="00E6060C" w:rsidRDefault="00E6060C" w:rsidP="00E6060C">
            <w:pPr>
              <w:contextualSpacing/>
              <w:rPr>
                <w:b/>
              </w:rPr>
            </w:pPr>
            <w:r w:rsidRPr="00E6060C">
              <w:rPr>
                <w:b/>
              </w:rPr>
              <w:t>Date decision made</w:t>
            </w:r>
          </w:p>
          <w:p w14:paraId="1D40EC56" w14:textId="77777777" w:rsidR="00E6060C" w:rsidRPr="00E6060C" w:rsidRDefault="00E6060C" w:rsidP="00E6060C">
            <w:pPr>
              <w:rPr>
                <w:b/>
              </w:rPr>
            </w:pPr>
          </w:p>
        </w:tc>
      </w:tr>
      <w:tr w:rsidR="00E6060C" w:rsidRPr="00E6060C" w14:paraId="78B6AB48" w14:textId="77777777" w:rsidTr="00E6060C">
        <w:trPr>
          <w:trHeight w:val="174"/>
        </w:trPr>
        <w:tc>
          <w:tcPr>
            <w:tcW w:w="744" w:type="dxa"/>
            <w:vMerge/>
            <w:tcBorders>
              <w:top w:val="single" w:sz="4" w:space="0" w:color="auto"/>
              <w:left w:val="nil"/>
              <w:bottom w:val="single" w:sz="4" w:space="0" w:color="auto"/>
              <w:right w:val="nil"/>
            </w:tcBorders>
          </w:tcPr>
          <w:p w14:paraId="3E1D5E47" w14:textId="77777777" w:rsidR="00E6060C" w:rsidRPr="00E6060C" w:rsidRDefault="00E6060C" w:rsidP="00E6060C"/>
        </w:tc>
        <w:tc>
          <w:tcPr>
            <w:tcW w:w="1562" w:type="dxa"/>
            <w:vMerge/>
            <w:tcBorders>
              <w:top w:val="single" w:sz="4" w:space="0" w:color="auto"/>
              <w:left w:val="nil"/>
              <w:bottom w:val="single" w:sz="4" w:space="0" w:color="auto"/>
              <w:right w:val="nil"/>
            </w:tcBorders>
          </w:tcPr>
          <w:p w14:paraId="07B6A090" w14:textId="77777777" w:rsidR="00E6060C" w:rsidRPr="00E6060C" w:rsidRDefault="00E6060C" w:rsidP="00E6060C"/>
        </w:tc>
        <w:tc>
          <w:tcPr>
            <w:tcW w:w="921" w:type="dxa"/>
            <w:vMerge/>
            <w:tcBorders>
              <w:top w:val="single" w:sz="4" w:space="0" w:color="auto"/>
              <w:left w:val="nil"/>
              <w:bottom w:val="single" w:sz="4" w:space="0" w:color="auto"/>
              <w:right w:val="nil"/>
            </w:tcBorders>
          </w:tcPr>
          <w:p w14:paraId="043A74D4" w14:textId="77777777" w:rsidR="00E6060C" w:rsidRPr="00E6060C" w:rsidRDefault="00E6060C" w:rsidP="00E6060C">
            <w:pPr>
              <w:rPr>
                <w:b/>
              </w:rPr>
            </w:pPr>
          </w:p>
        </w:tc>
        <w:tc>
          <w:tcPr>
            <w:tcW w:w="3402" w:type="dxa"/>
            <w:vMerge/>
            <w:tcBorders>
              <w:top w:val="single" w:sz="4" w:space="0" w:color="auto"/>
              <w:left w:val="nil"/>
              <w:bottom w:val="single" w:sz="4" w:space="0" w:color="auto"/>
              <w:right w:val="nil"/>
            </w:tcBorders>
          </w:tcPr>
          <w:p w14:paraId="51A0AB8D" w14:textId="77777777" w:rsidR="00E6060C" w:rsidRPr="00E6060C" w:rsidRDefault="00E6060C" w:rsidP="00E6060C">
            <w:pPr>
              <w:rPr>
                <w:b/>
              </w:rPr>
            </w:pPr>
          </w:p>
        </w:tc>
        <w:tc>
          <w:tcPr>
            <w:tcW w:w="935" w:type="dxa"/>
            <w:tcBorders>
              <w:top w:val="single" w:sz="4" w:space="0" w:color="auto"/>
              <w:left w:val="nil"/>
              <w:bottom w:val="single" w:sz="4" w:space="0" w:color="auto"/>
              <w:right w:val="nil"/>
            </w:tcBorders>
          </w:tcPr>
          <w:p w14:paraId="1BE22574" w14:textId="77777777" w:rsidR="00E6060C" w:rsidRPr="00E6060C" w:rsidRDefault="00E6060C" w:rsidP="00E6060C">
            <w:pPr>
              <w:rPr>
                <w:b/>
              </w:rPr>
            </w:pPr>
            <w:r w:rsidRPr="00E6060C">
              <w:rPr>
                <w:b/>
              </w:rPr>
              <w:t>Yes / No</w:t>
            </w:r>
          </w:p>
        </w:tc>
        <w:tc>
          <w:tcPr>
            <w:tcW w:w="1049" w:type="dxa"/>
            <w:tcBorders>
              <w:top w:val="single" w:sz="4" w:space="0" w:color="auto"/>
              <w:left w:val="nil"/>
              <w:bottom w:val="single" w:sz="4" w:space="0" w:color="auto"/>
              <w:right w:val="nil"/>
            </w:tcBorders>
          </w:tcPr>
          <w:p w14:paraId="4DC395D4" w14:textId="77777777" w:rsidR="00E6060C" w:rsidRPr="00E6060C" w:rsidRDefault="00E6060C" w:rsidP="00E6060C">
            <w:pPr>
              <w:rPr>
                <w:b/>
              </w:rPr>
            </w:pPr>
            <w:r w:rsidRPr="00E6060C">
              <w:rPr>
                <w:b/>
              </w:rPr>
              <w:t>Last date of contact</w:t>
            </w:r>
          </w:p>
        </w:tc>
        <w:tc>
          <w:tcPr>
            <w:tcW w:w="1599" w:type="dxa"/>
            <w:vMerge/>
            <w:tcBorders>
              <w:top w:val="single" w:sz="4" w:space="0" w:color="auto"/>
              <w:left w:val="nil"/>
              <w:bottom w:val="single" w:sz="4" w:space="0" w:color="auto"/>
              <w:right w:val="nil"/>
            </w:tcBorders>
          </w:tcPr>
          <w:p w14:paraId="6357B2D1" w14:textId="77777777" w:rsidR="00E6060C" w:rsidRPr="00E6060C" w:rsidRDefault="00E6060C" w:rsidP="00E6060C"/>
        </w:tc>
        <w:tc>
          <w:tcPr>
            <w:tcW w:w="1236" w:type="dxa"/>
            <w:vMerge/>
            <w:tcBorders>
              <w:top w:val="single" w:sz="4" w:space="0" w:color="auto"/>
              <w:left w:val="nil"/>
              <w:bottom w:val="single" w:sz="4" w:space="0" w:color="auto"/>
              <w:right w:val="nil"/>
            </w:tcBorders>
          </w:tcPr>
          <w:p w14:paraId="3673DCBC" w14:textId="77777777" w:rsidR="00E6060C" w:rsidRPr="00E6060C" w:rsidRDefault="00E6060C" w:rsidP="00E6060C"/>
        </w:tc>
        <w:tc>
          <w:tcPr>
            <w:tcW w:w="1727" w:type="dxa"/>
            <w:vMerge/>
            <w:tcBorders>
              <w:top w:val="single" w:sz="4" w:space="0" w:color="auto"/>
              <w:left w:val="nil"/>
              <w:bottom w:val="single" w:sz="4" w:space="0" w:color="auto"/>
              <w:right w:val="nil"/>
            </w:tcBorders>
          </w:tcPr>
          <w:p w14:paraId="15E7E5DA" w14:textId="77777777" w:rsidR="00E6060C" w:rsidRPr="00E6060C" w:rsidRDefault="00E6060C" w:rsidP="00E6060C"/>
        </w:tc>
        <w:tc>
          <w:tcPr>
            <w:tcW w:w="1155" w:type="dxa"/>
            <w:vMerge/>
            <w:tcBorders>
              <w:top w:val="single" w:sz="4" w:space="0" w:color="auto"/>
              <w:left w:val="nil"/>
              <w:bottom w:val="single" w:sz="4" w:space="0" w:color="auto"/>
              <w:right w:val="nil"/>
            </w:tcBorders>
          </w:tcPr>
          <w:p w14:paraId="7C698F98" w14:textId="77777777" w:rsidR="00E6060C" w:rsidRPr="00E6060C" w:rsidRDefault="00E6060C" w:rsidP="00E6060C">
            <w:pPr>
              <w:rPr>
                <w:b/>
              </w:rPr>
            </w:pPr>
          </w:p>
        </w:tc>
      </w:tr>
      <w:tr w:rsidR="00E6060C" w:rsidRPr="00E6060C" w14:paraId="33F5F9B4" w14:textId="77777777" w:rsidTr="00E6060C">
        <w:trPr>
          <w:trHeight w:val="340"/>
        </w:trPr>
        <w:tc>
          <w:tcPr>
            <w:tcW w:w="14330" w:type="dxa"/>
            <w:gridSpan w:val="10"/>
            <w:tcBorders>
              <w:top w:val="single" w:sz="4" w:space="0" w:color="auto"/>
              <w:left w:val="nil"/>
              <w:bottom w:val="single" w:sz="4" w:space="0" w:color="auto"/>
              <w:right w:val="nil"/>
            </w:tcBorders>
            <w:vAlign w:val="center"/>
          </w:tcPr>
          <w:p w14:paraId="12D5ED1C" w14:textId="77777777" w:rsidR="00E6060C" w:rsidRPr="00E6060C" w:rsidRDefault="00E6060C" w:rsidP="00E6060C">
            <w:pPr>
              <w:rPr>
                <w:b/>
              </w:rPr>
            </w:pPr>
            <w:r w:rsidRPr="00E6060C">
              <w:rPr>
                <w:b/>
              </w:rPr>
              <w:t xml:space="preserve">STUDIES WHICH ARE ONGOING </w:t>
            </w:r>
          </w:p>
        </w:tc>
      </w:tr>
      <w:tr w:rsidR="00E6060C" w:rsidRPr="00E6060C" w14:paraId="3B38210B" w14:textId="77777777" w:rsidTr="00E6060C">
        <w:trPr>
          <w:trHeight w:val="567"/>
        </w:trPr>
        <w:tc>
          <w:tcPr>
            <w:tcW w:w="744" w:type="dxa"/>
            <w:tcBorders>
              <w:top w:val="single" w:sz="4" w:space="0" w:color="auto"/>
              <w:left w:val="nil"/>
              <w:bottom w:val="nil"/>
              <w:right w:val="nil"/>
            </w:tcBorders>
          </w:tcPr>
          <w:p w14:paraId="7E794082" w14:textId="77777777" w:rsidR="00E6060C" w:rsidRPr="00E6060C" w:rsidRDefault="00E6060C" w:rsidP="00E6060C">
            <w:r w:rsidRPr="00E6060C">
              <w:t>1</w:t>
            </w:r>
          </w:p>
        </w:tc>
        <w:tc>
          <w:tcPr>
            <w:tcW w:w="1562" w:type="dxa"/>
            <w:tcBorders>
              <w:top w:val="single" w:sz="4" w:space="0" w:color="auto"/>
              <w:left w:val="nil"/>
              <w:bottom w:val="nil"/>
              <w:right w:val="nil"/>
            </w:tcBorders>
          </w:tcPr>
          <w:p w14:paraId="0CACBE6E" w14:textId="2BF01B16" w:rsidR="00E6060C" w:rsidRPr="00E6060C" w:rsidRDefault="00E6060C" w:rsidP="00E6060C">
            <w:r w:rsidRPr="00E6060C">
              <w:t xml:space="preserve">Wiezer </w:t>
            </w:r>
            <w:r w:rsidR="00B64DD5">
              <w:t>et al.,</w:t>
            </w:r>
            <w:r w:rsidRPr="00E6060C">
              <w:t xml:space="preserve"> 2013</w:t>
            </w:r>
          </w:p>
        </w:tc>
        <w:tc>
          <w:tcPr>
            <w:tcW w:w="921" w:type="dxa"/>
            <w:tcBorders>
              <w:top w:val="single" w:sz="4" w:space="0" w:color="auto"/>
              <w:left w:val="nil"/>
              <w:bottom w:val="nil"/>
              <w:right w:val="nil"/>
            </w:tcBorders>
          </w:tcPr>
          <w:p w14:paraId="5A123789" w14:textId="77777777" w:rsidR="00E6060C" w:rsidRPr="00E6060C" w:rsidRDefault="00E6060C" w:rsidP="00E6060C">
            <w:r w:rsidRPr="00E6060C">
              <w:t>UnP</w:t>
            </w:r>
          </w:p>
          <w:p w14:paraId="07E957BE" w14:textId="77777777" w:rsidR="00E6060C" w:rsidRPr="00E6060C" w:rsidRDefault="00E6060C" w:rsidP="00E6060C"/>
        </w:tc>
        <w:tc>
          <w:tcPr>
            <w:tcW w:w="3402" w:type="dxa"/>
            <w:tcBorders>
              <w:top w:val="single" w:sz="4" w:space="0" w:color="auto"/>
              <w:left w:val="nil"/>
              <w:bottom w:val="nil"/>
              <w:right w:val="nil"/>
            </w:tcBorders>
          </w:tcPr>
          <w:p w14:paraId="1DD7C6C1" w14:textId="77777777" w:rsidR="00E6060C" w:rsidRPr="00E6060C" w:rsidRDefault="00E6060C" w:rsidP="00E6060C">
            <w:r w:rsidRPr="00E6060C">
              <w:t>Serious game for managers developed as a training tool to help managers manage the work-related stress, and stimulate work engagement, amongst their employees</w:t>
            </w:r>
          </w:p>
        </w:tc>
        <w:tc>
          <w:tcPr>
            <w:tcW w:w="935" w:type="dxa"/>
            <w:tcBorders>
              <w:top w:val="single" w:sz="4" w:space="0" w:color="auto"/>
              <w:left w:val="nil"/>
              <w:bottom w:val="nil"/>
              <w:right w:val="nil"/>
            </w:tcBorders>
          </w:tcPr>
          <w:p w14:paraId="79F08C76" w14:textId="77777777" w:rsidR="00E6060C" w:rsidRPr="00E6060C" w:rsidRDefault="00E6060C" w:rsidP="00E6060C">
            <w:r w:rsidRPr="00E6060C">
              <w:t>Yes</w:t>
            </w:r>
          </w:p>
        </w:tc>
        <w:tc>
          <w:tcPr>
            <w:tcW w:w="1049" w:type="dxa"/>
            <w:tcBorders>
              <w:top w:val="single" w:sz="4" w:space="0" w:color="auto"/>
              <w:left w:val="nil"/>
              <w:bottom w:val="nil"/>
              <w:right w:val="nil"/>
            </w:tcBorders>
          </w:tcPr>
          <w:p w14:paraId="1C498D78" w14:textId="77777777" w:rsidR="00E6060C" w:rsidRPr="00E6060C" w:rsidRDefault="00E6060C" w:rsidP="00E6060C">
            <w:r w:rsidRPr="00E6060C">
              <w:t>22.08.14</w:t>
            </w:r>
          </w:p>
        </w:tc>
        <w:tc>
          <w:tcPr>
            <w:tcW w:w="1599" w:type="dxa"/>
            <w:tcBorders>
              <w:top w:val="single" w:sz="4" w:space="0" w:color="auto"/>
              <w:left w:val="nil"/>
              <w:bottom w:val="nil"/>
              <w:right w:val="nil"/>
            </w:tcBorders>
          </w:tcPr>
          <w:p w14:paraId="4CC4FF26" w14:textId="77777777" w:rsidR="00E6060C" w:rsidRPr="00E6060C" w:rsidRDefault="00E6060C" w:rsidP="00E6060C">
            <w:r w:rsidRPr="00E6060C">
              <w:t xml:space="preserve">To see if results are available </w:t>
            </w:r>
          </w:p>
        </w:tc>
        <w:tc>
          <w:tcPr>
            <w:tcW w:w="1236" w:type="dxa"/>
            <w:tcBorders>
              <w:top w:val="single" w:sz="4" w:space="0" w:color="auto"/>
              <w:left w:val="nil"/>
              <w:bottom w:val="nil"/>
              <w:right w:val="nil"/>
            </w:tcBorders>
          </w:tcPr>
          <w:p w14:paraId="3C7D2461" w14:textId="77777777" w:rsidR="00E6060C" w:rsidRPr="00E6060C" w:rsidRDefault="00E6060C" w:rsidP="00E6060C">
            <w:r w:rsidRPr="00E6060C">
              <w:t>Yes</w:t>
            </w:r>
          </w:p>
        </w:tc>
        <w:tc>
          <w:tcPr>
            <w:tcW w:w="1727" w:type="dxa"/>
            <w:tcBorders>
              <w:top w:val="single" w:sz="4" w:space="0" w:color="auto"/>
              <w:left w:val="nil"/>
              <w:bottom w:val="nil"/>
              <w:right w:val="nil"/>
            </w:tcBorders>
          </w:tcPr>
          <w:p w14:paraId="27E97355" w14:textId="77777777" w:rsidR="00E6060C" w:rsidRPr="00E6060C" w:rsidRDefault="00E6060C" w:rsidP="00E6060C">
            <w:r w:rsidRPr="00E6060C">
              <w:t>Study is in the process of being written up</w:t>
            </w:r>
          </w:p>
        </w:tc>
        <w:tc>
          <w:tcPr>
            <w:tcW w:w="1155" w:type="dxa"/>
            <w:tcBorders>
              <w:top w:val="nil"/>
              <w:left w:val="nil"/>
              <w:bottom w:val="nil"/>
              <w:right w:val="nil"/>
            </w:tcBorders>
          </w:tcPr>
          <w:p w14:paraId="41FA5267" w14:textId="77777777" w:rsidR="00E6060C" w:rsidRPr="00E6060C" w:rsidRDefault="00E6060C" w:rsidP="00E6060C">
            <w:r w:rsidRPr="00E6060C">
              <w:t>22.08.14</w:t>
            </w:r>
          </w:p>
        </w:tc>
      </w:tr>
      <w:tr w:rsidR="00E6060C" w:rsidRPr="00E6060C" w14:paraId="284553BF" w14:textId="77777777" w:rsidTr="00E6060C">
        <w:trPr>
          <w:trHeight w:val="709"/>
        </w:trPr>
        <w:tc>
          <w:tcPr>
            <w:tcW w:w="744" w:type="dxa"/>
            <w:tcBorders>
              <w:top w:val="nil"/>
              <w:left w:val="nil"/>
              <w:bottom w:val="nil"/>
              <w:right w:val="nil"/>
            </w:tcBorders>
          </w:tcPr>
          <w:p w14:paraId="735884DA" w14:textId="77777777" w:rsidR="00E6060C" w:rsidRPr="00E6060C" w:rsidRDefault="00E6060C" w:rsidP="00E6060C">
            <w:r w:rsidRPr="00E6060C">
              <w:t>2</w:t>
            </w:r>
          </w:p>
        </w:tc>
        <w:tc>
          <w:tcPr>
            <w:tcW w:w="1562" w:type="dxa"/>
            <w:tcBorders>
              <w:top w:val="nil"/>
              <w:left w:val="nil"/>
              <w:bottom w:val="nil"/>
              <w:right w:val="nil"/>
            </w:tcBorders>
          </w:tcPr>
          <w:p w14:paraId="25ED8194" w14:textId="3A2A9835" w:rsidR="00E6060C" w:rsidRPr="00E6060C" w:rsidRDefault="00E6060C" w:rsidP="00E6060C">
            <w:r w:rsidRPr="00E6060C">
              <w:t xml:space="preserve">Shaw </w:t>
            </w:r>
            <w:r w:rsidR="00B64DD5">
              <w:t>et al.,</w:t>
            </w:r>
            <w:r w:rsidRPr="00E6060C">
              <w:t xml:space="preserve"> 2014</w:t>
            </w:r>
          </w:p>
        </w:tc>
        <w:tc>
          <w:tcPr>
            <w:tcW w:w="921" w:type="dxa"/>
            <w:tcBorders>
              <w:top w:val="nil"/>
              <w:left w:val="nil"/>
              <w:bottom w:val="nil"/>
              <w:right w:val="nil"/>
            </w:tcBorders>
          </w:tcPr>
          <w:p w14:paraId="2390D146" w14:textId="77777777" w:rsidR="00E6060C" w:rsidRPr="00E6060C" w:rsidRDefault="00E6060C" w:rsidP="00E6060C">
            <w:r w:rsidRPr="00E6060C">
              <w:t>P</w:t>
            </w:r>
          </w:p>
          <w:p w14:paraId="05B9415A" w14:textId="77777777" w:rsidR="00E6060C" w:rsidRPr="00E6060C" w:rsidRDefault="00E6060C" w:rsidP="00E6060C"/>
        </w:tc>
        <w:tc>
          <w:tcPr>
            <w:tcW w:w="3402" w:type="dxa"/>
            <w:tcBorders>
              <w:top w:val="nil"/>
              <w:left w:val="nil"/>
              <w:bottom w:val="nil"/>
              <w:right w:val="nil"/>
            </w:tcBorders>
          </w:tcPr>
          <w:p w14:paraId="2F0CC1C9" w14:textId="77777777" w:rsidR="00E6060C" w:rsidRPr="00E6060C" w:rsidRDefault="00E6060C" w:rsidP="00E6060C">
            <w:r w:rsidRPr="00E6060C">
              <w:t xml:space="preserve">Employer-sponsored self-management group intervention programme (RCT) – including problem solving strategies. </w:t>
            </w:r>
          </w:p>
        </w:tc>
        <w:tc>
          <w:tcPr>
            <w:tcW w:w="935" w:type="dxa"/>
            <w:tcBorders>
              <w:top w:val="nil"/>
              <w:left w:val="nil"/>
              <w:bottom w:val="nil"/>
              <w:right w:val="nil"/>
            </w:tcBorders>
          </w:tcPr>
          <w:p w14:paraId="1772F651" w14:textId="77777777" w:rsidR="00E6060C" w:rsidRPr="00E6060C" w:rsidRDefault="00E6060C" w:rsidP="00E6060C">
            <w:r w:rsidRPr="00E6060C">
              <w:t>Yes</w:t>
            </w:r>
          </w:p>
        </w:tc>
        <w:tc>
          <w:tcPr>
            <w:tcW w:w="1049" w:type="dxa"/>
            <w:tcBorders>
              <w:top w:val="nil"/>
              <w:left w:val="nil"/>
              <w:bottom w:val="nil"/>
              <w:right w:val="nil"/>
            </w:tcBorders>
          </w:tcPr>
          <w:p w14:paraId="3060410B" w14:textId="77777777" w:rsidR="00E6060C" w:rsidRPr="00E6060C" w:rsidRDefault="00E6060C" w:rsidP="00E6060C">
            <w:r w:rsidRPr="00E6060C">
              <w:t>22.08.14</w:t>
            </w:r>
          </w:p>
        </w:tc>
        <w:tc>
          <w:tcPr>
            <w:tcW w:w="1599" w:type="dxa"/>
            <w:tcBorders>
              <w:top w:val="nil"/>
              <w:left w:val="nil"/>
              <w:bottom w:val="nil"/>
              <w:right w:val="nil"/>
            </w:tcBorders>
          </w:tcPr>
          <w:p w14:paraId="77ABFEA3" w14:textId="77777777" w:rsidR="00E6060C" w:rsidRPr="00E6060C" w:rsidRDefault="00E6060C" w:rsidP="00E6060C">
            <w:r w:rsidRPr="00E6060C">
              <w:t>NA</w:t>
            </w:r>
          </w:p>
        </w:tc>
        <w:tc>
          <w:tcPr>
            <w:tcW w:w="1236" w:type="dxa"/>
            <w:tcBorders>
              <w:top w:val="nil"/>
              <w:left w:val="nil"/>
              <w:bottom w:val="nil"/>
              <w:right w:val="nil"/>
            </w:tcBorders>
          </w:tcPr>
          <w:p w14:paraId="1C54A389" w14:textId="77777777" w:rsidR="00E6060C" w:rsidRPr="00E6060C" w:rsidRDefault="00E6060C" w:rsidP="00E6060C">
            <w:r w:rsidRPr="00E6060C">
              <w:t>NA</w:t>
            </w:r>
          </w:p>
        </w:tc>
        <w:tc>
          <w:tcPr>
            <w:tcW w:w="1727" w:type="dxa"/>
            <w:tcBorders>
              <w:top w:val="nil"/>
              <w:left w:val="nil"/>
              <w:bottom w:val="nil"/>
              <w:right w:val="nil"/>
            </w:tcBorders>
          </w:tcPr>
          <w:p w14:paraId="76127D08" w14:textId="77777777" w:rsidR="00E6060C" w:rsidRPr="00E6060C" w:rsidRDefault="00E6060C" w:rsidP="00E6060C">
            <w:r w:rsidRPr="00E6060C">
              <w:t xml:space="preserve">Study is at the protocol stage  </w:t>
            </w:r>
          </w:p>
        </w:tc>
        <w:tc>
          <w:tcPr>
            <w:tcW w:w="1155" w:type="dxa"/>
            <w:tcBorders>
              <w:top w:val="nil"/>
              <w:left w:val="nil"/>
              <w:bottom w:val="nil"/>
              <w:right w:val="nil"/>
            </w:tcBorders>
          </w:tcPr>
          <w:p w14:paraId="3E5399F0" w14:textId="77777777" w:rsidR="00E6060C" w:rsidRPr="00E6060C" w:rsidRDefault="00E6060C" w:rsidP="00E6060C">
            <w:r w:rsidRPr="00E6060C">
              <w:t>22.08.14</w:t>
            </w:r>
          </w:p>
        </w:tc>
      </w:tr>
      <w:tr w:rsidR="00E6060C" w:rsidRPr="00E6060C" w14:paraId="7210B21E" w14:textId="77777777" w:rsidTr="00E6060C">
        <w:trPr>
          <w:trHeight w:val="709"/>
        </w:trPr>
        <w:tc>
          <w:tcPr>
            <w:tcW w:w="744" w:type="dxa"/>
            <w:tcBorders>
              <w:top w:val="nil"/>
              <w:left w:val="nil"/>
              <w:bottom w:val="nil"/>
              <w:right w:val="nil"/>
            </w:tcBorders>
          </w:tcPr>
          <w:p w14:paraId="06AA8BC6" w14:textId="77777777" w:rsidR="00E6060C" w:rsidRPr="00E6060C" w:rsidRDefault="00E6060C" w:rsidP="00E6060C">
            <w:r w:rsidRPr="00E6060C">
              <w:t>3</w:t>
            </w:r>
          </w:p>
        </w:tc>
        <w:tc>
          <w:tcPr>
            <w:tcW w:w="1562" w:type="dxa"/>
            <w:tcBorders>
              <w:top w:val="nil"/>
              <w:left w:val="nil"/>
              <w:bottom w:val="nil"/>
              <w:right w:val="nil"/>
            </w:tcBorders>
          </w:tcPr>
          <w:p w14:paraId="57C0E60C" w14:textId="77777777" w:rsidR="00E6060C" w:rsidRPr="00E6060C" w:rsidRDefault="00E6060C" w:rsidP="00E6060C">
            <w:r w:rsidRPr="00E6060C">
              <w:t>Koolhaas et al., 2010</w:t>
            </w:r>
          </w:p>
        </w:tc>
        <w:tc>
          <w:tcPr>
            <w:tcW w:w="921" w:type="dxa"/>
            <w:tcBorders>
              <w:top w:val="nil"/>
              <w:left w:val="nil"/>
              <w:bottom w:val="nil"/>
              <w:right w:val="nil"/>
            </w:tcBorders>
          </w:tcPr>
          <w:p w14:paraId="1E464044" w14:textId="77777777" w:rsidR="00E6060C" w:rsidRPr="00E6060C" w:rsidRDefault="00E6060C" w:rsidP="00E6060C">
            <w:r w:rsidRPr="00E6060C">
              <w:t>P</w:t>
            </w:r>
          </w:p>
          <w:p w14:paraId="081C2562" w14:textId="77777777" w:rsidR="00E6060C" w:rsidRPr="00E6060C" w:rsidRDefault="00E6060C" w:rsidP="00E6060C"/>
        </w:tc>
        <w:tc>
          <w:tcPr>
            <w:tcW w:w="3402" w:type="dxa"/>
            <w:tcBorders>
              <w:top w:val="nil"/>
              <w:left w:val="nil"/>
              <w:bottom w:val="nil"/>
              <w:right w:val="nil"/>
            </w:tcBorders>
          </w:tcPr>
          <w:p w14:paraId="3AD2C850" w14:textId="77777777" w:rsidR="00E6060C" w:rsidRPr="00E6060C" w:rsidRDefault="00E6060C" w:rsidP="00E6060C">
            <w:r w:rsidRPr="00E6060C">
              <w:t>Clustered RCT (at supervisor level) ‘to enhance work participation of employees aged 45 yrs and older by increasing their problem-solving capacity and…awareness of their role and responsibility towards a health working life’.</w:t>
            </w:r>
          </w:p>
        </w:tc>
        <w:tc>
          <w:tcPr>
            <w:tcW w:w="935" w:type="dxa"/>
            <w:tcBorders>
              <w:top w:val="nil"/>
              <w:left w:val="nil"/>
              <w:bottom w:val="nil"/>
              <w:right w:val="nil"/>
            </w:tcBorders>
          </w:tcPr>
          <w:p w14:paraId="435B893E" w14:textId="77777777" w:rsidR="00E6060C" w:rsidRPr="00E6060C" w:rsidRDefault="00E6060C" w:rsidP="00E6060C">
            <w:r w:rsidRPr="00E6060C">
              <w:t>No</w:t>
            </w:r>
          </w:p>
        </w:tc>
        <w:tc>
          <w:tcPr>
            <w:tcW w:w="1049" w:type="dxa"/>
            <w:tcBorders>
              <w:top w:val="nil"/>
              <w:left w:val="nil"/>
              <w:bottom w:val="nil"/>
              <w:right w:val="nil"/>
            </w:tcBorders>
          </w:tcPr>
          <w:p w14:paraId="29ACE3BF" w14:textId="77777777" w:rsidR="00E6060C" w:rsidRPr="00E6060C" w:rsidRDefault="00E6060C" w:rsidP="00E6060C">
            <w:r w:rsidRPr="00E6060C">
              <w:t>22.08.14</w:t>
            </w:r>
          </w:p>
        </w:tc>
        <w:tc>
          <w:tcPr>
            <w:tcW w:w="1599" w:type="dxa"/>
            <w:tcBorders>
              <w:top w:val="nil"/>
              <w:left w:val="nil"/>
              <w:bottom w:val="nil"/>
              <w:right w:val="nil"/>
            </w:tcBorders>
          </w:tcPr>
          <w:p w14:paraId="68A9D027" w14:textId="77777777" w:rsidR="00E6060C" w:rsidRPr="00E6060C" w:rsidRDefault="00E6060C" w:rsidP="00E6060C">
            <w:r w:rsidRPr="00E6060C">
              <w:t>To find out if the results  had been published yet</w:t>
            </w:r>
          </w:p>
        </w:tc>
        <w:tc>
          <w:tcPr>
            <w:tcW w:w="1236" w:type="dxa"/>
            <w:tcBorders>
              <w:top w:val="nil"/>
              <w:left w:val="nil"/>
              <w:bottom w:val="nil"/>
              <w:right w:val="nil"/>
            </w:tcBorders>
          </w:tcPr>
          <w:p w14:paraId="55A36A18" w14:textId="77777777" w:rsidR="00E6060C" w:rsidRPr="00E6060C" w:rsidRDefault="00E6060C" w:rsidP="00E6060C">
            <w:r w:rsidRPr="00E6060C">
              <w:t>Yes</w:t>
            </w:r>
          </w:p>
        </w:tc>
        <w:tc>
          <w:tcPr>
            <w:tcW w:w="1727" w:type="dxa"/>
            <w:tcBorders>
              <w:top w:val="nil"/>
              <w:left w:val="nil"/>
              <w:bottom w:val="nil"/>
              <w:right w:val="nil"/>
            </w:tcBorders>
          </w:tcPr>
          <w:p w14:paraId="7929F335" w14:textId="77777777" w:rsidR="00E6060C" w:rsidRPr="00E6060C" w:rsidRDefault="00E6060C" w:rsidP="00E6060C">
            <w:r w:rsidRPr="00E6060C">
              <w:t xml:space="preserve">Study is at the protocol stage </w:t>
            </w:r>
          </w:p>
        </w:tc>
        <w:tc>
          <w:tcPr>
            <w:tcW w:w="1155" w:type="dxa"/>
            <w:tcBorders>
              <w:top w:val="nil"/>
              <w:left w:val="nil"/>
              <w:bottom w:val="nil"/>
              <w:right w:val="nil"/>
            </w:tcBorders>
          </w:tcPr>
          <w:p w14:paraId="596425F3" w14:textId="77777777" w:rsidR="00E6060C" w:rsidRPr="00E6060C" w:rsidRDefault="00E6060C" w:rsidP="00E6060C">
            <w:r w:rsidRPr="00E6060C">
              <w:t>22.08.14</w:t>
            </w:r>
          </w:p>
        </w:tc>
      </w:tr>
      <w:tr w:rsidR="00E6060C" w:rsidRPr="00E6060C" w14:paraId="55F0B164" w14:textId="77777777" w:rsidTr="00E6060C">
        <w:trPr>
          <w:trHeight w:val="277"/>
        </w:trPr>
        <w:tc>
          <w:tcPr>
            <w:tcW w:w="744" w:type="dxa"/>
            <w:tcBorders>
              <w:top w:val="nil"/>
              <w:left w:val="nil"/>
              <w:bottom w:val="single" w:sz="4" w:space="0" w:color="auto"/>
              <w:right w:val="nil"/>
            </w:tcBorders>
          </w:tcPr>
          <w:p w14:paraId="058E16BF" w14:textId="77777777" w:rsidR="00E6060C" w:rsidRPr="00E6060C" w:rsidRDefault="00E6060C" w:rsidP="00E6060C">
            <w:r w:rsidRPr="00E6060C">
              <w:t>4</w:t>
            </w:r>
          </w:p>
        </w:tc>
        <w:tc>
          <w:tcPr>
            <w:tcW w:w="1562" w:type="dxa"/>
            <w:tcBorders>
              <w:top w:val="nil"/>
              <w:left w:val="nil"/>
              <w:bottom w:val="single" w:sz="4" w:space="0" w:color="auto"/>
              <w:right w:val="nil"/>
            </w:tcBorders>
          </w:tcPr>
          <w:p w14:paraId="370B5BF4" w14:textId="7D34AD22" w:rsidR="00E6060C" w:rsidRPr="00E6060C" w:rsidRDefault="00E6060C" w:rsidP="00E6060C">
            <w:r w:rsidRPr="00E6060C">
              <w:t xml:space="preserve">Shelvis </w:t>
            </w:r>
            <w:r w:rsidR="00B64DD5">
              <w:t>et al.,</w:t>
            </w:r>
            <w:r w:rsidRPr="00E6060C">
              <w:t xml:space="preserve"> 2013</w:t>
            </w:r>
          </w:p>
        </w:tc>
        <w:tc>
          <w:tcPr>
            <w:tcW w:w="921" w:type="dxa"/>
            <w:tcBorders>
              <w:top w:val="nil"/>
              <w:left w:val="nil"/>
              <w:bottom w:val="single" w:sz="4" w:space="0" w:color="auto"/>
              <w:right w:val="nil"/>
            </w:tcBorders>
          </w:tcPr>
          <w:p w14:paraId="49D36CD1" w14:textId="77777777" w:rsidR="00E6060C" w:rsidRPr="00E6060C" w:rsidRDefault="00E6060C" w:rsidP="00E6060C">
            <w:r w:rsidRPr="00E6060C">
              <w:t>P</w:t>
            </w:r>
          </w:p>
          <w:p w14:paraId="4F026B36" w14:textId="77777777" w:rsidR="00E6060C" w:rsidRPr="00E6060C" w:rsidRDefault="00E6060C" w:rsidP="00E6060C"/>
        </w:tc>
        <w:tc>
          <w:tcPr>
            <w:tcW w:w="3402" w:type="dxa"/>
            <w:tcBorders>
              <w:top w:val="nil"/>
              <w:left w:val="nil"/>
              <w:bottom w:val="single" w:sz="4" w:space="0" w:color="auto"/>
              <w:right w:val="nil"/>
            </w:tcBorders>
          </w:tcPr>
          <w:p w14:paraId="2AD7D5ED" w14:textId="77777777" w:rsidR="00E6060C" w:rsidRPr="00E6060C" w:rsidRDefault="00E6060C" w:rsidP="00E6060C">
            <w:r w:rsidRPr="00E6060C">
              <w:t xml:space="preserve">‘Bottom-up Innovation’ project tests a two-phased participatory, stress-management organisational level intervention in primary schools for increasing self-efficacy and organisational efficacy. </w:t>
            </w:r>
          </w:p>
        </w:tc>
        <w:tc>
          <w:tcPr>
            <w:tcW w:w="935" w:type="dxa"/>
            <w:tcBorders>
              <w:top w:val="nil"/>
              <w:left w:val="nil"/>
              <w:bottom w:val="single" w:sz="4" w:space="0" w:color="auto"/>
              <w:right w:val="nil"/>
            </w:tcBorders>
          </w:tcPr>
          <w:p w14:paraId="3536C0BC" w14:textId="77777777" w:rsidR="00E6060C" w:rsidRPr="00E6060C" w:rsidRDefault="00E6060C" w:rsidP="00E6060C">
            <w:r w:rsidRPr="00E6060C">
              <w:t>No</w:t>
            </w:r>
          </w:p>
        </w:tc>
        <w:tc>
          <w:tcPr>
            <w:tcW w:w="1049" w:type="dxa"/>
            <w:tcBorders>
              <w:top w:val="nil"/>
              <w:left w:val="nil"/>
              <w:bottom w:val="single" w:sz="4" w:space="0" w:color="auto"/>
              <w:right w:val="nil"/>
            </w:tcBorders>
          </w:tcPr>
          <w:p w14:paraId="108CCBC2" w14:textId="77777777" w:rsidR="00E6060C" w:rsidRPr="00E6060C" w:rsidRDefault="00E6060C" w:rsidP="00E6060C">
            <w:r w:rsidRPr="00E6060C">
              <w:t>22.08.14</w:t>
            </w:r>
          </w:p>
        </w:tc>
        <w:tc>
          <w:tcPr>
            <w:tcW w:w="1599" w:type="dxa"/>
            <w:tcBorders>
              <w:top w:val="nil"/>
              <w:left w:val="nil"/>
              <w:bottom w:val="single" w:sz="4" w:space="0" w:color="auto"/>
              <w:right w:val="nil"/>
            </w:tcBorders>
          </w:tcPr>
          <w:p w14:paraId="047194B1" w14:textId="77777777" w:rsidR="00E6060C" w:rsidRPr="00E6060C" w:rsidRDefault="00E6060C" w:rsidP="00E6060C">
            <w:r w:rsidRPr="00E6060C">
              <w:t xml:space="preserve">To find out if the results had been published yet </w:t>
            </w:r>
          </w:p>
        </w:tc>
        <w:tc>
          <w:tcPr>
            <w:tcW w:w="1236" w:type="dxa"/>
            <w:tcBorders>
              <w:top w:val="nil"/>
              <w:left w:val="nil"/>
              <w:bottom w:val="single" w:sz="4" w:space="0" w:color="auto"/>
              <w:right w:val="nil"/>
            </w:tcBorders>
          </w:tcPr>
          <w:p w14:paraId="1461FB28" w14:textId="77777777" w:rsidR="00E6060C" w:rsidRPr="00E6060C" w:rsidRDefault="00E6060C" w:rsidP="00E6060C"/>
        </w:tc>
        <w:tc>
          <w:tcPr>
            <w:tcW w:w="1727" w:type="dxa"/>
            <w:tcBorders>
              <w:top w:val="nil"/>
              <w:left w:val="nil"/>
              <w:bottom w:val="single" w:sz="4" w:space="0" w:color="auto"/>
              <w:right w:val="nil"/>
            </w:tcBorders>
          </w:tcPr>
          <w:p w14:paraId="0DECF17F" w14:textId="77777777" w:rsidR="00E6060C" w:rsidRPr="00E6060C" w:rsidRDefault="00E6060C" w:rsidP="00E6060C">
            <w:r w:rsidRPr="00E6060C">
              <w:t xml:space="preserve">Study is at the protocol stage </w:t>
            </w:r>
          </w:p>
        </w:tc>
        <w:tc>
          <w:tcPr>
            <w:tcW w:w="1155" w:type="dxa"/>
            <w:tcBorders>
              <w:top w:val="nil"/>
              <w:left w:val="nil"/>
              <w:bottom w:val="single" w:sz="4" w:space="0" w:color="auto"/>
              <w:right w:val="nil"/>
            </w:tcBorders>
          </w:tcPr>
          <w:p w14:paraId="55F93EF2" w14:textId="77777777" w:rsidR="00E6060C" w:rsidRPr="00E6060C" w:rsidRDefault="00E6060C" w:rsidP="00E6060C">
            <w:r w:rsidRPr="00E6060C">
              <w:t>23.08.14</w:t>
            </w:r>
          </w:p>
        </w:tc>
      </w:tr>
      <w:tr w:rsidR="00E6060C" w:rsidRPr="00E6060C" w14:paraId="2D5AC55D" w14:textId="77777777" w:rsidTr="00E6060C">
        <w:trPr>
          <w:trHeight w:val="709"/>
        </w:trPr>
        <w:tc>
          <w:tcPr>
            <w:tcW w:w="744" w:type="dxa"/>
            <w:tcBorders>
              <w:top w:val="single" w:sz="4" w:space="0" w:color="auto"/>
              <w:left w:val="nil"/>
              <w:bottom w:val="nil"/>
              <w:right w:val="nil"/>
            </w:tcBorders>
            <w:shd w:val="clear" w:color="auto" w:fill="auto"/>
          </w:tcPr>
          <w:p w14:paraId="0DD21D40" w14:textId="77777777" w:rsidR="00E6060C" w:rsidRPr="00E6060C" w:rsidRDefault="00E6060C" w:rsidP="00E6060C">
            <w:r w:rsidRPr="00E6060C">
              <w:lastRenderedPageBreak/>
              <w:t>5</w:t>
            </w:r>
          </w:p>
        </w:tc>
        <w:tc>
          <w:tcPr>
            <w:tcW w:w="1562" w:type="dxa"/>
            <w:tcBorders>
              <w:top w:val="single" w:sz="4" w:space="0" w:color="auto"/>
              <w:left w:val="nil"/>
              <w:bottom w:val="nil"/>
              <w:right w:val="nil"/>
            </w:tcBorders>
            <w:shd w:val="clear" w:color="auto" w:fill="auto"/>
          </w:tcPr>
          <w:p w14:paraId="50B8E482" w14:textId="2CDCDBB4" w:rsidR="00E6060C" w:rsidRPr="00E6060C" w:rsidRDefault="00E6060C" w:rsidP="00E6060C">
            <w:r w:rsidRPr="00E6060C">
              <w:t>Yuan</w:t>
            </w:r>
            <w:r w:rsidR="00004C6F">
              <w:t xml:space="preserve"> et al.</w:t>
            </w:r>
            <w:r w:rsidRPr="00E6060C">
              <w:t>, 2014</w:t>
            </w:r>
          </w:p>
          <w:p w14:paraId="60233B46" w14:textId="77777777" w:rsidR="00E6060C" w:rsidRPr="00E6060C" w:rsidRDefault="00E6060C" w:rsidP="00E6060C">
            <w:pPr>
              <w:jc w:val="center"/>
            </w:pPr>
          </w:p>
        </w:tc>
        <w:tc>
          <w:tcPr>
            <w:tcW w:w="921" w:type="dxa"/>
            <w:tcBorders>
              <w:top w:val="single" w:sz="4" w:space="0" w:color="auto"/>
              <w:left w:val="nil"/>
              <w:bottom w:val="nil"/>
              <w:right w:val="nil"/>
            </w:tcBorders>
          </w:tcPr>
          <w:p w14:paraId="42A5C36C" w14:textId="77777777" w:rsidR="00E6060C" w:rsidRPr="00E6060C" w:rsidRDefault="00E6060C" w:rsidP="00E6060C">
            <w:r w:rsidRPr="00E6060C">
              <w:t>P</w:t>
            </w:r>
          </w:p>
          <w:p w14:paraId="6C46DBA6" w14:textId="77777777" w:rsidR="00E6060C" w:rsidRPr="00E6060C" w:rsidRDefault="00E6060C" w:rsidP="00E6060C"/>
        </w:tc>
        <w:tc>
          <w:tcPr>
            <w:tcW w:w="3402" w:type="dxa"/>
            <w:tcBorders>
              <w:top w:val="single" w:sz="4" w:space="0" w:color="auto"/>
              <w:left w:val="nil"/>
              <w:bottom w:val="nil"/>
              <w:right w:val="nil"/>
            </w:tcBorders>
          </w:tcPr>
          <w:p w14:paraId="75657234" w14:textId="77777777" w:rsidR="00E6060C" w:rsidRPr="00E6060C" w:rsidRDefault="00E6060C" w:rsidP="00E6060C">
            <w:r w:rsidRPr="00E6060C">
              <w:t xml:space="preserve">RCT to assess the protective effects of a web-based psychology capital intervention on the mental health and work performance of employees in Hong Kong, and the effect on organisations’ return-on-investment.  </w:t>
            </w:r>
          </w:p>
        </w:tc>
        <w:tc>
          <w:tcPr>
            <w:tcW w:w="935" w:type="dxa"/>
            <w:tcBorders>
              <w:top w:val="single" w:sz="4" w:space="0" w:color="auto"/>
              <w:left w:val="nil"/>
              <w:bottom w:val="nil"/>
              <w:right w:val="nil"/>
            </w:tcBorders>
            <w:shd w:val="clear" w:color="auto" w:fill="auto"/>
          </w:tcPr>
          <w:p w14:paraId="4FDB1B51" w14:textId="77777777" w:rsidR="00E6060C" w:rsidRPr="00E6060C" w:rsidRDefault="00E6060C" w:rsidP="00E6060C">
            <w:r w:rsidRPr="00E6060C">
              <w:t>No</w:t>
            </w:r>
          </w:p>
        </w:tc>
        <w:tc>
          <w:tcPr>
            <w:tcW w:w="1049" w:type="dxa"/>
            <w:tcBorders>
              <w:top w:val="single" w:sz="4" w:space="0" w:color="auto"/>
              <w:left w:val="nil"/>
              <w:bottom w:val="nil"/>
              <w:right w:val="nil"/>
            </w:tcBorders>
            <w:shd w:val="clear" w:color="auto" w:fill="auto"/>
          </w:tcPr>
          <w:p w14:paraId="23B3D7F5" w14:textId="77777777" w:rsidR="00E6060C" w:rsidRPr="00E6060C" w:rsidRDefault="00E6060C" w:rsidP="00E6060C">
            <w:r w:rsidRPr="00E6060C">
              <w:t>NA</w:t>
            </w:r>
          </w:p>
        </w:tc>
        <w:tc>
          <w:tcPr>
            <w:tcW w:w="1599" w:type="dxa"/>
            <w:tcBorders>
              <w:top w:val="single" w:sz="4" w:space="0" w:color="auto"/>
              <w:left w:val="nil"/>
              <w:bottom w:val="nil"/>
              <w:right w:val="nil"/>
            </w:tcBorders>
            <w:shd w:val="clear" w:color="auto" w:fill="auto"/>
          </w:tcPr>
          <w:p w14:paraId="45708A33" w14:textId="77777777" w:rsidR="00E6060C" w:rsidRPr="00E6060C" w:rsidRDefault="00E6060C" w:rsidP="00E6060C">
            <w:r w:rsidRPr="00E6060C">
              <w:t>NA</w:t>
            </w:r>
          </w:p>
        </w:tc>
        <w:tc>
          <w:tcPr>
            <w:tcW w:w="1236" w:type="dxa"/>
            <w:tcBorders>
              <w:top w:val="single" w:sz="4" w:space="0" w:color="auto"/>
              <w:left w:val="nil"/>
              <w:bottom w:val="nil"/>
              <w:right w:val="nil"/>
            </w:tcBorders>
          </w:tcPr>
          <w:p w14:paraId="0972A936" w14:textId="77777777" w:rsidR="00E6060C" w:rsidRPr="00E6060C" w:rsidRDefault="00E6060C" w:rsidP="00E6060C">
            <w:r w:rsidRPr="00E6060C">
              <w:t>NA</w:t>
            </w:r>
          </w:p>
        </w:tc>
        <w:tc>
          <w:tcPr>
            <w:tcW w:w="1727" w:type="dxa"/>
            <w:tcBorders>
              <w:top w:val="single" w:sz="4" w:space="0" w:color="auto"/>
              <w:left w:val="nil"/>
              <w:bottom w:val="nil"/>
              <w:right w:val="nil"/>
            </w:tcBorders>
            <w:shd w:val="clear" w:color="auto" w:fill="auto"/>
          </w:tcPr>
          <w:p w14:paraId="0ED23890" w14:textId="77777777" w:rsidR="00E6060C" w:rsidRPr="00E6060C" w:rsidRDefault="00E6060C" w:rsidP="00E6060C">
            <w:r w:rsidRPr="00E6060C">
              <w:t xml:space="preserve">Study is at the protocol stage </w:t>
            </w:r>
          </w:p>
        </w:tc>
        <w:tc>
          <w:tcPr>
            <w:tcW w:w="1155" w:type="dxa"/>
            <w:tcBorders>
              <w:top w:val="single" w:sz="4" w:space="0" w:color="auto"/>
              <w:left w:val="nil"/>
              <w:bottom w:val="nil"/>
              <w:right w:val="nil"/>
            </w:tcBorders>
            <w:shd w:val="clear" w:color="auto" w:fill="auto"/>
          </w:tcPr>
          <w:p w14:paraId="31D0ABC7" w14:textId="77777777" w:rsidR="00E6060C" w:rsidRPr="00E6060C" w:rsidRDefault="00E6060C" w:rsidP="00E6060C">
            <w:r w:rsidRPr="00E6060C">
              <w:t>Aug 2014</w:t>
            </w:r>
          </w:p>
        </w:tc>
      </w:tr>
      <w:tr w:rsidR="00E6060C" w:rsidRPr="00E6060C" w14:paraId="2E979144" w14:textId="77777777" w:rsidTr="00E6060C">
        <w:trPr>
          <w:trHeight w:val="709"/>
        </w:trPr>
        <w:tc>
          <w:tcPr>
            <w:tcW w:w="744" w:type="dxa"/>
            <w:tcBorders>
              <w:top w:val="nil"/>
              <w:left w:val="nil"/>
              <w:bottom w:val="nil"/>
              <w:right w:val="nil"/>
            </w:tcBorders>
          </w:tcPr>
          <w:p w14:paraId="0E5252FC" w14:textId="77777777" w:rsidR="00E6060C" w:rsidRPr="00E6060C" w:rsidRDefault="00E6060C" w:rsidP="00E6060C">
            <w:r w:rsidRPr="00E6060C">
              <w:t>6</w:t>
            </w:r>
          </w:p>
        </w:tc>
        <w:tc>
          <w:tcPr>
            <w:tcW w:w="1562" w:type="dxa"/>
            <w:tcBorders>
              <w:top w:val="nil"/>
              <w:left w:val="nil"/>
              <w:bottom w:val="nil"/>
              <w:right w:val="nil"/>
            </w:tcBorders>
          </w:tcPr>
          <w:p w14:paraId="07464AFE" w14:textId="77777777" w:rsidR="00E6060C" w:rsidRPr="00E6060C" w:rsidRDefault="00E6060C" w:rsidP="00E6060C">
            <w:r w:rsidRPr="00E6060C">
              <w:t>Iljntema, 2014</w:t>
            </w:r>
          </w:p>
        </w:tc>
        <w:tc>
          <w:tcPr>
            <w:tcW w:w="921" w:type="dxa"/>
            <w:tcBorders>
              <w:top w:val="nil"/>
              <w:left w:val="nil"/>
              <w:bottom w:val="nil"/>
              <w:right w:val="nil"/>
            </w:tcBorders>
          </w:tcPr>
          <w:p w14:paraId="2EB7A3A7" w14:textId="77777777" w:rsidR="00E6060C" w:rsidRPr="00E6060C" w:rsidRDefault="00E6060C" w:rsidP="00E6060C">
            <w:r w:rsidRPr="00E6060C">
              <w:t>UnP</w:t>
            </w:r>
          </w:p>
          <w:p w14:paraId="560E0C0B" w14:textId="77777777" w:rsidR="00E6060C" w:rsidRPr="00E6060C" w:rsidRDefault="00E6060C" w:rsidP="00E6060C"/>
        </w:tc>
        <w:tc>
          <w:tcPr>
            <w:tcW w:w="3402" w:type="dxa"/>
            <w:tcBorders>
              <w:top w:val="nil"/>
              <w:left w:val="nil"/>
              <w:bottom w:val="nil"/>
              <w:right w:val="nil"/>
            </w:tcBorders>
          </w:tcPr>
          <w:p w14:paraId="73F0DBAF" w14:textId="77777777" w:rsidR="00E6060C" w:rsidRPr="00E6060C" w:rsidRDefault="00E6060C" w:rsidP="00E6060C">
            <w:r w:rsidRPr="00E6060C">
              <w:t>Blended workplace coaching to increase HERO resources – face-to-face coaching and online</w:t>
            </w:r>
          </w:p>
        </w:tc>
        <w:tc>
          <w:tcPr>
            <w:tcW w:w="935" w:type="dxa"/>
            <w:tcBorders>
              <w:top w:val="nil"/>
              <w:left w:val="nil"/>
              <w:bottom w:val="nil"/>
              <w:right w:val="nil"/>
            </w:tcBorders>
          </w:tcPr>
          <w:p w14:paraId="7A28B2AB" w14:textId="77777777" w:rsidR="00E6060C" w:rsidRPr="00E6060C" w:rsidRDefault="00E6060C" w:rsidP="00E6060C">
            <w:r w:rsidRPr="00E6060C">
              <w:t>Yes</w:t>
            </w:r>
          </w:p>
        </w:tc>
        <w:tc>
          <w:tcPr>
            <w:tcW w:w="1049" w:type="dxa"/>
            <w:tcBorders>
              <w:top w:val="nil"/>
              <w:left w:val="nil"/>
              <w:bottom w:val="nil"/>
              <w:right w:val="nil"/>
            </w:tcBorders>
          </w:tcPr>
          <w:p w14:paraId="065B521F" w14:textId="77777777" w:rsidR="00E6060C" w:rsidRPr="00E6060C" w:rsidRDefault="00E6060C" w:rsidP="00E6060C">
            <w:r w:rsidRPr="00E6060C">
              <w:t>Last contact 30.10.14</w:t>
            </w:r>
          </w:p>
        </w:tc>
        <w:tc>
          <w:tcPr>
            <w:tcW w:w="1599" w:type="dxa"/>
            <w:tcBorders>
              <w:top w:val="nil"/>
              <w:left w:val="nil"/>
              <w:bottom w:val="nil"/>
              <w:right w:val="nil"/>
            </w:tcBorders>
          </w:tcPr>
          <w:p w14:paraId="786A1672" w14:textId="77777777" w:rsidR="00E6060C" w:rsidRPr="00E6060C" w:rsidRDefault="00E6060C" w:rsidP="00E6060C">
            <w:r w:rsidRPr="00E6060C">
              <w:t>To gain access to data</w:t>
            </w:r>
          </w:p>
        </w:tc>
        <w:tc>
          <w:tcPr>
            <w:tcW w:w="1236" w:type="dxa"/>
            <w:tcBorders>
              <w:top w:val="nil"/>
              <w:left w:val="nil"/>
              <w:bottom w:val="nil"/>
              <w:right w:val="nil"/>
            </w:tcBorders>
          </w:tcPr>
          <w:p w14:paraId="18EC138B" w14:textId="77777777" w:rsidR="00E6060C" w:rsidRPr="00E6060C" w:rsidRDefault="00E6060C" w:rsidP="00E6060C">
            <w:r w:rsidRPr="00E6060C">
              <w:t>Yes</w:t>
            </w:r>
          </w:p>
        </w:tc>
        <w:tc>
          <w:tcPr>
            <w:tcW w:w="1727" w:type="dxa"/>
            <w:tcBorders>
              <w:top w:val="nil"/>
              <w:left w:val="nil"/>
              <w:bottom w:val="nil"/>
              <w:right w:val="nil"/>
            </w:tcBorders>
          </w:tcPr>
          <w:p w14:paraId="33B6865A" w14:textId="77777777" w:rsidR="00E6060C" w:rsidRPr="00E6060C" w:rsidRDefault="00E6060C" w:rsidP="00E6060C">
            <w:r w:rsidRPr="00E6060C">
              <w:t>Data not yet available to include</w:t>
            </w:r>
          </w:p>
        </w:tc>
        <w:tc>
          <w:tcPr>
            <w:tcW w:w="1155" w:type="dxa"/>
            <w:tcBorders>
              <w:top w:val="nil"/>
              <w:left w:val="nil"/>
              <w:bottom w:val="nil"/>
              <w:right w:val="nil"/>
            </w:tcBorders>
          </w:tcPr>
          <w:p w14:paraId="7C4CEFC7" w14:textId="77777777" w:rsidR="00E6060C" w:rsidRPr="00E6060C" w:rsidRDefault="00E6060C" w:rsidP="00E6060C">
            <w:r w:rsidRPr="00E6060C">
              <w:t>30.10.14</w:t>
            </w:r>
          </w:p>
        </w:tc>
      </w:tr>
      <w:tr w:rsidR="00E6060C" w:rsidRPr="00E6060C" w14:paraId="79BA3031" w14:textId="77777777" w:rsidTr="00E6060C">
        <w:trPr>
          <w:trHeight w:val="709"/>
        </w:trPr>
        <w:tc>
          <w:tcPr>
            <w:tcW w:w="744" w:type="dxa"/>
            <w:tcBorders>
              <w:top w:val="nil"/>
              <w:left w:val="nil"/>
              <w:bottom w:val="single" w:sz="4" w:space="0" w:color="auto"/>
              <w:right w:val="nil"/>
            </w:tcBorders>
          </w:tcPr>
          <w:p w14:paraId="07ACADCE" w14:textId="77777777" w:rsidR="00E6060C" w:rsidRPr="00E6060C" w:rsidRDefault="00E6060C" w:rsidP="00E6060C">
            <w:r w:rsidRPr="00E6060C">
              <w:t>7</w:t>
            </w:r>
          </w:p>
        </w:tc>
        <w:tc>
          <w:tcPr>
            <w:tcW w:w="1562" w:type="dxa"/>
            <w:tcBorders>
              <w:top w:val="nil"/>
              <w:left w:val="nil"/>
              <w:bottom w:val="single" w:sz="4" w:space="0" w:color="auto"/>
              <w:right w:val="nil"/>
            </w:tcBorders>
          </w:tcPr>
          <w:p w14:paraId="069471FC" w14:textId="3B43F900" w:rsidR="00E6060C" w:rsidRPr="00E6060C" w:rsidRDefault="00E6060C" w:rsidP="00E6060C">
            <w:r w:rsidRPr="00E6060C">
              <w:t xml:space="preserve">Ebert </w:t>
            </w:r>
            <w:r w:rsidR="00B64DD5">
              <w:t>et al.,</w:t>
            </w:r>
            <w:r w:rsidRPr="00E6060C">
              <w:t xml:space="preserve"> 2014</w:t>
            </w:r>
          </w:p>
        </w:tc>
        <w:tc>
          <w:tcPr>
            <w:tcW w:w="921" w:type="dxa"/>
            <w:tcBorders>
              <w:top w:val="nil"/>
              <w:left w:val="nil"/>
              <w:bottom w:val="single" w:sz="4" w:space="0" w:color="auto"/>
              <w:right w:val="nil"/>
            </w:tcBorders>
          </w:tcPr>
          <w:p w14:paraId="07E5823A" w14:textId="77777777" w:rsidR="00E6060C" w:rsidRPr="00E6060C" w:rsidRDefault="00E6060C" w:rsidP="00E6060C">
            <w:r w:rsidRPr="00E6060C">
              <w:t>P</w:t>
            </w:r>
          </w:p>
          <w:p w14:paraId="0AC1AEF5" w14:textId="77777777" w:rsidR="00E6060C" w:rsidRPr="00E6060C" w:rsidRDefault="00E6060C" w:rsidP="00E6060C"/>
        </w:tc>
        <w:tc>
          <w:tcPr>
            <w:tcW w:w="3402" w:type="dxa"/>
            <w:tcBorders>
              <w:top w:val="nil"/>
              <w:left w:val="nil"/>
              <w:bottom w:val="single" w:sz="4" w:space="0" w:color="auto"/>
              <w:right w:val="nil"/>
            </w:tcBorders>
          </w:tcPr>
          <w:p w14:paraId="4361B635" w14:textId="77777777" w:rsidR="00E6060C" w:rsidRPr="00E6060C" w:rsidRDefault="00E6060C" w:rsidP="00E6060C">
            <w:r w:rsidRPr="00E6060C">
              <w:t>Three-armed RCT to compare a minimal guided and unguided internet and mobile based stress management intervention (iSMI) with a waiting list control</w:t>
            </w:r>
          </w:p>
        </w:tc>
        <w:tc>
          <w:tcPr>
            <w:tcW w:w="935" w:type="dxa"/>
            <w:tcBorders>
              <w:top w:val="nil"/>
              <w:left w:val="nil"/>
              <w:bottom w:val="single" w:sz="4" w:space="0" w:color="auto"/>
              <w:right w:val="nil"/>
            </w:tcBorders>
          </w:tcPr>
          <w:p w14:paraId="1697FADB" w14:textId="77777777" w:rsidR="00E6060C" w:rsidRPr="00E6060C" w:rsidRDefault="00E6060C" w:rsidP="00E6060C">
            <w:r w:rsidRPr="00E6060C">
              <w:t>No</w:t>
            </w:r>
          </w:p>
        </w:tc>
        <w:tc>
          <w:tcPr>
            <w:tcW w:w="1049" w:type="dxa"/>
            <w:tcBorders>
              <w:top w:val="nil"/>
              <w:left w:val="nil"/>
              <w:bottom w:val="single" w:sz="4" w:space="0" w:color="auto"/>
              <w:right w:val="nil"/>
            </w:tcBorders>
          </w:tcPr>
          <w:p w14:paraId="5F7F50BD" w14:textId="77777777" w:rsidR="00E6060C" w:rsidRPr="00E6060C" w:rsidRDefault="00E6060C" w:rsidP="00E6060C">
            <w:r w:rsidRPr="00E6060C">
              <w:t>NA</w:t>
            </w:r>
          </w:p>
        </w:tc>
        <w:tc>
          <w:tcPr>
            <w:tcW w:w="1599" w:type="dxa"/>
            <w:tcBorders>
              <w:top w:val="nil"/>
              <w:left w:val="nil"/>
              <w:bottom w:val="single" w:sz="4" w:space="0" w:color="auto"/>
              <w:right w:val="nil"/>
            </w:tcBorders>
          </w:tcPr>
          <w:p w14:paraId="324950CE" w14:textId="77777777" w:rsidR="00E6060C" w:rsidRPr="00E6060C" w:rsidRDefault="00E6060C" w:rsidP="00E6060C">
            <w:r w:rsidRPr="00E6060C">
              <w:t>NA</w:t>
            </w:r>
          </w:p>
        </w:tc>
        <w:tc>
          <w:tcPr>
            <w:tcW w:w="1236" w:type="dxa"/>
            <w:tcBorders>
              <w:top w:val="nil"/>
              <w:left w:val="nil"/>
              <w:bottom w:val="single" w:sz="4" w:space="0" w:color="auto"/>
              <w:right w:val="nil"/>
            </w:tcBorders>
          </w:tcPr>
          <w:p w14:paraId="41ADC920" w14:textId="77777777" w:rsidR="00E6060C" w:rsidRPr="00E6060C" w:rsidRDefault="00E6060C" w:rsidP="00E6060C">
            <w:r w:rsidRPr="00E6060C">
              <w:t>NA</w:t>
            </w:r>
          </w:p>
        </w:tc>
        <w:tc>
          <w:tcPr>
            <w:tcW w:w="1727" w:type="dxa"/>
            <w:tcBorders>
              <w:top w:val="nil"/>
              <w:left w:val="nil"/>
              <w:bottom w:val="single" w:sz="4" w:space="0" w:color="auto"/>
              <w:right w:val="nil"/>
            </w:tcBorders>
          </w:tcPr>
          <w:p w14:paraId="4309A5BE" w14:textId="77777777" w:rsidR="00E6060C" w:rsidRPr="00E6060C" w:rsidRDefault="00E6060C" w:rsidP="00E6060C">
            <w:r w:rsidRPr="00E6060C">
              <w:t>Study is at the protocol stage</w:t>
            </w:r>
          </w:p>
        </w:tc>
        <w:tc>
          <w:tcPr>
            <w:tcW w:w="1155" w:type="dxa"/>
            <w:tcBorders>
              <w:top w:val="nil"/>
              <w:left w:val="nil"/>
              <w:bottom w:val="nil"/>
              <w:right w:val="nil"/>
            </w:tcBorders>
          </w:tcPr>
          <w:p w14:paraId="6428510C" w14:textId="77777777" w:rsidR="00E6060C" w:rsidRPr="00E6060C" w:rsidRDefault="00E6060C" w:rsidP="00E6060C">
            <w:r w:rsidRPr="00E6060C">
              <w:t>24.11.14</w:t>
            </w:r>
          </w:p>
        </w:tc>
      </w:tr>
      <w:tr w:rsidR="00E6060C" w:rsidRPr="00E6060C" w14:paraId="4F995AAE" w14:textId="77777777" w:rsidTr="00E6060C">
        <w:trPr>
          <w:trHeight w:val="353"/>
        </w:trPr>
        <w:tc>
          <w:tcPr>
            <w:tcW w:w="14330" w:type="dxa"/>
            <w:gridSpan w:val="10"/>
            <w:tcBorders>
              <w:top w:val="single" w:sz="4" w:space="0" w:color="auto"/>
              <w:left w:val="nil"/>
              <w:bottom w:val="single" w:sz="4" w:space="0" w:color="auto"/>
              <w:right w:val="nil"/>
            </w:tcBorders>
            <w:vAlign w:val="center"/>
          </w:tcPr>
          <w:p w14:paraId="76D7CB26" w14:textId="77777777" w:rsidR="00E6060C" w:rsidRPr="00E6060C" w:rsidRDefault="00E6060C" w:rsidP="00E6060C">
            <w:pPr>
              <w:rPr>
                <w:b/>
              </w:rPr>
            </w:pPr>
            <w:r w:rsidRPr="00E6060C">
              <w:rPr>
                <w:b/>
              </w:rPr>
              <w:t>STUDY AUTHOR(S) UNABLE TO PROVIDE DATA TO CALCULATE AN EFFECT SIZE</w:t>
            </w:r>
          </w:p>
        </w:tc>
      </w:tr>
      <w:tr w:rsidR="00E6060C" w:rsidRPr="00E6060C" w14:paraId="600CF22D" w14:textId="77777777" w:rsidTr="00E6060C">
        <w:trPr>
          <w:trHeight w:val="709"/>
        </w:trPr>
        <w:tc>
          <w:tcPr>
            <w:tcW w:w="744" w:type="dxa"/>
            <w:tcBorders>
              <w:top w:val="single" w:sz="4" w:space="0" w:color="auto"/>
              <w:left w:val="nil"/>
              <w:bottom w:val="nil"/>
              <w:right w:val="nil"/>
            </w:tcBorders>
          </w:tcPr>
          <w:p w14:paraId="49389203" w14:textId="77777777" w:rsidR="00E6060C" w:rsidRPr="00E6060C" w:rsidRDefault="00E6060C" w:rsidP="00E6060C">
            <w:r w:rsidRPr="00E6060C">
              <w:t>8</w:t>
            </w:r>
          </w:p>
        </w:tc>
        <w:tc>
          <w:tcPr>
            <w:tcW w:w="1562" w:type="dxa"/>
            <w:tcBorders>
              <w:top w:val="single" w:sz="4" w:space="0" w:color="auto"/>
              <w:left w:val="nil"/>
              <w:bottom w:val="nil"/>
              <w:right w:val="nil"/>
            </w:tcBorders>
          </w:tcPr>
          <w:p w14:paraId="1A465DE6" w14:textId="77777777" w:rsidR="00E6060C" w:rsidRPr="00E6060C" w:rsidRDefault="00E6060C" w:rsidP="00E6060C">
            <w:r w:rsidRPr="00E6060C">
              <w:t>Kawakami et al., 2012</w:t>
            </w:r>
          </w:p>
        </w:tc>
        <w:tc>
          <w:tcPr>
            <w:tcW w:w="921" w:type="dxa"/>
            <w:tcBorders>
              <w:top w:val="single" w:sz="4" w:space="0" w:color="auto"/>
              <w:left w:val="nil"/>
              <w:bottom w:val="nil"/>
              <w:right w:val="nil"/>
            </w:tcBorders>
          </w:tcPr>
          <w:p w14:paraId="188D0E1C" w14:textId="77777777" w:rsidR="00E6060C" w:rsidRPr="00E6060C" w:rsidRDefault="00E6060C" w:rsidP="00E6060C">
            <w:r w:rsidRPr="00E6060C">
              <w:t>G</w:t>
            </w:r>
          </w:p>
        </w:tc>
        <w:tc>
          <w:tcPr>
            <w:tcW w:w="3402" w:type="dxa"/>
            <w:tcBorders>
              <w:top w:val="single" w:sz="4" w:space="0" w:color="auto"/>
              <w:left w:val="nil"/>
              <w:bottom w:val="nil"/>
              <w:right w:val="nil"/>
            </w:tcBorders>
          </w:tcPr>
          <w:p w14:paraId="7662FB92" w14:textId="77777777" w:rsidR="00E6060C" w:rsidRPr="00E6060C" w:rsidRDefault="00E6060C" w:rsidP="00E6060C">
            <w:r w:rsidRPr="00E6060C">
              <w:t>Web-based RCT using an</w:t>
            </w:r>
          </w:p>
          <w:p w14:paraId="4E5A011B" w14:textId="77777777" w:rsidR="00E6060C" w:rsidRPr="00E6060C" w:rsidRDefault="00E6060C" w:rsidP="00E6060C">
            <w:r w:rsidRPr="00E6060C">
              <w:t>online educational website</w:t>
            </w:r>
          </w:p>
        </w:tc>
        <w:tc>
          <w:tcPr>
            <w:tcW w:w="935" w:type="dxa"/>
            <w:tcBorders>
              <w:top w:val="single" w:sz="4" w:space="0" w:color="auto"/>
              <w:left w:val="nil"/>
              <w:bottom w:val="nil"/>
              <w:right w:val="nil"/>
            </w:tcBorders>
          </w:tcPr>
          <w:p w14:paraId="6DE94664" w14:textId="77777777" w:rsidR="00E6060C" w:rsidRPr="00E6060C" w:rsidRDefault="00E6060C" w:rsidP="00E6060C">
            <w:r w:rsidRPr="00E6060C">
              <w:t>Yes</w:t>
            </w:r>
          </w:p>
        </w:tc>
        <w:tc>
          <w:tcPr>
            <w:tcW w:w="1049" w:type="dxa"/>
            <w:tcBorders>
              <w:top w:val="single" w:sz="4" w:space="0" w:color="auto"/>
              <w:left w:val="nil"/>
              <w:bottom w:val="nil"/>
              <w:right w:val="nil"/>
            </w:tcBorders>
          </w:tcPr>
          <w:p w14:paraId="293E6583" w14:textId="77777777" w:rsidR="00E6060C" w:rsidRPr="00E6060C" w:rsidRDefault="00E6060C" w:rsidP="00E6060C">
            <w:r w:rsidRPr="00E6060C">
              <w:t>02.09.14</w:t>
            </w:r>
          </w:p>
        </w:tc>
        <w:tc>
          <w:tcPr>
            <w:tcW w:w="1599" w:type="dxa"/>
            <w:tcBorders>
              <w:top w:val="single" w:sz="4" w:space="0" w:color="auto"/>
              <w:left w:val="nil"/>
              <w:bottom w:val="nil"/>
              <w:right w:val="nil"/>
            </w:tcBorders>
          </w:tcPr>
          <w:p w14:paraId="59C91DBE" w14:textId="77777777" w:rsidR="00E6060C" w:rsidRPr="00E6060C" w:rsidRDefault="00E6060C" w:rsidP="00E6060C">
            <w:r w:rsidRPr="00E6060C">
              <w:t>Need more info regarding results, plus intervention method used</w:t>
            </w:r>
          </w:p>
        </w:tc>
        <w:tc>
          <w:tcPr>
            <w:tcW w:w="1236" w:type="dxa"/>
            <w:tcBorders>
              <w:top w:val="single" w:sz="4" w:space="0" w:color="auto"/>
              <w:left w:val="nil"/>
              <w:bottom w:val="nil"/>
              <w:right w:val="nil"/>
            </w:tcBorders>
          </w:tcPr>
          <w:p w14:paraId="1386E2FC" w14:textId="77777777" w:rsidR="00E6060C" w:rsidRPr="00E6060C" w:rsidRDefault="00E6060C" w:rsidP="00E6060C">
            <w:r w:rsidRPr="00E6060C">
              <w:t>Yes</w:t>
            </w:r>
          </w:p>
        </w:tc>
        <w:tc>
          <w:tcPr>
            <w:tcW w:w="1727" w:type="dxa"/>
            <w:tcBorders>
              <w:top w:val="single" w:sz="4" w:space="0" w:color="auto"/>
              <w:left w:val="nil"/>
              <w:bottom w:val="nil"/>
              <w:right w:val="nil"/>
            </w:tcBorders>
          </w:tcPr>
          <w:p w14:paraId="38BE92AC" w14:textId="77777777" w:rsidR="00E6060C" w:rsidRPr="00E6060C" w:rsidRDefault="00E6060C" w:rsidP="00E6060C">
            <w:r w:rsidRPr="00E6060C">
              <w:t>Author unable to provide the info needed to calculate an ES</w:t>
            </w:r>
          </w:p>
        </w:tc>
        <w:tc>
          <w:tcPr>
            <w:tcW w:w="1155" w:type="dxa"/>
            <w:tcBorders>
              <w:top w:val="nil"/>
              <w:left w:val="nil"/>
              <w:bottom w:val="nil"/>
              <w:right w:val="nil"/>
            </w:tcBorders>
          </w:tcPr>
          <w:p w14:paraId="020DA203" w14:textId="77777777" w:rsidR="00E6060C" w:rsidRPr="00E6060C" w:rsidRDefault="00E6060C" w:rsidP="00E6060C">
            <w:r w:rsidRPr="00E6060C">
              <w:t>03.09.14</w:t>
            </w:r>
          </w:p>
        </w:tc>
      </w:tr>
      <w:tr w:rsidR="00E6060C" w:rsidRPr="00E6060C" w14:paraId="3ED9EB2E" w14:textId="77777777" w:rsidTr="00E6060C">
        <w:trPr>
          <w:trHeight w:val="709"/>
        </w:trPr>
        <w:tc>
          <w:tcPr>
            <w:tcW w:w="744" w:type="dxa"/>
            <w:tcBorders>
              <w:top w:val="nil"/>
              <w:left w:val="nil"/>
              <w:bottom w:val="single" w:sz="4" w:space="0" w:color="auto"/>
              <w:right w:val="nil"/>
            </w:tcBorders>
          </w:tcPr>
          <w:p w14:paraId="6BB3A52E" w14:textId="77777777" w:rsidR="00E6060C" w:rsidRPr="00E6060C" w:rsidRDefault="00E6060C" w:rsidP="00E6060C">
            <w:r w:rsidRPr="00E6060C">
              <w:t>9</w:t>
            </w:r>
          </w:p>
        </w:tc>
        <w:tc>
          <w:tcPr>
            <w:tcW w:w="1562" w:type="dxa"/>
            <w:tcBorders>
              <w:top w:val="nil"/>
              <w:left w:val="nil"/>
              <w:bottom w:val="single" w:sz="4" w:space="0" w:color="auto"/>
              <w:right w:val="nil"/>
            </w:tcBorders>
          </w:tcPr>
          <w:p w14:paraId="65D4B7B7" w14:textId="77777777" w:rsidR="00E6060C" w:rsidRPr="00E6060C" w:rsidRDefault="00E6060C" w:rsidP="00E6060C">
            <w:r w:rsidRPr="00E6060C">
              <w:t>Maclean, 2013</w:t>
            </w:r>
          </w:p>
        </w:tc>
        <w:tc>
          <w:tcPr>
            <w:tcW w:w="921" w:type="dxa"/>
            <w:tcBorders>
              <w:top w:val="nil"/>
              <w:left w:val="nil"/>
              <w:bottom w:val="single" w:sz="4" w:space="0" w:color="auto"/>
              <w:right w:val="nil"/>
            </w:tcBorders>
          </w:tcPr>
          <w:p w14:paraId="2C98D7CD" w14:textId="77777777" w:rsidR="00E6060C" w:rsidRPr="00E6060C" w:rsidRDefault="00E6060C" w:rsidP="00E6060C">
            <w:r w:rsidRPr="00E6060C">
              <w:t>T</w:t>
            </w:r>
          </w:p>
        </w:tc>
        <w:tc>
          <w:tcPr>
            <w:tcW w:w="3402" w:type="dxa"/>
            <w:tcBorders>
              <w:top w:val="nil"/>
              <w:left w:val="nil"/>
              <w:bottom w:val="single" w:sz="4" w:space="0" w:color="auto"/>
              <w:right w:val="nil"/>
            </w:tcBorders>
          </w:tcPr>
          <w:p w14:paraId="7E9B91A9" w14:textId="77777777" w:rsidR="00E6060C" w:rsidRPr="00E6060C" w:rsidRDefault="00E6060C" w:rsidP="00E6060C">
            <w:r w:rsidRPr="00E6060C">
              <w:t>Acceptance Commitment Therapy (ACT) – accept painful thoughts and emotions and commit to action to improve life</w:t>
            </w:r>
          </w:p>
          <w:p w14:paraId="312FF775" w14:textId="77777777" w:rsidR="00E6060C" w:rsidRPr="00E6060C" w:rsidRDefault="00E6060C" w:rsidP="00E6060C">
            <w:r w:rsidRPr="00E6060C">
              <w:t>Group sessions (8-10 participants)</w:t>
            </w:r>
          </w:p>
          <w:p w14:paraId="18350F1C" w14:textId="77777777" w:rsidR="00E6060C" w:rsidRPr="00E6060C" w:rsidRDefault="00E6060C" w:rsidP="00E6060C">
            <w:r w:rsidRPr="00E6060C">
              <w:t>Homework assignments</w:t>
            </w:r>
          </w:p>
          <w:p w14:paraId="46916336" w14:textId="77777777" w:rsidR="00E6060C" w:rsidRPr="00E6060C" w:rsidRDefault="00E6060C" w:rsidP="00E6060C">
            <w:r w:rsidRPr="00E6060C">
              <w:t>CD of experiential exercises to practise</w:t>
            </w:r>
          </w:p>
        </w:tc>
        <w:tc>
          <w:tcPr>
            <w:tcW w:w="935" w:type="dxa"/>
            <w:tcBorders>
              <w:top w:val="nil"/>
              <w:left w:val="nil"/>
              <w:bottom w:val="single" w:sz="4" w:space="0" w:color="auto"/>
              <w:right w:val="nil"/>
            </w:tcBorders>
          </w:tcPr>
          <w:p w14:paraId="5297F7BE" w14:textId="77777777" w:rsidR="00E6060C" w:rsidRPr="00E6060C" w:rsidRDefault="00E6060C" w:rsidP="00E6060C">
            <w:r w:rsidRPr="00E6060C">
              <w:t xml:space="preserve">Unable to find contact details </w:t>
            </w:r>
          </w:p>
        </w:tc>
        <w:tc>
          <w:tcPr>
            <w:tcW w:w="1049" w:type="dxa"/>
            <w:tcBorders>
              <w:top w:val="nil"/>
              <w:left w:val="nil"/>
              <w:bottom w:val="single" w:sz="4" w:space="0" w:color="auto"/>
              <w:right w:val="nil"/>
            </w:tcBorders>
          </w:tcPr>
          <w:p w14:paraId="2B0807CB" w14:textId="77777777" w:rsidR="00E6060C" w:rsidRPr="00E6060C" w:rsidRDefault="00E6060C" w:rsidP="00E6060C">
            <w:r w:rsidRPr="00E6060C">
              <w:t>NA</w:t>
            </w:r>
          </w:p>
        </w:tc>
        <w:tc>
          <w:tcPr>
            <w:tcW w:w="1599" w:type="dxa"/>
            <w:tcBorders>
              <w:top w:val="nil"/>
              <w:left w:val="nil"/>
              <w:bottom w:val="single" w:sz="4" w:space="0" w:color="auto"/>
              <w:right w:val="nil"/>
            </w:tcBorders>
          </w:tcPr>
          <w:p w14:paraId="6E1FD36E" w14:textId="77777777" w:rsidR="00E6060C" w:rsidRPr="00E6060C" w:rsidRDefault="00E6060C" w:rsidP="00E6060C">
            <w:r w:rsidRPr="00E6060C">
              <w:t>NA</w:t>
            </w:r>
          </w:p>
        </w:tc>
        <w:tc>
          <w:tcPr>
            <w:tcW w:w="1236" w:type="dxa"/>
            <w:tcBorders>
              <w:top w:val="nil"/>
              <w:left w:val="nil"/>
              <w:bottom w:val="single" w:sz="4" w:space="0" w:color="auto"/>
              <w:right w:val="nil"/>
            </w:tcBorders>
          </w:tcPr>
          <w:p w14:paraId="55FF1740" w14:textId="77777777" w:rsidR="00E6060C" w:rsidRPr="00E6060C" w:rsidRDefault="00E6060C" w:rsidP="00E6060C">
            <w:r w:rsidRPr="00E6060C">
              <w:t>NA</w:t>
            </w:r>
          </w:p>
        </w:tc>
        <w:tc>
          <w:tcPr>
            <w:tcW w:w="1727" w:type="dxa"/>
            <w:tcBorders>
              <w:top w:val="nil"/>
              <w:left w:val="nil"/>
              <w:bottom w:val="single" w:sz="4" w:space="0" w:color="auto"/>
              <w:right w:val="nil"/>
            </w:tcBorders>
          </w:tcPr>
          <w:p w14:paraId="362BC87E" w14:textId="77777777" w:rsidR="00E6060C" w:rsidRPr="00E6060C" w:rsidRDefault="00E6060C" w:rsidP="00F15DDF">
            <w:pPr>
              <w:numPr>
                <w:ilvl w:val="0"/>
                <w:numId w:val="13"/>
              </w:numPr>
              <w:ind w:left="175" w:hanging="175"/>
              <w:contextualSpacing/>
            </w:pPr>
            <w:r w:rsidRPr="00E6060C">
              <w:t>Insufficient data to calculate an effect size</w:t>
            </w:r>
          </w:p>
        </w:tc>
        <w:tc>
          <w:tcPr>
            <w:tcW w:w="1155" w:type="dxa"/>
            <w:tcBorders>
              <w:top w:val="nil"/>
              <w:left w:val="nil"/>
              <w:bottom w:val="single" w:sz="4" w:space="0" w:color="auto"/>
              <w:right w:val="nil"/>
            </w:tcBorders>
          </w:tcPr>
          <w:p w14:paraId="48B7663C" w14:textId="77777777" w:rsidR="00E6060C" w:rsidRPr="00E6060C" w:rsidRDefault="00E6060C" w:rsidP="00E6060C">
            <w:r w:rsidRPr="00E6060C">
              <w:t>21.11.14</w:t>
            </w:r>
          </w:p>
        </w:tc>
      </w:tr>
      <w:tr w:rsidR="00E6060C" w:rsidRPr="00E6060C" w14:paraId="293E3ECA" w14:textId="77777777" w:rsidTr="00E6060C">
        <w:trPr>
          <w:trHeight w:val="353"/>
        </w:trPr>
        <w:tc>
          <w:tcPr>
            <w:tcW w:w="13175" w:type="dxa"/>
            <w:gridSpan w:val="9"/>
            <w:tcBorders>
              <w:top w:val="single" w:sz="4" w:space="0" w:color="auto"/>
              <w:left w:val="nil"/>
              <w:bottom w:val="single" w:sz="4" w:space="0" w:color="auto"/>
              <w:right w:val="nil"/>
            </w:tcBorders>
            <w:vAlign w:val="center"/>
          </w:tcPr>
          <w:p w14:paraId="49202651" w14:textId="77777777" w:rsidR="00E6060C" w:rsidRPr="00E6060C" w:rsidRDefault="00E6060C" w:rsidP="00E6060C">
            <w:pPr>
              <w:rPr>
                <w:b/>
              </w:rPr>
            </w:pPr>
            <w:r w:rsidRPr="00E6060C">
              <w:rPr>
                <w:b/>
              </w:rPr>
              <w:lastRenderedPageBreak/>
              <w:t>STUDY DESIGN DOES NOT MEET THE INCLUSION CRITERIA</w:t>
            </w:r>
          </w:p>
        </w:tc>
        <w:tc>
          <w:tcPr>
            <w:tcW w:w="1155" w:type="dxa"/>
            <w:tcBorders>
              <w:top w:val="single" w:sz="4" w:space="0" w:color="auto"/>
              <w:left w:val="nil"/>
              <w:bottom w:val="single" w:sz="4" w:space="0" w:color="auto"/>
              <w:right w:val="nil"/>
            </w:tcBorders>
          </w:tcPr>
          <w:p w14:paraId="716ACCC3" w14:textId="77777777" w:rsidR="00E6060C" w:rsidRPr="00E6060C" w:rsidRDefault="00E6060C" w:rsidP="00E6060C"/>
        </w:tc>
      </w:tr>
      <w:tr w:rsidR="00E6060C" w:rsidRPr="00E6060C" w14:paraId="0AEA22C6" w14:textId="77777777" w:rsidTr="00E6060C">
        <w:trPr>
          <w:trHeight w:val="709"/>
        </w:trPr>
        <w:tc>
          <w:tcPr>
            <w:tcW w:w="744" w:type="dxa"/>
            <w:tcBorders>
              <w:top w:val="single" w:sz="4" w:space="0" w:color="auto"/>
              <w:left w:val="nil"/>
              <w:bottom w:val="nil"/>
              <w:right w:val="nil"/>
            </w:tcBorders>
          </w:tcPr>
          <w:p w14:paraId="53FB9F3A" w14:textId="77777777" w:rsidR="00E6060C" w:rsidRPr="00E6060C" w:rsidRDefault="00E6060C" w:rsidP="00E6060C">
            <w:r w:rsidRPr="00E6060C">
              <w:t>10</w:t>
            </w:r>
          </w:p>
        </w:tc>
        <w:tc>
          <w:tcPr>
            <w:tcW w:w="1562" w:type="dxa"/>
            <w:tcBorders>
              <w:top w:val="single" w:sz="4" w:space="0" w:color="auto"/>
              <w:left w:val="nil"/>
              <w:bottom w:val="nil"/>
              <w:right w:val="nil"/>
            </w:tcBorders>
          </w:tcPr>
          <w:p w14:paraId="771857B9" w14:textId="0F2877CC" w:rsidR="00E6060C" w:rsidRPr="00E6060C" w:rsidRDefault="00E6060C" w:rsidP="00E6060C">
            <w:r w:rsidRPr="00E6060C">
              <w:t>Martinussen</w:t>
            </w:r>
            <w:r w:rsidR="00E067D9">
              <w:t xml:space="preserve"> et al.</w:t>
            </w:r>
            <w:r w:rsidRPr="00E6060C">
              <w:t>, 2012</w:t>
            </w:r>
          </w:p>
        </w:tc>
        <w:tc>
          <w:tcPr>
            <w:tcW w:w="921" w:type="dxa"/>
            <w:tcBorders>
              <w:top w:val="single" w:sz="4" w:space="0" w:color="auto"/>
              <w:left w:val="nil"/>
              <w:bottom w:val="nil"/>
              <w:right w:val="nil"/>
            </w:tcBorders>
          </w:tcPr>
          <w:p w14:paraId="7BEA445F" w14:textId="77777777" w:rsidR="00E6060C" w:rsidRPr="00E6060C" w:rsidRDefault="00E6060C" w:rsidP="00E6060C">
            <w:r w:rsidRPr="00E6060C">
              <w:t>P</w:t>
            </w:r>
          </w:p>
        </w:tc>
        <w:tc>
          <w:tcPr>
            <w:tcW w:w="3402" w:type="dxa"/>
            <w:tcBorders>
              <w:top w:val="single" w:sz="4" w:space="0" w:color="auto"/>
              <w:left w:val="nil"/>
              <w:bottom w:val="nil"/>
              <w:right w:val="nil"/>
            </w:tcBorders>
          </w:tcPr>
          <w:p w14:paraId="654DED91" w14:textId="77777777" w:rsidR="00E6060C" w:rsidRPr="00E6060C" w:rsidRDefault="00E6060C" w:rsidP="00E6060C">
            <w:r w:rsidRPr="00E6060C">
              <w:t xml:space="preserve">Increasing inter-professional collaboration and service quality </w:t>
            </w:r>
          </w:p>
          <w:p w14:paraId="799FB3A8" w14:textId="77777777" w:rsidR="00E6060C" w:rsidRPr="00E6060C" w:rsidRDefault="00E6060C" w:rsidP="00E6060C">
            <w:r w:rsidRPr="00E6060C">
              <w:t>e.g. courses, creation of inter-professional teams to assess need for local interventions &amp; co-ordinate local treatment programmes</w:t>
            </w:r>
          </w:p>
        </w:tc>
        <w:tc>
          <w:tcPr>
            <w:tcW w:w="935" w:type="dxa"/>
            <w:tcBorders>
              <w:top w:val="single" w:sz="4" w:space="0" w:color="auto"/>
              <w:left w:val="nil"/>
              <w:bottom w:val="nil"/>
              <w:right w:val="nil"/>
            </w:tcBorders>
          </w:tcPr>
          <w:p w14:paraId="7EBC2804" w14:textId="77777777" w:rsidR="00E6060C" w:rsidRPr="00E6060C" w:rsidRDefault="00E6060C" w:rsidP="00E6060C">
            <w:r w:rsidRPr="00E6060C">
              <w:t xml:space="preserve">Yes </w:t>
            </w:r>
          </w:p>
        </w:tc>
        <w:tc>
          <w:tcPr>
            <w:tcW w:w="1049" w:type="dxa"/>
            <w:tcBorders>
              <w:top w:val="single" w:sz="4" w:space="0" w:color="auto"/>
              <w:left w:val="nil"/>
              <w:bottom w:val="nil"/>
              <w:right w:val="nil"/>
            </w:tcBorders>
          </w:tcPr>
          <w:p w14:paraId="1358288D" w14:textId="77777777" w:rsidR="00E6060C" w:rsidRPr="00E6060C" w:rsidRDefault="00E6060C" w:rsidP="00E6060C">
            <w:r w:rsidRPr="00E6060C">
              <w:t>22.08.14</w:t>
            </w:r>
          </w:p>
          <w:p w14:paraId="38186FE1" w14:textId="77777777" w:rsidR="00E6060C" w:rsidRPr="00E6060C" w:rsidRDefault="00E6060C" w:rsidP="00E6060C">
            <w:r w:rsidRPr="00E6060C">
              <w:t>26.08.14</w:t>
            </w:r>
          </w:p>
        </w:tc>
        <w:tc>
          <w:tcPr>
            <w:tcW w:w="1599" w:type="dxa"/>
            <w:tcBorders>
              <w:top w:val="single" w:sz="4" w:space="0" w:color="auto"/>
              <w:left w:val="nil"/>
              <w:bottom w:val="nil"/>
              <w:right w:val="nil"/>
            </w:tcBorders>
          </w:tcPr>
          <w:p w14:paraId="1C88EF98" w14:textId="77777777" w:rsidR="00E6060C" w:rsidRPr="00E6060C" w:rsidRDefault="00E6060C" w:rsidP="00E6060C">
            <w:r w:rsidRPr="00E6060C">
              <w:t xml:space="preserve">To gain access to the paper and the results </w:t>
            </w:r>
          </w:p>
        </w:tc>
        <w:tc>
          <w:tcPr>
            <w:tcW w:w="1236" w:type="dxa"/>
            <w:tcBorders>
              <w:top w:val="single" w:sz="4" w:space="0" w:color="auto"/>
              <w:left w:val="nil"/>
              <w:bottom w:val="nil"/>
              <w:right w:val="nil"/>
            </w:tcBorders>
          </w:tcPr>
          <w:p w14:paraId="4C5C606D" w14:textId="77777777" w:rsidR="00E6060C" w:rsidRPr="00E6060C" w:rsidRDefault="00E6060C" w:rsidP="00E6060C">
            <w:r w:rsidRPr="00E6060C">
              <w:t>Yes</w:t>
            </w:r>
          </w:p>
        </w:tc>
        <w:tc>
          <w:tcPr>
            <w:tcW w:w="1727" w:type="dxa"/>
            <w:tcBorders>
              <w:top w:val="single" w:sz="4" w:space="0" w:color="auto"/>
              <w:left w:val="nil"/>
              <w:bottom w:val="nil"/>
              <w:right w:val="nil"/>
            </w:tcBorders>
          </w:tcPr>
          <w:p w14:paraId="0EEC1702" w14:textId="77777777" w:rsidR="00E6060C" w:rsidRPr="00E6060C" w:rsidRDefault="00E6060C" w:rsidP="00E6060C">
            <w:r w:rsidRPr="00E6060C">
              <w:t>No pre-intervention measures taken therefore can’t calculate an effect size</w:t>
            </w:r>
          </w:p>
        </w:tc>
        <w:tc>
          <w:tcPr>
            <w:tcW w:w="1155" w:type="dxa"/>
            <w:tcBorders>
              <w:top w:val="single" w:sz="4" w:space="0" w:color="auto"/>
              <w:left w:val="nil"/>
              <w:bottom w:val="nil"/>
              <w:right w:val="nil"/>
            </w:tcBorders>
          </w:tcPr>
          <w:p w14:paraId="123B604D" w14:textId="77777777" w:rsidR="00E6060C" w:rsidRPr="00E6060C" w:rsidRDefault="00E6060C" w:rsidP="00E6060C">
            <w:r w:rsidRPr="00E6060C">
              <w:t>Aug 2014</w:t>
            </w:r>
          </w:p>
        </w:tc>
      </w:tr>
      <w:tr w:rsidR="00E6060C" w:rsidRPr="00E6060C" w14:paraId="734E4221" w14:textId="77777777" w:rsidTr="00E6060C">
        <w:trPr>
          <w:trHeight w:val="709"/>
        </w:trPr>
        <w:tc>
          <w:tcPr>
            <w:tcW w:w="744" w:type="dxa"/>
            <w:tcBorders>
              <w:top w:val="nil"/>
              <w:left w:val="nil"/>
              <w:bottom w:val="nil"/>
              <w:right w:val="nil"/>
            </w:tcBorders>
          </w:tcPr>
          <w:p w14:paraId="5344AD44" w14:textId="77777777" w:rsidR="00E6060C" w:rsidRPr="00E6060C" w:rsidRDefault="00E6060C" w:rsidP="00E6060C">
            <w:r w:rsidRPr="00E6060C">
              <w:t>11</w:t>
            </w:r>
          </w:p>
        </w:tc>
        <w:tc>
          <w:tcPr>
            <w:tcW w:w="1562" w:type="dxa"/>
            <w:tcBorders>
              <w:top w:val="nil"/>
              <w:left w:val="nil"/>
              <w:bottom w:val="nil"/>
              <w:right w:val="nil"/>
            </w:tcBorders>
          </w:tcPr>
          <w:p w14:paraId="0CB7F168" w14:textId="77777777" w:rsidR="00E6060C" w:rsidRPr="00E6060C" w:rsidRDefault="00E6060C" w:rsidP="00E6060C">
            <w:r w:rsidRPr="00E6060C">
              <w:t>Bishop, 2013</w:t>
            </w:r>
          </w:p>
        </w:tc>
        <w:tc>
          <w:tcPr>
            <w:tcW w:w="921" w:type="dxa"/>
            <w:tcBorders>
              <w:top w:val="nil"/>
              <w:left w:val="nil"/>
              <w:bottom w:val="nil"/>
              <w:right w:val="nil"/>
            </w:tcBorders>
          </w:tcPr>
          <w:p w14:paraId="07B4E53F" w14:textId="77777777" w:rsidR="00E6060C" w:rsidRPr="00E6060C" w:rsidRDefault="00E6060C" w:rsidP="00E6060C">
            <w:r w:rsidRPr="00E6060C">
              <w:t>P</w:t>
            </w:r>
          </w:p>
        </w:tc>
        <w:tc>
          <w:tcPr>
            <w:tcW w:w="3402" w:type="dxa"/>
            <w:tcBorders>
              <w:top w:val="nil"/>
              <w:left w:val="nil"/>
              <w:bottom w:val="nil"/>
              <w:right w:val="nil"/>
            </w:tcBorders>
          </w:tcPr>
          <w:p w14:paraId="41CB59C9" w14:textId="77777777" w:rsidR="00E6060C" w:rsidRPr="00E6060C" w:rsidRDefault="00E6060C" w:rsidP="00E6060C">
            <w:r w:rsidRPr="00E6060C">
              <w:t>Caring-based intervention to increase the work engagement of older nurses</w:t>
            </w:r>
          </w:p>
        </w:tc>
        <w:tc>
          <w:tcPr>
            <w:tcW w:w="935" w:type="dxa"/>
            <w:tcBorders>
              <w:top w:val="nil"/>
              <w:left w:val="nil"/>
              <w:bottom w:val="nil"/>
              <w:right w:val="nil"/>
            </w:tcBorders>
          </w:tcPr>
          <w:p w14:paraId="31403AD4" w14:textId="77777777" w:rsidR="00E6060C" w:rsidRPr="00E6060C" w:rsidRDefault="00E6060C" w:rsidP="00E6060C">
            <w:r w:rsidRPr="00E6060C">
              <w:t>Yes</w:t>
            </w:r>
          </w:p>
        </w:tc>
        <w:tc>
          <w:tcPr>
            <w:tcW w:w="1049" w:type="dxa"/>
            <w:tcBorders>
              <w:top w:val="nil"/>
              <w:left w:val="nil"/>
              <w:bottom w:val="nil"/>
              <w:right w:val="nil"/>
            </w:tcBorders>
          </w:tcPr>
          <w:p w14:paraId="081DA372" w14:textId="77777777" w:rsidR="00E6060C" w:rsidRPr="00E6060C" w:rsidRDefault="00E6060C" w:rsidP="00E6060C">
            <w:r w:rsidRPr="00E6060C">
              <w:t>23.10.14</w:t>
            </w:r>
          </w:p>
        </w:tc>
        <w:tc>
          <w:tcPr>
            <w:tcW w:w="1599" w:type="dxa"/>
            <w:tcBorders>
              <w:top w:val="nil"/>
              <w:left w:val="nil"/>
              <w:bottom w:val="nil"/>
              <w:right w:val="nil"/>
            </w:tcBorders>
          </w:tcPr>
          <w:p w14:paraId="74140A60" w14:textId="77777777" w:rsidR="00E6060C" w:rsidRPr="00E6060C" w:rsidRDefault="00E6060C" w:rsidP="00E6060C">
            <w:r w:rsidRPr="00E6060C">
              <w:t>Need SDs</w:t>
            </w:r>
          </w:p>
        </w:tc>
        <w:tc>
          <w:tcPr>
            <w:tcW w:w="1236" w:type="dxa"/>
            <w:tcBorders>
              <w:top w:val="nil"/>
              <w:left w:val="nil"/>
              <w:bottom w:val="nil"/>
              <w:right w:val="nil"/>
            </w:tcBorders>
          </w:tcPr>
          <w:p w14:paraId="3FDF0D65" w14:textId="77777777" w:rsidR="00E6060C" w:rsidRPr="00E6060C" w:rsidRDefault="00E6060C" w:rsidP="00E6060C">
            <w:r w:rsidRPr="00E6060C">
              <w:t>No</w:t>
            </w:r>
          </w:p>
        </w:tc>
        <w:tc>
          <w:tcPr>
            <w:tcW w:w="1727" w:type="dxa"/>
            <w:tcBorders>
              <w:top w:val="nil"/>
              <w:left w:val="nil"/>
              <w:bottom w:val="nil"/>
              <w:right w:val="nil"/>
            </w:tcBorders>
          </w:tcPr>
          <w:p w14:paraId="6B11B3BB" w14:textId="77777777" w:rsidR="00E6060C" w:rsidRPr="00E6060C" w:rsidRDefault="00E6060C" w:rsidP="00F15DDF">
            <w:pPr>
              <w:numPr>
                <w:ilvl w:val="0"/>
                <w:numId w:val="6"/>
              </w:numPr>
              <w:ind w:left="175" w:hanging="175"/>
              <w:contextualSpacing/>
            </w:pPr>
            <w:r w:rsidRPr="00E6060C">
              <w:t>No response</w:t>
            </w:r>
          </w:p>
          <w:p w14:paraId="2128F72F" w14:textId="77777777" w:rsidR="00E6060C" w:rsidRPr="00E6060C" w:rsidRDefault="00E6060C" w:rsidP="00F15DDF">
            <w:pPr>
              <w:numPr>
                <w:ilvl w:val="0"/>
                <w:numId w:val="6"/>
              </w:numPr>
              <w:ind w:left="175" w:hanging="175"/>
              <w:contextualSpacing/>
            </w:pPr>
            <w:r w:rsidRPr="00E6060C">
              <w:t xml:space="preserve">No control group </w:t>
            </w:r>
          </w:p>
        </w:tc>
        <w:tc>
          <w:tcPr>
            <w:tcW w:w="1155" w:type="dxa"/>
            <w:tcBorders>
              <w:top w:val="nil"/>
              <w:left w:val="nil"/>
              <w:bottom w:val="nil"/>
              <w:right w:val="nil"/>
            </w:tcBorders>
          </w:tcPr>
          <w:p w14:paraId="3B9F8F6E" w14:textId="77777777" w:rsidR="00E6060C" w:rsidRPr="00E6060C" w:rsidRDefault="00E6060C" w:rsidP="00E6060C">
            <w:r w:rsidRPr="00E6060C">
              <w:t>21.11.14</w:t>
            </w:r>
          </w:p>
        </w:tc>
      </w:tr>
      <w:tr w:rsidR="00E6060C" w:rsidRPr="00E6060C" w14:paraId="45F12ECA" w14:textId="77777777" w:rsidTr="00E6060C">
        <w:trPr>
          <w:trHeight w:val="709"/>
        </w:trPr>
        <w:tc>
          <w:tcPr>
            <w:tcW w:w="744" w:type="dxa"/>
            <w:tcBorders>
              <w:top w:val="nil"/>
              <w:left w:val="nil"/>
              <w:bottom w:val="nil"/>
              <w:right w:val="nil"/>
            </w:tcBorders>
          </w:tcPr>
          <w:p w14:paraId="1C4BDDA8" w14:textId="77777777" w:rsidR="00E6060C" w:rsidRPr="00E6060C" w:rsidRDefault="00E6060C" w:rsidP="00E6060C">
            <w:r w:rsidRPr="00E6060C">
              <w:t>12</w:t>
            </w:r>
          </w:p>
        </w:tc>
        <w:tc>
          <w:tcPr>
            <w:tcW w:w="1562" w:type="dxa"/>
            <w:tcBorders>
              <w:top w:val="nil"/>
              <w:left w:val="nil"/>
              <w:bottom w:val="nil"/>
              <w:right w:val="nil"/>
            </w:tcBorders>
          </w:tcPr>
          <w:p w14:paraId="25833EA4" w14:textId="54047E42" w:rsidR="00E6060C" w:rsidRPr="00E6060C" w:rsidRDefault="00E6060C" w:rsidP="00E6060C">
            <w:r w:rsidRPr="00E6060C">
              <w:t>Rickard</w:t>
            </w:r>
            <w:r w:rsidR="00D77E72">
              <w:t xml:space="preserve"> et al.</w:t>
            </w:r>
            <w:r w:rsidRPr="00E6060C">
              <w:t>, 2012</w:t>
            </w:r>
          </w:p>
        </w:tc>
        <w:tc>
          <w:tcPr>
            <w:tcW w:w="921" w:type="dxa"/>
            <w:tcBorders>
              <w:top w:val="nil"/>
              <w:left w:val="nil"/>
              <w:bottom w:val="nil"/>
              <w:right w:val="nil"/>
            </w:tcBorders>
          </w:tcPr>
          <w:p w14:paraId="3706CD6E" w14:textId="77777777" w:rsidR="00E6060C" w:rsidRPr="00E6060C" w:rsidRDefault="00E6060C" w:rsidP="00E6060C">
            <w:r w:rsidRPr="00E6060C">
              <w:t>P</w:t>
            </w:r>
          </w:p>
        </w:tc>
        <w:tc>
          <w:tcPr>
            <w:tcW w:w="3402" w:type="dxa"/>
            <w:tcBorders>
              <w:top w:val="nil"/>
              <w:left w:val="nil"/>
              <w:bottom w:val="nil"/>
              <w:right w:val="nil"/>
            </w:tcBorders>
          </w:tcPr>
          <w:p w14:paraId="1B03C31D" w14:textId="77777777" w:rsidR="00E6060C" w:rsidRPr="00E6060C" w:rsidRDefault="00E6060C" w:rsidP="00E6060C">
            <w:r w:rsidRPr="00E6060C">
              <w:t xml:space="preserve">Stress reduction intervention  by increasing job resources - nursing workload tool used to assess nurse workloads, roster audits, increase access to clinical supervision and support for graduates, increase access to professional development and develop a recruitment campaign for new graduates and continuing employees  </w:t>
            </w:r>
          </w:p>
        </w:tc>
        <w:tc>
          <w:tcPr>
            <w:tcW w:w="935" w:type="dxa"/>
            <w:tcBorders>
              <w:top w:val="nil"/>
              <w:left w:val="nil"/>
              <w:bottom w:val="nil"/>
              <w:right w:val="nil"/>
            </w:tcBorders>
          </w:tcPr>
          <w:p w14:paraId="7A60F451" w14:textId="77777777" w:rsidR="00E6060C" w:rsidRPr="00E6060C" w:rsidRDefault="00E6060C" w:rsidP="00E6060C">
            <w:r w:rsidRPr="00E6060C">
              <w:t>No</w:t>
            </w:r>
          </w:p>
        </w:tc>
        <w:tc>
          <w:tcPr>
            <w:tcW w:w="1049" w:type="dxa"/>
            <w:tcBorders>
              <w:top w:val="nil"/>
              <w:left w:val="nil"/>
              <w:bottom w:val="nil"/>
              <w:right w:val="nil"/>
            </w:tcBorders>
          </w:tcPr>
          <w:p w14:paraId="7489BDE2" w14:textId="77777777" w:rsidR="00E6060C" w:rsidRPr="00E6060C" w:rsidRDefault="00E6060C" w:rsidP="00E6060C">
            <w:r w:rsidRPr="00E6060C">
              <w:t>NA</w:t>
            </w:r>
          </w:p>
        </w:tc>
        <w:tc>
          <w:tcPr>
            <w:tcW w:w="1599" w:type="dxa"/>
            <w:tcBorders>
              <w:top w:val="nil"/>
              <w:left w:val="nil"/>
              <w:bottom w:val="nil"/>
              <w:right w:val="nil"/>
            </w:tcBorders>
          </w:tcPr>
          <w:p w14:paraId="63468E0C" w14:textId="77777777" w:rsidR="00E6060C" w:rsidRPr="00E6060C" w:rsidRDefault="00E6060C" w:rsidP="00E6060C">
            <w:r w:rsidRPr="00E6060C">
              <w:t>NA</w:t>
            </w:r>
          </w:p>
        </w:tc>
        <w:tc>
          <w:tcPr>
            <w:tcW w:w="1236" w:type="dxa"/>
            <w:tcBorders>
              <w:top w:val="nil"/>
              <w:left w:val="nil"/>
              <w:bottom w:val="nil"/>
              <w:right w:val="nil"/>
            </w:tcBorders>
          </w:tcPr>
          <w:p w14:paraId="24C44172" w14:textId="77777777" w:rsidR="00E6060C" w:rsidRPr="00E6060C" w:rsidRDefault="00E6060C" w:rsidP="00E6060C">
            <w:r w:rsidRPr="00E6060C">
              <w:t>NA</w:t>
            </w:r>
          </w:p>
        </w:tc>
        <w:tc>
          <w:tcPr>
            <w:tcW w:w="1727" w:type="dxa"/>
            <w:tcBorders>
              <w:top w:val="nil"/>
              <w:left w:val="nil"/>
              <w:bottom w:val="nil"/>
              <w:right w:val="nil"/>
            </w:tcBorders>
          </w:tcPr>
          <w:p w14:paraId="180F7926" w14:textId="77777777" w:rsidR="00E6060C" w:rsidRPr="00E6060C" w:rsidRDefault="00E6060C" w:rsidP="00E6060C">
            <w:r w:rsidRPr="00E6060C">
              <w:t>No control group therefore can’t calculate an effect size</w:t>
            </w:r>
          </w:p>
        </w:tc>
        <w:tc>
          <w:tcPr>
            <w:tcW w:w="1155" w:type="dxa"/>
            <w:tcBorders>
              <w:top w:val="nil"/>
              <w:left w:val="nil"/>
              <w:bottom w:val="nil"/>
              <w:right w:val="nil"/>
            </w:tcBorders>
          </w:tcPr>
          <w:p w14:paraId="24A76C44" w14:textId="77777777" w:rsidR="00E6060C" w:rsidRPr="00E6060C" w:rsidRDefault="00E6060C" w:rsidP="00E6060C">
            <w:r w:rsidRPr="00E6060C">
              <w:t>21.11.14</w:t>
            </w:r>
          </w:p>
        </w:tc>
      </w:tr>
      <w:tr w:rsidR="00E6060C" w:rsidRPr="00E6060C" w14:paraId="5F76B4DD" w14:textId="77777777" w:rsidTr="00E6060C">
        <w:trPr>
          <w:trHeight w:val="709"/>
        </w:trPr>
        <w:tc>
          <w:tcPr>
            <w:tcW w:w="744" w:type="dxa"/>
            <w:tcBorders>
              <w:top w:val="nil"/>
              <w:left w:val="nil"/>
              <w:bottom w:val="single" w:sz="4" w:space="0" w:color="auto"/>
              <w:right w:val="nil"/>
            </w:tcBorders>
          </w:tcPr>
          <w:p w14:paraId="509CDD2A" w14:textId="77777777" w:rsidR="00E6060C" w:rsidRPr="00E6060C" w:rsidRDefault="00E6060C" w:rsidP="00E6060C">
            <w:r w:rsidRPr="00E6060C">
              <w:t>13</w:t>
            </w:r>
          </w:p>
        </w:tc>
        <w:tc>
          <w:tcPr>
            <w:tcW w:w="1562" w:type="dxa"/>
            <w:tcBorders>
              <w:top w:val="nil"/>
              <w:left w:val="nil"/>
              <w:bottom w:val="single" w:sz="4" w:space="0" w:color="auto"/>
              <w:right w:val="nil"/>
            </w:tcBorders>
          </w:tcPr>
          <w:p w14:paraId="2CDD6FAC" w14:textId="67102852" w:rsidR="00E6060C" w:rsidRPr="00E6060C" w:rsidRDefault="00E6060C" w:rsidP="00E6060C">
            <w:r w:rsidRPr="00E6060C">
              <w:t xml:space="preserve">White </w:t>
            </w:r>
            <w:r w:rsidR="00B64DD5">
              <w:t>et al.,</w:t>
            </w:r>
            <w:r w:rsidRPr="00E6060C">
              <w:t xml:space="preserve"> 2014</w:t>
            </w:r>
          </w:p>
        </w:tc>
        <w:tc>
          <w:tcPr>
            <w:tcW w:w="921" w:type="dxa"/>
            <w:tcBorders>
              <w:top w:val="nil"/>
              <w:left w:val="nil"/>
              <w:bottom w:val="single" w:sz="4" w:space="0" w:color="auto"/>
              <w:right w:val="nil"/>
            </w:tcBorders>
          </w:tcPr>
          <w:p w14:paraId="4611E40A" w14:textId="77777777" w:rsidR="00E6060C" w:rsidRPr="00E6060C" w:rsidRDefault="00E6060C" w:rsidP="00E6060C">
            <w:r w:rsidRPr="00E6060C">
              <w:t>P</w:t>
            </w:r>
          </w:p>
        </w:tc>
        <w:tc>
          <w:tcPr>
            <w:tcW w:w="3402" w:type="dxa"/>
            <w:tcBorders>
              <w:top w:val="nil"/>
              <w:left w:val="nil"/>
              <w:bottom w:val="single" w:sz="4" w:space="0" w:color="auto"/>
              <w:right w:val="nil"/>
            </w:tcBorders>
          </w:tcPr>
          <w:p w14:paraId="37662335" w14:textId="77777777" w:rsidR="00E6060C" w:rsidRPr="00E6060C" w:rsidRDefault="00E6060C" w:rsidP="00E6060C">
            <w:r w:rsidRPr="00E6060C">
              <w:t xml:space="preserve">Quality Improvement (QI) programme, the Productive Ward, to increase the work engagement and empower the Irish nurses and ward teams involved in this study. Cross-sectional study involving intervention wards (n=9) and </w:t>
            </w:r>
            <w:r w:rsidRPr="00E6060C">
              <w:lastRenderedPageBreak/>
              <w:t>matched control wards (n=9). Staff on these wards were surveyed 12 weeks after the intervention commenced. Details of the intervention are not reported in this paper. A follow-up in 12m is suggested.</w:t>
            </w:r>
          </w:p>
        </w:tc>
        <w:tc>
          <w:tcPr>
            <w:tcW w:w="935" w:type="dxa"/>
            <w:tcBorders>
              <w:top w:val="nil"/>
              <w:left w:val="nil"/>
              <w:bottom w:val="single" w:sz="4" w:space="0" w:color="auto"/>
              <w:right w:val="nil"/>
            </w:tcBorders>
          </w:tcPr>
          <w:p w14:paraId="64617E58" w14:textId="77777777" w:rsidR="00E6060C" w:rsidRPr="00E6060C" w:rsidRDefault="00E6060C" w:rsidP="00E6060C">
            <w:r w:rsidRPr="00E6060C">
              <w:lastRenderedPageBreak/>
              <w:t>No</w:t>
            </w:r>
          </w:p>
        </w:tc>
        <w:tc>
          <w:tcPr>
            <w:tcW w:w="1049" w:type="dxa"/>
            <w:tcBorders>
              <w:top w:val="nil"/>
              <w:left w:val="nil"/>
              <w:bottom w:val="single" w:sz="4" w:space="0" w:color="auto"/>
              <w:right w:val="nil"/>
            </w:tcBorders>
          </w:tcPr>
          <w:p w14:paraId="0B38EADC" w14:textId="77777777" w:rsidR="00E6060C" w:rsidRPr="00E6060C" w:rsidRDefault="00E6060C" w:rsidP="00E6060C">
            <w:r w:rsidRPr="00E6060C">
              <w:t>NA</w:t>
            </w:r>
          </w:p>
        </w:tc>
        <w:tc>
          <w:tcPr>
            <w:tcW w:w="1599" w:type="dxa"/>
            <w:tcBorders>
              <w:top w:val="nil"/>
              <w:left w:val="nil"/>
              <w:bottom w:val="single" w:sz="4" w:space="0" w:color="auto"/>
              <w:right w:val="nil"/>
            </w:tcBorders>
          </w:tcPr>
          <w:p w14:paraId="2196BB30" w14:textId="77777777" w:rsidR="00E6060C" w:rsidRPr="00E6060C" w:rsidRDefault="00E6060C" w:rsidP="00E6060C">
            <w:r w:rsidRPr="00E6060C">
              <w:t>NA</w:t>
            </w:r>
          </w:p>
        </w:tc>
        <w:tc>
          <w:tcPr>
            <w:tcW w:w="1236" w:type="dxa"/>
            <w:tcBorders>
              <w:top w:val="nil"/>
              <w:left w:val="nil"/>
              <w:bottom w:val="single" w:sz="4" w:space="0" w:color="auto"/>
              <w:right w:val="nil"/>
            </w:tcBorders>
          </w:tcPr>
          <w:p w14:paraId="2E97DBEF" w14:textId="77777777" w:rsidR="00E6060C" w:rsidRPr="00E6060C" w:rsidRDefault="00E6060C" w:rsidP="00E6060C">
            <w:r w:rsidRPr="00E6060C">
              <w:t>NA</w:t>
            </w:r>
          </w:p>
        </w:tc>
        <w:tc>
          <w:tcPr>
            <w:tcW w:w="1727" w:type="dxa"/>
            <w:tcBorders>
              <w:top w:val="nil"/>
              <w:left w:val="nil"/>
              <w:bottom w:val="single" w:sz="4" w:space="0" w:color="auto"/>
              <w:right w:val="nil"/>
            </w:tcBorders>
          </w:tcPr>
          <w:p w14:paraId="12DD1BD8" w14:textId="77777777" w:rsidR="00E6060C" w:rsidRPr="00E6060C" w:rsidRDefault="00E6060C" w:rsidP="00E6060C">
            <w:r w:rsidRPr="00E6060C">
              <w:t>Cross-sectional study therefore doesn’t meet inclusion criteria for this meta-analysis</w:t>
            </w:r>
          </w:p>
        </w:tc>
        <w:tc>
          <w:tcPr>
            <w:tcW w:w="1155" w:type="dxa"/>
            <w:tcBorders>
              <w:top w:val="nil"/>
              <w:left w:val="nil"/>
              <w:bottom w:val="single" w:sz="4" w:space="0" w:color="auto"/>
              <w:right w:val="nil"/>
            </w:tcBorders>
          </w:tcPr>
          <w:p w14:paraId="4781F3E7" w14:textId="77777777" w:rsidR="00E6060C" w:rsidRPr="00E6060C" w:rsidRDefault="00E6060C" w:rsidP="00E6060C">
            <w:r w:rsidRPr="00E6060C">
              <w:t>12.12.14</w:t>
            </w:r>
          </w:p>
        </w:tc>
      </w:tr>
    </w:tbl>
    <w:p w14:paraId="68057B38" w14:textId="77777777" w:rsidR="00E6060C" w:rsidRPr="00E6060C" w:rsidRDefault="00E6060C" w:rsidP="00E6060C">
      <w:pPr>
        <w:spacing w:line="240" w:lineRule="auto"/>
        <w:contextualSpacing/>
        <w:rPr>
          <w:sz w:val="20"/>
          <w:szCs w:val="20"/>
        </w:rPr>
      </w:pPr>
      <w:r w:rsidRPr="00E6060C">
        <w:rPr>
          <w:sz w:val="20"/>
          <w:szCs w:val="20"/>
        </w:rPr>
        <w:t>*Type</w:t>
      </w:r>
      <w:r w:rsidRPr="00E6060C">
        <w:rPr>
          <w:sz w:val="20"/>
          <w:szCs w:val="20"/>
          <w:vertAlign w:val="superscript"/>
        </w:rPr>
        <w:t xml:space="preserve"> </w:t>
      </w:r>
      <w:r w:rsidRPr="00E6060C">
        <w:rPr>
          <w:sz w:val="20"/>
          <w:szCs w:val="20"/>
        </w:rPr>
        <w:t>of document: P=Published in a peer reviewed journal; UnP=Unpublished; G=Grey literature; T=PhD / MA thesis</w:t>
      </w:r>
    </w:p>
    <w:p w14:paraId="3554F3A1" w14:textId="77777777" w:rsidR="00E6060C" w:rsidRPr="00E6060C" w:rsidRDefault="00E6060C" w:rsidP="00E6060C">
      <w:pPr>
        <w:spacing w:line="240" w:lineRule="auto"/>
        <w:contextualSpacing/>
      </w:pPr>
      <w:r w:rsidRPr="00E6060C">
        <w:rPr>
          <w:sz w:val="20"/>
          <w:szCs w:val="20"/>
        </w:rPr>
        <w:t>**MLQ=Multifactor Leadership Questionnaire</w:t>
      </w:r>
    </w:p>
    <w:p w14:paraId="17132AA0" w14:textId="77777777" w:rsidR="00E6060C" w:rsidRPr="00E6060C" w:rsidRDefault="00E6060C" w:rsidP="00E6060C">
      <w:pPr>
        <w:rPr>
          <w:b/>
        </w:rPr>
      </w:pPr>
    </w:p>
    <w:p w14:paraId="55570C5F" w14:textId="77777777" w:rsidR="00E6060C" w:rsidRPr="00E6060C" w:rsidRDefault="00E6060C" w:rsidP="00E6060C">
      <w:pPr>
        <w:sectPr w:rsidR="00E6060C" w:rsidRPr="00E6060C" w:rsidSect="00E6060C">
          <w:pgSz w:w="16838" w:h="11906" w:orient="landscape"/>
          <w:pgMar w:top="1440" w:right="1440" w:bottom="1440" w:left="1440" w:header="709" w:footer="709" w:gutter="0"/>
          <w:cols w:space="708"/>
          <w:docGrid w:linePitch="360"/>
        </w:sectPr>
      </w:pPr>
    </w:p>
    <w:p w14:paraId="078286F6" w14:textId="77777777" w:rsidR="00E6060C" w:rsidRPr="00E6060C" w:rsidRDefault="00E6060C" w:rsidP="007B44F8">
      <w:pPr>
        <w:pStyle w:val="Heading2nonumbers"/>
      </w:pPr>
      <w:bookmarkStart w:id="556" w:name="_Toc468286056"/>
      <w:r w:rsidRPr="00E6060C">
        <w:lastRenderedPageBreak/>
        <w:t>Appendix 4a: Characteristics of all studies included in the narrative systematic review and meta-analyses (</w:t>
      </w:r>
      <w:r w:rsidRPr="00E6060C">
        <w:rPr>
          <w:i/>
        </w:rPr>
        <w:t>K</w:t>
      </w:r>
      <w:r w:rsidRPr="00E6060C">
        <w:t>=33)</w:t>
      </w:r>
      <w:bookmarkEnd w:id="556"/>
    </w:p>
    <w:p w14:paraId="12768779" w14:textId="77777777" w:rsidR="00E6060C" w:rsidRPr="00E6060C" w:rsidRDefault="00E6060C" w:rsidP="00E6060C"/>
    <w:tbl>
      <w:tblPr>
        <w:tblStyle w:val="TableGrid8"/>
        <w:tblW w:w="1509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
        <w:gridCol w:w="1403"/>
        <w:gridCol w:w="880"/>
        <w:gridCol w:w="1389"/>
        <w:gridCol w:w="1635"/>
        <w:gridCol w:w="1674"/>
        <w:gridCol w:w="2387"/>
        <w:gridCol w:w="1272"/>
        <w:gridCol w:w="1357"/>
        <w:gridCol w:w="1285"/>
        <w:gridCol w:w="1358"/>
        <w:gridCol w:w="13"/>
      </w:tblGrid>
      <w:tr w:rsidR="00E6060C" w:rsidRPr="00E6060C" w14:paraId="68C4D31C" w14:textId="77777777" w:rsidTr="00E6060C">
        <w:trPr>
          <w:gridAfter w:val="1"/>
          <w:wAfter w:w="13" w:type="dxa"/>
          <w:cantSplit/>
          <w:trHeight w:val="505"/>
          <w:tblHeader/>
        </w:trPr>
        <w:tc>
          <w:tcPr>
            <w:tcW w:w="440" w:type="dxa"/>
            <w:vMerge w:val="restart"/>
            <w:tcBorders>
              <w:top w:val="single" w:sz="4" w:space="0" w:color="auto"/>
              <w:bottom w:val="single" w:sz="4" w:space="0" w:color="auto"/>
            </w:tcBorders>
          </w:tcPr>
          <w:p w14:paraId="6837EF1E" w14:textId="77777777" w:rsidR="00E6060C" w:rsidRPr="00E6060C" w:rsidRDefault="00E6060C" w:rsidP="00E6060C">
            <w:pPr>
              <w:rPr>
                <w:b/>
              </w:rPr>
            </w:pPr>
          </w:p>
        </w:tc>
        <w:tc>
          <w:tcPr>
            <w:tcW w:w="1403" w:type="dxa"/>
            <w:vMerge w:val="restart"/>
            <w:tcBorders>
              <w:top w:val="single" w:sz="4" w:space="0" w:color="auto"/>
              <w:bottom w:val="single" w:sz="4" w:space="0" w:color="auto"/>
            </w:tcBorders>
          </w:tcPr>
          <w:p w14:paraId="44DD3AA6" w14:textId="77777777" w:rsidR="00E6060C" w:rsidRPr="00E6060C" w:rsidRDefault="00E6060C" w:rsidP="00E6060C">
            <w:pPr>
              <w:rPr>
                <w:b/>
              </w:rPr>
            </w:pPr>
            <w:r w:rsidRPr="00E6060C">
              <w:rPr>
                <w:b/>
              </w:rPr>
              <w:t>Ref</w:t>
            </w:r>
          </w:p>
        </w:tc>
        <w:tc>
          <w:tcPr>
            <w:tcW w:w="880" w:type="dxa"/>
            <w:vMerge w:val="restart"/>
            <w:tcBorders>
              <w:top w:val="single" w:sz="4" w:space="0" w:color="auto"/>
              <w:bottom w:val="single" w:sz="4" w:space="0" w:color="auto"/>
            </w:tcBorders>
          </w:tcPr>
          <w:p w14:paraId="761FC998" w14:textId="77777777" w:rsidR="00E6060C" w:rsidRPr="00E6060C" w:rsidRDefault="00E6060C" w:rsidP="00E6060C">
            <w:pPr>
              <w:rPr>
                <w:b/>
                <w:vertAlign w:val="superscript"/>
              </w:rPr>
            </w:pPr>
            <w:r w:rsidRPr="00E6060C">
              <w:rPr>
                <w:b/>
              </w:rPr>
              <w:t>Type of doc</w:t>
            </w:r>
            <w:r w:rsidRPr="00E6060C">
              <w:rPr>
                <w:b/>
                <w:vertAlign w:val="superscript"/>
              </w:rPr>
              <w:t>a</w:t>
            </w:r>
          </w:p>
        </w:tc>
        <w:tc>
          <w:tcPr>
            <w:tcW w:w="1389" w:type="dxa"/>
            <w:vMerge w:val="restart"/>
            <w:tcBorders>
              <w:top w:val="single" w:sz="4" w:space="0" w:color="auto"/>
              <w:bottom w:val="single" w:sz="4" w:space="0" w:color="auto"/>
            </w:tcBorders>
          </w:tcPr>
          <w:p w14:paraId="3C85BD83" w14:textId="77777777" w:rsidR="00E6060C" w:rsidRPr="00E6060C" w:rsidRDefault="00E6060C" w:rsidP="00E6060C">
            <w:pPr>
              <w:rPr>
                <w:b/>
              </w:rPr>
            </w:pPr>
            <w:r w:rsidRPr="00E6060C">
              <w:rPr>
                <w:b/>
              </w:rPr>
              <w:t>Country</w:t>
            </w:r>
          </w:p>
        </w:tc>
        <w:tc>
          <w:tcPr>
            <w:tcW w:w="1635" w:type="dxa"/>
            <w:vMerge w:val="restart"/>
            <w:tcBorders>
              <w:top w:val="single" w:sz="4" w:space="0" w:color="auto"/>
              <w:bottom w:val="single" w:sz="4" w:space="0" w:color="auto"/>
            </w:tcBorders>
          </w:tcPr>
          <w:p w14:paraId="71C416A4" w14:textId="77777777" w:rsidR="00E6060C" w:rsidRPr="00E6060C" w:rsidRDefault="00E6060C" w:rsidP="00E6060C">
            <w:pPr>
              <w:rPr>
                <w:b/>
              </w:rPr>
            </w:pPr>
            <w:r w:rsidRPr="00E6060C">
              <w:rPr>
                <w:b/>
              </w:rPr>
              <w:t>Organisation type</w:t>
            </w:r>
          </w:p>
        </w:tc>
        <w:tc>
          <w:tcPr>
            <w:tcW w:w="1674" w:type="dxa"/>
            <w:vMerge w:val="restart"/>
            <w:tcBorders>
              <w:top w:val="single" w:sz="4" w:space="0" w:color="auto"/>
              <w:bottom w:val="single" w:sz="4" w:space="0" w:color="auto"/>
            </w:tcBorders>
          </w:tcPr>
          <w:p w14:paraId="0AA5796F" w14:textId="77777777" w:rsidR="00E6060C" w:rsidRPr="00E6060C" w:rsidRDefault="00E6060C" w:rsidP="00E6060C">
            <w:pPr>
              <w:rPr>
                <w:b/>
              </w:rPr>
            </w:pPr>
            <w:r w:rsidRPr="00E6060C">
              <w:rPr>
                <w:b/>
              </w:rPr>
              <w:t>Design</w:t>
            </w:r>
            <w:r w:rsidRPr="00E6060C">
              <w:rPr>
                <w:b/>
                <w:vertAlign w:val="superscript"/>
              </w:rPr>
              <w:t>b</w:t>
            </w:r>
            <w:r w:rsidRPr="00E6060C">
              <w:rPr>
                <w:b/>
              </w:rPr>
              <w:t xml:space="preserve"> features</w:t>
            </w:r>
          </w:p>
        </w:tc>
        <w:tc>
          <w:tcPr>
            <w:tcW w:w="2387" w:type="dxa"/>
            <w:vMerge w:val="restart"/>
            <w:tcBorders>
              <w:top w:val="single" w:sz="4" w:space="0" w:color="auto"/>
              <w:bottom w:val="single" w:sz="4" w:space="0" w:color="auto"/>
            </w:tcBorders>
          </w:tcPr>
          <w:p w14:paraId="09304183" w14:textId="77777777" w:rsidR="00E6060C" w:rsidRPr="00E6060C" w:rsidRDefault="00E6060C" w:rsidP="00E6060C">
            <w:pPr>
              <w:rPr>
                <w:b/>
              </w:rPr>
            </w:pPr>
            <w:r w:rsidRPr="00E6060C">
              <w:rPr>
                <w:b/>
              </w:rPr>
              <w:t>Aim of intervention</w:t>
            </w:r>
          </w:p>
        </w:tc>
        <w:tc>
          <w:tcPr>
            <w:tcW w:w="1272" w:type="dxa"/>
            <w:vMerge w:val="restart"/>
            <w:tcBorders>
              <w:top w:val="single" w:sz="4" w:space="0" w:color="auto"/>
              <w:bottom w:val="single" w:sz="4" w:space="0" w:color="auto"/>
            </w:tcBorders>
          </w:tcPr>
          <w:p w14:paraId="1B4DFC2F" w14:textId="77777777" w:rsidR="00E6060C" w:rsidRPr="00E6060C" w:rsidRDefault="00E6060C" w:rsidP="00E6060C">
            <w:pPr>
              <w:rPr>
                <w:b/>
              </w:rPr>
            </w:pPr>
            <w:r w:rsidRPr="00E6060C">
              <w:rPr>
                <w:b/>
              </w:rPr>
              <w:t>Total study duration</w:t>
            </w:r>
          </w:p>
        </w:tc>
        <w:tc>
          <w:tcPr>
            <w:tcW w:w="1357" w:type="dxa"/>
            <w:vMerge w:val="restart"/>
            <w:tcBorders>
              <w:top w:val="single" w:sz="4" w:space="0" w:color="auto"/>
              <w:bottom w:val="single" w:sz="4" w:space="0" w:color="auto"/>
            </w:tcBorders>
          </w:tcPr>
          <w:p w14:paraId="19D05664" w14:textId="77777777" w:rsidR="00E6060C" w:rsidRPr="00E6060C" w:rsidRDefault="00E6060C" w:rsidP="00E6060C">
            <w:pPr>
              <w:rPr>
                <w:b/>
              </w:rPr>
            </w:pPr>
            <w:r w:rsidRPr="00E6060C">
              <w:rPr>
                <w:b/>
              </w:rPr>
              <w:t>Duration of intervention (T1-T2)</w:t>
            </w:r>
          </w:p>
        </w:tc>
        <w:tc>
          <w:tcPr>
            <w:tcW w:w="1285" w:type="dxa"/>
            <w:vMerge w:val="restart"/>
            <w:tcBorders>
              <w:top w:val="single" w:sz="4" w:space="0" w:color="auto"/>
              <w:bottom w:val="single" w:sz="4" w:space="0" w:color="auto"/>
            </w:tcBorders>
          </w:tcPr>
          <w:p w14:paraId="688F0075" w14:textId="77777777" w:rsidR="00E6060C" w:rsidRPr="00E6060C" w:rsidRDefault="00E6060C" w:rsidP="00E6060C">
            <w:pPr>
              <w:rPr>
                <w:b/>
              </w:rPr>
            </w:pPr>
            <w:r w:rsidRPr="00E6060C">
              <w:rPr>
                <w:b/>
              </w:rPr>
              <w:t xml:space="preserve">Sample size </w:t>
            </w:r>
          </w:p>
        </w:tc>
        <w:tc>
          <w:tcPr>
            <w:tcW w:w="1358" w:type="dxa"/>
            <w:vMerge w:val="restart"/>
            <w:tcBorders>
              <w:top w:val="single" w:sz="4" w:space="0" w:color="auto"/>
              <w:bottom w:val="single" w:sz="4" w:space="0" w:color="auto"/>
            </w:tcBorders>
          </w:tcPr>
          <w:p w14:paraId="5111894E" w14:textId="77777777" w:rsidR="00E6060C" w:rsidRPr="00E6060C" w:rsidRDefault="00E6060C" w:rsidP="00E6060C">
            <w:pPr>
              <w:rPr>
                <w:b/>
              </w:rPr>
            </w:pPr>
            <w:r w:rsidRPr="00E6060C">
              <w:rPr>
                <w:b/>
              </w:rPr>
              <w:t>Intervention</w:t>
            </w:r>
          </w:p>
          <w:p w14:paraId="28CD5865" w14:textId="77777777" w:rsidR="00E6060C" w:rsidRPr="00E6060C" w:rsidRDefault="00E6060C" w:rsidP="00E6060C">
            <w:pPr>
              <w:rPr>
                <w:b/>
              </w:rPr>
            </w:pPr>
            <w:r w:rsidRPr="00E6060C">
              <w:rPr>
                <w:b/>
              </w:rPr>
              <w:t>style</w:t>
            </w:r>
          </w:p>
        </w:tc>
      </w:tr>
      <w:tr w:rsidR="00E6060C" w:rsidRPr="00E6060C" w14:paraId="78579F9D" w14:textId="77777777" w:rsidTr="00E6060C">
        <w:trPr>
          <w:gridAfter w:val="1"/>
          <w:wAfter w:w="13" w:type="dxa"/>
          <w:cantSplit/>
          <w:trHeight w:val="505"/>
          <w:tblHeader/>
        </w:trPr>
        <w:tc>
          <w:tcPr>
            <w:tcW w:w="440" w:type="dxa"/>
            <w:vMerge/>
            <w:tcBorders>
              <w:bottom w:val="single" w:sz="4" w:space="0" w:color="auto"/>
            </w:tcBorders>
          </w:tcPr>
          <w:p w14:paraId="61E3D0C1" w14:textId="77777777" w:rsidR="00E6060C" w:rsidRPr="00E6060C" w:rsidRDefault="00E6060C" w:rsidP="00E6060C">
            <w:pPr>
              <w:rPr>
                <w:b/>
              </w:rPr>
            </w:pPr>
          </w:p>
        </w:tc>
        <w:tc>
          <w:tcPr>
            <w:tcW w:w="1403" w:type="dxa"/>
            <w:vMerge/>
            <w:tcBorders>
              <w:bottom w:val="single" w:sz="4" w:space="0" w:color="auto"/>
            </w:tcBorders>
          </w:tcPr>
          <w:p w14:paraId="7BCC786A" w14:textId="77777777" w:rsidR="00E6060C" w:rsidRPr="00E6060C" w:rsidRDefault="00E6060C" w:rsidP="00E6060C">
            <w:pPr>
              <w:rPr>
                <w:b/>
              </w:rPr>
            </w:pPr>
          </w:p>
        </w:tc>
        <w:tc>
          <w:tcPr>
            <w:tcW w:w="880" w:type="dxa"/>
            <w:vMerge/>
            <w:tcBorders>
              <w:bottom w:val="single" w:sz="4" w:space="0" w:color="auto"/>
            </w:tcBorders>
          </w:tcPr>
          <w:p w14:paraId="6E3487D2" w14:textId="77777777" w:rsidR="00E6060C" w:rsidRPr="00E6060C" w:rsidRDefault="00E6060C" w:rsidP="00E6060C">
            <w:pPr>
              <w:rPr>
                <w:b/>
              </w:rPr>
            </w:pPr>
          </w:p>
        </w:tc>
        <w:tc>
          <w:tcPr>
            <w:tcW w:w="1389" w:type="dxa"/>
            <w:vMerge/>
            <w:tcBorders>
              <w:bottom w:val="single" w:sz="4" w:space="0" w:color="auto"/>
            </w:tcBorders>
          </w:tcPr>
          <w:p w14:paraId="704B734E" w14:textId="77777777" w:rsidR="00E6060C" w:rsidRPr="00E6060C" w:rsidRDefault="00E6060C" w:rsidP="00E6060C">
            <w:pPr>
              <w:rPr>
                <w:b/>
              </w:rPr>
            </w:pPr>
          </w:p>
        </w:tc>
        <w:tc>
          <w:tcPr>
            <w:tcW w:w="1635" w:type="dxa"/>
            <w:vMerge/>
            <w:tcBorders>
              <w:bottom w:val="single" w:sz="4" w:space="0" w:color="auto"/>
            </w:tcBorders>
          </w:tcPr>
          <w:p w14:paraId="19936675" w14:textId="77777777" w:rsidR="00E6060C" w:rsidRPr="00E6060C" w:rsidRDefault="00E6060C" w:rsidP="00E6060C">
            <w:pPr>
              <w:rPr>
                <w:b/>
              </w:rPr>
            </w:pPr>
          </w:p>
        </w:tc>
        <w:tc>
          <w:tcPr>
            <w:tcW w:w="1674" w:type="dxa"/>
            <w:vMerge/>
            <w:tcBorders>
              <w:bottom w:val="single" w:sz="4" w:space="0" w:color="auto"/>
            </w:tcBorders>
          </w:tcPr>
          <w:p w14:paraId="46CE585E" w14:textId="77777777" w:rsidR="00E6060C" w:rsidRPr="00E6060C" w:rsidRDefault="00E6060C" w:rsidP="00E6060C">
            <w:pPr>
              <w:rPr>
                <w:b/>
              </w:rPr>
            </w:pPr>
          </w:p>
        </w:tc>
        <w:tc>
          <w:tcPr>
            <w:tcW w:w="2387" w:type="dxa"/>
            <w:vMerge/>
            <w:tcBorders>
              <w:bottom w:val="single" w:sz="4" w:space="0" w:color="auto"/>
            </w:tcBorders>
          </w:tcPr>
          <w:p w14:paraId="7520DB06" w14:textId="77777777" w:rsidR="00E6060C" w:rsidRPr="00E6060C" w:rsidRDefault="00E6060C" w:rsidP="00E6060C">
            <w:pPr>
              <w:rPr>
                <w:b/>
              </w:rPr>
            </w:pPr>
          </w:p>
        </w:tc>
        <w:tc>
          <w:tcPr>
            <w:tcW w:w="1272" w:type="dxa"/>
            <w:vMerge/>
            <w:tcBorders>
              <w:bottom w:val="single" w:sz="4" w:space="0" w:color="auto"/>
            </w:tcBorders>
          </w:tcPr>
          <w:p w14:paraId="087F5CF6" w14:textId="77777777" w:rsidR="00E6060C" w:rsidRPr="00E6060C" w:rsidRDefault="00E6060C" w:rsidP="00E6060C">
            <w:pPr>
              <w:rPr>
                <w:b/>
              </w:rPr>
            </w:pPr>
          </w:p>
        </w:tc>
        <w:tc>
          <w:tcPr>
            <w:tcW w:w="1357" w:type="dxa"/>
            <w:vMerge/>
            <w:tcBorders>
              <w:bottom w:val="single" w:sz="4" w:space="0" w:color="auto"/>
            </w:tcBorders>
          </w:tcPr>
          <w:p w14:paraId="191DEC83" w14:textId="77777777" w:rsidR="00E6060C" w:rsidRPr="00E6060C" w:rsidRDefault="00E6060C" w:rsidP="00E6060C">
            <w:pPr>
              <w:rPr>
                <w:b/>
              </w:rPr>
            </w:pPr>
          </w:p>
        </w:tc>
        <w:tc>
          <w:tcPr>
            <w:tcW w:w="1285" w:type="dxa"/>
            <w:vMerge/>
            <w:tcBorders>
              <w:bottom w:val="single" w:sz="4" w:space="0" w:color="auto"/>
            </w:tcBorders>
          </w:tcPr>
          <w:p w14:paraId="2C071856" w14:textId="77777777" w:rsidR="00E6060C" w:rsidRPr="00E6060C" w:rsidRDefault="00E6060C" w:rsidP="00E6060C">
            <w:pPr>
              <w:rPr>
                <w:b/>
              </w:rPr>
            </w:pPr>
          </w:p>
        </w:tc>
        <w:tc>
          <w:tcPr>
            <w:tcW w:w="1358" w:type="dxa"/>
            <w:vMerge/>
            <w:tcBorders>
              <w:bottom w:val="single" w:sz="4" w:space="0" w:color="auto"/>
            </w:tcBorders>
          </w:tcPr>
          <w:p w14:paraId="273D5E4E" w14:textId="77777777" w:rsidR="00E6060C" w:rsidRPr="00E6060C" w:rsidRDefault="00E6060C" w:rsidP="00E6060C">
            <w:pPr>
              <w:rPr>
                <w:b/>
              </w:rPr>
            </w:pPr>
          </w:p>
        </w:tc>
      </w:tr>
      <w:tr w:rsidR="00E6060C" w:rsidRPr="00E6060C" w14:paraId="2F88AF72" w14:textId="77777777" w:rsidTr="00E6060C">
        <w:tc>
          <w:tcPr>
            <w:tcW w:w="15093" w:type="dxa"/>
            <w:gridSpan w:val="12"/>
            <w:tcBorders>
              <w:bottom w:val="single" w:sz="4" w:space="0" w:color="auto"/>
            </w:tcBorders>
          </w:tcPr>
          <w:p w14:paraId="54933C99" w14:textId="77777777" w:rsidR="00E6060C" w:rsidRPr="00E6060C" w:rsidRDefault="00E6060C" w:rsidP="00E6060C">
            <w:pPr>
              <w:rPr>
                <w:b/>
                <w:sz w:val="28"/>
                <w:szCs w:val="28"/>
              </w:rPr>
            </w:pPr>
            <w:r w:rsidRPr="00E6060C">
              <w:rPr>
                <w:b/>
                <w:sz w:val="28"/>
                <w:szCs w:val="28"/>
              </w:rPr>
              <w:t>PERSONAL RESOURCE BUILDING INTERVENTIONS</w:t>
            </w:r>
          </w:p>
        </w:tc>
      </w:tr>
      <w:tr w:rsidR="00E6060C" w:rsidRPr="00E6060C" w14:paraId="22C87963" w14:textId="77777777" w:rsidTr="00E6060C">
        <w:trPr>
          <w:gridAfter w:val="1"/>
          <w:wAfter w:w="13" w:type="dxa"/>
        </w:trPr>
        <w:tc>
          <w:tcPr>
            <w:tcW w:w="440" w:type="dxa"/>
          </w:tcPr>
          <w:p w14:paraId="29BF778A" w14:textId="77777777" w:rsidR="00E6060C" w:rsidRPr="00E6060C" w:rsidRDefault="00E6060C" w:rsidP="00E6060C">
            <w:r w:rsidRPr="00E6060C">
              <w:t>1</w:t>
            </w:r>
          </w:p>
        </w:tc>
        <w:tc>
          <w:tcPr>
            <w:tcW w:w="1403" w:type="dxa"/>
          </w:tcPr>
          <w:p w14:paraId="3159BBC8" w14:textId="77777777" w:rsidR="00E6060C" w:rsidRPr="00E6060C" w:rsidRDefault="00E6060C" w:rsidP="00E6060C">
            <w:r w:rsidRPr="00E6060C">
              <w:t>Bishop, 2013</w:t>
            </w:r>
          </w:p>
        </w:tc>
        <w:tc>
          <w:tcPr>
            <w:tcW w:w="880" w:type="dxa"/>
          </w:tcPr>
          <w:p w14:paraId="5A85A88B" w14:textId="77777777" w:rsidR="00E6060C" w:rsidRPr="00E6060C" w:rsidRDefault="00E6060C" w:rsidP="00E6060C">
            <w:r w:rsidRPr="00E6060C">
              <w:t>P</w:t>
            </w:r>
          </w:p>
        </w:tc>
        <w:tc>
          <w:tcPr>
            <w:tcW w:w="1389" w:type="dxa"/>
          </w:tcPr>
          <w:p w14:paraId="549FC1E0" w14:textId="77777777" w:rsidR="00E6060C" w:rsidRPr="00E6060C" w:rsidRDefault="00E6060C" w:rsidP="00E6060C">
            <w:pPr>
              <w:tabs>
                <w:tab w:val="left" w:pos="735"/>
              </w:tabs>
            </w:pPr>
            <w:r w:rsidRPr="00E6060C">
              <w:t>USA</w:t>
            </w:r>
          </w:p>
        </w:tc>
        <w:tc>
          <w:tcPr>
            <w:tcW w:w="1635" w:type="dxa"/>
          </w:tcPr>
          <w:p w14:paraId="0FDD7F00" w14:textId="77777777" w:rsidR="00E6060C" w:rsidRPr="00E6060C" w:rsidRDefault="00E6060C" w:rsidP="00E6060C">
            <w:r w:rsidRPr="00E6060C">
              <w:t>Community nurses</w:t>
            </w:r>
          </w:p>
        </w:tc>
        <w:tc>
          <w:tcPr>
            <w:tcW w:w="1674" w:type="dxa"/>
          </w:tcPr>
          <w:p w14:paraId="3F5DE78F" w14:textId="77777777" w:rsidR="00E6060C" w:rsidRPr="00E6060C" w:rsidRDefault="00E6060C" w:rsidP="00E6060C">
            <w:r w:rsidRPr="00E6060C">
              <w:t>NR</w:t>
            </w:r>
          </w:p>
        </w:tc>
        <w:tc>
          <w:tcPr>
            <w:tcW w:w="2387" w:type="dxa"/>
          </w:tcPr>
          <w:p w14:paraId="10893A82" w14:textId="77777777" w:rsidR="00E6060C" w:rsidRPr="00E6060C" w:rsidRDefault="00E6060C" w:rsidP="00E6060C">
            <w:pPr>
              <w:rPr>
                <w:rFonts w:ascii="Calibri" w:hAnsi="Calibri"/>
                <w:color w:val="000000"/>
              </w:rPr>
            </w:pPr>
            <w:r w:rsidRPr="00E6060C">
              <w:t>To create a supportive environment for older nurses (&gt;45) to reflect and share stories and dialogue about the true meaning of caring, and to reaffirm their core values, sense of purpose and commitment to nursing.</w:t>
            </w:r>
          </w:p>
        </w:tc>
        <w:tc>
          <w:tcPr>
            <w:tcW w:w="1272" w:type="dxa"/>
          </w:tcPr>
          <w:p w14:paraId="7B9653BB" w14:textId="77777777" w:rsidR="00E6060C" w:rsidRPr="00E6060C" w:rsidRDefault="00E6060C" w:rsidP="00E6060C">
            <w:r w:rsidRPr="00E6060C">
              <w:t>60 days</w:t>
            </w:r>
          </w:p>
        </w:tc>
        <w:tc>
          <w:tcPr>
            <w:tcW w:w="1357" w:type="dxa"/>
          </w:tcPr>
          <w:p w14:paraId="51172A37" w14:textId="77777777" w:rsidR="00E6060C" w:rsidRPr="00E6060C" w:rsidRDefault="00E6060C" w:rsidP="00E6060C">
            <w:r w:rsidRPr="00E6060C">
              <w:t>30 days</w:t>
            </w:r>
          </w:p>
        </w:tc>
        <w:tc>
          <w:tcPr>
            <w:tcW w:w="1285" w:type="dxa"/>
          </w:tcPr>
          <w:p w14:paraId="00BB4E6F" w14:textId="77777777" w:rsidR="00E6060C" w:rsidRPr="00E6060C" w:rsidRDefault="00E6060C" w:rsidP="00E6060C">
            <w:r w:rsidRPr="00E6060C">
              <w:t>Int=17</w:t>
            </w:r>
          </w:p>
          <w:p w14:paraId="2CBCB29F" w14:textId="77777777" w:rsidR="00E6060C" w:rsidRPr="00E6060C" w:rsidRDefault="00E6060C" w:rsidP="00E6060C">
            <w:r w:rsidRPr="00E6060C">
              <w:t>(matched across T1 &amp; T2)</w:t>
            </w:r>
          </w:p>
        </w:tc>
        <w:tc>
          <w:tcPr>
            <w:tcW w:w="1358" w:type="dxa"/>
          </w:tcPr>
          <w:p w14:paraId="5E1D3D60" w14:textId="77777777" w:rsidR="00E6060C" w:rsidRPr="00E6060C" w:rsidRDefault="00E6060C" w:rsidP="00E6060C">
            <w:r w:rsidRPr="00E6060C">
              <w:t>Group</w:t>
            </w:r>
          </w:p>
        </w:tc>
      </w:tr>
      <w:tr w:rsidR="00E6060C" w:rsidRPr="00E6060C" w14:paraId="1889F37F" w14:textId="77777777" w:rsidTr="00E6060C">
        <w:trPr>
          <w:gridAfter w:val="1"/>
          <w:wAfter w:w="13" w:type="dxa"/>
        </w:trPr>
        <w:tc>
          <w:tcPr>
            <w:tcW w:w="440" w:type="dxa"/>
          </w:tcPr>
          <w:p w14:paraId="7FE57D2A" w14:textId="77777777" w:rsidR="00E6060C" w:rsidRPr="00E6060C" w:rsidRDefault="00E6060C" w:rsidP="00E6060C">
            <w:r w:rsidRPr="00E6060C">
              <w:t>2</w:t>
            </w:r>
          </w:p>
        </w:tc>
        <w:tc>
          <w:tcPr>
            <w:tcW w:w="1403" w:type="dxa"/>
          </w:tcPr>
          <w:p w14:paraId="21FFA8EC" w14:textId="3FC40882" w:rsidR="00E6060C" w:rsidRPr="00E6060C" w:rsidRDefault="00195C4B" w:rsidP="00E6060C">
            <w:r>
              <w:t>*Carter, 2010</w:t>
            </w:r>
          </w:p>
        </w:tc>
        <w:tc>
          <w:tcPr>
            <w:tcW w:w="880" w:type="dxa"/>
          </w:tcPr>
          <w:p w14:paraId="68003887" w14:textId="77777777" w:rsidR="00E6060C" w:rsidRPr="00E6060C" w:rsidRDefault="00E6060C" w:rsidP="00E6060C">
            <w:r w:rsidRPr="00E6060C">
              <w:t>T</w:t>
            </w:r>
          </w:p>
        </w:tc>
        <w:tc>
          <w:tcPr>
            <w:tcW w:w="1389" w:type="dxa"/>
          </w:tcPr>
          <w:p w14:paraId="6B85883A" w14:textId="77777777" w:rsidR="00E6060C" w:rsidRPr="00E6060C" w:rsidRDefault="00E6060C" w:rsidP="00E6060C">
            <w:r w:rsidRPr="00E6060C">
              <w:t>Australia</w:t>
            </w:r>
          </w:p>
        </w:tc>
        <w:tc>
          <w:tcPr>
            <w:tcW w:w="1635" w:type="dxa"/>
          </w:tcPr>
          <w:p w14:paraId="7CC81C91" w14:textId="77777777" w:rsidR="00E6060C" w:rsidRPr="00E6060C" w:rsidRDefault="00E6060C" w:rsidP="00E6060C">
            <w:r w:rsidRPr="00E6060C">
              <w:t xml:space="preserve">Financial services (Retail unit) </w:t>
            </w:r>
          </w:p>
        </w:tc>
        <w:tc>
          <w:tcPr>
            <w:tcW w:w="1674" w:type="dxa"/>
          </w:tcPr>
          <w:p w14:paraId="23FCDE7D" w14:textId="77777777" w:rsidR="00E6060C" w:rsidRPr="00E6060C" w:rsidRDefault="00E6060C" w:rsidP="00E6060C">
            <w:r w:rsidRPr="00E6060C">
              <w:t xml:space="preserve">RM </w:t>
            </w:r>
          </w:p>
        </w:tc>
        <w:tc>
          <w:tcPr>
            <w:tcW w:w="2387" w:type="dxa"/>
          </w:tcPr>
          <w:p w14:paraId="36F025F8" w14:textId="77777777" w:rsidR="00E6060C" w:rsidRPr="00E6060C" w:rsidRDefault="00E6060C" w:rsidP="00E6060C">
            <w:r w:rsidRPr="00E6060C">
              <w:t>To increase self-efficacy</w:t>
            </w:r>
          </w:p>
        </w:tc>
        <w:tc>
          <w:tcPr>
            <w:tcW w:w="1272" w:type="dxa"/>
          </w:tcPr>
          <w:p w14:paraId="35ED7CA7" w14:textId="77777777" w:rsidR="00E6060C" w:rsidRPr="00E6060C" w:rsidRDefault="00E6060C" w:rsidP="00E6060C">
            <w:r w:rsidRPr="00E6060C">
              <w:t>6 m</w:t>
            </w:r>
          </w:p>
        </w:tc>
        <w:tc>
          <w:tcPr>
            <w:tcW w:w="1357" w:type="dxa"/>
          </w:tcPr>
          <w:p w14:paraId="72D3D92C" w14:textId="77777777" w:rsidR="00E6060C" w:rsidRPr="00E6060C" w:rsidRDefault="00E6060C" w:rsidP="00E6060C">
            <w:r w:rsidRPr="00E6060C">
              <w:t>5m</w:t>
            </w:r>
          </w:p>
        </w:tc>
        <w:tc>
          <w:tcPr>
            <w:tcW w:w="1285" w:type="dxa"/>
          </w:tcPr>
          <w:p w14:paraId="443F6A44" w14:textId="77777777" w:rsidR="00E6060C" w:rsidRPr="00E6060C" w:rsidRDefault="00E6060C" w:rsidP="00E6060C">
            <w:r w:rsidRPr="00E6060C">
              <w:t>Int=22</w:t>
            </w:r>
          </w:p>
          <w:p w14:paraId="4FDC8127" w14:textId="77777777" w:rsidR="00E6060C" w:rsidRPr="00E6060C" w:rsidRDefault="00E6060C" w:rsidP="00E6060C">
            <w:r w:rsidRPr="00E6060C">
              <w:t>Con=23</w:t>
            </w:r>
          </w:p>
          <w:p w14:paraId="595395D3" w14:textId="77777777" w:rsidR="00E6060C" w:rsidRPr="00E6060C" w:rsidRDefault="00E6060C" w:rsidP="00E6060C">
            <w:r w:rsidRPr="00E6060C">
              <w:t>(matched across T1 &amp; T2)</w:t>
            </w:r>
          </w:p>
        </w:tc>
        <w:tc>
          <w:tcPr>
            <w:tcW w:w="1358" w:type="dxa"/>
          </w:tcPr>
          <w:p w14:paraId="76A7A5A0" w14:textId="77777777" w:rsidR="00E6060C" w:rsidRPr="00E6060C" w:rsidRDefault="00E6060C" w:rsidP="00E6060C">
            <w:r w:rsidRPr="00E6060C">
              <w:t>Group</w:t>
            </w:r>
          </w:p>
        </w:tc>
      </w:tr>
      <w:tr w:rsidR="00E6060C" w:rsidRPr="00E6060C" w14:paraId="15400DB0" w14:textId="77777777" w:rsidTr="00E6060C">
        <w:trPr>
          <w:gridAfter w:val="1"/>
          <w:wAfter w:w="13" w:type="dxa"/>
        </w:trPr>
        <w:tc>
          <w:tcPr>
            <w:tcW w:w="440" w:type="dxa"/>
          </w:tcPr>
          <w:p w14:paraId="7F4F1916" w14:textId="77777777" w:rsidR="00E6060C" w:rsidRPr="00E6060C" w:rsidRDefault="00E6060C" w:rsidP="00E6060C">
            <w:r w:rsidRPr="00E6060C">
              <w:t>3</w:t>
            </w:r>
          </w:p>
        </w:tc>
        <w:tc>
          <w:tcPr>
            <w:tcW w:w="1403" w:type="dxa"/>
          </w:tcPr>
          <w:p w14:paraId="18826BE9" w14:textId="0E8D1781" w:rsidR="00E6060C" w:rsidRPr="00E6060C" w:rsidRDefault="00195C4B" w:rsidP="00E6060C">
            <w:pPr>
              <w:rPr>
                <w:rFonts w:ascii="Calibri" w:hAnsi="Calibri"/>
                <w:color w:val="000000"/>
              </w:rPr>
            </w:pPr>
            <w:r>
              <w:t>*</w:t>
            </w:r>
            <w:r w:rsidR="00E6060C" w:rsidRPr="00E6060C">
              <w:rPr>
                <w:rFonts w:ascii="Calibri" w:hAnsi="Calibri"/>
                <w:color w:val="000000"/>
              </w:rPr>
              <w:t xml:space="preserve">Chen </w:t>
            </w:r>
            <w:r w:rsidR="00B64DD5">
              <w:rPr>
                <w:rFonts w:ascii="Calibri" w:hAnsi="Calibri"/>
                <w:color w:val="000000"/>
              </w:rPr>
              <w:t>et al.,</w:t>
            </w:r>
            <w:r>
              <w:rPr>
                <w:rFonts w:ascii="Calibri" w:hAnsi="Calibri"/>
                <w:color w:val="000000"/>
              </w:rPr>
              <w:t xml:space="preserve"> 2009</w:t>
            </w:r>
            <w:r w:rsidR="00E6060C" w:rsidRPr="00E6060C">
              <w:rPr>
                <w:rFonts w:ascii="Calibri" w:hAnsi="Calibri"/>
                <w:color w:val="000000"/>
              </w:rPr>
              <w:t xml:space="preserve"> </w:t>
            </w:r>
          </w:p>
        </w:tc>
        <w:tc>
          <w:tcPr>
            <w:tcW w:w="880" w:type="dxa"/>
          </w:tcPr>
          <w:p w14:paraId="5E729A7E" w14:textId="77777777" w:rsidR="00E6060C" w:rsidRPr="00E6060C" w:rsidRDefault="00E6060C" w:rsidP="00E6060C">
            <w:r w:rsidRPr="00E6060C">
              <w:t>P</w:t>
            </w:r>
          </w:p>
        </w:tc>
        <w:tc>
          <w:tcPr>
            <w:tcW w:w="1389" w:type="dxa"/>
          </w:tcPr>
          <w:p w14:paraId="6D9DAD3C" w14:textId="77777777" w:rsidR="00E6060C" w:rsidRPr="00E6060C" w:rsidRDefault="00E6060C" w:rsidP="00E6060C">
            <w:r w:rsidRPr="00E6060C">
              <w:t>Israel</w:t>
            </w:r>
          </w:p>
          <w:p w14:paraId="550BD25A" w14:textId="77777777" w:rsidR="00E6060C" w:rsidRPr="00E6060C" w:rsidRDefault="00E6060C" w:rsidP="00E6060C"/>
        </w:tc>
        <w:tc>
          <w:tcPr>
            <w:tcW w:w="1635" w:type="dxa"/>
          </w:tcPr>
          <w:p w14:paraId="4191B4C4" w14:textId="77777777" w:rsidR="00E6060C" w:rsidRPr="00E6060C" w:rsidRDefault="00E6060C" w:rsidP="00E6060C">
            <w:r w:rsidRPr="00E6060C">
              <w:t>‘Public’ org.</w:t>
            </w:r>
          </w:p>
        </w:tc>
        <w:tc>
          <w:tcPr>
            <w:tcW w:w="1674" w:type="dxa"/>
          </w:tcPr>
          <w:p w14:paraId="0DD09687" w14:textId="77777777" w:rsidR="00E6060C" w:rsidRPr="00E6060C" w:rsidRDefault="00E6060C" w:rsidP="00E6060C">
            <w:pPr>
              <w:rPr>
                <w:rFonts w:ascii="Calibri" w:hAnsi="Calibri"/>
                <w:color w:val="000000"/>
              </w:rPr>
            </w:pPr>
            <w:r w:rsidRPr="00E6060C">
              <w:rPr>
                <w:rFonts w:ascii="Calibri" w:hAnsi="Calibri"/>
                <w:color w:val="000000"/>
              </w:rPr>
              <w:t>CR (units)</w:t>
            </w:r>
          </w:p>
        </w:tc>
        <w:tc>
          <w:tcPr>
            <w:tcW w:w="2387" w:type="dxa"/>
          </w:tcPr>
          <w:p w14:paraId="162B6BEC" w14:textId="77777777" w:rsidR="00E6060C" w:rsidRPr="00E6060C" w:rsidRDefault="00E6060C" w:rsidP="00E6060C">
            <w:r w:rsidRPr="00E6060C">
              <w:t>To increase self-efficacy</w:t>
            </w:r>
          </w:p>
        </w:tc>
        <w:tc>
          <w:tcPr>
            <w:tcW w:w="1272" w:type="dxa"/>
          </w:tcPr>
          <w:p w14:paraId="1AD7FD07" w14:textId="77777777" w:rsidR="00E6060C" w:rsidRPr="00E6060C" w:rsidRDefault="00E6060C" w:rsidP="00E6060C">
            <w:r w:rsidRPr="00E6060C">
              <w:t>10 wks</w:t>
            </w:r>
          </w:p>
        </w:tc>
        <w:tc>
          <w:tcPr>
            <w:tcW w:w="1357" w:type="dxa"/>
          </w:tcPr>
          <w:p w14:paraId="6B12A32C" w14:textId="77777777" w:rsidR="00E6060C" w:rsidRPr="00E6060C" w:rsidRDefault="00E6060C" w:rsidP="00E6060C">
            <w:r w:rsidRPr="00E6060C">
              <w:t>2wks</w:t>
            </w:r>
          </w:p>
        </w:tc>
        <w:tc>
          <w:tcPr>
            <w:tcW w:w="1285" w:type="dxa"/>
          </w:tcPr>
          <w:p w14:paraId="450AC093" w14:textId="77777777" w:rsidR="00E6060C" w:rsidRPr="00E6060C" w:rsidRDefault="00E6060C" w:rsidP="00E6060C">
            <w:r w:rsidRPr="00E6060C">
              <w:t>Int=22</w:t>
            </w:r>
          </w:p>
          <w:p w14:paraId="488AAF54" w14:textId="77777777" w:rsidR="00E6060C" w:rsidRPr="00E6060C" w:rsidRDefault="00E6060C" w:rsidP="00E6060C">
            <w:r w:rsidRPr="00E6060C">
              <w:t>Con=71</w:t>
            </w:r>
          </w:p>
          <w:p w14:paraId="0B7500E3" w14:textId="77777777" w:rsidR="00E6060C" w:rsidRPr="00E6060C" w:rsidRDefault="00E6060C" w:rsidP="00E6060C">
            <w:r w:rsidRPr="00E6060C">
              <w:t>(matched across T1 &amp; T3)</w:t>
            </w:r>
          </w:p>
          <w:p w14:paraId="22AFB000" w14:textId="77777777" w:rsidR="00E6060C" w:rsidRPr="00E6060C" w:rsidRDefault="00E6060C" w:rsidP="00E6060C"/>
        </w:tc>
        <w:tc>
          <w:tcPr>
            <w:tcW w:w="1358" w:type="dxa"/>
          </w:tcPr>
          <w:p w14:paraId="48FFB7EE" w14:textId="77777777" w:rsidR="00E6060C" w:rsidRPr="00E6060C" w:rsidRDefault="00E6060C" w:rsidP="00E6060C">
            <w:r w:rsidRPr="00E6060C">
              <w:t>Group</w:t>
            </w:r>
          </w:p>
        </w:tc>
      </w:tr>
      <w:tr w:rsidR="00E6060C" w:rsidRPr="00E6060C" w14:paraId="50A745E6" w14:textId="77777777" w:rsidTr="00E6060C">
        <w:trPr>
          <w:gridAfter w:val="1"/>
          <w:wAfter w:w="13" w:type="dxa"/>
        </w:trPr>
        <w:tc>
          <w:tcPr>
            <w:tcW w:w="440" w:type="dxa"/>
          </w:tcPr>
          <w:p w14:paraId="5559E5D0" w14:textId="77777777" w:rsidR="00E6060C" w:rsidRPr="00E6060C" w:rsidRDefault="00E6060C" w:rsidP="00E6060C">
            <w:r w:rsidRPr="00E6060C">
              <w:t>4</w:t>
            </w:r>
          </w:p>
        </w:tc>
        <w:tc>
          <w:tcPr>
            <w:tcW w:w="1403" w:type="dxa"/>
          </w:tcPr>
          <w:p w14:paraId="74D24456" w14:textId="77777777" w:rsidR="00E6060C" w:rsidRPr="00E6060C" w:rsidRDefault="00E6060C" w:rsidP="00E6060C">
            <w:r w:rsidRPr="00E6060C">
              <w:t>Iljntema, 2014</w:t>
            </w:r>
          </w:p>
        </w:tc>
        <w:tc>
          <w:tcPr>
            <w:tcW w:w="880" w:type="dxa"/>
          </w:tcPr>
          <w:p w14:paraId="41948709" w14:textId="77777777" w:rsidR="00E6060C" w:rsidRPr="00E6060C" w:rsidRDefault="00E6060C" w:rsidP="00E6060C">
            <w:r w:rsidRPr="00E6060C">
              <w:t>UnP</w:t>
            </w:r>
          </w:p>
          <w:p w14:paraId="7A0D3E68" w14:textId="77777777" w:rsidR="00E6060C" w:rsidRPr="00E6060C" w:rsidRDefault="00E6060C" w:rsidP="00E6060C"/>
        </w:tc>
        <w:tc>
          <w:tcPr>
            <w:tcW w:w="1389" w:type="dxa"/>
          </w:tcPr>
          <w:p w14:paraId="69200953" w14:textId="77777777" w:rsidR="00E6060C" w:rsidRPr="00E6060C" w:rsidRDefault="00E6060C" w:rsidP="00E6060C">
            <w:pPr>
              <w:tabs>
                <w:tab w:val="left" w:pos="735"/>
              </w:tabs>
            </w:pPr>
            <w:r w:rsidRPr="00E6060C">
              <w:t>The Netherlands</w:t>
            </w:r>
          </w:p>
        </w:tc>
        <w:tc>
          <w:tcPr>
            <w:tcW w:w="1635" w:type="dxa"/>
          </w:tcPr>
          <w:p w14:paraId="0D12A493" w14:textId="77777777" w:rsidR="00E6060C" w:rsidRPr="00E6060C" w:rsidRDefault="00E6060C" w:rsidP="00E6060C">
            <w:r w:rsidRPr="00E6060C">
              <w:t>Insurance company</w:t>
            </w:r>
          </w:p>
        </w:tc>
        <w:tc>
          <w:tcPr>
            <w:tcW w:w="1674" w:type="dxa"/>
          </w:tcPr>
          <w:p w14:paraId="1F4052B4" w14:textId="77777777" w:rsidR="00E6060C" w:rsidRPr="00E6060C" w:rsidRDefault="00E6060C" w:rsidP="00E6060C">
            <w:r w:rsidRPr="00E6060C">
              <w:t xml:space="preserve">NR, three wave, quasi-experimental </w:t>
            </w:r>
            <w:r w:rsidRPr="00E6060C">
              <w:lastRenderedPageBreak/>
              <w:t>(pre-test, post-test &amp; 3m follow-up)</w:t>
            </w:r>
          </w:p>
        </w:tc>
        <w:tc>
          <w:tcPr>
            <w:tcW w:w="2387" w:type="dxa"/>
          </w:tcPr>
          <w:p w14:paraId="01B178D2" w14:textId="47C357FC" w:rsidR="00E6060C" w:rsidRPr="00E6060C" w:rsidRDefault="00E6060C" w:rsidP="00E6060C">
            <w:r w:rsidRPr="00E6060C">
              <w:lastRenderedPageBreak/>
              <w:t xml:space="preserve">To assess the effectiveness of a blended coaching </w:t>
            </w:r>
            <w:r w:rsidRPr="00E6060C">
              <w:lastRenderedPageBreak/>
              <w:t xml:space="preserve">programme over time in increasing employee personal resources (PsyCAP), </w:t>
            </w:r>
            <w:r w:rsidR="001D6140">
              <w:t>well-being</w:t>
            </w:r>
            <w:r w:rsidRPr="00E6060C">
              <w:t xml:space="preserve"> and engagement</w:t>
            </w:r>
          </w:p>
        </w:tc>
        <w:tc>
          <w:tcPr>
            <w:tcW w:w="1272" w:type="dxa"/>
          </w:tcPr>
          <w:p w14:paraId="1074B0F6" w14:textId="77777777" w:rsidR="00E6060C" w:rsidRPr="00E6060C" w:rsidRDefault="00E6060C" w:rsidP="00E6060C">
            <w:r w:rsidRPr="00E6060C">
              <w:lastRenderedPageBreak/>
              <w:t>3m</w:t>
            </w:r>
          </w:p>
        </w:tc>
        <w:tc>
          <w:tcPr>
            <w:tcW w:w="1357" w:type="dxa"/>
          </w:tcPr>
          <w:p w14:paraId="67B58856" w14:textId="77777777" w:rsidR="00E6060C" w:rsidRPr="00E6060C" w:rsidRDefault="00E6060C" w:rsidP="00E6060C">
            <w:r w:rsidRPr="00E6060C">
              <w:t>Unknown</w:t>
            </w:r>
          </w:p>
        </w:tc>
        <w:tc>
          <w:tcPr>
            <w:tcW w:w="1285" w:type="dxa"/>
          </w:tcPr>
          <w:p w14:paraId="3A3C3A36" w14:textId="77777777" w:rsidR="00E6060C" w:rsidRPr="00E6060C" w:rsidRDefault="00E6060C" w:rsidP="00E6060C">
            <w:r w:rsidRPr="00E6060C">
              <w:t>Int=158</w:t>
            </w:r>
          </w:p>
          <w:p w14:paraId="339203D5" w14:textId="77777777" w:rsidR="00E6060C" w:rsidRPr="00E6060C" w:rsidRDefault="00E6060C" w:rsidP="00E6060C">
            <w:r w:rsidRPr="00E6060C">
              <w:t>Con=140</w:t>
            </w:r>
          </w:p>
          <w:p w14:paraId="03A9D088" w14:textId="77777777" w:rsidR="00E6060C" w:rsidRPr="00E6060C" w:rsidRDefault="00E6060C" w:rsidP="00E6060C">
            <w:r w:rsidRPr="00E6060C">
              <w:t>(baseline)</w:t>
            </w:r>
          </w:p>
        </w:tc>
        <w:tc>
          <w:tcPr>
            <w:tcW w:w="1358" w:type="dxa"/>
          </w:tcPr>
          <w:p w14:paraId="24B1B631" w14:textId="77777777" w:rsidR="00E6060C" w:rsidRPr="00E6060C" w:rsidRDefault="00E6060C" w:rsidP="00E6060C">
            <w:r w:rsidRPr="00E6060C">
              <w:t xml:space="preserve">Individual </w:t>
            </w:r>
          </w:p>
        </w:tc>
      </w:tr>
      <w:tr w:rsidR="00E6060C" w:rsidRPr="00E6060C" w14:paraId="03C1E564" w14:textId="77777777" w:rsidTr="00E6060C">
        <w:trPr>
          <w:gridAfter w:val="1"/>
          <w:wAfter w:w="13" w:type="dxa"/>
        </w:trPr>
        <w:tc>
          <w:tcPr>
            <w:tcW w:w="440" w:type="dxa"/>
          </w:tcPr>
          <w:p w14:paraId="3C316910" w14:textId="77777777" w:rsidR="00E6060C" w:rsidRPr="00E6060C" w:rsidRDefault="00E6060C" w:rsidP="00E6060C">
            <w:r w:rsidRPr="00E6060C">
              <w:t>5</w:t>
            </w:r>
          </w:p>
        </w:tc>
        <w:tc>
          <w:tcPr>
            <w:tcW w:w="1403" w:type="dxa"/>
          </w:tcPr>
          <w:p w14:paraId="4E9862DA" w14:textId="77777777" w:rsidR="00E6060C" w:rsidRPr="00E6060C" w:rsidRDefault="00E6060C" w:rsidP="00E6060C">
            <w:r w:rsidRPr="00E6060C">
              <w:t>Maclean, 2013</w:t>
            </w:r>
          </w:p>
        </w:tc>
        <w:tc>
          <w:tcPr>
            <w:tcW w:w="880" w:type="dxa"/>
          </w:tcPr>
          <w:p w14:paraId="47152F72" w14:textId="77777777" w:rsidR="00E6060C" w:rsidRPr="00E6060C" w:rsidRDefault="00E6060C" w:rsidP="00E6060C">
            <w:r w:rsidRPr="00E6060C">
              <w:t>T</w:t>
            </w:r>
          </w:p>
        </w:tc>
        <w:tc>
          <w:tcPr>
            <w:tcW w:w="1389" w:type="dxa"/>
          </w:tcPr>
          <w:p w14:paraId="12C9F19F" w14:textId="77777777" w:rsidR="00E6060C" w:rsidRPr="00E6060C" w:rsidRDefault="00E6060C" w:rsidP="00E6060C">
            <w:r w:rsidRPr="00E6060C">
              <w:t>UK (Scotland)</w:t>
            </w:r>
          </w:p>
        </w:tc>
        <w:tc>
          <w:tcPr>
            <w:tcW w:w="1635" w:type="dxa"/>
          </w:tcPr>
          <w:p w14:paraId="684725FE" w14:textId="77777777" w:rsidR="00E6060C" w:rsidRPr="00E6060C" w:rsidRDefault="00E6060C" w:rsidP="00E6060C">
            <w:r w:rsidRPr="00E6060C">
              <w:t>Mental health service staff</w:t>
            </w:r>
          </w:p>
        </w:tc>
        <w:tc>
          <w:tcPr>
            <w:tcW w:w="1674" w:type="dxa"/>
          </w:tcPr>
          <w:p w14:paraId="0C897B2F" w14:textId="77777777" w:rsidR="00E6060C" w:rsidRPr="00E6060C" w:rsidRDefault="00E6060C" w:rsidP="00E6060C">
            <w:r w:rsidRPr="00E6060C">
              <w:rPr>
                <w:rFonts w:ascii="Calibri" w:hAnsi="Calibri"/>
                <w:color w:val="000000"/>
              </w:rPr>
              <w:t>Prospective, non-randomised, cohort controlled, repeated measures design (quasi-experimental)</w:t>
            </w:r>
          </w:p>
        </w:tc>
        <w:tc>
          <w:tcPr>
            <w:tcW w:w="2387" w:type="dxa"/>
          </w:tcPr>
          <w:p w14:paraId="114781DC" w14:textId="77777777" w:rsidR="00E6060C" w:rsidRPr="00E6060C" w:rsidRDefault="00E6060C" w:rsidP="00E6060C">
            <w:r w:rsidRPr="00E6060C">
              <w:t>To evaluate whether Acceptance Commitment Therapy (ACT) can improve the WE of health service staff</w:t>
            </w:r>
          </w:p>
        </w:tc>
        <w:tc>
          <w:tcPr>
            <w:tcW w:w="1272" w:type="dxa"/>
          </w:tcPr>
          <w:p w14:paraId="7F4D88D8" w14:textId="77777777" w:rsidR="00E6060C" w:rsidRPr="00E6060C" w:rsidRDefault="00E6060C" w:rsidP="00E6060C">
            <w:r w:rsidRPr="00E6060C">
              <w:t>10 wks</w:t>
            </w:r>
          </w:p>
          <w:p w14:paraId="5C87C1F3" w14:textId="77777777" w:rsidR="00E6060C" w:rsidRPr="00E6060C" w:rsidRDefault="00E6060C" w:rsidP="00E6060C"/>
        </w:tc>
        <w:tc>
          <w:tcPr>
            <w:tcW w:w="1357" w:type="dxa"/>
          </w:tcPr>
          <w:p w14:paraId="5F286E4D" w14:textId="77777777" w:rsidR="00E6060C" w:rsidRPr="00E6060C" w:rsidRDefault="00E6060C" w:rsidP="00E6060C">
            <w:r w:rsidRPr="00E6060C">
              <w:t>6wks</w:t>
            </w:r>
          </w:p>
        </w:tc>
        <w:tc>
          <w:tcPr>
            <w:tcW w:w="1285" w:type="dxa"/>
          </w:tcPr>
          <w:p w14:paraId="2D1C76CF" w14:textId="77777777" w:rsidR="00E6060C" w:rsidRPr="00E6060C" w:rsidRDefault="00E6060C" w:rsidP="00E6060C">
            <w:r w:rsidRPr="00E6060C">
              <w:t>Int=25 (T1)</w:t>
            </w:r>
          </w:p>
          <w:p w14:paraId="3806C030" w14:textId="77777777" w:rsidR="00E6060C" w:rsidRPr="00E6060C" w:rsidRDefault="00E6060C" w:rsidP="00E6060C">
            <w:r w:rsidRPr="00E6060C">
              <w:t>Con = 20 (T1)</w:t>
            </w:r>
          </w:p>
          <w:p w14:paraId="7607B4DF" w14:textId="77777777" w:rsidR="00E6060C" w:rsidRPr="00E6060C" w:rsidRDefault="00E6060C" w:rsidP="00E6060C"/>
        </w:tc>
        <w:tc>
          <w:tcPr>
            <w:tcW w:w="1358" w:type="dxa"/>
          </w:tcPr>
          <w:p w14:paraId="20B2BB23" w14:textId="77777777" w:rsidR="00E6060C" w:rsidRPr="00E6060C" w:rsidRDefault="00E6060C" w:rsidP="00E6060C">
            <w:r w:rsidRPr="00E6060C">
              <w:t>Group</w:t>
            </w:r>
          </w:p>
        </w:tc>
      </w:tr>
      <w:tr w:rsidR="00E6060C" w:rsidRPr="00E6060C" w14:paraId="3760C5CF" w14:textId="77777777" w:rsidTr="00E6060C">
        <w:trPr>
          <w:gridAfter w:val="1"/>
          <w:wAfter w:w="13" w:type="dxa"/>
        </w:trPr>
        <w:tc>
          <w:tcPr>
            <w:tcW w:w="440" w:type="dxa"/>
          </w:tcPr>
          <w:p w14:paraId="4089DF3B" w14:textId="77777777" w:rsidR="00E6060C" w:rsidRPr="00E6060C" w:rsidRDefault="00E6060C" w:rsidP="00E6060C">
            <w:r w:rsidRPr="00E6060C">
              <w:t>6</w:t>
            </w:r>
          </w:p>
        </w:tc>
        <w:tc>
          <w:tcPr>
            <w:tcW w:w="1403" w:type="dxa"/>
          </w:tcPr>
          <w:p w14:paraId="0445B33A" w14:textId="76D5AD22" w:rsidR="00E6060C" w:rsidRPr="00E6060C" w:rsidRDefault="00195C4B" w:rsidP="00E6060C">
            <w:pPr>
              <w:rPr>
                <w:rFonts w:ascii="Calibri" w:hAnsi="Calibri"/>
                <w:color w:val="000000"/>
              </w:rPr>
            </w:pPr>
            <w:r>
              <w:t>*</w:t>
            </w:r>
            <w:r w:rsidR="00E6060C" w:rsidRPr="00E6060C">
              <w:rPr>
                <w:rFonts w:ascii="Calibri" w:hAnsi="Calibri"/>
                <w:color w:val="000000"/>
              </w:rPr>
              <w:t xml:space="preserve">Ouweneel, </w:t>
            </w:r>
            <w:r w:rsidR="00B64DD5">
              <w:rPr>
                <w:rFonts w:ascii="Calibri" w:hAnsi="Calibri"/>
                <w:color w:val="000000"/>
              </w:rPr>
              <w:t>et al.,</w:t>
            </w:r>
            <w:r>
              <w:rPr>
                <w:rFonts w:ascii="Calibri" w:hAnsi="Calibri"/>
                <w:color w:val="000000"/>
              </w:rPr>
              <w:t xml:space="preserve"> 2013</w:t>
            </w:r>
          </w:p>
          <w:p w14:paraId="00F974EB" w14:textId="77777777" w:rsidR="00E6060C" w:rsidRPr="00E6060C" w:rsidRDefault="00E6060C" w:rsidP="00E6060C"/>
        </w:tc>
        <w:tc>
          <w:tcPr>
            <w:tcW w:w="880" w:type="dxa"/>
          </w:tcPr>
          <w:p w14:paraId="7D06FB5D" w14:textId="77777777" w:rsidR="00E6060C" w:rsidRPr="00E6060C" w:rsidRDefault="00E6060C" w:rsidP="00E6060C">
            <w:r w:rsidRPr="00E6060C">
              <w:t>P</w:t>
            </w:r>
          </w:p>
        </w:tc>
        <w:tc>
          <w:tcPr>
            <w:tcW w:w="1389" w:type="dxa"/>
          </w:tcPr>
          <w:p w14:paraId="0FE60E22" w14:textId="77777777" w:rsidR="00E6060C" w:rsidRPr="00E6060C" w:rsidRDefault="00E6060C" w:rsidP="00E6060C">
            <w:r w:rsidRPr="00E6060C">
              <w:t>The Netherlands</w:t>
            </w:r>
          </w:p>
        </w:tc>
        <w:tc>
          <w:tcPr>
            <w:tcW w:w="1635" w:type="dxa"/>
          </w:tcPr>
          <w:p w14:paraId="07B8EA39" w14:textId="77777777" w:rsidR="00E6060C" w:rsidRPr="00E6060C" w:rsidRDefault="00E6060C" w:rsidP="00E6060C">
            <w:r w:rsidRPr="00E6060C">
              <w:t xml:space="preserve">Various </w:t>
            </w:r>
          </w:p>
        </w:tc>
        <w:tc>
          <w:tcPr>
            <w:tcW w:w="1674" w:type="dxa"/>
          </w:tcPr>
          <w:p w14:paraId="5BFE4534" w14:textId="77777777" w:rsidR="00E6060C" w:rsidRPr="00E6060C" w:rsidRDefault="00E6060C" w:rsidP="00E6060C">
            <w:r w:rsidRPr="00E6060C">
              <w:t>NR, online</w:t>
            </w:r>
          </w:p>
        </w:tc>
        <w:tc>
          <w:tcPr>
            <w:tcW w:w="2387" w:type="dxa"/>
          </w:tcPr>
          <w:p w14:paraId="44B1B415" w14:textId="77777777" w:rsidR="00E6060C" w:rsidRPr="00E6060C" w:rsidRDefault="00E6060C" w:rsidP="00E6060C">
            <w:r w:rsidRPr="00E6060C">
              <w:t>To increase self-efficacy</w:t>
            </w:r>
          </w:p>
        </w:tc>
        <w:tc>
          <w:tcPr>
            <w:tcW w:w="1272" w:type="dxa"/>
          </w:tcPr>
          <w:p w14:paraId="70565B73" w14:textId="77777777" w:rsidR="00E6060C" w:rsidRPr="00E6060C" w:rsidRDefault="00E6060C" w:rsidP="00E6060C">
            <w:r w:rsidRPr="00E6060C">
              <w:t>16 wks</w:t>
            </w:r>
          </w:p>
        </w:tc>
        <w:tc>
          <w:tcPr>
            <w:tcW w:w="1357" w:type="dxa"/>
          </w:tcPr>
          <w:p w14:paraId="3BFF321B" w14:textId="77777777" w:rsidR="00E6060C" w:rsidRPr="00E6060C" w:rsidRDefault="00E6060C" w:rsidP="00E6060C">
            <w:r w:rsidRPr="00E6060C">
              <w:t>8 wks</w:t>
            </w:r>
          </w:p>
        </w:tc>
        <w:tc>
          <w:tcPr>
            <w:tcW w:w="1285" w:type="dxa"/>
          </w:tcPr>
          <w:p w14:paraId="4831FBDE" w14:textId="77777777" w:rsidR="00E6060C" w:rsidRPr="00E6060C" w:rsidRDefault="00E6060C" w:rsidP="00E6060C">
            <w:r w:rsidRPr="00E6060C">
              <w:t>Int=86</w:t>
            </w:r>
          </w:p>
          <w:p w14:paraId="4098471E" w14:textId="77777777" w:rsidR="00E6060C" w:rsidRPr="00E6060C" w:rsidRDefault="00E6060C" w:rsidP="00E6060C">
            <w:r w:rsidRPr="00E6060C">
              <w:t>Con=225</w:t>
            </w:r>
          </w:p>
          <w:p w14:paraId="2CED3114" w14:textId="77777777" w:rsidR="00E6060C" w:rsidRPr="00E6060C" w:rsidRDefault="00E6060C" w:rsidP="00E6060C">
            <w:r w:rsidRPr="00E6060C">
              <w:t>(matched across T1 &amp; T2)</w:t>
            </w:r>
          </w:p>
        </w:tc>
        <w:tc>
          <w:tcPr>
            <w:tcW w:w="1358" w:type="dxa"/>
          </w:tcPr>
          <w:p w14:paraId="22808450" w14:textId="77777777" w:rsidR="00E6060C" w:rsidRPr="00E6060C" w:rsidRDefault="00E6060C" w:rsidP="00E6060C">
            <w:r w:rsidRPr="00E6060C">
              <w:t>Online, individual e-coaching</w:t>
            </w:r>
          </w:p>
        </w:tc>
      </w:tr>
      <w:tr w:rsidR="00E6060C" w:rsidRPr="00E6060C" w14:paraId="62355FB5" w14:textId="77777777" w:rsidTr="00E6060C">
        <w:trPr>
          <w:gridAfter w:val="1"/>
          <w:wAfter w:w="13" w:type="dxa"/>
        </w:trPr>
        <w:tc>
          <w:tcPr>
            <w:tcW w:w="440" w:type="dxa"/>
          </w:tcPr>
          <w:p w14:paraId="16915A63" w14:textId="77777777" w:rsidR="00E6060C" w:rsidRPr="00E6060C" w:rsidRDefault="00E6060C" w:rsidP="00E6060C">
            <w:r w:rsidRPr="00E6060C">
              <w:t>7</w:t>
            </w:r>
          </w:p>
        </w:tc>
        <w:tc>
          <w:tcPr>
            <w:tcW w:w="1403" w:type="dxa"/>
          </w:tcPr>
          <w:p w14:paraId="614546AE" w14:textId="6D4208C3" w:rsidR="00E6060C" w:rsidRPr="00E6060C" w:rsidRDefault="00195C4B" w:rsidP="00195C4B">
            <w:pPr>
              <w:rPr>
                <w:rFonts w:ascii="Calibri" w:hAnsi="Calibri"/>
              </w:rPr>
            </w:pPr>
            <w:r>
              <w:t>*</w:t>
            </w:r>
            <w:r w:rsidR="00E6060C" w:rsidRPr="00E6060C">
              <w:rPr>
                <w:rFonts w:ascii="Calibri" w:hAnsi="Calibri"/>
              </w:rPr>
              <w:t xml:space="preserve">Sodani </w:t>
            </w:r>
            <w:r w:rsidR="00B64DD5">
              <w:rPr>
                <w:rFonts w:ascii="Calibri" w:hAnsi="Calibri"/>
              </w:rPr>
              <w:t>et al.,</w:t>
            </w:r>
            <w:r w:rsidR="00E6060C" w:rsidRPr="00E6060C">
              <w:rPr>
                <w:rFonts w:ascii="Calibri" w:hAnsi="Calibri"/>
              </w:rPr>
              <w:t xml:space="preserve">2011 </w:t>
            </w:r>
          </w:p>
        </w:tc>
        <w:tc>
          <w:tcPr>
            <w:tcW w:w="880" w:type="dxa"/>
          </w:tcPr>
          <w:p w14:paraId="39B55C53" w14:textId="77777777" w:rsidR="00E6060C" w:rsidRPr="00E6060C" w:rsidRDefault="00E6060C" w:rsidP="00E6060C">
            <w:r w:rsidRPr="00E6060C">
              <w:t>G</w:t>
            </w:r>
          </w:p>
        </w:tc>
        <w:tc>
          <w:tcPr>
            <w:tcW w:w="1389" w:type="dxa"/>
          </w:tcPr>
          <w:p w14:paraId="7DA3B131" w14:textId="77777777" w:rsidR="00E6060C" w:rsidRPr="00E6060C" w:rsidRDefault="00E6060C" w:rsidP="00E6060C">
            <w:r w:rsidRPr="00E6060C">
              <w:t>Iran</w:t>
            </w:r>
          </w:p>
        </w:tc>
        <w:tc>
          <w:tcPr>
            <w:tcW w:w="1635" w:type="dxa"/>
          </w:tcPr>
          <w:p w14:paraId="0BD1AB3A" w14:textId="77777777" w:rsidR="00E6060C" w:rsidRPr="00E6060C" w:rsidRDefault="00E6060C" w:rsidP="00E6060C">
            <w:r w:rsidRPr="00E6060C">
              <w:t>Welfare org.</w:t>
            </w:r>
          </w:p>
          <w:p w14:paraId="05A27E74" w14:textId="77777777" w:rsidR="00E6060C" w:rsidRPr="00E6060C" w:rsidRDefault="00E6060C" w:rsidP="00E6060C"/>
        </w:tc>
        <w:tc>
          <w:tcPr>
            <w:tcW w:w="1674" w:type="dxa"/>
          </w:tcPr>
          <w:p w14:paraId="45D9EC53" w14:textId="77777777" w:rsidR="00E6060C" w:rsidRPr="00E6060C" w:rsidRDefault="00E6060C" w:rsidP="00E6060C">
            <w:pPr>
              <w:rPr>
                <w:rFonts w:ascii="Calibri" w:hAnsi="Calibri"/>
                <w:color w:val="000000"/>
              </w:rPr>
            </w:pPr>
            <w:r w:rsidRPr="00E6060C">
              <w:rPr>
                <w:rFonts w:ascii="Calibri" w:hAnsi="Calibri"/>
                <w:color w:val="000000"/>
              </w:rPr>
              <w:t>RMP</w:t>
            </w:r>
          </w:p>
        </w:tc>
        <w:tc>
          <w:tcPr>
            <w:tcW w:w="2387" w:type="dxa"/>
          </w:tcPr>
          <w:p w14:paraId="544C113B" w14:textId="77777777" w:rsidR="00E6060C" w:rsidRPr="00E6060C" w:rsidRDefault="00E6060C" w:rsidP="00E6060C">
            <w:r w:rsidRPr="00E6060C">
              <w:t>To increase self-efficacy</w:t>
            </w:r>
          </w:p>
        </w:tc>
        <w:tc>
          <w:tcPr>
            <w:tcW w:w="1272" w:type="dxa"/>
          </w:tcPr>
          <w:p w14:paraId="053DDF8D" w14:textId="77777777" w:rsidR="00E6060C" w:rsidRPr="00E6060C" w:rsidRDefault="00E6060C" w:rsidP="00E6060C">
            <w:r w:rsidRPr="00E6060C">
              <w:t>Unknown (9 sessions)</w:t>
            </w:r>
          </w:p>
        </w:tc>
        <w:tc>
          <w:tcPr>
            <w:tcW w:w="1357" w:type="dxa"/>
          </w:tcPr>
          <w:p w14:paraId="31B5D2E7" w14:textId="77777777" w:rsidR="00E6060C" w:rsidRPr="00E6060C" w:rsidRDefault="00E6060C" w:rsidP="00E6060C">
            <w:r w:rsidRPr="00E6060C">
              <w:t>Unknown (9 sessions)</w:t>
            </w:r>
          </w:p>
        </w:tc>
        <w:tc>
          <w:tcPr>
            <w:tcW w:w="1285" w:type="dxa"/>
          </w:tcPr>
          <w:p w14:paraId="2768C7FA" w14:textId="77777777" w:rsidR="00E6060C" w:rsidRPr="00E6060C" w:rsidRDefault="00E6060C" w:rsidP="00E6060C">
            <w:r w:rsidRPr="00E6060C">
              <w:t>Int=20</w:t>
            </w:r>
          </w:p>
          <w:p w14:paraId="79CC9669" w14:textId="77777777" w:rsidR="00E6060C" w:rsidRPr="00E6060C" w:rsidRDefault="00E6060C" w:rsidP="00E6060C">
            <w:r w:rsidRPr="00E6060C">
              <w:t>Con=20</w:t>
            </w:r>
          </w:p>
          <w:p w14:paraId="38B33D1F" w14:textId="77777777" w:rsidR="00E6060C" w:rsidRPr="00E6060C" w:rsidRDefault="00E6060C" w:rsidP="00E6060C">
            <w:r w:rsidRPr="00E6060C">
              <w:t>(matched across T1 &amp; T2)</w:t>
            </w:r>
          </w:p>
        </w:tc>
        <w:tc>
          <w:tcPr>
            <w:tcW w:w="1358" w:type="dxa"/>
          </w:tcPr>
          <w:p w14:paraId="4F3C9538" w14:textId="77777777" w:rsidR="00E6060C" w:rsidRPr="00E6060C" w:rsidRDefault="00E6060C" w:rsidP="00E6060C">
            <w:r w:rsidRPr="00E6060C">
              <w:t>Group</w:t>
            </w:r>
          </w:p>
        </w:tc>
      </w:tr>
      <w:tr w:rsidR="00E6060C" w:rsidRPr="00E6060C" w14:paraId="086821B6" w14:textId="77777777" w:rsidTr="00E6060C">
        <w:trPr>
          <w:gridAfter w:val="1"/>
          <w:wAfter w:w="13" w:type="dxa"/>
        </w:trPr>
        <w:tc>
          <w:tcPr>
            <w:tcW w:w="440" w:type="dxa"/>
          </w:tcPr>
          <w:p w14:paraId="34A57ED7" w14:textId="77777777" w:rsidR="00E6060C" w:rsidRPr="00E6060C" w:rsidRDefault="00E6060C" w:rsidP="00E6060C">
            <w:r w:rsidRPr="00E6060C">
              <w:t>8</w:t>
            </w:r>
          </w:p>
        </w:tc>
        <w:tc>
          <w:tcPr>
            <w:tcW w:w="1403" w:type="dxa"/>
          </w:tcPr>
          <w:p w14:paraId="4BFFE103" w14:textId="18C6EC7C" w:rsidR="00E6060C" w:rsidRPr="00E6060C" w:rsidRDefault="00195C4B" w:rsidP="00E6060C">
            <w:r>
              <w:t>*</w:t>
            </w:r>
            <w:r w:rsidR="00E6060C" w:rsidRPr="00E6060C">
              <w:t xml:space="preserve">Vuori </w:t>
            </w:r>
            <w:r w:rsidR="00B64DD5">
              <w:t>et al.,</w:t>
            </w:r>
            <w:r>
              <w:t xml:space="preserve"> 2012</w:t>
            </w:r>
          </w:p>
          <w:p w14:paraId="326800F0" w14:textId="77777777" w:rsidR="00E6060C" w:rsidRPr="00E6060C" w:rsidRDefault="00E6060C" w:rsidP="00E6060C"/>
        </w:tc>
        <w:tc>
          <w:tcPr>
            <w:tcW w:w="880" w:type="dxa"/>
          </w:tcPr>
          <w:p w14:paraId="5AF8D0A7" w14:textId="77777777" w:rsidR="00E6060C" w:rsidRPr="00E6060C" w:rsidRDefault="00E6060C" w:rsidP="00E6060C">
            <w:pPr>
              <w:rPr>
                <w:rFonts w:ascii="Calibri" w:hAnsi="Calibri"/>
                <w:color w:val="000000"/>
              </w:rPr>
            </w:pPr>
            <w:r w:rsidRPr="00E6060C">
              <w:rPr>
                <w:rFonts w:ascii="Calibri" w:hAnsi="Calibri"/>
                <w:color w:val="000000"/>
              </w:rPr>
              <w:t>P</w:t>
            </w:r>
          </w:p>
        </w:tc>
        <w:tc>
          <w:tcPr>
            <w:tcW w:w="1389" w:type="dxa"/>
          </w:tcPr>
          <w:p w14:paraId="16696BDD" w14:textId="77777777" w:rsidR="00E6060C" w:rsidRPr="00E6060C" w:rsidRDefault="00E6060C" w:rsidP="00E6060C">
            <w:pPr>
              <w:rPr>
                <w:rFonts w:ascii="Calibri" w:hAnsi="Calibri"/>
                <w:color w:val="000000"/>
              </w:rPr>
            </w:pPr>
            <w:r w:rsidRPr="00E6060C">
              <w:rPr>
                <w:rFonts w:ascii="Calibri" w:hAnsi="Calibri"/>
                <w:color w:val="000000"/>
              </w:rPr>
              <w:t>Finland</w:t>
            </w:r>
          </w:p>
        </w:tc>
        <w:tc>
          <w:tcPr>
            <w:tcW w:w="1635" w:type="dxa"/>
          </w:tcPr>
          <w:p w14:paraId="655BC4EA" w14:textId="77777777" w:rsidR="00E6060C" w:rsidRPr="00E6060C" w:rsidRDefault="00E6060C" w:rsidP="00E6060C">
            <w:pPr>
              <w:rPr>
                <w:rFonts w:ascii="Calibri" w:hAnsi="Calibri"/>
                <w:color w:val="000000"/>
              </w:rPr>
            </w:pPr>
            <w:r w:rsidRPr="00E6060C">
              <w:rPr>
                <w:rFonts w:ascii="Calibri" w:hAnsi="Calibri"/>
                <w:color w:val="000000"/>
              </w:rPr>
              <w:t>Various</w:t>
            </w:r>
          </w:p>
        </w:tc>
        <w:tc>
          <w:tcPr>
            <w:tcW w:w="1674" w:type="dxa"/>
          </w:tcPr>
          <w:p w14:paraId="0C9E37BA" w14:textId="77777777" w:rsidR="00E6060C" w:rsidRPr="00E6060C" w:rsidRDefault="00E6060C" w:rsidP="00E6060C">
            <w:r w:rsidRPr="00E6060C">
              <w:rPr>
                <w:rFonts w:ascii="Calibri" w:hAnsi="Calibri"/>
                <w:color w:val="000000"/>
              </w:rPr>
              <w:t>R</w:t>
            </w:r>
          </w:p>
        </w:tc>
        <w:tc>
          <w:tcPr>
            <w:tcW w:w="2387" w:type="dxa"/>
          </w:tcPr>
          <w:p w14:paraId="2CCC9192" w14:textId="77777777" w:rsidR="00E6060C" w:rsidRPr="00E6060C" w:rsidRDefault="00E6060C" w:rsidP="00E6060C">
            <w:r w:rsidRPr="00E6060C">
              <w:t xml:space="preserve">To increase career management self-efficacy and preparation against </w:t>
            </w:r>
            <w:r w:rsidRPr="00E6060C">
              <w:lastRenderedPageBreak/>
              <w:t>setbacks (career management preparedness)</w:t>
            </w:r>
          </w:p>
          <w:p w14:paraId="3EF94DF4" w14:textId="77777777" w:rsidR="00E6060C" w:rsidRPr="00E6060C" w:rsidRDefault="00E6060C" w:rsidP="00E6060C"/>
        </w:tc>
        <w:tc>
          <w:tcPr>
            <w:tcW w:w="1272" w:type="dxa"/>
          </w:tcPr>
          <w:p w14:paraId="7D306127" w14:textId="77777777" w:rsidR="00E6060C" w:rsidRPr="00E6060C" w:rsidRDefault="00E6060C" w:rsidP="00E6060C">
            <w:r w:rsidRPr="00E6060C">
              <w:lastRenderedPageBreak/>
              <w:t>7 months</w:t>
            </w:r>
          </w:p>
        </w:tc>
        <w:tc>
          <w:tcPr>
            <w:tcW w:w="1357" w:type="dxa"/>
          </w:tcPr>
          <w:p w14:paraId="440C1B5D" w14:textId="77777777" w:rsidR="00E6060C" w:rsidRPr="00E6060C" w:rsidRDefault="00E6060C" w:rsidP="00E6060C">
            <w:r w:rsidRPr="00E6060C">
              <w:t>1 wk</w:t>
            </w:r>
          </w:p>
        </w:tc>
        <w:tc>
          <w:tcPr>
            <w:tcW w:w="1285" w:type="dxa"/>
          </w:tcPr>
          <w:p w14:paraId="1F82A4EA" w14:textId="77777777" w:rsidR="00E6060C" w:rsidRPr="00E6060C" w:rsidRDefault="00E6060C" w:rsidP="00E6060C">
            <w:r w:rsidRPr="00E6060C">
              <w:t>Matched across T1 &amp; T3:</w:t>
            </w:r>
          </w:p>
          <w:p w14:paraId="71FD6E96" w14:textId="77777777" w:rsidR="00E6060C" w:rsidRPr="00E6060C" w:rsidRDefault="00E6060C" w:rsidP="00E6060C">
            <w:r w:rsidRPr="00E6060C">
              <w:t>Int=365</w:t>
            </w:r>
          </w:p>
          <w:p w14:paraId="22885892" w14:textId="77777777" w:rsidR="00E6060C" w:rsidRPr="00E6060C" w:rsidRDefault="00E6060C" w:rsidP="00E6060C">
            <w:r w:rsidRPr="00E6060C">
              <w:lastRenderedPageBreak/>
              <w:t>Con=341</w:t>
            </w:r>
          </w:p>
        </w:tc>
        <w:tc>
          <w:tcPr>
            <w:tcW w:w="1358" w:type="dxa"/>
          </w:tcPr>
          <w:p w14:paraId="63BA980D" w14:textId="77777777" w:rsidR="00E6060C" w:rsidRPr="00E6060C" w:rsidRDefault="00E6060C" w:rsidP="00E6060C">
            <w:r w:rsidRPr="00E6060C">
              <w:lastRenderedPageBreak/>
              <w:t xml:space="preserve">Group </w:t>
            </w:r>
          </w:p>
        </w:tc>
      </w:tr>
      <w:tr w:rsidR="00E6060C" w:rsidRPr="00E6060C" w14:paraId="496BB14A" w14:textId="77777777" w:rsidTr="00E6060C">
        <w:tc>
          <w:tcPr>
            <w:tcW w:w="15093" w:type="dxa"/>
            <w:gridSpan w:val="12"/>
            <w:shd w:val="clear" w:color="auto" w:fill="D9D9D9" w:themeFill="background1" w:themeFillShade="D9"/>
          </w:tcPr>
          <w:p w14:paraId="1DE207AE" w14:textId="77777777" w:rsidR="00E6060C" w:rsidRPr="00E6060C" w:rsidRDefault="00E6060C" w:rsidP="00E6060C">
            <w:pPr>
              <w:rPr>
                <w:b/>
              </w:rPr>
            </w:pPr>
            <w:r w:rsidRPr="00E6060C">
              <w:rPr>
                <w:b/>
              </w:rPr>
              <w:t>ONGOING PERSONAL RESOURCE BUILDING INTERVENTIONS</w:t>
            </w:r>
          </w:p>
          <w:p w14:paraId="034D5969" w14:textId="77777777" w:rsidR="00E6060C" w:rsidRPr="00E6060C" w:rsidRDefault="00E6060C" w:rsidP="00E6060C">
            <w:pPr>
              <w:rPr>
                <w:b/>
              </w:rPr>
            </w:pPr>
          </w:p>
        </w:tc>
      </w:tr>
      <w:tr w:rsidR="00E6060C" w:rsidRPr="00E6060C" w14:paraId="7868FF65" w14:textId="77777777" w:rsidTr="00E6060C">
        <w:trPr>
          <w:gridAfter w:val="1"/>
          <w:wAfter w:w="13" w:type="dxa"/>
        </w:trPr>
        <w:tc>
          <w:tcPr>
            <w:tcW w:w="440" w:type="dxa"/>
            <w:shd w:val="clear" w:color="auto" w:fill="D9D9D9" w:themeFill="background1" w:themeFillShade="D9"/>
          </w:tcPr>
          <w:p w14:paraId="437D3ACD" w14:textId="77777777" w:rsidR="00E6060C" w:rsidRPr="00E6060C" w:rsidRDefault="00E6060C" w:rsidP="00E6060C">
            <w:r w:rsidRPr="00E6060C">
              <w:t>9</w:t>
            </w:r>
          </w:p>
        </w:tc>
        <w:tc>
          <w:tcPr>
            <w:tcW w:w="1403" w:type="dxa"/>
            <w:shd w:val="clear" w:color="auto" w:fill="D9D9D9" w:themeFill="background1" w:themeFillShade="D9"/>
          </w:tcPr>
          <w:p w14:paraId="3645AFED" w14:textId="77777777" w:rsidR="00E6060C" w:rsidRPr="00E6060C" w:rsidRDefault="00E6060C" w:rsidP="00E6060C">
            <w:r w:rsidRPr="00E6060C">
              <w:t>Koolhaas et al., 2010</w:t>
            </w:r>
          </w:p>
        </w:tc>
        <w:tc>
          <w:tcPr>
            <w:tcW w:w="880" w:type="dxa"/>
            <w:shd w:val="clear" w:color="auto" w:fill="D9D9D9" w:themeFill="background1" w:themeFillShade="D9"/>
          </w:tcPr>
          <w:p w14:paraId="2A7AEEB1" w14:textId="77777777" w:rsidR="00E6060C" w:rsidRPr="00E6060C" w:rsidRDefault="00E6060C" w:rsidP="00E6060C">
            <w:r w:rsidRPr="00E6060C">
              <w:t>P</w:t>
            </w:r>
          </w:p>
          <w:p w14:paraId="4923BCBD" w14:textId="77777777" w:rsidR="00E6060C" w:rsidRPr="00E6060C" w:rsidRDefault="00E6060C" w:rsidP="00E6060C"/>
        </w:tc>
        <w:tc>
          <w:tcPr>
            <w:tcW w:w="1389" w:type="dxa"/>
            <w:shd w:val="clear" w:color="auto" w:fill="D9D9D9" w:themeFill="background1" w:themeFillShade="D9"/>
          </w:tcPr>
          <w:p w14:paraId="7B0C8097" w14:textId="77777777" w:rsidR="00E6060C" w:rsidRPr="00E6060C" w:rsidRDefault="00E6060C" w:rsidP="00E6060C">
            <w:pPr>
              <w:tabs>
                <w:tab w:val="left" w:pos="735"/>
              </w:tabs>
            </w:pPr>
            <w:r w:rsidRPr="00E6060C">
              <w:t>The Netherlands</w:t>
            </w:r>
          </w:p>
        </w:tc>
        <w:tc>
          <w:tcPr>
            <w:tcW w:w="1635" w:type="dxa"/>
            <w:shd w:val="clear" w:color="auto" w:fill="D9D9D9" w:themeFill="background1" w:themeFillShade="D9"/>
          </w:tcPr>
          <w:p w14:paraId="29AE0A35" w14:textId="77777777" w:rsidR="00E6060C" w:rsidRPr="00E6060C" w:rsidRDefault="00E6060C" w:rsidP="00E6060C">
            <w:r w:rsidRPr="00E6060C">
              <w:t>University Medical Centre of Groningen (various depts.)</w:t>
            </w:r>
          </w:p>
        </w:tc>
        <w:tc>
          <w:tcPr>
            <w:tcW w:w="1674" w:type="dxa"/>
            <w:shd w:val="clear" w:color="auto" w:fill="D9D9D9" w:themeFill="background1" w:themeFillShade="D9"/>
          </w:tcPr>
          <w:p w14:paraId="14CA55B8" w14:textId="77777777" w:rsidR="00E6060C" w:rsidRPr="00E6060C" w:rsidRDefault="00E6060C" w:rsidP="00E6060C">
            <w:r w:rsidRPr="00E6060C">
              <w:t xml:space="preserve">Two-armed cluster randomised (at supervisor level), controlled trial, 4 wave (baseline, 3m, 6m &amp; follow-up). </w:t>
            </w:r>
          </w:p>
        </w:tc>
        <w:tc>
          <w:tcPr>
            <w:tcW w:w="2387" w:type="dxa"/>
            <w:shd w:val="clear" w:color="auto" w:fill="D9D9D9" w:themeFill="background1" w:themeFillShade="D9"/>
          </w:tcPr>
          <w:p w14:paraId="31472BBE" w14:textId="77777777" w:rsidR="00E6060C" w:rsidRPr="00E6060C" w:rsidRDefault="00E6060C" w:rsidP="00E6060C">
            <w:r w:rsidRPr="00E6060C">
              <w:t>To enhance the work participation and sustainable healthy working life of employees aged 45+ years</w:t>
            </w:r>
          </w:p>
        </w:tc>
        <w:tc>
          <w:tcPr>
            <w:tcW w:w="1272" w:type="dxa"/>
            <w:shd w:val="clear" w:color="auto" w:fill="D9D9D9" w:themeFill="background1" w:themeFillShade="D9"/>
          </w:tcPr>
          <w:p w14:paraId="1265DED5" w14:textId="77777777" w:rsidR="00E6060C" w:rsidRPr="00E6060C" w:rsidRDefault="00E6060C" w:rsidP="00E6060C">
            <w:r w:rsidRPr="00E6060C">
              <w:t>12m</w:t>
            </w:r>
          </w:p>
        </w:tc>
        <w:tc>
          <w:tcPr>
            <w:tcW w:w="1357" w:type="dxa"/>
            <w:shd w:val="clear" w:color="auto" w:fill="D9D9D9" w:themeFill="background1" w:themeFillShade="D9"/>
          </w:tcPr>
          <w:p w14:paraId="69225DCE" w14:textId="77777777" w:rsidR="00E6060C" w:rsidRPr="00E6060C" w:rsidRDefault="00E6060C" w:rsidP="00E6060C">
            <w:r w:rsidRPr="00E6060C">
              <w:t>3m</w:t>
            </w:r>
          </w:p>
        </w:tc>
        <w:tc>
          <w:tcPr>
            <w:tcW w:w="1285" w:type="dxa"/>
            <w:shd w:val="clear" w:color="auto" w:fill="D9D9D9" w:themeFill="background1" w:themeFillShade="D9"/>
          </w:tcPr>
          <w:p w14:paraId="66758C2A" w14:textId="77777777" w:rsidR="00E6060C" w:rsidRPr="00E6060C" w:rsidRDefault="00E6060C" w:rsidP="00E6060C">
            <w:r w:rsidRPr="00E6060C">
              <w:t>n=92  planned for each group</w:t>
            </w:r>
          </w:p>
        </w:tc>
        <w:tc>
          <w:tcPr>
            <w:tcW w:w="1358" w:type="dxa"/>
            <w:shd w:val="clear" w:color="auto" w:fill="D9D9D9" w:themeFill="background1" w:themeFillShade="D9"/>
          </w:tcPr>
          <w:p w14:paraId="468F096A" w14:textId="77777777" w:rsidR="00E6060C" w:rsidRPr="00E6060C" w:rsidRDefault="00E6060C" w:rsidP="00E6060C">
            <w:r w:rsidRPr="00E6060C">
              <w:t>Individual (between worker &amp; supervisor)</w:t>
            </w:r>
          </w:p>
        </w:tc>
      </w:tr>
      <w:tr w:rsidR="00E6060C" w:rsidRPr="00E6060C" w14:paraId="253C2B3C" w14:textId="77777777" w:rsidTr="00E6060C">
        <w:trPr>
          <w:gridAfter w:val="1"/>
          <w:wAfter w:w="13" w:type="dxa"/>
        </w:trPr>
        <w:tc>
          <w:tcPr>
            <w:tcW w:w="440" w:type="dxa"/>
            <w:shd w:val="clear" w:color="auto" w:fill="D9D9D9" w:themeFill="background1" w:themeFillShade="D9"/>
          </w:tcPr>
          <w:p w14:paraId="6F1AC85D" w14:textId="77777777" w:rsidR="00E6060C" w:rsidRPr="00E6060C" w:rsidRDefault="00E6060C" w:rsidP="00E6060C">
            <w:r w:rsidRPr="00E6060C">
              <w:t>10</w:t>
            </w:r>
          </w:p>
        </w:tc>
        <w:tc>
          <w:tcPr>
            <w:tcW w:w="1403" w:type="dxa"/>
            <w:shd w:val="clear" w:color="auto" w:fill="D9D9D9" w:themeFill="background1" w:themeFillShade="D9"/>
          </w:tcPr>
          <w:p w14:paraId="71858F98" w14:textId="77777777" w:rsidR="00E6060C" w:rsidRPr="00E6060C" w:rsidRDefault="00E6060C" w:rsidP="00E6060C">
            <w:r w:rsidRPr="00E6060C">
              <w:t>Schelvis et al., 2013</w:t>
            </w:r>
          </w:p>
        </w:tc>
        <w:tc>
          <w:tcPr>
            <w:tcW w:w="880" w:type="dxa"/>
            <w:shd w:val="clear" w:color="auto" w:fill="D9D9D9" w:themeFill="background1" w:themeFillShade="D9"/>
          </w:tcPr>
          <w:p w14:paraId="2BE2A525" w14:textId="77777777" w:rsidR="00E6060C" w:rsidRPr="00E6060C" w:rsidRDefault="00E6060C" w:rsidP="00E6060C">
            <w:r w:rsidRPr="00E6060C">
              <w:t>P</w:t>
            </w:r>
          </w:p>
          <w:p w14:paraId="30E637B6" w14:textId="77777777" w:rsidR="00E6060C" w:rsidRPr="00E6060C" w:rsidRDefault="00E6060C" w:rsidP="00E6060C"/>
        </w:tc>
        <w:tc>
          <w:tcPr>
            <w:tcW w:w="1389" w:type="dxa"/>
            <w:shd w:val="clear" w:color="auto" w:fill="D9D9D9" w:themeFill="background1" w:themeFillShade="D9"/>
          </w:tcPr>
          <w:p w14:paraId="0AF40E99" w14:textId="77777777" w:rsidR="00E6060C" w:rsidRPr="00E6060C" w:rsidRDefault="00E6060C" w:rsidP="00E6060C">
            <w:pPr>
              <w:tabs>
                <w:tab w:val="left" w:pos="735"/>
              </w:tabs>
            </w:pPr>
            <w:r w:rsidRPr="00E6060C">
              <w:t>The Netherlands</w:t>
            </w:r>
          </w:p>
        </w:tc>
        <w:tc>
          <w:tcPr>
            <w:tcW w:w="1635" w:type="dxa"/>
            <w:shd w:val="clear" w:color="auto" w:fill="D9D9D9" w:themeFill="background1" w:themeFillShade="D9"/>
          </w:tcPr>
          <w:p w14:paraId="4FE0B004" w14:textId="77777777" w:rsidR="00E6060C" w:rsidRPr="00E6060C" w:rsidRDefault="00E6060C" w:rsidP="00E6060C">
            <w:r w:rsidRPr="00E6060C">
              <w:t>Schools</w:t>
            </w:r>
          </w:p>
        </w:tc>
        <w:tc>
          <w:tcPr>
            <w:tcW w:w="1674" w:type="dxa"/>
            <w:shd w:val="clear" w:color="auto" w:fill="D9D9D9" w:themeFill="background1" w:themeFillShade="D9"/>
          </w:tcPr>
          <w:p w14:paraId="79CD5846" w14:textId="77777777" w:rsidR="00E6060C" w:rsidRPr="00E6060C" w:rsidRDefault="00E6060C" w:rsidP="00E6060C">
            <w:r w:rsidRPr="00E6060C">
              <w:t xml:space="preserve">Cluster randomisation at supervisor level, quasi-experimental controlled trial, 3 wave </w:t>
            </w:r>
          </w:p>
        </w:tc>
        <w:tc>
          <w:tcPr>
            <w:tcW w:w="2387" w:type="dxa"/>
            <w:shd w:val="clear" w:color="auto" w:fill="D9D9D9" w:themeFill="background1" w:themeFillShade="D9"/>
          </w:tcPr>
          <w:p w14:paraId="55C078EE" w14:textId="77777777" w:rsidR="00E6060C" w:rsidRPr="00E6060C" w:rsidRDefault="00E6060C" w:rsidP="00E6060C">
            <w:r w:rsidRPr="00E6060C">
              <w:t>Stress management intervention to reduce the need for recovery and enhance self-efficacy and vitality in school employees</w:t>
            </w:r>
          </w:p>
        </w:tc>
        <w:tc>
          <w:tcPr>
            <w:tcW w:w="1272" w:type="dxa"/>
            <w:shd w:val="clear" w:color="auto" w:fill="D9D9D9" w:themeFill="background1" w:themeFillShade="D9"/>
          </w:tcPr>
          <w:p w14:paraId="53EC13E8" w14:textId="77777777" w:rsidR="00E6060C" w:rsidRPr="00E6060C" w:rsidRDefault="00E6060C" w:rsidP="00E6060C">
            <w:r w:rsidRPr="00E6060C">
              <w:t>18m</w:t>
            </w:r>
          </w:p>
        </w:tc>
        <w:tc>
          <w:tcPr>
            <w:tcW w:w="1357" w:type="dxa"/>
            <w:shd w:val="clear" w:color="auto" w:fill="D9D9D9" w:themeFill="background1" w:themeFillShade="D9"/>
          </w:tcPr>
          <w:p w14:paraId="22C49622" w14:textId="77777777" w:rsidR="00E6060C" w:rsidRPr="00E6060C" w:rsidRDefault="00E6060C" w:rsidP="00E6060C">
            <w:r w:rsidRPr="00E6060C">
              <w:t>6m</w:t>
            </w:r>
          </w:p>
        </w:tc>
        <w:tc>
          <w:tcPr>
            <w:tcW w:w="1285" w:type="dxa"/>
            <w:shd w:val="clear" w:color="auto" w:fill="D9D9D9" w:themeFill="background1" w:themeFillShade="D9"/>
          </w:tcPr>
          <w:p w14:paraId="6AC04A93" w14:textId="77777777" w:rsidR="00E6060C" w:rsidRPr="00E6060C" w:rsidRDefault="00E6060C" w:rsidP="00E6060C">
            <w:r w:rsidRPr="00E6060C">
              <w:t>n=300 planned for each group</w:t>
            </w:r>
          </w:p>
        </w:tc>
        <w:tc>
          <w:tcPr>
            <w:tcW w:w="1358" w:type="dxa"/>
            <w:shd w:val="clear" w:color="auto" w:fill="D9D9D9" w:themeFill="background1" w:themeFillShade="D9"/>
          </w:tcPr>
          <w:p w14:paraId="6DF9DA64" w14:textId="77777777" w:rsidR="00E6060C" w:rsidRPr="00E6060C" w:rsidRDefault="00E6060C" w:rsidP="00E6060C">
            <w:r w:rsidRPr="00E6060C">
              <w:t>Group</w:t>
            </w:r>
          </w:p>
        </w:tc>
      </w:tr>
      <w:tr w:rsidR="00E6060C" w:rsidRPr="00E6060C" w14:paraId="4B398F80" w14:textId="77777777" w:rsidTr="00E6060C">
        <w:trPr>
          <w:gridAfter w:val="1"/>
          <w:wAfter w:w="13" w:type="dxa"/>
        </w:trPr>
        <w:tc>
          <w:tcPr>
            <w:tcW w:w="440" w:type="dxa"/>
            <w:shd w:val="clear" w:color="auto" w:fill="D9D9D9" w:themeFill="background1" w:themeFillShade="D9"/>
          </w:tcPr>
          <w:p w14:paraId="10536ED9" w14:textId="77777777" w:rsidR="00E6060C" w:rsidRPr="00E6060C" w:rsidRDefault="00E6060C" w:rsidP="00E6060C">
            <w:r w:rsidRPr="00E6060C">
              <w:t>11</w:t>
            </w:r>
          </w:p>
        </w:tc>
        <w:tc>
          <w:tcPr>
            <w:tcW w:w="1403" w:type="dxa"/>
            <w:shd w:val="clear" w:color="auto" w:fill="D9D9D9" w:themeFill="background1" w:themeFillShade="D9"/>
          </w:tcPr>
          <w:p w14:paraId="6BD02A56" w14:textId="77777777" w:rsidR="00E6060C" w:rsidRPr="00E6060C" w:rsidRDefault="00E6060C" w:rsidP="00E6060C">
            <w:r w:rsidRPr="00E6060C">
              <w:t>Shaw et al., 2014</w:t>
            </w:r>
          </w:p>
        </w:tc>
        <w:tc>
          <w:tcPr>
            <w:tcW w:w="880" w:type="dxa"/>
            <w:shd w:val="clear" w:color="auto" w:fill="D9D9D9" w:themeFill="background1" w:themeFillShade="D9"/>
          </w:tcPr>
          <w:p w14:paraId="2BF5053A" w14:textId="77777777" w:rsidR="00E6060C" w:rsidRPr="00E6060C" w:rsidRDefault="00E6060C" w:rsidP="00E6060C">
            <w:r w:rsidRPr="00E6060C">
              <w:t>P</w:t>
            </w:r>
          </w:p>
          <w:p w14:paraId="71D64FC5" w14:textId="77777777" w:rsidR="00E6060C" w:rsidRPr="00E6060C" w:rsidRDefault="00E6060C" w:rsidP="00E6060C"/>
        </w:tc>
        <w:tc>
          <w:tcPr>
            <w:tcW w:w="1389" w:type="dxa"/>
            <w:shd w:val="clear" w:color="auto" w:fill="D9D9D9" w:themeFill="background1" w:themeFillShade="D9"/>
          </w:tcPr>
          <w:p w14:paraId="45BF2044" w14:textId="77777777" w:rsidR="00E6060C" w:rsidRPr="00E6060C" w:rsidRDefault="00E6060C" w:rsidP="00E6060C">
            <w:r w:rsidRPr="00E6060C">
              <w:t>USA</w:t>
            </w:r>
          </w:p>
        </w:tc>
        <w:tc>
          <w:tcPr>
            <w:tcW w:w="1635" w:type="dxa"/>
            <w:shd w:val="clear" w:color="auto" w:fill="D9D9D9" w:themeFill="background1" w:themeFillShade="D9"/>
          </w:tcPr>
          <w:p w14:paraId="5045B987" w14:textId="77777777" w:rsidR="00E6060C" w:rsidRPr="00E6060C" w:rsidRDefault="00E6060C" w:rsidP="00E6060C">
            <w:pPr>
              <w:rPr>
                <w:b/>
              </w:rPr>
            </w:pPr>
            <w:r w:rsidRPr="00E6060C">
              <w:t>5 worksites, org. type unknown</w:t>
            </w:r>
          </w:p>
        </w:tc>
        <w:tc>
          <w:tcPr>
            <w:tcW w:w="1674" w:type="dxa"/>
            <w:shd w:val="clear" w:color="auto" w:fill="D9D9D9" w:themeFill="background1" w:themeFillShade="D9"/>
          </w:tcPr>
          <w:p w14:paraId="1DEB4E4E" w14:textId="77777777" w:rsidR="00E6060C" w:rsidRPr="00E6060C" w:rsidRDefault="00E6060C" w:rsidP="00E6060C">
            <w:r w:rsidRPr="00E6060C">
              <w:t xml:space="preserve">RCT, no treatment, wait-list control, pre-, post and follow </w:t>
            </w:r>
            <w:r w:rsidRPr="00E6060C">
              <w:lastRenderedPageBreak/>
              <w:t>up measurements</w:t>
            </w:r>
          </w:p>
          <w:p w14:paraId="6727CD24" w14:textId="77777777" w:rsidR="00E6060C" w:rsidRPr="00E6060C" w:rsidRDefault="00E6060C" w:rsidP="00E6060C"/>
        </w:tc>
        <w:tc>
          <w:tcPr>
            <w:tcW w:w="2387" w:type="dxa"/>
            <w:shd w:val="clear" w:color="auto" w:fill="D9D9D9" w:themeFill="background1" w:themeFillShade="D9"/>
          </w:tcPr>
          <w:p w14:paraId="7CF5D0DD" w14:textId="77777777" w:rsidR="00E6060C" w:rsidRPr="00E6060C" w:rsidRDefault="00E6060C" w:rsidP="00E6060C">
            <w:r w:rsidRPr="00E6060C">
              <w:lastRenderedPageBreak/>
              <w:t xml:space="preserve">To help employees with chronic physical health symptoms improve workplace functioning </w:t>
            </w:r>
          </w:p>
        </w:tc>
        <w:tc>
          <w:tcPr>
            <w:tcW w:w="1272" w:type="dxa"/>
            <w:shd w:val="clear" w:color="auto" w:fill="D9D9D9" w:themeFill="background1" w:themeFillShade="D9"/>
          </w:tcPr>
          <w:p w14:paraId="7D5AB8F9" w14:textId="77777777" w:rsidR="00E6060C" w:rsidRPr="00E6060C" w:rsidRDefault="00E6060C" w:rsidP="00E6060C">
            <w:r w:rsidRPr="00E6060C">
              <w:t>12m</w:t>
            </w:r>
          </w:p>
        </w:tc>
        <w:tc>
          <w:tcPr>
            <w:tcW w:w="1357" w:type="dxa"/>
            <w:shd w:val="clear" w:color="auto" w:fill="D9D9D9" w:themeFill="background1" w:themeFillShade="D9"/>
          </w:tcPr>
          <w:p w14:paraId="1C77310E" w14:textId="77777777" w:rsidR="00E6060C" w:rsidRPr="00E6060C" w:rsidRDefault="00E6060C" w:rsidP="00E6060C">
            <w:r w:rsidRPr="00E6060C">
              <w:t>6m</w:t>
            </w:r>
          </w:p>
        </w:tc>
        <w:tc>
          <w:tcPr>
            <w:tcW w:w="1285" w:type="dxa"/>
            <w:shd w:val="clear" w:color="auto" w:fill="D9D9D9" w:themeFill="background1" w:themeFillShade="D9"/>
          </w:tcPr>
          <w:p w14:paraId="23A19EA9" w14:textId="77777777" w:rsidR="00E6060C" w:rsidRPr="00E6060C" w:rsidRDefault="00E6060C" w:rsidP="00E6060C">
            <w:r w:rsidRPr="00E6060C">
              <w:t xml:space="preserve">N=300 planned in total </w:t>
            </w:r>
          </w:p>
        </w:tc>
        <w:tc>
          <w:tcPr>
            <w:tcW w:w="1358" w:type="dxa"/>
            <w:shd w:val="clear" w:color="auto" w:fill="D9D9D9" w:themeFill="background1" w:themeFillShade="D9"/>
          </w:tcPr>
          <w:p w14:paraId="0A507232" w14:textId="77777777" w:rsidR="00E6060C" w:rsidRPr="00E6060C" w:rsidRDefault="00E6060C" w:rsidP="00E6060C">
            <w:r w:rsidRPr="00E6060C">
              <w:t>Group</w:t>
            </w:r>
          </w:p>
        </w:tc>
      </w:tr>
      <w:tr w:rsidR="00E6060C" w:rsidRPr="00E6060C" w14:paraId="4F9AA6DB" w14:textId="77777777" w:rsidTr="00E6060C">
        <w:trPr>
          <w:gridAfter w:val="1"/>
          <w:wAfter w:w="13" w:type="dxa"/>
        </w:trPr>
        <w:tc>
          <w:tcPr>
            <w:tcW w:w="440" w:type="dxa"/>
            <w:tcBorders>
              <w:bottom w:val="single" w:sz="4" w:space="0" w:color="auto"/>
            </w:tcBorders>
            <w:shd w:val="clear" w:color="auto" w:fill="D9D9D9" w:themeFill="background1" w:themeFillShade="D9"/>
          </w:tcPr>
          <w:p w14:paraId="7A430933" w14:textId="77777777" w:rsidR="00E6060C" w:rsidRPr="00E6060C" w:rsidRDefault="00E6060C" w:rsidP="00E6060C">
            <w:r w:rsidRPr="00E6060C">
              <w:t>12</w:t>
            </w:r>
          </w:p>
        </w:tc>
        <w:tc>
          <w:tcPr>
            <w:tcW w:w="1403" w:type="dxa"/>
            <w:tcBorders>
              <w:bottom w:val="single" w:sz="4" w:space="0" w:color="auto"/>
            </w:tcBorders>
            <w:shd w:val="clear" w:color="auto" w:fill="D9D9D9" w:themeFill="background1" w:themeFillShade="D9"/>
          </w:tcPr>
          <w:p w14:paraId="78C4D259" w14:textId="7E32FF96" w:rsidR="00E6060C" w:rsidRPr="00E6060C" w:rsidRDefault="00E6060C" w:rsidP="00E6060C">
            <w:r w:rsidRPr="00E6060C">
              <w:t>Yuan</w:t>
            </w:r>
            <w:r w:rsidR="00004C6F">
              <w:t xml:space="preserve"> et al.</w:t>
            </w:r>
            <w:r w:rsidRPr="00E6060C">
              <w:t>, 2014</w:t>
            </w:r>
          </w:p>
          <w:p w14:paraId="31C6A508" w14:textId="77777777" w:rsidR="00E6060C" w:rsidRPr="00E6060C" w:rsidRDefault="00E6060C" w:rsidP="00E6060C">
            <w:pPr>
              <w:jc w:val="center"/>
            </w:pPr>
          </w:p>
        </w:tc>
        <w:tc>
          <w:tcPr>
            <w:tcW w:w="880" w:type="dxa"/>
            <w:tcBorders>
              <w:bottom w:val="single" w:sz="4" w:space="0" w:color="auto"/>
            </w:tcBorders>
            <w:shd w:val="clear" w:color="auto" w:fill="D9D9D9" w:themeFill="background1" w:themeFillShade="D9"/>
          </w:tcPr>
          <w:p w14:paraId="2CB5F1C2" w14:textId="77777777" w:rsidR="00E6060C" w:rsidRPr="00E6060C" w:rsidRDefault="00E6060C" w:rsidP="00E6060C">
            <w:r w:rsidRPr="00E6060C">
              <w:t>P</w:t>
            </w:r>
          </w:p>
          <w:p w14:paraId="5B086EC0" w14:textId="77777777" w:rsidR="00E6060C" w:rsidRPr="00E6060C" w:rsidRDefault="00E6060C" w:rsidP="00E6060C"/>
        </w:tc>
        <w:tc>
          <w:tcPr>
            <w:tcW w:w="1389" w:type="dxa"/>
            <w:tcBorders>
              <w:bottom w:val="single" w:sz="4" w:space="0" w:color="auto"/>
            </w:tcBorders>
            <w:shd w:val="clear" w:color="auto" w:fill="D9D9D9" w:themeFill="background1" w:themeFillShade="D9"/>
          </w:tcPr>
          <w:p w14:paraId="6D8D9C55" w14:textId="77777777" w:rsidR="00E6060C" w:rsidRPr="00E6060C" w:rsidRDefault="00E6060C" w:rsidP="00E6060C">
            <w:pPr>
              <w:tabs>
                <w:tab w:val="left" w:pos="735"/>
              </w:tabs>
            </w:pPr>
            <w:r w:rsidRPr="00E6060C">
              <w:t>China (Hong Kong)</w:t>
            </w:r>
          </w:p>
        </w:tc>
        <w:tc>
          <w:tcPr>
            <w:tcW w:w="1635" w:type="dxa"/>
            <w:tcBorders>
              <w:bottom w:val="single" w:sz="4" w:space="0" w:color="auto"/>
            </w:tcBorders>
            <w:shd w:val="clear" w:color="auto" w:fill="D9D9D9" w:themeFill="background1" w:themeFillShade="D9"/>
          </w:tcPr>
          <w:p w14:paraId="6CB347E3" w14:textId="77777777" w:rsidR="00E6060C" w:rsidRPr="00E6060C" w:rsidRDefault="00E6060C" w:rsidP="00E6060C">
            <w:r w:rsidRPr="00E6060C">
              <w:t>Not specified</w:t>
            </w:r>
          </w:p>
        </w:tc>
        <w:tc>
          <w:tcPr>
            <w:tcW w:w="1674" w:type="dxa"/>
            <w:tcBorders>
              <w:bottom w:val="single" w:sz="4" w:space="0" w:color="auto"/>
            </w:tcBorders>
            <w:shd w:val="clear" w:color="auto" w:fill="D9D9D9" w:themeFill="background1" w:themeFillShade="D9"/>
          </w:tcPr>
          <w:p w14:paraId="34D9B598" w14:textId="77777777" w:rsidR="00E6060C" w:rsidRPr="00E6060C" w:rsidRDefault="00E6060C" w:rsidP="00E6060C">
            <w:r w:rsidRPr="00E6060C">
              <w:t>Two-arm RCT with a wait list control, 4 wave (baseline, 1m, 2m &amp; 4m)</w:t>
            </w:r>
          </w:p>
        </w:tc>
        <w:tc>
          <w:tcPr>
            <w:tcW w:w="2387" w:type="dxa"/>
            <w:tcBorders>
              <w:bottom w:val="single" w:sz="4" w:space="0" w:color="auto"/>
            </w:tcBorders>
            <w:shd w:val="clear" w:color="auto" w:fill="D9D9D9" w:themeFill="background1" w:themeFillShade="D9"/>
          </w:tcPr>
          <w:p w14:paraId="1F1851E0" w14:textId="77777777" w:rsidR="00E6060C" w:rsidRPr="00E6060C" w:rsidRDefault="00E6060C" w:rsidP="00E6060C">
            <w:r w:rsidRPr="00E6060C">
              <w:t xml:space="preserve">To evaluate the protective effects of a web-based psychological capital (PsyCAP) intervention on mental health, work performance and organisational return-on-investment. </w:t>
            </w:r>
          </w:p>
        </w:tc>
        <w:tc>
          <w:tcPr>
            <w:tcW w:w="1272" w:type="dxa"/>
            <w:tcBorders>
              <w:bottom w:val="single" w:sz="4" w:space="0" w:color="auto"/>
            </w:tcBorders>
            <w:shd w:val="clear" w:color="auto" w:fill="D9D9D9" w:themeFill="background1" w:themeFillShade="D9"/>
          </w:tcPr>
          <w:p w14:paraId="0309C70F" w14:textId="77777777" w:rsidR="00E6060C" w:rsidRPr="00E6060C" w:rsidRDefault="00E6060C" w:rsidP="00E6060C">
            <w:r w:rsidRPr="00E6060C">
              <w:t>4m</w:t>
            </w:r>
          </w:p>
        </w:tc>
        <w:tc>
          <w:tcPr>
            <w:tcW w:w="1357" w:type="dxa"/>
            <w:tcBorders>
              <w:bottom w:val="single" w:sz="4" w:space="0" w:color="auto"/>
            </w:tcBorders>
            <w:shd w:val="clear" w:color="auto" w:fill="D9D9D9" w:themeFill="background1" w:themeFillShade="D9"/>
          </w:tcPr>
          <w:p w14:paraId="29264545" w14:textId="77777777" w:rsidR="00E6060C" w:rsidRPr="00E6060C" w:rsidRDefault="00E6060C" w:rsidP="00E6060C">
            <w:r w:rsidRPr="00E6060C">
              <w:t>1m</w:t>
            </w:r>
          </w:p>
        </w:tc>
        <w:tc>
          <w:tcPr>
            <w:tcW w:w="1285" w:type="dxa"/>
            <w:tcBorders>
              <w:bottom w:val="single" w:sz="4" w:space="0" w:color="auto"/>
            </w:tcBorders>
            <w:shd w:val="clear" w:color="auto" w:fill="D9D9D9" w:themeFill="background1" w:themeFillShade="D9"/>
          </w:tcPr>
          <w:p w14:paraId="3C3C3219" w14:textId="77777777" w:rsidR="00E6060C" w:rsidRPr="00E6060C" w:rsidRDefault="00E6060C" w:rsidP="00E6060C">
            <w:r w:rsidRPr="00E6060C">
              <w:t>n=177</w:t>
            </w:r>
          </w:p>
          <w:p w14:paraId="6C5AC53E" w14:textId="77777777" w:rsidR="00E6060C" w:rsidRPr="00E6060C" w:rsidRDefault="00E6060C" w:rsidP="00E6060C">
            <w:r w:rsidRPr="00E6060C">
              <w:t>Planned for each group</w:t>
            </w:r>
          </w:p>
        </w:tc>
        <w:tc>
          <w:tcPr>
            <w:tcW w:w="1358" w:type="dxa"/>
            <w:tcBorders>
              <w:bottom w:val="single" w:sz="4" w:space="0" w:color="auto"/>
            </w:tcBorders>
            <w:shd w:val="clear" w:color="auto" w:fill="D9D9D9" w:themeFill="background1" w:themeFillShade="D9"/>
          </w:tcPr>
          <w:p w14:paraId="714DC565" w14:textId="77777777" w:rsidR="00E6060C" w:rsidRPr="00E6060C" w:rsidRDefault="00E6060C" w:rsidP="00E6060C">
            <w:r w:rsidRPr="00E6060C">
              <w:t>Individual</w:t>
            </w:r>
          </w:p>
        </w:tc>
      </w:tr>
      <w:tr w:rsidR="00E6060C" w:rsidRPr="00E6060C" w14:paraId="4A1DC392" w14:textId="77777777" w:rsidTr="00E6060C">
        <w:trPr>
          <w:gridAfter w:val="1"/>
          <w:wAfter w:w="13" w:type="dxa"/>
        </w:trPr>
        <w:tc>
          <w:tcPr>
            <w:tcW w:w="15080" w:type="dxa"/>
            <w:gridSpan w:val="11"/>
            <w:tcBorders>
              <w:top w:val="single" w:sz="4" w:space="0" w:color="auto"/>
              <w:bottom w:val="single" w:sz="4" w:space="0" w:color="auto"/>
            </w:tcBorders>
          </w:tcPr>
          <w:p w14:paraId="7B000070" w14:textId="77777777" w:rsidR="00E6060C" w:rsidRPr="00E6060C" w:rsidRDefault="00E6060C" w:rsidP="00E6060C">
            <w:pPr>
              <w:rPr>
                <w:b/>
                <w:sz w:val="28"/>
                <w:szCs w:val="28"/>
              </w:rPr>
            </w:pPr>
            <w:r w:rsidRPr="00E6060C">
              <w:rPr>
                <w:b/>
                <w:sz w:val="28"/>
                <w:szCs w:val="28"/>
              </w:rPr>
              <w:t>JOB RESOURCE BUILDING INTERVENTIONS</w:t>
            </w:r>
          </w:p>
        </w:tc>
      </w:tr>
      <w:tr w:rsidR="00E6060C" w:rsidRPr="00E6060C" w14:paraId="425B37A6" w14:textId="77777777" w:rsidTr="00E6060C">
        <w:trPr>
          <w:gridAfter w:val="1"/>
          <w:wAfter w:w="13" w:type="dxa"/>
        </w:trPr>
        <w:tc>
          <w:tcPr>
            <w:tcW w:w="440" w:type="dxa"/>
            <w:tcBorders>
              <w:top w:val="single" w:sz="4" w:space="0" w:color="auto"/>
            </w:tcBorders>
          </w:tcPr>
          <w:p w14:paraId="72E48DAE" w14:textId="77777777" w:rsidR="00E6060C" w:rsidRPr="00E6060C" w:rsidRDefault="00E6060C" w:rsidP="00E6060C">
            <w:r w:rsidRPr="00E6060C">
              <w:t>13</w:t>
            </w:r>
          </w:p>
        </w:tc>
        <w:tc>
          <w:tcPr>
            <w:tcW w:w="1403" w:type="dxa"/>
            <w:tcBorders>
              <w:top w:val="single" w:sz="4" w:space="0" w:color="auto"/>
            </w:tcBorders>
          </w:tcPr>
          <w:p w14:paraId="451C3DA7" w14:textId="5A91CAAD" w:rsidR="00E6060C" w:rsidRPr="00E6060C" w:rsidRDefault="00195C4B" w:rsidP="00E6060C">
            <w:pPr>
              <w:rPr>
                <w:rFonts w:ascii="Calibri" w:hAnsi="Calibri"/>
                <w:color w:val="000000"/>
              </w:rPr>
            </w:pPr>
            <w:r>
              <w:t>*</w:t>
            </w:r>
            <w:r>
              <w:rPr>
                <w:rFonts w:ascii="Calibri" w:hAnsi="Calibri"/>
                <w:color w:val="000000"/>
              </w:rPr>
              <w:t>Cifre et al., 2011</w:t>
            </w:r>
            <w:r w:rsidR="00E6060C" w:rsidRPr="00E6060C">
              <w:rPr>
                <w:rFonts w:ascii="Calibri" w:hAnsi="Calibri"/>
                <w:color w:val="000000"/>
              </w:rPr>
              <w:t xml:space="preserve"> </w:t>
            </w:r>
          </w:p>
        </w:tc>
        <w:tc>
          <w:tcPr>
            <w:tcW w:w="880" w:type="dxa"/>
            <w:tcBorders>
              <w:top w:val="single" w:sz="4" w:space="0" w:color="auto"/>
            </w:tcBorders>
          </w:tcPr>
          <w:p w14:paraId="677609CE" w14:textId="77777777" w:rsidR="00E6060C" w:rsidRPr="00E6060C" w:rsidRDefault="00E6060C" w:rsidP="00E6060C">
            <w:r w:rsidRPr="00E6060C">
              <w:t>P</w:t>
            </w:r>
          </w:p>
        </w:tc>
        <w:tc>
          <w:tcPr>
            <w:tcW w:w="1389" w:type="dxa"/>
            <w:tcBorders>
              <w:top w:val="single" w:sz="4" w:space="0" w:color="auto"/>
            </w:tcBorders>
          </w:tcPr>
          <w:p w14:paraId="36631162" w14:textId="77777777" w:rsidR="00E6060C" w:rsidRPr="00E6060C" w:rsidRDefault="00E6060C" w:rsidP="00E6060C">
            <w:r w:rsidRPr="00E6060C">
              <w:t>Spain</w:t>
            </w:r>
          </w:p>
        </w:tc>
        <w:tc>
          <w:tcPr>
            <w:tcW w:w="1635" w:type="dxa"/>
            <w:tcBorders>
              <w:top w:val="single" w:sz="4" w:space="0" w:color="auto"/>
            </w:tcBorders>
          </w:tcPr>
          <w:p w14:paraId="119EA583" w14:textId="77777777" w:rsidR="00E6060C" w:rsidRPr="00E6060C" w:rsidRDefault="00E6060C" w:rsidP="00E6060C">
            <w:r w:rsidRPr="00E6060C">
              <w:t xml:space="preserve">Enamel manufacturing company </w:t>
            </w:r>
          </w:p>
        </w:tc>
        <w:tc>
          <w:tcPr>
            <w:tcW w:w="1674" w:type="dxa"/>
            <w:tcBorders>
              <w:top w:val="single" w:sz="4" w:space="0" w:color="auto"/>
            </w:tcBorders>
          </w:tcPr>
          <w:p w14:paraId="0E403BF4" w14:textId="77777777" w:rsidR="00E6060C" w:rsidRPr="00E6060C" w:rsidRDefault="00E6060C" w:rsidP="00E6060C">
            <w:pPr>
              <w:rPr>
                <w:rFonts w:ascii="Calibri" w:hAnsi="Calibri"/>
                <w:color w:val="000000"/>
              </w:rPr>
            </w:pPr>
            <w:r w:rsidRPr="00E6060C">
              <w:rPr>
                <w:rFonts w:ascii="Calibri" w:hAnsi="Calibri"/>
                <w:color w:val="000000"/>
              </w:rPr>
              <w:t>NR, quasi-experimental, longitudinal</w:t>
            </w:r>
          </w:p>
        </w:tc>
        <w:tc>
          <w:tcPr>
            <w:tcW w:w="2387" w:type="dxa"/>
            <w:tcBorders>
              <w:top w:val="single" w:sz="4" w:space="0" w:color="auto"/>
            </w:tcBorders>
          </w:tcPr>
          <w:p w14:paraId="5148BD4E" w14:textId="7B0D611D" w:rsidR="00E6060C" w:rsidRPr="00E6060C" w:rsidRDefault="00E6060C" w:rsidP="00E6060C">
            <w:r w:rsidRPr="00E6060C">
              <w:t xml:space="preserve">To assess the effectiveness of a work stress intervention (Team Redesign) to increase job and personal resources, reduce job strain and increase psychosocial </w:t>
            </w:r>
            <w:r w:rsidR="001D6140">
              <w:t>well-being</w:t>
            </w:r>
          </w:p>
          <w:p w14:paraId="6E9345FB" w14:textId="77777777" w:rsidR="00E6060C" w:rsidRPr="00E6060C" w:rsidRDefault="00E6060C" w:rsidP="00E6060C">
            <w:pPr>
              <w:jc w:val="center"/>
            </w:pPr>
          </w:p>
        </w:tc>
        <w:tc>
          <w:tcPr>
            <w:tcW w:w="1272" w:type="dxa"/>
            <w:tcBorders>
              <w:top w:val="single" w:sz="4" w:space="0" w:color="auto"/>
            </w:tcBorders>
          </w:tcPr>
          <w:p w14:paraId="22F09690" w14:textId="77777777" w:rsidR="00E6060C" w:rsidRPr="00E6060C" w:rsidRDefault="00E6060C" w:rsidP="00E6060C">
            <w:r w:rsidRPr="00E6060C">
              <w:t>9m</w:t>
            </w:r>
          </w:p>
          <w:p w14:paraId="02CCC6D7" w14:textId="77777777" w:rsidR="00E6060C" w:rsidRPr="00E6060C" w:rsidRDefault="00E6060C" w:rsidP="00E6060C"/>
        </w:tc>
        <w:tc>
          <w:tcPr>
            <w:tcW w:w="1357" w:type="dxa"/>
            <w:tcBorders>
              <w:top w:val="single" w:sz="4" w:space="0" w:color="auto"/>
            </w:tcBorders>
          </w:tcPr>
          <w:p w14:paraId="04F4E63F" w14:textId="77777777" w:rsidR="00E6060C" w:rsidRPr="00E6060C" w:rsidRDefault="00E6060C" w:rsidP="00E6060C">
            <w:r w:rsidRPr="00E6060C">
              <w:t>6m</w:t>
            </w:r>
          </w:p>
        </w:tc>
        <w:tc>
          <w:tcPr>
            <w:tcW w:w="1285" w:type="dxa"/>
            <w:tcBorders>
              <w:top w:val="single" w:sz="4" w:space="0" w:color="auto"/>
            </w:tcBorders>
          </w:tcPr>
          <w:p w14:paraId="4231C4F2" w14:textId="77777777" w:rsidR="00E6060C" w:rsidRPr="00E6060C" w:rsidRDefault="00E6060C" w:rsidP="00E6060C">
            <w:r w:rsidRPr="00E6060C">
              <w:t>Int=9</w:t>
            </w:r>
          </w:p>
          <w:p w14:paraId="0A5D6262" w14:textId="77777777" w:rsidR="00E6060C" w:rsidRPr="00E6060C" w:rsidRDefault="00E6060C" w:rsidP="00E6060C">
            <w:r w:rsidRPr="00E6060C">
              <w:t>Con=63</w:t>
            </w:r>
          </w:p>
          <w:p w14:paraId="3B93F210" w14:textId="77777777" w:rsidR="00E6060C" w:rsidRPr="00E6060C" w:rsidRDefault="00E6060C" w:rsidP="00E6060C">
            <w:r w:rsidRPr="00E6060C">
              <w:t>(matched across T1 &amp; T2)</w:t>
            </w:r>
          </w:p>
        </w:tc>
        <w:tc>
          <w:tcPr>
            <w:tcW w:w="1358" w:type="dxa"/>
            <w:tcBorders>
              <w:top w:val="single" w:sz="4" w:space="0" w:color="auto"/>
            </w:tcBorders>
          </w:tcPr>
          <w:p w14:paraId="35BA2CF3" w14:textId="77777777" w:rsidR="00E6060C" w:rsidRPr="00E6060C" w:rsidRDefault="00E6060C" w:rsidP="00E6060C">
            <w:r w:rsidRPr="00E6060C">
              <w:t>Individual</w:t>
            </w:r>
          </w:p>
        </w:tc>
      </w:tr>
      <w:tr w:rsidR="00E6060C" w:rsidRPr="00E6060C" w14:paraId="6C579D5A" w14:textId="77777777" w:rsidTr="00E6060C">
        <w:trPr>
          <w:gridAfter w:val="1"/>
          <w:wAfter w:w="13" w:type="dxa"/>
        </w:trPr>
        <w:tc>
          <w:tcPr>
            <w:tcW w:w="440" w:type="dxa"/>
          </w:tcPr>
          <w:p w14:paraId="4072BF2F" w14:textId="77777777" w:rsidR="00E6060C" w:rsidRPr="00E6060C" w:rsidRDefault="00E6060C" w:rsidP="00E6060C">
            <w:r w:rsidRPr="00E6060C">
              <w:t>14</w:t>
            </w:r>
          </w:p>
        </w:tc>
        <w:tc>
          <w:tcPr>
            <w:tcW w:w="1403" w:type="dxa"/>
          </w:tcPr>
          <w:p w14:paraId="0D1D4CC9" w14:textId="1B41430B" w:rsidR="00E6060C" w:rsidRPr="00E6060C" w:rsidRDefault="00195C4B" w:rsidP="00195C4B">
            <w:pPr>
              <w:rPr>
                <w:rFonts w:ascii="Calibri" w:hAnsi="Calibri"/>
                <w:color w:val="000000"/>
              </w:rPr>
            </w:pPr>
            <w:r>
              <w:t>*</w:t>
            </w:r>
            <w:r>
              <w:rPr>
                <w:rFonts w:ascii="Calibri" w:hAnsi="Calibri"/>
                <w:color w:val="000000"/>
              </w:rPr>
              <w:t>Coffeng et al., 2014</w:t>
            </w:r>
          </w:p>
        </w:tc>
        <w:tc>
          <w:tcPr>
            <w:tcW w:w="880" w:type="dxa"/>
          </w:tcPr>
          <w:p w14:paraId="38178546" w14:textId="77777777" w:rsidR="00E6060C" w:rsidRPr="00E6060C" w:rsidRDefault="00E6060C" w:rsidP="00E6060C">
            <w:r w:rsidRPr="00E6060C">
              <w:t>P</w:t>
            </w:r>
          </w:p>
        </w:tc>
        <w:tc>
          <w:tcPr>
            <w:tcW w:w="1389" w:type="dxa"/>
          </w:tcPr>
          <w:p w14:paraId="7960A87E" w14:textId="77777777" w:rsidR="00E6060C" w:rsidRPr="00E6060C" w:rsidRDefault="00E6060C" w:rsidP="00E6060C">
            <w:r w:rsidRPr="00E6060C">
              <w:t>Finland</w:t>
            </w:r>
          </w:p>
        </w:tc>
        <w:tc>
          <w:tcPr>
            <w:tcW w:w="1635" w:type="dxa"/>
          </w:tcPr>
          <w:p w14:paraId="0C2CD05B" w14:textId="77777777" w:rsidR="00E6060C" w:rsidRPr="00E6060C" w:rsidRDefault="00E6060C" w:rsidP="00E6060C">
            <w:r w:rsidRPr="00E6060C">
              <w:t>Financial sector</w:t>
            </w:r>
          </w:p>
        </w:tc>
        <w:tc>
          <w:tcPr>
            <w:tcW w:w="1674" w:type="dxa"/>
          </w:tcPr>
          <w:p w14:paraId="2E41D9CC" w14:textId="77777777" w:rsidR="00E6060C" w:rsidRPr="00E6060C" w:rsidRDefault="00E6060C" w:rsidP="00E6060C">
            <w:pPr>
              <w:rPr>
                <w:rFonts w:ascii="Calibri" w:hAnsi="Calibri"/>
                <w:color w:val="000000"/>
              </w:rPr>
            </w:pPr>
            <w:r w:rsidRPr="00E6060C">
              <w:rPr>
                <w:rFonts w:ascii="Calibri" w:hAnsi="Calibri"/>
                <w:color w:val="000000"/>
              </w:rPr>
              <w:t xml:space="preserve">R, depts. Matched pairwise based on the no. employees in a </w:t>
            </w:r>
            <w:r w:rsidRPr="00E6060C">
              <w:rPr>
                <w:rFonts w:ascii="Calibri" w:hAnsi="Calibri"/>
                <w:color w:val="000000"/>
              </w:rPr>
              <w:lastRenderedPageBreak/>
              <w:t>dept to ensure equal numbers after randomisation</w:t>
            </w:r>
          </w:p>
        </w:tc>
        <w:tc>
          <w:tcPr>
            <w:tcW w:w="2387" w:type="dxa"/>
          </w:tcPr>
          <w:p w14:paraId="2F4D3D6E" w14:textId="77777777" w:rsidR="00E6060C" w:rsidRPr="00E6060C" w:rsidRDefault="00E6060C" w:rsidP="00E6060C">
            <w:r w:rsidRPr="00E6060C">
              <w:lastRenderedPageBreak/>
              <w:t xml:space="preserve">To investigate the effect of a combined social and physical environmental intervention, as well as </w:t>
            </w:r>
            <w:r w:rsidRPr="00E6060C">
              <w:lastRenderedPageBreak/>
              <w:t>the effect of each one separately</w:t>
            </w:r>
          </w:p>
        </w:tc>
        <w:tc>
          <w:tcPr>
            <w:tcW w:w="1272" w:type="dxa"/>
          </w:tcPr>
          <w:p w14:paraId="413A6207" w14:textId="77777777" w:rsidR="00E6060C" w:rsidRPr="00E6060C" w:rsidRDefault="00E6060C" w:rsidP="00E6060C">
            <w:r w:rsidRPr="00E6060C">
              <w:lastRenderedPageBreak/>
              <w:t>12m</w:t>
            </w:r>
          </w:p>
          <w:p w14:paraId="77CF81CD" w14:textId="77777777" w:rsidR="00E6060C" w:rsidRPr="00E6060C" w:rsidRDefault="00E6060C" w:rsidP="00E6060C"/>
        </w:tc>
        <w:tc>
          <w:tcPr>
            <w:tcW w:w="1357" w:type="dxa"/>
          </w:tcPr>
          <w:p w14:paraId="6EB39ED0" w14:textId="77777777" w:rsidR="00E6060C" w:rsidRPr="00E6060C" w:rsidRDefault="00E6060C" w:rsidP="00E6060C">
            <w:r w:rsidRPr="00E6060C">
              <w:t>6m</w:t>
            </w:r>
          </w:p>
          <w:p w14:paraId="7BE08FD0" w14:textId="77777777" w:rsidR="00E6060C" w:rsidRPr="00E6060C" w:rsidRDefault="00E6060C" w:rsidP="00E6060C"/>
        </w:tc>
        <w:tc>
          <w:tcPr>
            <w:tcW w:w="1285" w:type="dxa"/>
          </w:tcPr>
          <w:p w14:paraId="70FA214F" w14:textId="77777777" w:rsidR="00E6060C" w:rsidRPr="00E6060C" w:rsidRDefault="00E6060C" w:rsidP="00E6060C">
            <w:r w:rsidRPr="00E6060C">
              <w:t>Int=50</w:t>
            </w:r>
          </w:p>
          <w:p w14:paraId="46DCD28D" w14:textId="77777777" w:rsidR="00E6060C" w:rsidRPr="00E6060C" w:rsidRDefault="00E6060C" w:rsidP="00E6060C">
            <w:r w:rsidRPr="00E6060C">
              <w:t>Con=76</w:t>
            </w:r>
          </w:p>
          <w:p w14:paraId="208658FF" w14:textId="77777777" w:rsidR="00E6060C" w:rsidRPr="00E6060C" w:rsidRDefault="00E6060C" w:rsidP="00E6060C">
            <w:r w:rsidRPr="00E6060C">
              <w:t>(matched across T1 &amp; T3)</w:t>
            </w:r>
          </w:p>
        </w:tc>
        <w:tc>
          <w:tcPr>
            <w:tcW w:w="1358" w:type="dxa"/>
          </w:tcPr>
          <w:p w14:paraId="5D10E615" w14:textId="77777777" w:rsidR="00E6060C" w:rsidRPr="00E6060C" w:rsidRDefault="00E6060C" w:rsidP="00E6060C">
            <w:r w:rsidRPr="00E6060C">
              <w:t>Group &amp; environmental change</w:t>
            </w:r>
          </w:p>
        </w:tc>
      </w:tr>
      <w:tr w:rsidR="00E6060C" w:rsidRPr="00E6060C" w14:paraId="5FC6FD6C" w14:textId="77777777" w:rsidTr="00E6060C">
        <w:trPr>
          <w:gridAfter w:val="1"/>
          <w:wAfter w:w="13" w:type="dxa"/>
        </w:trPr>
        <w:tc>
          <w:tcPr>
            <w:tcW w:w="440" w:type="dxa"/>
          </w:tcPr>
          <w:p w14:paraId="783C6AD8" w14:textId="77777777" w:rsidR="00E6060C" w:rsidRPr="00E6060C" w:rsidRDefault="00E6060C" w:rsidP="00E6060C">
            <w:r w:rsidRPr="00E6060C">
              <w:t>15</w:t>
            </w:r>
          </w:p>
        </w:tc>
        <w:tc>
          <w:tcPr>
            <w:tcW w:w="1403" w:type="dxa"/>
          </w:tcPr>
          <w:p w14:paraId="40DBE910" w14:textId="77777777" w:rsidR="00E6060C" w:rsidRPr="00E6060C" w:rsidRDefault="00E6060C" w:rsidP="00E6060C">
            <w:r w:rsidRPr="00E6060C">
              <w:t>Kawakami et al., 2012</w:t>
            </w:r>
          </w:p>
        </w:tc>
        <w:tc>
          <w:tcPr>
            <w:tcW w:w="880" w:type="dxa"/>
          </w:tcPr>
          <w:p w14:paraId="4F88E9BF" w14:textId="77777777" w:rsidR="00E6060C" w:rsidRPr="00E6060C" w:rsidRDefault="00E6060C" w:rsidP="00E6060C">
            <w:r w:rsidRPr="00E6060C">
              <w:t>G</w:t>
            </w:r>
          </w:p>
        </w:tc>
        <w:tc>
          <w:tcPr>
            <w:tcW w:w="1389" w:type="dxa"/>
          </w:tcPr>
          <w:p w14:paraId="527C238B" w14:textId="77777777" w:rsidR="00E6060C" w:rsidRPr="00E6060C" w:rsidRDefault="00E6060C" w:rsidP="00E6060C">
            <w:r w:rsidRPr="00E6060C">
              <w:t>Japan</w:t>
            </w:r>
          </w:p>
        </w:tc>
        <w:tc>
          <w:tcPr>
            <w:tcW w:w="1635" w:type="dxa"/>
          </w:tcPr>
          <w:p w14:paraId="7F6C7F8E" w14:textId="77777777" w:rsidR="00E6060C" w:rsidRPr="00E6060C" w:rsidRDefault="00E6060C" w:rsidP="00E6060C">
            <w:r w:rsidRPr="00E6060C">
              <w:t>Web survey company</w:t>
            </w:r>
          </w:p>
        </w:tc>
        <w:tc>
          <w:tcPr>
            <w:tcW w:w="1674" w:type="dxa"/>
          </w:tcPr>
          <w:p w14:paraId="006678A7" w14:textId="77777777" w:rsidR="00E6060C" w:rsidRPr="00E6060C" w:rsidRDefault="00E6060C" w:rsidP="00E6060C">
            <w:pPr>
              <w:rPr>
                <w:rFonts w:ascii="Calibri" w:hAnsi="Calibri"/>
                <w:color w:val="000000"/>
              </w:rPr>
            </w:pPr>
            <w:r w:rsidRPr="00E6060C">
              <w:t>RCT</w:t>
            </w:r>
          </w:p>
        </w:tc>
        <w:tc>
          <w:tcPr>
            <w:tcW w:w="2387" w:type="dxa"/>
          </w:tcPr>
          <w:p w14:paraId="762F6120" w14:textId="77777777" w:rsidR="00E6060C" w:rsidRPr="00E6060C" w:rsidRDefault="00E6060C" w:rsidP="00E6060C">
            <w:r w:rsidRPr="00E6060C">
              <w:t>To determine whether regularly accessing online info about stress management and depression improved WE. Those initially low and high on WE were compared</w:t>
            </w:r>
          </w:p>
        </w:tc>
        <w:tc>
          <w:tcPr>
            <w:tcW w:w="1272" w:type="dxa"/>
          </w:tcPr>
          <w:p w14:paraId="12AE0D41" w14:textId="77777777" w:rsidR="00E6060C" w:rsidRPr="00E6060C" w:rsidRDefault="00E6060C" w:rsidP="00E6060C">
            <w:r w:rsidRPr="00E6060C">
              <w:t>4m</w:t>
            </w:r>
          </w:p>
        </w:tc>
        <w:tc>
          <w:tcPr>
            <w:tcW w:w="1357" w:type="dxa"/>
          </w:tcPr>
          <w:p w14:paraId="3A3F2572" w14:textId="77777777" w:rsidR="00E6060C" w:rsidRPr="00E6060C" w:rsidRDefault="00E6060C" w:rsidP="00E6060C">
            <w:r w:rsidRPr="00E6060C">
              <w:t>1m</w:t>
            </w:r>
          </w:p>
        </w:tc>
        <w:tc>
          <w:tcPr>
            <w:tcW w:w="1285" w:type="dxa"/>
          </w:tcPr>
          <w:p w14:paraId="238C4E0C" w14:textId="77777777" w:rsidR="00E6060C" w:rsidRPr="00E6060C" w:rsidRDefault="00E6060C" w:rsidP="00E6060C">
            <w:r w:rsidRPr="00E6060C">
              <w:t>n=618 (in each group, T1)</w:t>
            </w:r>
          </w:p>
          <w:p w14:paraId="589AEEB6" w14:textId="77777777" w:rsidR="00E6060C" w:rsidRPr="00E6060C" w:rsidRDefault="00E6060C" w:rsidP="00E6060C">
            <w:r w:rsidRPr="00E6060C">
              <w:t>Int=531 (T2)</w:t>
            </w:r>
          </w:p>
          <w:p w14:paraId="4AC4997A" w14:textId="77777777" w:rsidR="00E6060C" w:rsidRPr="00E6060C" w:rsidRDefault="00E6060C" w:rsidP="00E6060C">
            <w:r w:rsidRPr="00E6060C">
              <w:t>Con=559 (T2)</w:t>
            </w:r>
          </w:p>
          <w:p w14:paraId="7340C398" w14:textId="77777777" w:rsidR="00E6060C" w:rsidRPr="00E6060C" w:rsidRDefault="00E6060C" w:rsidP="00E6060C">
            <w:r w:rsidRPr="00E6060C">
              <w:t>Int=481 (T3)</w:t>
            </w:r>
          </w:p>
          <w:p w14:paraId="169C9C1A" w14:textId="77777777" w:rsidR="00E6060C" w:rsidRPr="00E6060C" w:rsidRDefault="00E6060C" w:rsidP="00E6060C">
            <w:r w:rsidRPr="00E6060C">
              <w:t>Con=539 (T3)</w:t>
            </w:r>
          </w:p>
        </w:tc>
        <w:tc>
          <w:tcPr>
            <w:tcW w:w="1358" w:type="dxa"/>
          </w:tcPr>
          <w:p w14:paraId="111D4AEB" w14:textId="77777777" w:rsidR="00E6060C" w:rsidRPr="00E6060C" w:rsidRDefault="00E6060C" w:rsidP="00E6060C">
            <w:r w:rsidRPr="00E6060C">
              <w:t>Systemic</w:t>
            </w:r>
          </w:p>
          <w:p w14:paraId="2BCFD910" w14:textId="77777777" w:rsidR="00E6060C" w:rsidRPr="00E6060C" w:rsidRDefault="00E6060C" w:rsidP="00E6060C"/>
        </w:tc>
      </w:tr>
      <w:tr w:rsidR="00E6060C" w:rsidRPr="00E6060C" w14:paraId="74125AA0" w14:textId="77777777" w:rsidTr="00E6060C">
        <w:trPr>
          <w:gridAfter w:val="1"/>
          <w:wAfter w:w="13" w:type="dxa"/>
        </w:trPr>
        <w:tc>
          <w:tcPr>
            <w:tcW w:w="440" w:type="dxa"/>
          </w:tcPr>
          <w:p w14:paraId="6FF5046E" w14:textId="77777777" w:rsidR="00E6060C" w:rsidRPr="00E6060C" w:rsidRDefault="00E6060C" w:rsidP="00E6060C">
            <w:r w:rsidRPr="00E6060C">
              <w:t>16</w:t>
            </w:r>
          </w:p>
        </w:tc>
        <w:tc>
          <w:tcPr>
            <w:tcW w:w="1403" w:type="dxa"/>
          </w:tcPr>
          <w:p w14:paraId="25B7D4E4" w14:textId="77777777" w:rsidR="00E6060C" w:rsidRPr="00E6060C" w:rsidRDefault="00E6060C" w:rsidP="00E6060C">
            <w:r w:rsidRPr="00E6060C">
              <w:t>Rickard et al., 2012</w:t>
            </w:r>
          </w:p>
        </w:tc>
        <w:tc>
          <w:tcPr>
            <w:tcW w:w="880" w:type="dxa"/>
          </w:tcPr>
          <w:p w14:paraId="186EFC15" w14:textId="77777777" w:rsidR="00E6060C" w:rsidRPr="00E6060C" w:rsidRDefault="00E6060C" w:rsidP="00E6060C">
            <w:r w:rsidRPr="00E6060C">
              <w:t>P</w:t>
            </w:r>
          </w:p>
        </w:tc>
        <w:tc>
          <w:tcPr>
            <w:tcW w:w="1389" w:type="dxa"/>
          </w:tcPr>
          <w:p w14:paraId="74C96F84" w14:textId="77777777" w:rsidR="00E6060C" w:rsidRPr="00E6060C" w:rsidRDefault="00E6060C" w:rsidP="00E6060C">
            <w:r w:rsidRPr="00E6060C">
              <w:t>Australia</w:t>
            </w:r>
          </w:p>
        </w:tc>
        <w:tc>
          <w:tcPr>
            <w:tcW w:w="1635" w:type="dxa"/>
          </w:tcPr>
          <w:p w14:paraId="6EC81C80" w14:textId="77777777" w:rsidR="00E6060C" w:rsidRPr="00E6060C" w:rsidRDefault="00E6060C" w:rsidP="00E6060C">
            <w:r w:rsidRPr="00E6060C">
              <w:t>Hospital</w:t>
            </w:r>
          </w:p>
        </w:tc>
        <w:tc>
          <w:tcPr>
            <w:tcW w:w="1674" w:type="dxa"/>
          </w:tcPr>
          <w:p w14:paraId="0DFA5CF4" w14:textId="77777777" w:rsidR="00E6060C" w:rsidRPr="00E6060C" w:rsidRDefault="00E6060C" w:rsidP="00E6060C">
            <w:pPr>
              <w:rPr>
                <w:rFonts w:ascii="Calibri" w:hAnsi="Calibri"/>
                <w:color w:val="000000"/>
              </w:rPr>
            </w:pPr>
            <w:r w:rsidRPr="00E6060C">
              <w:rPr>
                <w:rFonts w:ascii="Calibri" w:hAnsi="Calibri"/>
                <w:color w:val="000000"/>
              </w:rPr>
              <w:t>NR,</w:t>
            </w:r>
          </w:p>
          <w:p w14:paraId="58CCB942" w14:textId="77777777" w:rsidR="00E6060C" w:rsidRPr="00E6060C" w:rsidRDefault="00E6060C" w:rsidP="00E6060C">
            <w:pPr>
              <w:rPr>
                <w:rFonts w:ascii="Calibri" w:hAnsi="Calibri"/>
                <w:color w:val="000000"/>
              </w:rPr>
            </w:pPr>
            <w:r w:rsidRPr="00E6060C">
              <w:rPr>
                <w:rFonts w:ascii="Calibri" w:hAnsi="Calibri"/>
                <w:color w:val="000000"/>
              </w:rPr>
              <w:t>Quasi-experimental</w:t>
            </w:r>
          </w:p>
        </w:tc>
        <w:tc>
          <w:tcPr>
            <w:tcW w:w="2387" w:type="dxa"/>
          </w:tcPr>
          <w:p w14:paraId="40EBF0CB" w14:textId="77777777" w:rsidR="00E6060C" w:rsidRPr="00E6060C" w:rsidRDefault="00E6060C" w:rsidP="00E6060C">
            <w:r w:rsidRPr="00E6060C">
              <w:t>To evaluate an interventions to reduce occupational stress and turnover in hospital nurses</w:t>
            </w:r>
          </w:p>
        </w:tc>
        <w:tc>
          <w:tcPr>
            <w:tcW w:w="1272" w:type="dxa"/>
          </w:tcPr>
          <w:p w14:paraId="36817117" w14:textId="77777777" w:rsidR="00E6060C" w:rsidRPr="00E6060C" w:rsidRDefault="00E6060C" w:rsidP="00E6060C">
            <w:r w:rsidRPr="00E6060C">
              <w:t>2 yrs</w:t>
            </w:r>
          </w:p>
        </w:tc>
        <w:tc>
          <w:tcPr>
            <w:tcW w:w="1357" w:type="dxa"/>
          </w:tcPr>
          <w:p w14:paraId="1EDC54ED" w14:textId="77777777" w:rsidR="00E6060C" w:rsidRPr="00E6060C" w:rsidRDefault="00E6060C" w:rsidP="00E6060C">
            <w:r w:rsidRPr="00E6060C">
              <w:t>2 yrs</w:t>
            </w:r>
          </w:p>
        </w:tc>
        <w:tc>
          <w:tcPr>
            <w:tcW w:w="1285" w:type="dxa"/>
          </w:tcPr>
          <w:p w14:paraId="05B2CC36" w14:textId="77777777" w:rsidR="00E6060C" w:rsidRPr="00E6060C" w:rsidRDefault="00E6060C" w:rsidP="00E6060C">
            <w:r w:rsidRPr="00E6060C">
              <w:t xml:space="preserve">n=13 </w:t>
            </w:r>
          </w:p>
          <w:p w14:paraId="3750EB5D" w14:textId="77777777" w:rsidR="00E6060C" w:rsidRPr="00E6060C" w:rsidRDefault="00E6060C" w:rsidP="00E6060C">
            <w:r w:rsidRPr="00E6060C">
              <w:t xml:space="preserve">n=19 </w:t>
            </w:r>
          </w:p>
          <w:p w14:paraId="36622E05" w14:textId="77777777" w:rsidR="00E6060C" w:rsidRPr="00E6060C" w:rsidRDefault="00E6060C" w:rsidP="00E6060C">
            <w:r w:rsidRPr="00E6060C">
              <w:t>(matched across T1 &amp; T2)</w:t>
            </w:r>
          </w:p>
        </w:tc>
        <w:tc>
          <w:tcPr>
            <w:tcW w:w="1358" w:type="dxa"/>
          </w:tcPr>
          <w:p w14:paraId="6F8C4A7C" w14:textId="77777777" w:rsidR="00E6060C" w:rsidRPr="00E6060C" w:rsidRDefault="00E6060C" w:rsidP="00E6060C">
            <w:r w:rsidRPr="00E6060C">
              <w:t>Systemic</w:t>
            </w:r>
          </w:p>
        </w:tc>
      </w:tr>
      <w:tr w:rsidR="00E6060C" w:rsidRPr="00E6060C" w14:paraId="347BB4B7" w14:textId="77777777" w:rsidTr="00E6060C">
        <w:trPr>
          <w:gridAfter w:val="1"/>
          <w:wAfter w:w="13" w:type="dxa"/>
        </w:trPr>
        <w:tc>
          <w:tcPr>
            <w:tcW w:w="440" w:type="dxa"/>
          </w:tcPr>
          <w:p w14:paraId="7F2B9565" w14:textId="77777777" w:rsidR="00E6060C" w:rsidRPr="00E6060C" w:rsidRDefault="00E6060C" w:rsidP="00E6060C">
            <w:r w:rsidRPr="00E6060C">
              <w:t>17</w:t>
            </w:r>
          </w:p>
        </w:tc>
        <w:tc>
          <w:tcPr>
            <w:tcW w:w="1403" w:type="dxa"/>
          </w:tcPr>
          <w:p w14:paraId="460F4BD6" w14:textId="77777777" w:rsidR="00E6060C" w:rsidRPr="00E6060C" w:rsidRDefault="00E6060C" w:rsidP="00E6060C">
            <w:r w:rsidRPr="00E6060C">
              <w:t>Martinussen et al., 2012</w:t>
            </w:r>
          </w:p>
        </w:tc>
        <w:tc>
          <w:tcPr>
            <w:tcW w:w="880" w:type="dxa"/>
          </w:tcPr>
          <w:p w14:paraId="53DD2C3B" w14:textId="77777777" w:rsidR="00E6060C" w:rsidRPr="00E6060C" w:rsidRDefault="00E6060C" w:rsidP="00E6060C">
            <w:r w:rsidRPr="00E6060C">
              <w:t>P</w:t>
            </w:r>
          </w:p>
        </w:tc>
        <w:tc>
          <w:tcPr>
            <w:tcW w:w="1389" w:type="dxa"/>
          </w:tcPr>
          <w:p w14:paraId="66F6A4F4" w14:textId="77777777" w:rsidR="00E6060C" w:rsidRPr="00E6060C" w:rsidRDefault="00E6060C" w:rsidP="00E6060C">
            <w:r w:rsidRPr="00E6060C">
              <w:t>Norway</w:t>
            </w:r>
          </w:p>
        </w:tc>
        <w:tc>
          <w:tcPr>
            <w:tcW w:w="1635" w:type="dxa"/>
          </w:tcPr>
          <w:p w14:paraId="1F231676" w14:textId="77777777" w:rsidR="00E6060C" w:rsidRPr="00E6060C" w:rsidRDefault="00E6060C" w:rsidP="00E6060C">
            <w:r w:rsidRPr="00E6060C">
              <w:t>Children and adolescent welfare services</w:t>
            </w:r>
          </w:p>
        </w:tc>
        <w:tc>
          <w:tcPr>
            <w:tcW w:w="1674" w:type="dxa"/>
          </w:tcPr>
          <w:p w14:paraId="20215CF9" w14:textId="77777777" w:rsidR="00E6060C" w:rsidRPr="00E6060C" w:rsidRDefault="00E6060C" w:rsidP="00E6060C">
            <w:pPr>
              <w:rPr>
                <w:rFonts w:ascii="Calibri" w:hAnsi="Calibri"/>
                <w:color w:val="000000"/>
              </w:rPr>
            </w:pPr>
            <w:r w:rsidRPr="00E6060C">
              <w:rPr>
                <w:rFonts w:ascii="Calibri" w:hAnsi="Calibri"/>
                <w:color w:val="000000"/>
              </w:rPr>
              <w:t>NR, post-test (no pre-test measures), comparison group</w:t>
            </w:r>
          </w:p>
        </w:tc>
        <w:tc>
          <w:tcPr>
            <w:tcW w:w="2387" w:type="dxa"/>
          </w:tcPr>
          <w:p w14:paraId="3AF88776" w14:textId="77777777" w:rsidR="00E6060C" w:rsidRPr="00E6060C" w:rsidRDefault="00E6060C" w:rsidP="00F15DDF">
            <w:pPr>
              <w:numPr>
                <w:ilvl w:val="0"/>
                <w:numId w:val="21"/>
              </w:numPr>
              <w:ind w:left="123" w:hanging="123"/>
              <w:contextualSpacing/>
            </w:pPr>
            <w:r w:rsidRPr="00E6060C">
              <w:t>To improve inter- professional collaboration and service quality</w:t>
            </w:r>
          </w:p>
          <w:p w14:paraId="6B718CE3" w14:textId="77777777" w:rsidR="00E6060C" w:rsidRPr="00E6060C" w:rsidRDefault="00E6060C" w:rsidP="00F15DDF">
            <w:pPr>
              <w:numPr>
                <w:ilvl w:val="0"/>
                <w:numId w:val="21"/>
              </w:numPr>
              <w:ind w:left="123" w:hanging="123"/>
              <w:contextualSpacing/>
            </w:pPr>
            <w:r w:rsidRPr="00E6060C">
              <w:t xml:space="preserve">To examine if collaboration can predict burnout, engagement &amp; service </w:t>
            </w:r>
            <w:r w:rsidRPr="00E6060C">
              <w:lastRenderedPageBreak/>
              <w:t>quality among human service professionals working with children and adolescents</w:t>
            </w:r>
          </w:p>
        </w:tc>
        <w:tc>
          <w:tcPr>
            <w:tcW w:w="1272" w:type="dxa"/>
          </w:tcPr>
          <w:p w14:paraId="7E36C431" w14:textId="77777777" w:rsidR="00E6060C" w:rsidRPr="00E6060C" w:rsidRDefault="00E6060C" w:rsidP="00E6060C">
            <w:r w:rsidRPr="00E6060C">
              <w:lastRenderedPageBreak/>
              <w:t>3 yrs</w:t>
            </w:r>
          </w:p>
          <w:p w14:paraId="16118304" w14:textId="77777777" w:rsidR="00E6060C" w:rsidRPr="00E6060C" w:rsidRDefault="00E6060C" w:rsidP="00E6060C"/>
        </w:tc>
        <w:tc>
          <w:tcPr>
            <w:tcW w:w="1357" w:type="dxa"/>
          </w:tcPr>
          <w:p w14:paraId="38DBE3A1" w14:textId="77777777" w:rsidR="00E6060C" w:rsidRPr="00E6060C" w:rsidRDefault="00E6060C" w:rsidP="00E6060C">
            <w:r w:rsidRPr="00E6060C">
              <w:t>3 yrs</w:t>
            </w:r>
          </w:p>
        </w:tc>
        <w:tc>
          <w:tcPr>
            <w:tcW w:w="1285" w:type="dxa"/>
          </w:tcPr>
          <w:p w14:paraId="66B873A6" w14:textId="77777777" w:rsidR="00E6060C" w:rsidRPr="00E6060C" w:rsidRDefault="00E6060C" w:rsidP="00E6060C">
            <w:r w:rsidRPr="00E6060C">
              <w:t>Int=93 (T1)</w:t>
            </w:r>
          </w:p>
          <w:p w14:paraId="4D39912E" w14:textId="77777777" w:rsidR="00E6060C" w:rsidRPr="00E6060C" w:rsidRDefault="00E6060C" w:rsidP="00E6060C">
            <w:r w:rsidRPr="00E6060C">
              <w:t>Cont=58</w:t>
            </w:r>
          </w:p>
          <w:p w14:paraId="34835E70" w14:textId="77777777" w:rsidR="00E6060C" w:rsidRPr="00E6060C" w:rsidRDefault="00E6060C" w:rsidP="00E6060C">
            <w:r w:rsidRPr="00E6060C">
              <w:t>(T1)</w:t>
            </w:r>
          </w:p>
        </w:tc>
        <w:tc>
          <w:tcPr>
            <w:tcW w:w="1358" w:type="dxa"/>
          </w:tcPr>
          <w:p w14:paraId="2ECAC887" w14:textId="77777777" w:rsidR="00E6060C" w:rsidRPr="00E6060C" w:rsidRDefault="00E6060C" w:rsidP="00E6060C">
            <w:r w:rsidRPr="00E6060C">
              <w:t>Group &amp; individual</w:t>
            </w:r>
          </w:p>
        </w:tc>
      </w:tr>
      <w:tr w:rsidR="00E6060C" w:rsidRPr="00E6060C" w14:paraId="6A6D57DD" w14:textId="77777777" w:rsidTr="00E6060C">
        <w:trPr>
          <w:gridAfter w:val="1"/>
          <w:wAfter w:w="13" w:type="dxa"/>
        </w:trPr>
        <w:tc>
          <w:tcPr>
            <w:tcW w:w="440" w:type="dxa"/>
            <w:tcBorders>
              <w:bottom w:val="single" w:sz="4" w:space="0" w:color="auto"/>
            </w:tcBorders>
          </w:tcPr>
          <w:p w14:paraId="08D0A9E0" w14:textId="77777777" w:rsidR="00E6060C" w:rsidRPr="00E6060C" w:rsidRDefault="00E6060C" w:rsidP="00E6060C">
            <w:r w:rsidRPr="00E6060C">
              <w:t>18</w:t>
            </w:r>
          </w:p>
        </w:tc>
        <w:tc>
          <w:tcPr>
            <w:tcW w:w="1403" w:type="dxa"/>
            <w:tcBorders>
              <w:bottom w:val="single" w:sz="4" w:space="0" w:color="auto"/>
            </w:tcBorders>
          </w:tcPr>
          <w:p w14:paraId="48119E3D" w14:textId="10743B85" w:rsidR="00E6060C" w:rsidRPr="00E6060C" w:rsidRDefault="00195C4B" w:rsidP="00E6060C">
            <w:pPr>
              <w:rPr>
                <w:rFonts w:ascii="Calibri" w:hAnsi="Calibri"/>
                <w:color w:val="000000"/>
              </w:rPr>
            </w:pPr>
            <w:r>
              <w:t>*</w:t>
            </w:r>
            <w:r>
              <w:rPr>
                <w:rFonts w:ascii="Calibri" w:hAnsi="Calibri"/>
                <w:color w:val="000000"/>
              </w:rPr>
              <w:t>Naruse et al., 2014</w:t>
            </w:r>
          </w:p>
        </w:tc>
        <w:tc>
          <w:tcPr>
            <w:tcW w:w="880" w:type="dxa"/>
            <w:tcBorders>
              <w:bottom w:val="single" w:sz="4" w:space="0" w:color="auto"/>
            </w:tcBorders>
          </w:tcPr>
          <w:p w14:paraId="66F055E9" w14:textId="77777777" w:rsidR="00E6060C" w:rsidRPr="00E6060C" w:rsidRDefault="00E6060C" w:rsidP="00E6060C">
            <w:r w:rsidRPr="00E6060C">
              <w:t>P</w:t>
            </w:r>
          </w:p>
        </w:tc>
        <w:tc>
          <w:tcPr>
            <w:tcW w:w="1389" w:type="dxa"/>
            <w:tcBorders>
              <w:bottom w:val="single" w:sz="4" w:space="0" w:color="auto"/>
            </w:tcBorders>
          </w:tcPr>
          <w:p w14:paraId="2D1CBDFD" w14:textId="77777777" w:rsidR="00E6060C" w:rsidRPr="00E6060C" w:rsidRDefault="00E6060C" w:rsidP="00E6060C">
            <w:r w:rsidRPr="00E6060C">
              <w:t>Japan</w:t>
            </w:r>
          </w:p>
        </w:tc>
        <w:tc>
          <w:tcPr>
            <w:tcW w:w="1635" w:type="dxa"/>
            <w:tcBorders>
              <w:bottom w:val="single" w:sz="4" w:space="0" w:color="auto"/>
            </w:tcBorders>
          </w:tcPr>
          <w:p w14:paraId="42B14D6E" w14:textId="77777777" w:rsidR="00E6060C" w:rsidRPr="00E6060C" w:rsidRDefault="00E6060C" w:rsidP="00E6060C">
            <w:r w:rsidRPr="00E6060C">
              <w:t>Community nursing</w:t>
            </w:r>
          </w:p>
        </w:tc>
        <w:tc>
          <w:tcPr>
            <w:tcW w:w="1674" w:type="dxa"/>
            <w:tcBorders>
              <w:bottom w:val="single" w:sz="4" w:space="0" w:color="auto"/>
            </w:tcBorders>
          </w:tcPr>
          <w:p w14:paraId="26F4497B" w14:textId="77777777" w:rsidR="00E6060C" w:rsidRPr="00E6060C" w:rsidRDefault="00E6060C" w:rsidP="00E6060C">
            <w:pPr>
              <w:rPr>
                <w:rFonts w:ascii="Calibri" w:hAnsi="Calibri"/>
                <w:color w:val="000000"/>
              </w:rPr>
            </w:pPr>
            <w:r w:rsidRPr="00E6060C">
              <w:rPr>
                <w:rFonts w:ascii="Calibri" w:hAnsi="Calibri"/>
                <w:color w:val="000000"/>
              </w:rPr>
              <w:t>NR, pre-post, self-report</w:t>
            </w:r>
          </w:p>
        </w:tc>
        <w:tc>
          <w:tcPr>
            <w:tcW w:w="2387" w:type="dxa"/>
            <w:tcBorders>
              <w:bottom w:val="single" w:sz="4" w:space="0" w:color="auto"/>
            </w:tcBorders>
          </w:tcPr>
          <w:p w14:paraId="04B3C955" w14:textId="77777777" w:rsidR="00E6060C" w:rsidRPr="00E6060C" w:rsidRDefault="00E6060C" w:rsidP="00E6060C">
            <w:r w:rsidRPr="00E6060C">
              <w:t>To evaluate the effect of a skill-mix programme on WE in home visiting nurses</w:t>
            </w:r>
          </w:p>
        </w:tc>
        <w:tc>
          <w:tcPr>
            <w:tcW w:w="1272" w:type="dxa"/>
            <w:tcBorders>
              <w:bottom w:val="single" w:sz="4" w:space="0" w:color="auto"/>
            </w:tcBorders>
          </w:tcPr>
          <w:p w14:paraId="003F6699" w14:textId="77777777" w:rsidR="00E6060C" w:rsidRPr="00E6060C" w:rsidRDefault="00E6060C" w:rsidP="00E6060C">
            <w:r w:rsidRPr="00E6060C">
              <w:t>6m</w:t>
            </w:r>
          </w:p>
          <w:p w14:paraId="1B4FAF36" w14:textId="77777777" w:rsidR="00E6060C" w:rsidRPr="00E6060C" w:rsidRDefault="00E6060C" w:rsidP="00E6060C"/>
        </w:tc>
        <w:tc>
          <w:tcPr>
            <w:tcW w:w="1357" w:type="dxa"/>
            <w:tcBorders>
              <w:bottom w:val="single" w:sz="4" w:space="0" w:color="auto"/>
            </w:tcBorders>
          </w:tcPr>
          <w:p w14:paraId="5B0163DD" w14:textId="77777777" w:rsidR="00E6060C" w:rsidRPr="00E6060C" w:rsidRDefault="00E6060C" w:rsidP="00E6060C">
            <w:r w:rsidRPr="00E6060C">
              <w:t>6m</w:t>
            </w:r>
          </w:p>
        </w:tc>
        <w:tc>
          <w:tcPr>
            <w:tcW w:w="1285" w:type="dxa"/>
            <w:tcBorders>
              <w:bottom w:val="single" w:sz="4" w:space="0" w:color="auto"/>
            </w:tcBorders>
          </w:tcPr>
          <w:p w14:paraId="5F60F4D1" w14:textId="77777777" w:rsidR="00E6060C" w:rsidRPr="00E6060C" w:rsidRDefault="00E6060C" w:rsidP="00E6060C">
            <w:r w:rsidRPr="00E6060C">
              <w:t>Int=38</w:t>
            </w:r>
          </w:p>
          <w:p w14:paraId="259CE678" w14:textId="77777777" w:rsidR="00E6060C" w:rsidRPr="00E6060C" w:rsidRDefault="00E6060C" w:rsidP="00E6060C">
            <w:r w:rsidRPr="00E6060C">
              <w:t>Con=130</w:t>
            </w:r>
          </w:p>
          <w:p w14:paraId="0F425CB1" w14:textId="77777777" w:rsidR="00E6060C" w:rsidRPr="00E6060C" w:rsidRDefault="00E6060C" w:rsidP="00E6060C">
            <w:r w:rsidRPr="00E6060C">
              <w:t>(matched across T1 &amp; T2)</w:t>
            </w:r>
          </w:p>
        </w:tc>
        <w:tc>
          <w:tcPr>
            <w:tcW w:w="1358" w:type="dxa"/>
            <w:tcBorders>
              <w:bottom w:val="single" w:sz="4" w:space="0" w:color="auto"/>
            </w:tcBorders>
          </w:tcPr>
          <w:p w14:paraId="7FEAB6A2" w14:textId="77777777" w:rsidR="00E6060C" w:rsidRPr="00E6060C" w:rsidRDefault="00E6060C" w:rsidP="00E6060C">
            <w:r w:rsidRPr="00E6060C">
              <w:t xml:space="preserve">Individual </w:t>
            </w:r>
          </w:p>
        </w:tc>
      </w:tr>
      <w:tr w:rsidR="00E6060C" w:rsidRPr="00E6060C" w14:paraId="04604DFC" w14:textId="77777777" w:rsidTr="00E6060C">
        <w:trPr>
          <w:gridAfter w:val="1"/>
          <w:wAfter w:w="13" w:type="dxa"/>
        </w:trPr>
        <w:tc>
          <w:tcPr>
            <w:tcW w:w="15080" w:type="dxa"/>
            <w:gridSpan w:val="11"/>
            <w:tcBorders>
              <w:top w:val="single" w:sz="4" w:space="0" w:color="auto"/>
              <w:bottom w:val="single" w:sz="4" w:space="0" w:color="auto"/>
            </w:tcBorders>
          </w:tcPr>
          <w:p w14:paraId="7FD0B297" w14:textId="77777777" w:rsidR="00E6060C" w:rsidRPr="00E6060C" w:rsidRDefault="00E6060C" w:rsidP="00E6060C">
            <w:pPr>
              <w:rPr>
                <w:b/>
                <w:sz w:val="28"/>
                <w:szCs w:val="28"/>
              </w:rPr>
            </w:pPr>
            <w:r w:rsidRPr="00E6060C">
              <w:rPr>
                <w:b/>
                <w:sz w:val="28"/>
                <w:szCs w:val="28"/>
              </w:rPr>
              <w:t>LEADERSHIP TRAINING INTERVENTIONS</w:t>
            </w:r>
          </w:p>
        </w:tc>
      </w:tr>
      <w:tr w:rsidR="00E6060C" w:rsidRPr="00E6060C" w14:paraId="72EF79C6" w14:textId="77777777" w:rsidTr="00E6060C">
        <w:trPr>
          <w:gridAfter w:val="1"/>
          <w:wAfter w:w="13" w:type="dxa"/>
        </w:trPr>
        <w:tc>
          <w:tcPr>
            <w:tcW w:w="440" w:type="dxa"/>
            <w:tcBorders>
              <w:top w:val="single" w:sz="4" w:space="0" w:color="auto"/>
            </w:tcBorders>
          </w:tcPr>
          <w:p w14:paraId="7D9C6B39" w14:textId="77777777" w:rsidR="00E6060C" w:rsidRPr="00E6060C" w:rsidRDefault="00E6060C" w:rsidP="00E6060C">
            <w:r w:rsidRPr="00E6060C">
              <w:t>19</w:t>
            </w:r>
          </w:p>
        </w:tc>
        <w:tc>
          <w:tcPr>
            <w:tcW w:w="1403" w:type="dxa"/>
            <w:tcBorders>
              <w:top w:val="single" w:sz="4" w:space="0" w:color="auto"/>
            </w:tcBorders>
          </w:tcPr>
          <w:p w14:paraId="74CA7020" w14:textId="2DF038DC" w:rsidR="00E6060C" w:rsidRPr="00E6060C" w:rsidRDefault="00195C4B" w:rsidP="005726FB">
            <w:pPr>
              <w:rPr>
                <w:rFonts w:ascii="Calibri" w:hAnsi="Calibri"/>
                <w:color w:val="000000"/>
              </w:rPr>
            </w:pPr>
            <w:r>
              <w:t>*</w:t>
            </w:r>
            <w:r w:rsidR="00E6060C" w:rsidRPr="00E6060C">
              <w:rPr>
                <w:rFonts w:ascii="Calibri" w:hAnsi="Calibri"/>
                <w:color w:val="000000"/>
              </w:rPr>
              <w:t xml:space="preserve">Angelo </w:t>
            </w:r>
            <w:r w:rsidR="005726FB">
              <w:rPr>
                <w:rFonts w:ascii="Calibri" w:hAnsi="Calibri"/>
                <w:color w:val="000000"/>
              </w:rPr>
              <w:t>&amp; Chambel</w:t>
            </w:r>
            <w:r>
              <w:rPr>
                <w:rFonts w:ascii="Calibri" w:hAnsi="Calibri"/>
                <w:color w:val="000000"/>
              </w:rPr>
              <w:t>, 2013</w:t>
            </w:r>
            <w:r w:rsidR="00E6060C" w:rsidRPr="00E6060C">
              <w:rPr>
                <w:rFonts w:ascii="Calibri" w:hAnsi="Calibri"/>
                <w:color w:val="000000"/>
              </w:rPr>
              <w:t xml:space="preserve"> </w:t>
            </w:r>
          </w:p>
        </w:tc>
        <w:tc>
          <w:tcPr>
            <w:tcW w:w="880" w:type="dxa"/>
            <w:tcBorders>
              <w:top w:val="single" w:sz="4" w:space="0" w:color="auto"/>
            </w:tcBorders>
          </w:tcPr>
          <w:p w14:paraId="153C76BC" w14:textId="77777777" w:rsidR="00E6060C" w:rsidRPr="00E6060C" w:rsidRDefault="00E6060C" w:rsidP="00E6060C">
            <w:r w:rsidRPr="00E6060C">
              <w:t>P</w:t>
            </w:r>
          </w:p>
        </w:tc>
        <w:tc>
          <w:tcPr>
            <w:tcW w:w="1389" w:type="dxa"/>
            <w:tcBorders>
              <w:top w:val="single" w:sz="4" w:space="0" w:color="auto"/>
            </w:tcBorders>
          </w:tcPr>
          <w:p w14:paraId="4BA3CE8E" w14:textId="77777777" w:rsidR="00E6060C" w:rsidRPr="00E6060C" w:rsidRDefault="00E6060C" w:rsidP="00E6060C">
            <w:r w:rsidRPr="00E6060C">
              <w:t>Portugal</w:t>
            </w:r>
          </w:p>
        </w:tc>
        <w:tc>
          <w:tcPr>
            <w:tcW w:w="1635" w:type="dxa"/>
            <w:tcBorders>
              <w:top w:val="single" w:sz="4" w:space="0" w:color="auto"/>
            </w:tcBorders>
          </w:tcPr>
          <w:p w14:paraId="663809A1" w14:textId="77777777" w:rsidR="00E6060C" w:rsidRPr="00E6060C" w:rsidRDefault="00E6060C" w:rsidP="00E6060C">
            <w:r w:rsidRPr="00E6060C">
              <w:t>Fire service</w:t>
            </w:r>
          </w:p>
        </w:tc>
        <w:tc>
          <w:tcPr>
            <w:tcW w:w="1674" w:type="dxa"/>
            <w:tcBorders>
              <w:top w:val="single" w:sz="4" w:space="0" w:color="auto"/>
            </w:tcBorders>
          </w:tcPr>
          <w:p w14:paraId="0ED662D9" w14:textId="77777777" w:rsidR="00E6060C" w:rsidRPr="00E6060C" w:rsidRDefault="00E6060C" w:rsidP="00E6060C">
            <w:pPr>
              <w:rPr>
                <w:rFonts w:ascii="Calibri" w:hAnsi="Calibri"/>
                <w:color w:val="000000"/>
              </w:rPr>
            </w:pPr>
            <w:r w:rsidRPr="00E6060C">
              <w:rPr>
                <w:rFonts w:ascii="Calibri" w:hAnsi="Calibri"/>
                <w:color w:val="000000"/>
              </w:rPr>
              <w:t xml:space="preserve">CR, district level. </w:t>
            </w:r>
          </w:p>
          <w:p w14:paraId="519ACDE3" w14:textId="77777777" w:rsidR="00E6060C" w:rsidRPr="00E6060C" w:rsidRDefault="00E6060C" w:rsidP="00E6060C">
            <w:pPr>
              <w:rPr>
                <w:rFonts w:ascii="Calibri" w:hAnsi="Calibri"/>
                <w:color w:val="000000"/>
              </w:rPr>
            </w:pPr>
            <w:r w:rsidRPr="00E6060C">
              <w:rPr>
                <w:rFonts w:ascii="Calibri" w:hAnsi="Calibri"/>
                <w:color w:val="000000"/>
              </w:rPr>
              <w:t xml:space="preserve">Quasi-experimental, pre-test, post- test, </w:t>
            </w:r>
          </w:p>
        </w:tc>
        <w:tc>
          <w:tcPr>
            <w:tcW w:w="2387" w:type="dxa"/>
            <w:tcBorders>
              <w:top w:val="single" w:sz="4" w:space="0" w:color="auto"/>
            </w:tcBorders>
          </w:tcPr>
          <w:p w14:paraId="3AD95A00" w14:textId="5E8D9D76" w:rsidR="00E6060C" w:rsidRPr="00E6060C" w:rsidRDefault="00E6060C" w:rsidP="00E6060C">
            <w:r w:rsidRPr="00E6060C">
              <w:t xml:space="preserve">Stress management interventions to increase firefighters’ social support psychological </w:t>
            </w:r>
            <w:r w:rsidR="001D6140">
              <w:t>well-being</w:t>
            </w:r>
            <w:r w:rsidRPr="00E6060C">
              <w:t xml:space="preserve"> (burnout and engagement)</w:t>
            </w:r>
          </w:p>
        </w:tc>
        <w:tc>
          <w:tcPr>
            <w:tcW w:w="1272" w:type="dxa"/>
            <w:tcBorders>
              <w:top w:val="single" w:sz="4" w:space="0" w:color="auto"/>
            </w:tcBorders>
          </w:tcPr>
          <w:p w14:paraId="3F5E985A" w14:textId="77777777" w:rsidR="00E6060C" w:rsidRPr="00E6060C" w:rsidRDefault="00E6060C" w:rsidP="00E6060C">
            <w:r w:rsidRPr="00E6060C">
              <w:t>4m</w:t>
            </w:r>
          </w:p>
        </w:tc>
        <w:tc>
          <w:tcPr>
            <w:tcW w:w="1357" w:type="dxa"/>
            <w:tcBorders>
              <w:top w:val="single" w:sz="4" w:space="0" w:color="auto"/>
            </w:tcBorders>
          </w:tcPr>
          <w:p w14:paraId="2B07932E" w14:textId="77777777" w:rsidR="00E6060C" w:rsidRPr="00E6060C" w:rsidRDefault="00E6060C" w:rsidP="00E6060C">
            <w:r w:rsidRPr="00E6060C">
              <w:t>4m</w:t>
            </w:r>
          </w:p>
        </w:tc>
        <w:tc>
          <w:tcPr>
            <w:tcW w:w="1285" w:type="dxa"/>
            <w:tcBorders>
              <w:top w:val="single" w:sz="4" w:space="0" w:color="auto"/>
            </w:tcBorders>
          </w:tcPr>
          <w:p w14:paraId="5CA6276C" w14:textId="77777777" w:rsidR="00E6060C" w:rsidRPr="00E6060C" w:rsidRDefault="00E6060C" w:rsidP="00E6060C">
            <w:r w:rsidRPr="00E6060C">
              <w:t>Int=67</w:t>
            </w:r>
          </w:p>
          <w:p w14:paraId="6D4340A9" w14:textId="77777777" w:rsidR="00E6060C" w:rsidRPr="00E6060C" w:rsidRDefault="00E6060C" w:rsidP="00E6060C">
            <w:r w:rsidRPr="00E6060C">
              <w:t>Con=37</w:t>
            </w:r>
          </w:p>
          <w:p w14:paraId="481478D9" w14:textId="77777777" w:rsidR="00E6060C" w:rsidRPr="00E6060C" w:rsidRDefault="00E6060C" w:rsidP="00E6060C">
            <w:r w:rsidRPr="00E6060C">
              <w:t>(matched across T1 &amp; T2)</w:t>
            </w:r>
          </w:p>
        </w:tc>
        <w:tc>
          <w:tcPr>
            <w:tcW w:w="1358" w:type="dxa"/>
            <w:tcBorders>
              <w:top w:val="single" w:sz="4" w:space="0" w:color="auto"/>
            </w:tcBorders>
          </w:tcPr>
          <w:p w14:paraId="546CF492" w14:textId="77777777" w:rsidR="00E6060C" w:rsidRPr="00E6060C" w:rsidRDefault="00E6060C" w:rsidP="00E6060C">
            <w:r w:rsidRPr="00E6060C">
              <w:t xml:space="preserve">Group </w:t>
            </w:r>
          </w:p>
        </w:tc>
      </w:tr>
      <w:tr w:rsidR="00E6060C" w:rsidRPr="00E6060C" w14:paraId="12815E3C" w14:textId="77777777" w:rsidTr="00E6060C">
        <w:trPr>
          <w:gridAfter w:val="1"/>
          <w:wAfter w:w="13" w:type="dxa"/>
        </w:trPr>
        <w:tc>
          <w:tcPr>
            <w:tcW w:w="440" w:type="dxa"/>
          </w:tcPr>
          <w:p w14:paraId="681FA0FB" w14:textId="77777777" w:rsidR="00E6060C" w:rsidRPr="00E6060C" w:rsidRDefault="00E6060C" w:rsidP="00E6060C">
            <w:r w:rsidRPr="00E6060C">
              <w:t>20</w:t>
            </w:r>
          </w:p>
        </w:tc>
        <w:tc>
          <w:tcPr>
            <w:tcW w:w="1403" w:type="dxa"/>
          </w:tcPr>
          <w:p w14:paraId="206FA75C" w14:textId="46DB2EEC" w:rsidR="00E6060C" w:rsidRPr="00E6060C" w:rsidRDefault="00195C4B" w:rsidP="00E6060C">
            <w:pPr>
              <w:rPr>
                <w:rFonts w:ascii="Calibri" w:hAnsi="Calibri"/>
                <w:color w:val="000000"/>
              </w:rPr>
            </w:pPr>
            <w:r>
              <w:t>*</w:t>
            </w:r>
            <w:r w:rsidR="00A54063">
              <w:rPr>
                <w:rFonts w:ascii="Calibri" w:hAnsi="Calibri"/>
                <w:color w:val="000000"/>
              </w:rPr>
              <w:t>Biggs et al., 2014</w:t>
            </w:r>
            <w:r w:rsidR="00E6060C" w:rsidRPr="00E6060C">
              <w:rPr>
                <w:rFonts w:ascii="Calibri" w:hAnsi="Calibri"/>
                <w:color w:val="000000"/>
              </w:rPr>
              <w:t xml:space="preserve"> </w:t>
            </w:r>
          </w:p>
        </w:tc>
        <w:tc>
          <w:tcPr>
            <w:tcW w:w="880" w:type="dxa"/>
          </w:tcPr>
          <w:p w14:paraId="767436A8" w14:textId="77777777" w:rsidR="00E6060C" w:rsidRPr="00E6060C" w:rsidRDefault="00E6060C" w:rsidP="00E6060C">
            <w:r w:rsidRPr="00E6060C">
              <w:t>P</w:t>
            </w:r>
          </w:p>
        </w:tc>
        <w:tc>
          <w:tcPr>
            <w:tcW w:w="1389" w:type="dxa"/>
          </w:tcPr>
          <w:p w14:paraId="6361BABF" w14:textId="77777777" w:rsidR="00E6060C" w:rsidRPr="00E6060C" w:rsidRDefault="00E6060C" w:rsidP="00E6060C">
            <w:r w:rsidRPr="00E6060C">
              <w:t>Australia</w:t>
            </w:r>
          </w:p>
        </w:tc>
        <w:tc>
          <w:tcPr>
            <w:tcW w:w="1635" w:type="dxa"/>
          </w:tcPr>
          <w:p w14:paraId="37462AFF" w14:textId="77777777" w:rsidR="00E6060C" w:rsidRPr="00E6060C" w:rsidRDefault="00E6060C" w:rsidP="00E6060C">
            <w:r w:rsidRPr="00E6060C">
              <w:t>Police service</w:t>
            </w:r>
          </w:p>
        </w:tc>
        <w:tc>
          <w:tcPr>
            <w:tcW w:w="1674" w:type="dxa"/>
          </w:tcPr>
          <w:p w14:paraId="19EC4AE9" w14:textId="77777777" w:rsidR="00E6060C" w:rsidRPr="00E6060C" w:rsidRDefault="00E6060C" w:rsidP="00E6060C">
            <w:pPr>
              <w:rPr>
                <w:rFonts w:ascii="Calibri" w:hAnsi="Calibri"/>
                <w:color w:val="000000"/>
              </w:rPr>
            </w:pPr>
            <w:r w:rsidRPr="00E6060C">
              <w:rPr>
                <w:rFonts w:ascii="Calibri" w:hAnsi="Calibri"/>
                <w:color w:val="000000"/>
              </w:rPr>
              <w:t>NR, quasi-experimental</w:t>
            </w:r>
          </w:p>
        </w:tc>
        <w:tc>
          <w:tcPr>
            <w:tcW w:w="2387" w:type="dxa"/>
          </w:tcPr>
          <w:p w14:paraId="1902910F" w14:textId="77777777" w:rsidR="00E6060C" w:rsidRPr="00E6060C" w:rsidRDefault="00E6060C" w:rsidP="00E6060C">
            <w:r w:rsidRPr="00E6060C">
              <w:t>To enhance upstream organisational resources via a leadership development programme</w:t>
            </w:r>
          </w:p>
        </w:tc>
        <w:tc>
          <w:tcPr>
            <w:tcW w:w="1272" w:type="dxa"/>
          </w:tcPr>
          <w:p w14:paraId="128399B6" w14:textId="77777777" w:rsidR="00E6060C" w:rsidRPr="00E6060C" w:rsidRDefault="00E6060C" w:rsidP="00E6060C">
            <w:r w:rsidRPr="00E6060C">
              <w:t>7m</w:t>
            </w:r>
          </w:p>
        </w:tc>
        <w:tc>
          <w:tcPr>
            <w:tcW w:w="1357" w:type="dxa"/>
          </w:tcPr>
          <w:p w14:paraId="5DAC8381" w14:textId="77777777" w:rsidR="00E6060C" w:rsidRPr="00E6060C" w:rsidRDefault="00E6060C" w:rsidP="00E6060C">
            <w:r w:rsidRPr="00E6060C">
              <w:t>7m</w:t>
            </w:r>
          </w:p>
        </w:tc>
        <w:tc>
          <w:tcPr>
            <w:tcW w:w="1285" w:type="dxa"/>
          </w:tcPr>
          <w:p w14:paraId="3E3DC208" w14:textId="77777777" w:rsidR="00E6060C" w:rsidRPr="00E6060C" w:rsidRDefault="00E6060C" w:rsidP="00E6060C">
            <w:r w:rsidRPr="00E6060C">
              <w:t>Int=146</w:t>
            </w:r>
          </w:p>
          <w:p w14:paraId="62498266" w14:textId="77777777" w:rsidR="00E6060C" w:rsidRPr="00E6060C" w:rsidRDefault="00E6060C" w:rsidP="00E6060C">
            <w:r w:rsidRPr="00E6060C">
              <w:t>Con=222</w:t>
            </w:r>
          </w:p>
          <w:p w14:paraId="391C668F" w14:textId="77777777" w:rsidR="00E6060C" w:rsidRPr="00E6060C" w:rsidRDefault="00E6060C" w:rsidP="00E6060C">
            <w:r w:rsidRPr="00E6060C">
              <w:t>(matched across T1 &amp; T2)</w:t>
            </w:r>
          </w:p>
        </w:tc>
        <w:tc>
          <w:tcPr>
            <w:tcW w:w="1358" w:type="dxa"/>
          </w:tcPr>
          <w:p w14:paraId="11975E2F" w14:textId="77777777" w:rsidR="00E6060C" w:rsidRPr="00E6060C" w:rsidRDefault="00E6060C" w:rsidP="00E6060C">
            <w:r w:rsidRPr="00E6060C">
              <w:t xml:space="preserve">Group and individual </w:t>
            </w:r>
          </w:p>
          <w:p w14:paraId="7704E991" w14:textId="77777777" w:rsidR="00E6060C" w:rsidRPr="00E6060C" w:rsidRDefault="00E6060C" w:rsidP="00E6060C">
            <w:pPr>
              <w:jc w:val="center"/>
            </w:pPr>
          </w:p>
        </w:tc>
      </w:tr>
      <w:tr w:rsidR="00E6060C" w:rsidRPr="00E6060C" w14:paraId="050C8ABE" w14:textId="77777777" w:rsidTr="00E6060C">
        <w:trPr>
          <w:gridAfter w:val="1"/>
          <w:wAfter w:w="13" w:type="dxa"/>
        </w:trPr>
        <w:tc>
          <w:tcPr>
            <w:tcW w:w="440" w:type="dxa"/>
          </w:tcPr>
          <w:p w14:paraId="0808CF55" w14:textId="77777777" w:rsidR="00E6060C" w:rsidRPr="00E6060C" w:rsidRDefault="00E6060C" w:rsidP="00E6060C">
            <w:r w:rsidRPr="00E6060C">
              <w:t>21</w:t>
            </w:r>
          </w:p>
        </w:tc>
        <w:tc>
          <w:tcPr>
            <w:tcW w:w="1403" w:type="dxa"/>
          </w:tcPr>
          <w:p w14:paraId="5506B7CF" w14:textId="59FC0FC7" w:rsidR="00E6060C" w:rsidRPr="00E6060C" w:rsidRDefault="00195C4B" w:rsidP="00E6060C">
            <w:pPr>
              <w:rPr>
                <w:rFonts w:ascii="Calibri" w:hAnsi="Calibri"/>
                <w:color w:val="000000"/>
              </w:rPr>
            </w:pPr>
            <w:r>
              <w:t>*</w:t>
            </w:r>
            <w:r>
              <w:rPr>
                <w:rFonts w:ascii="Calibri" w:hAnsi="Calibri"/>
                <w:color w:val="000000"/>
              </w:rPr>
              <w:t>Kmiec, 2010</w:t>
            </w:r>
            <w:r w:rsidR="00E6060C" w:rsidRPr="00E6060C">
              <w:rPr>
                <w:rFonts w:ascii="Calibri" w:hAnsi="Calibri"/>
                <w:color w:val="000000"/>
              </w:rPr>
              <w:t xml:space="preserve"> </w:t>
            </w:r>
          </w:p>
        </w:tc>
        <w:tc>
          <w:tcPr>
            <w:tcW w:w="880" w:type="dxa"/>
          </w:tcPr>
          <w:p w14:paraId="7DC6686C" w14:textId="77777777" w:rsidR="00E6060C" w:rsidRPr="00E6060C" w:rsidRDefault="00E6060C" w:rsidP="00E6060C">
            <w:r w:rsidRPr="00E6060C">
              <w:t>T</w:t>
            </w:r>
          </w:p>
        </w:tc>
        <w:tc>
          <w:tcPr>
            <w:tcW w:w="1389" w:type="dxa"/>
          </w:tcPr>
          <w:p w14:paraId="3FA0EA79" w14:textId="77777777" w:rsidR="00E6060C" w:rsidRPr="00E6060C" w:rsidRDefault="00E6060C" w:rsidP="00E6060C">
            <w:r w:rsidRPr="00E6060C">
              <w:t>USA</w:t>
            </w:r>
          </w:p>
        </w:tc>
        <w:tc>
          <w:tcPr>
            <w:tcW w:w="1635" w:type="dxa"/>
          </w:tcPr>
          <w:p w14:paraId="1B500BE3" w14:textId="77777777" w:rsidR="00E6060C" w:rsidRPr="00E6060C" w:rsidRDefault="00E6060C" w:rsidP="00E6060C">
            <w:r w:rsidRPr="00E6060C">
              <w:t>Manufacturing</w:t>
            </w:r>
          </w:p>
        </w:tc>
        <w:tc>
          <w:tcPr>
            <w:tcW w:w="1674" w:type="dxa"/>
          </w:tcPr>
          <w:p w14:paraId="68E4B477" w14:textId="77777777" w:rsidR="00E6060C" w:rsidRPr="00E6060C" w:rsidRDefault="00E6060C" w:rsidP="00E6060C">
            <w:pPr>
              <w:rPr>
                <w:rFonts w:ascii="Calibri" w:hAnsi="Calibri"/>
                <w:color w:val="000000"/>
              </w:rPr>
            </w:pPr>
            <w:r w:rsidRPr="00E6060C">
              <w:rPr>
                <w:rFonts w:ascii="Calibri" w:hAnsi="Calibri"/>
                <w:color w:val="000000"/>
              </w:rPr>
              <w:t>NR</w:t>
            </w:r>
          </w:p>
        </w:tc>
        <w:tc>
          <w:tcPr>
            <w:tcW w:w="2387" w:type="dxa"/>
          </w:tcPr>
          <w:p w14:paraId="28EC317E" w14:textId="77777777" w:rsidR="00E6060C" w:rsidRPr="00E6060C" w:rsidRDefault="00E6060C" w:rsidP="00E6060C">
            <w:r w:rsidRPr="00E6060C">
              <w:t xml:space="preserve">To assess the effects of a learning programme on the capabilities of managers and the WE </w:t>
            </w:r>
            <w:r w:rsidRPr="00E6060C">
              <w:lastRenderedPageBreak/>
              <w:t>of their direct employees</w:t>
            </w:r>
          </w:p>
        </w:tc>
        <w:tc>
          <w:tcPr>
            <w:tcW w:w="1272" w:type="dxa"/>
          </w:tcPr>
          <w:p w14:paraId="083376B5" w14:textId="77777777" w:rsidR="00E6060C" w:rsidRPr="00E6060C" w:rsidRDefault="00E6060C" w:rsidP="00E6060C">
            <w:r w:rsidRPr="00E6060C">
              <w:lastRenderedPageBreak/>
              <w:t>90 days</w:t>
            </w:r>
          </w:p>
        </w:tc>
        <w:tc>
          <w:tcPr>
            <w:tcW w:w="1357" w:type="dxa"/>
          </w:tcPr>
          <w:p w14:paraId="395DBF9E" w14:textId="77777777" w:rsidR="00E6060C" w:rsidRPr="00E6060C" w:rsidRDefault="00E6060C" w:rsidP="00E6060C">
            <w:r w:rsidRPr="00E6060C">
              <w:t>90 days</w:t>
            </w:r>
          </w:p>
        </w:tc>
        <w:tc>
          <w:tcPr>
            <w:tcW w:w="1285" w:type="dxa"/>
          </w:tcPr>
          <w:p w14:paraId="5C8CDD46" w14:textId="77777777" w:rsidR="00E6060C" w:rsidRPr="00E6060C" w:rsidRDefault="00E6060C" w:rsidP="00E6060C">
            <w:r w:rsidRPr="00E6060C">
              <w:t>Int=22</w:t>
            </w:r>
          </w:p>
          <w:p w14:paraId="2311AE35" w14:textId="77777777" w:rsidR="00E6060C" w:rsidRPr="00E6060C" w:rsidRDefault="00E6060C" w:rsidP="00E6060C">
            <w:r w:rsidRPr="00E6060C">
              <w:t>Con= 16</w:t>
            </w:r>
          </w:p>
          <w:p w14:paraId="7854F0AE" w14:textId="77777777" w:rsidR="00E6060C" w:rsidRPr="00E6060C" w:rsidRDefault="00E6060C" w:rsidP="00E6060C">
            <w:r w:rsidRPr="00E6060C">
              <w:t>(matched across T1 &amp; T2)</w:t>
            </w:r>
          </w:p>
        </w:tc>
        <w:tc>
          <w:tcPr>
            <w:tcW w:w="1358" w:type="dxa"/>
          </w:tcPr>
          <w:p w14:paraId="6DA243B6" w14:textId="77777777" w:rsidR="00E6060C" w:rsidRPr="00E6060C" w:rsidRDefault="00E6060C" w:rsidP="00E6060C">
            <w:r w:rsidRPr="00E6060C">
              <w:t>Group</w:t>
            </w:r>
          </w:p>
        </w:tc>
      </w:tr>
      <w:tr w:rsidR="00E6060C" w:rsidRPr="00E6060C" w14:paraId="2F739246" w14:textId="77777777" w:rsidTr="00E6060C">
        <w:trPr>
          <w:gridAfter w:val="1"/>
          <w:wAfter w:w="13" w:type="dxa"/>
        </w:trPr>
        <w:tc>
          <w:tcPr>
            <w:tcW w:w="440" w:type="dxa"/>
          </w:tcPr>
          <w:p w14:paraId="4D33449C" w14:textId="77777777" w:rsidR="00E6060C" w:rsidRPr="00E6060C" w:rsidRDefault="00E6060C" w:rsidP="00E6060C">
            <w:r w:rsidRPr="00E6060C">
              <w:t>22</w:t>
            </w:r>
          </w:p>
        </w:tc>
        <w:tc>
          <w:tcPr>
            <w:tcW w:w="1403" w:type="dxa"/>
          </w:tcPr>
          <w:p w14:paraId="42DBE73E" w14:textId="734EEAE4" w:rsidR="00E6060C" w:rsidRPr="00E6060C" w:rsidRDefault="00195C4B" w:rsidP="00E6060C">
            <w:pPr>
              <w:rPr>
                <w:rFonts w:ascii="Calibri" w:hAnsi="Calibri"/>
              </w:rPr>
            </w:pPr>
            <w:r>
              <w:t>*</w:t>
            </w:r>
            <w:r>
              <w:rPr>
                <w:rFonts w:ascii="Calibri" w:hAnsi="Calibri"/>
              </w:rPr>
              <w:t>Rigotti et al., 2014</w:t>
            </w:r>
            <w:r w:rsidR="00E6060C" w:rsidRPr="00E6060C">
              <w:rPr>
                <w:rFonts w:ascii="Calibri" w:hAnsi="Calibri"/>
              </w:rPr>
              <w:t xml:space="preserve"> </w:t>
            </w:r>
          </w:p>
        </w:tc>
        <w:tc>
          <w:tcPr>
            <w:tcW w:w="880" w:type="dxa"/>
          </w:tcPr>
          <w:p w14:paraId="094315CF" w14:textId="77777777" w:rsidR="00E6060C" w:rsidRPr="00E6060C" w:rsidRDefault="00E6060C" w:rsidP="00E6060C">
            <w:r w:rsidRPr="00E6060C">
              <w:t>G</w:t>
            </w:r>
          </w:p>
        </w:tc>
        <w:tc>
          <w:tcPr>
            <w:tcW w:w="1389" w:type="dxa"/>
          </w:tcPr>
          <w:p w14:paraId="6DA86955" w14:textId="77777777" w:rsidR="00E6060C" w:rsidRPr="00E6060C" w:rsidRDefault="00E6060C" w:rsidP="00E6060C">
            <w:r w:rsidRPr="00E6060C">
              <w:t>Germany</w:t>
            </w:r>
          </w:p>
          <w:p w14:paraId="70DDD87D" w14:textId="77777777" w:rsidR="00E6060C" w:rsidRPr="00E6060C" w:rsidRDefault="00E6060C" w:rsidP="00E6060C"/>
        </w:tc>
        <w:tc>
          <w:tcPr>
            <w:tcW w:w="1635" w:type="dxa"/>
          </w:tcPr>
          <w:p w14:paraId="09C721EF" w14:textId="77777777" w:rsidR="00E6060C" w:rsidRPr="00E6060C" w:rsidRDefault="00E6060C" w:rsidP="00E6060C">
            <w:r w:rsidRPr="00E6060C">
              <w:t>Both</w:t>
            </w:r>
          </w:p>
        </w:tc>
        <w:tc>
          <w:tcPr>
            <w:tcW w:w="1674" w:type="dxa"/>
          </w:tcPr>
          <w:p w14:paraId="376D7E4E" w14:textId="77777777" w:rsidR="00E6060C" w:rsidRPr="00E6060C" w:rsidRDefault="00E6060C" w:rsidP="00E6060C">
            <w:pPr>
              <w:rPr>
                <w:rFonts w:ascii="Calibri" w:hAnsi="Calibri"/>
                <w:color w:val="000000"/>
              </w:rPr>
            </w:pPr>
            <w:r w:rsidRPr="00E6060C">
              <w:rPr>
                <w:rFonts w:ascii="Calibri" w:hAnsi="Calibri"/>
                <w:color w:val="000000"/>
              </w:rPr>
              <w:t>NR</w:t>
            </w:r>
          </w:p>
        </w:tc>
        <w:tc>
          <w:tcPr>
            <w:tcW w:w="2387" w:type="dxa"/>
          </w:tcPr>
          <w:p w14:paraId="7E933DD0" w14:textId="6B65F477" w:rsidR="00E6060C" w:rsidRPr="00E6060C" w:rsidRDefault="00E6060C" w:rsidP="00E6060C">
            <w:r w:rsidRPr="00E6060C">
              <w:t xml:space="preserve">To assess whether leadership behaviour can be developed by on-the-job training and whether this improvement positively affects employee </w:t>
            </w:r>
            <w:r w:rsidR="001D6140">
              <w:t>well-being</w:t>
            </w:r>
          </w:p>
        </w:tc>
        <w:tc>
          <w:tcPr>
            <w:tcW w:w="1272" w:type="dxa"/>
          </w:tcPr>
          <w:p w14:paraId="71B75FB4" w14:textId="77777777" w:rsidR="00E6060C" w:rsidRPr="00E6060C" w:rsidRDefault="00E6060C" w:rsidP="00E6060C">
            <w:r w:rsidRPr="00E6060C">
              <w:t>20m</w:t>
            </w:r>
          </w:p>
        </w:tc>
        <w:tc>
          <w:tcPr>
            <w:tcW w:w="1357" w:type="dxa"/>
          </w:tcPr>
          <w:p w14:paraId="22DF6212" w14:textId="77777777" w:rsidR="00E6060C" w:rsidRPr="00E6060C" w:rsidRDefault="00E6060C" w:rsidP="00E6060C">
            <w:r w:rsidRPr="00E6060C">
              <w:t>14m</w:t>
            </w:r>
          </w:p>
        </w:tc>
        <w:tc>
          <w:tcPr>
            <w:tcW w:w="1285" w:type="dxa"/>
          </w:tcPr>
          <w:p w14:paraId="6EC212BF" w14:textId="77777777" w:rsidR="00E6060C" w:rsidRPr="00E6060C" w:rsidRDefault="00E6060C" w:rsidP="00E6060C">
            <w:r w:rsidRPr="00E6060C">
              <w:t>Matched across T1 &amp; T2:</w:t>
            </w:r>
          </w:p>
          <w:p w14:paraId="26560ACC" w14:textId="77777777" w:rsidR="00E6060C" w:rsidRPr="00E6060C" w:rsidRDefault="00E6060C" w:rsidP="00E6060C">
            <w:r w:rsidRPr="00E6060C">
              <w:t>Int=78</w:t>
            </w:r>
          </w:p>
          <w:p w14:paraId="4DE8ECAE" w14:textId="77777777" w:rsidR="00E6060C" w:rsidRPr="00E6060C" w:rsidRDefault="00E6060C" w:rsidP="00E6060C">
            <w:r w:rsidRPr="00E6060C">
              <w:t>Con=59</w:t>
            </w:r>
          </w:p>
          <w:p w14:paraId="7BCCAE5E" w14:textId="77777777" w:rsidR="00E6060C" w:rsidRPr="00E6060C" w:rsidRDefault="00E6060C" w:rsidP="00E6060C">
            <w:r w:rsidRPr="00E6060C">
              <w:t>Matched across T1 &amp; T3:</w:t>
            </w:r>
          </w:p>
          <w:p w14:paraId="764A4036" w14:textId="77777777" w:rsidR="00E6060C" w:rsidRPr="00E6060C" w:rsidRDefault="00E6060C" w:rsidP="00E6060C">
            <w:r w:rsidRPr="00E6060C">
              <w:t>Int=62</w:t>
            </w:r>
          </w:p>
          <w:p w14:paraId="198E3F65" w14:textId="77777777" w:rsidR="00E6060C" w:rsidRPr="00E6060C" w:rsidRDefault="00E6060C" w:rsidP="00E6060C">
            <w:r w:rsidRPr="00E6060C">
              <w:t xml:space="preserve">Con=55 </w:t>
            </w:r>
          </w:p>
        </w:tc>
        <w:tc>
          <w:tcPr>
            <w:tcW w:w="1358" w:type="dxa"/>
          </w:tcPr>
          <w:p w14:paraId="0122CF33" w14:textId="77777777" w:rsidR="00E6060C" w:rsidRPr="00E6060C" w:rsidRDefault="00E6060C" w:rsidP="00E6060C">
            <w:r w:rsidRPr="00E6060C">
              <w:t>Group &amp; individual</w:t>
            </w:r>
          </w:p>
        </w:tc>
      </w:tr>
      <w:tr w:rsidR="00E6060C" w:rsidRPr="00E6060C" w14:paraId="0D36CE6C" w14:textId="77777777" w:rsidTr="00E6060C">
        <w:trPr>
          <w:gridAfter w:val="1"/>
          <w:wAfter w:w="13" w:type="dxa"/>
        </w:trPr>
        <w:tc>
          <w:tcPr>
            <w:tcW w:w="440" w:type="dxa"/>
          </w:tcPr>
          <w:p w14:paraId="7FBF4A7D" w14:textId="77777777" w:rsidR="00E6060C" w:rsidRPr="00E6060C" w:rsidRDefault="00E6060C" w:rsidP="00E6060C">
            <w:r w:rsidRPr="00E6060C">
              <w:t>23</w:t>
            </w:r>
          </w:p>
        </w:tc>
        <w:tc>
          <w:tcPr>
            <w:tcW w:w="1403" w:type="dxa"/>
          </w:tcPr>
          <w:p w14:paraId="6899988D" w14:textId="654490FA" w:rsidR="00E6060C" w:rsidRPr="00E6060C" w:rsidRDefault="00195C4B" w:rsidP="00E6060C">
            <w:pPr>
              <w:rPr>
                <w:rFonts w:ascii="Calibri" w:hAnsi="Calibri"/>
              </w:rPr>
            </w:pPr>
            <w:r>
              <w:t>*</w:t>
            </w:r>
            <w:r>
              <w:rPr>
                <w:rFonts w:ascii="Calibri" w:hAnsi="Calibri"/>
              </w:rPr>
              <w:t>Rigotti et al., 2014</w:t>
            </w:r>
          </w:p>
        </w:tc>
        <w:tc>
          <w:tcPr>
            <w:tcW w:w="880" w:type="dxa"/>
          </w:tcPr>
          <w:p w14:paraId="677E5A79" w14:textId="77777777" w:rsidR="00E6060C" w:rsidRPr="00E6060C" w:rsidRDefault="00E6060C" w:rsidP="00E6060C">
            <w:r w:rsidRPr="00E6060C">
              <w:t>S</w:t>
            </w:r>
          </w:p>
        </w:tc>
        <w:tc>
          <w:tcPr>
            <w:tcW w:w="1389" w:type="dxa"/>
          </w:tcPr>
          <w:p w14:paraId="7561BA75" w14:textId="77777777" w:rsidR="00E6060C" w:rsidRPr="00E6060C" w:rsidRDefault="00E6060C" w:rsidP="00E6060C">
            <w:r w:rsidRPr="00E6060C">
              <w:t>Sweden</w:t>
            </w:r>
          </w:p>
        </w:tc>
        <w:tc>
          <w:tcPr>
            <w:tcW w:w="1635" w:type="dxa"/>
          </w:tcPr>
          <w:p w14:paraId="413B06ED" w14:textId="77777777" w:rsidR="00E6060C" w:rsidRPr="00E6060C" w:rsidRDefault="00E6060C" w:rsidP="00E6060C">
            <w:r w:rsidRPr="00E6060C">
              <w:t>Public</w:t>
            </w:r>
          </w:p>
        </w:tc>
        <w:tc>
          <w:tcPr>
            <w:tcW w:w="1674" w:type="dxa"/>
          </w:tcPr>
          <w:p w14:paraId="108585A5" w14:textId="77777777" w:rsidR="00E6060C" w:rsidRPr="00E6060C" w:rsidRDefault="00E6060C" w:rsidP="00E6060C">
            <w:pPr>
              <w:rPr>
                <w:rFonts w:ascii="Calibri" w:hAnsi="Calibri"/>
                <w:color w:val="000000"/>
              </w:rPr>
            </w:pPr>
            <w:r w:rsidRPr="00E6060C">
              <w:rPr>
                <w:rFonts w:ascii="Calibri" w:hAnsi="Calibri"/>
                <w:color w:val="000000"/>
              </w:rPr>
              <w:t>As above</w:t>
            </w:r>
          </w:p>
        </w:tc>
        <w:tc>
          <w:tcPr>
            <w:tcW w:w="2387" w:type="dxa"/>
          </w:tcPr>
          <w:p w14:paraId="6D64D2B8" w14:textId="77777777" w:rsidR="00E6060C" w:rsidRPr="00E6060C" w:rsidRDefault="00E6060C" w:rsidP="00E6060C">
            <w:r w:rsidRPr="00E6060C">
              <w:t>As above</w:t>
            </w:r>
          </w:p>
        </w:tc>
        <w:tc>
          <w:tcPr>
            <w:tcW w:w="1272" w:type="dxa"/>
          </w:tcPr>
          <w:p w14:paraId="4FF4DD7F" w14:textId="77777777" w:rsidR="00E6060C" w:rsidRPr="00E6060C" w:rsidRDefault="00E6060C" w:rsidP="00E6060C">
            <w:r w:rsidRPr="00E6060C">
              <w:t>As above</w:t>
            </w:r>
          </w:p>
        </w:tc>
        <w:tc>
          <w:tcPr>
            <w:tcW w:w="1357" w:type="dxa"/>
          </w:tcPr>
          <w:p w14:paraId="7FE22654" w14:textId="77777777" w:rsidR="00E6060C" w:rsidRPr="00E6060C" w:rsidRDefault="00E6060C" w:rsidP="00E6060C">
            <w:r w:rsidRPr="00E6060C">
              <w:t>As above</w:t>
            </w:r>
          </w:p>
        </w:tc>
        <w:tc>
          <w:tcPr>
            <w:tcW w:w="1285" w:type="dxa"/>
          </w:tcPr>
          <w:p w14:paraId="21E55283" w14:textId="77777777" w:rsidR="00E6060C" w:rsidRPr="00E6060C" w:rsidRDefault="00E6060C" w:rsidP="00E6060C">
            <w:r w:rsidRPr="00E6060C">
              <w:t>Matched across T1 &amp; T2:</w:t>
            </w:r>
          </w:p>
          <w:p w14:paraId="759B37F0" w14:textId="77777777" w:rsidR="00E6060C" w:rsidRPr="00E6060C" w:rsidRDefault="00E6060C" w:rsidP="00E6060C">
            <w:r w:rsidRPr="00E6060C">
              <w:t xml:space="preserve">Int=125 </w:t>
            </w:r>
          </w:p>
          <w:p w14:paraId="5EBDF5E9" w14:textId="77777777" w:rsidR="00E6060C" w:rsidRPr="00E6060C" w:rsidRDefault="00E6060C" w:rsidP="00E6060C">
            <w:r w:rsidRPr="00E6060C">
              <w:t xml:space="preserve">Con=40 </w:t>
            </w:r>
          </w:p>
          <w:p w14:paraId="388FD213" w14:textId="77777777" w:rsidR="00E6060C" w:rsidRPr="00E6060C" w:rsidRDefault="00E6060C" w:rsidP="00E6060C">
            <w:r w:rsidRPr="00E6060C">
              <w:t>Matched across T1 &amp; T3:</w:t>
            </w:r>
          </w:p>
          <w:p w14:paraId="007AE1FF" w14:textId="77777777" w:rsidR="00E6060C" w:rsidRPr="00E6060C" w:rsidRDefault="00E6060C" w:rsidP="00E6060C">
            <w:r w:rsidRPr="00E6060C">
              <w:t xml:space="preserve">Int=106 </w:t>
            </w:r>
          </w:p>
          <w:p w14:paraId="053CA4DE" w14:textId="77777777" w:rsidR="00E6060C" w:rsidRPr="00E6060C" w:rsidRDefault="00E6060C" w:rsidP="00E6060C">
            <w:r w:rsidRPr="00E6060C">
              <w:t xml:space="preserve">Con=38 </w:t>
            </w:r>
          </w:p>
        </w:tc>
        <w:tc>
          <w:tcPr>
            <w:tcW w:w="1358" w:type="dxa"/>
          </w:tcPr>
          <w:p w14:paraId="028D9918" w14:textId="77777777" w:rsidR="00E6060C" w:rsidRPr="00E6060C" w:rsidRDefault="00E6060C" w:rsidP="00E6060C">
            <w:r w:rsidRPr="00E6060C">
              <w:t>As above</w:t>
            </w:r>
          </w:p>
        </w:tc>
      </w:tr>
      <w:tr w:rsidR="00E6060C" w:rsidRPr="00E6060C" w14:paraId="0D75BC14" w14:textId="77777777" w:rsidTr="00E6060C">
        <w:trPr>
          <w:gridAfter w:val="1"/>
          <w:wAfter w:w="13" w:type="dxa"/>
        </w:trPr>
        <w:tc>
          <w:tcPr>
            <w:tcW w:w="15080" w:type="dxa"/>
            <w:gridSpan w:val="11"/>
            <w:shd w:val="clear" w:color="auto" w:fill="D9D9D9" w:themeFill="background1" w:themeFillShade="D9"/>
          </w:tcPr>
          <w:p w14:paraId="0A99CF3F" w14:textId="77777777" w:rsidR="00E6060C" w:rsidRPr="00E6060C" w:rsidRDefault="00E6060C" w:rsidP="00E6060C">
            <w:pPr>
              <w:rPr>
                <w:b/>
              </w:rPr>
            </w:pPr>
            <w:r w:rsidRPr="00E6060C">
              <w:rPr>
                <w:b/>
              </w:rPr>
              <w:t>ONGOING LEADERSHIP TRAINING INTERVENTIONS</w:t>
            </w:r>
          </w:p>
          <w:p w14:paraId="49B059E6" w14:textId="77777777" w:rsidR="00E6060C" w:rsidRPr="00E6060C" w:rsidRDefault="00E6060C" w:rsidP="00E6060C">
            <w:pPr>
              <w:rPr>
                <w:b/>
              </w:rPr>
            </w:pPr>
          </w:p>
        </w:tc>
      </w:tr>
      <w:tr w:rsidR="00E6060C" w:rsidRPr="00E6060C" w14:paraId="364F5CF2" w14:textId="77777777" w:rsidTr="00E6060C">
        <w:trPr>
          <w:gridAfter w:val="1"/>
          <w:wAfter w:w="13" w:type="dxa"/>
        </w:trPr>
        <w:tc>
          <w:tcPr>
            <w:tcW w:w="440" w:type="dxa"/>
            <w:tcBorders>
              <w:bottom w:val="single" w:sz="4" w:space="0" w:color="auto"/>
            </w:tcBorders>
            <w:shd w:val="clear" w:color="auto" w:fill="D9D9D9" w:themeFill="background1" w:themeFillShade="D9"/>
          </w:tcPr>
          <w:p w14:paraId="78BD10F2" w14:textId="77777777" w:rsidR="00E6060C" w:rsidRPr="00E6060C" w:rsidRDefault="00E6060C" w:rsidP="00E6060C">
            <w:r w:rsidRPr="00E6060C">
              <w:t>24</w:t>
            </w:r>
          </w:p>
        </w:tc>
        <w:tc>
          <w:tcPr>
            <w:tcW w:w="1403" w:type="dxa"/>
            <w:tcBorders>
              <w:bottom w:val="single" w:sz="4" w:space="0" w:color="auto"/>
            </w:tcBorders>
            <w:shd w:val="clear" w:color="auto" w:fill="D9D9D9" w:themeFill="background1" w:themeFillShade="D9"/>
          </w:tcPr>
          <w:p w14:paraId="08401146" w14:textId="77777777" w:rsidR="00E6060C" w:rsidRPr="00E6060C" w:rsidRDefault="00E6060C" w:rsidP="00E6060C">
            <w:pPr>
              <w:rPr>
                <w:rFonts w:ascii="Calibri" w:hAnsi="Calibri"/>
                <w:color w:val="000000"/>
              </w:rPr>
            </w:pPr>
            <w:r w:rsidRPr="00E6060C">
              <w:rPr>
                <w:rFonts w:ascii="Calibri" w:hAnsi="Calibri"/>
                <w:color w:val="000000"/>
              </w:rPr>
              <w:t>White et al., 2014</w:t>
            </w:r>
          </w:p>
        </w:tc>
        <w:tc>
          <w:tcPr>
            <w:tcW w:w="880" w:type="dxa"/>
            <w:tcBorders>
              <w:bottom w:val="single" w:sz="4" w:space="0" w:color="auto"/>
            </w:tcBorders>
            <w:shd w:val="clear" w:color="auto" w:fill="D9D9D9" w:themeFill="background1" w:themeFillShade="D9"/>
          </w:tcPr>
          <w:p w14:paraId="1CE35990" w14:textId="77777777" w:rsidR="00E6060C" w:rsidRPr="00E6060C" w:rsidRDefault="00E6060C" w:rsidP="00E6060C">
            <w:r w:rsidRPr="00E6060C">
              <w:t>P</w:t>
            </w:r>
          </w:p>
        </w:tc>
        <w:tc>
          <w:tcPr>
            <w:tcW w:w="1389" w:type="dxa"/>
            <w:tcBorders>
              <w:bottom w:val="single" w:sz="4" w:space="0" w:color="auto"/>
            </w:tcBorders>
            <w:shd w:val="clear" w:color="auto" w:fill="D9D9D9" w:themeFill="background1" w:themeFillShade="D9"/>
          </w:tcPr>
          <w:p w14:paraId="58EFA674" w14:textId="77777777" w:rsidR="00E6060C" w:rsidRPr="00E6060C" w:rsidRDefault="00E6060C" w:rsidP="00E6060C">
            <w:r w:rsidRPr="00E6060C">
              <w:t>Ireland</w:t>
            </w:r>
          </w:p>
        </w:tc>
        <w:tc>
          <w:tcPr>
            <w:tcW w:w="1635" w:type="dxa"/>
            <w:tcBorders>
              <w:bottom w:val="single" w:sz="4" w:space="0" w:color="auto"/>
            </w:tcBorders>
            <w:shd w:val="clear" w:color="auto" w:fill="D9D9D9" w:themeFill="background1" w:themeFillShade="D9"/>
          </w:tcPr>
          <w:p w14:paraId="7CD1925E" w14:textId="77777777" w:rsidR="00E6060C" w:rsidRPr="00E6060C" w:rsidRDefault="00E6060C" w:rsidP="00E6060C">
            <w:r w:rsidRPr="00E6060C">
              <w:t>Hospitals</w:t>
            </w:r>
          </w:p>
        </w:tc>
        <w:tc>
          <w:tcPr>
            <w:tcW w:w="1674" w:type="dxa"/>
            <w:tcBorders>
              <w:bottom w:val="single" w:sz="4" w:space="0" w:color="auto"/>
            </w:tcBorders>
            <w:shd w:val="clear" w:color="auto" w:fill="D9D9D9" w:themeFill="background1" w:themeFillShade="D9"/>
          </w:tcPr>
          <w:p w14:paraId="0EE92560" w14:textId="77777777" w:rsidR="00E6060C" w:rsidRPr="00E6060C" w:rsidRDefault="00E6060C" w:rsidP="00E6060C">
            <w:pPr>
              <w:rPr>
                <w:rFonts w:ascii="Calibri" w:hAnsi="Calibri"/>
                <w:color w:val="000000"/>
              </w:rPr>
            </w:pPr>
            <w:r w:rsidRPr="00E6060C">
              <w:rPr>
                <w:rFonts w:ascii="Calibri" w:hAnsi="Calibri"/>
                <w:color w:val="000000"/>
              </w:rPr>
              <w:t>NR, cross-sectional, control group</w:t>
            </w:r>
          </w:p>
        </w:tc>
        <w:tc>
          <w:tcPr>
            <w:tcW w:w="2387" w:type="dxa"/>
            <w:tcBorders>
              <w:bottom w:val="single" w:sz="4" w:space="0" w:color="auto"/>
            </w:tcBorders>
            <w:shd w:val="clear" w:color="auto" w:fill="D9D9D9" w:themeFill="background1" w:themeFillShade="D9"/>
          </w:tcPr>
          <w:p w14:paraId="214B85DB" w14:textId="77777777" w:rsidR="00E6060C" w:rsidRPr="00E6060C" w:rsidRDefault="00E6060C" w:rsidP="00E6060C">
            <w:r w:rsidRPr="00E6060C">
              <w:t xml:space="preserve">To explore the relationship between quality improvement </w:t>
            </w:r>
            <w:r w:rsidRPr="00E6060C">
              <w:lastRenderedPageBreak/>
              <w:t>(QI) activities and the WE of ward teams</w:t>
            </w:r>
          </w:p>
        </w:tc>
        <w:tc>
          <w:tcPr>
            <w:tcW w:w="1272" w:type="dxa"/>
            <w:tcBorders>
              <w:bottom w:val="single" w:sz="4" w:space="0" w:color="auto"/>
            </w:tcBorders>
            <w:shd w:val="clear" w:color="auto" w:fill="D9D9D9" w:themeFill="background1" w:themeFillShade="D9"/>
          </w:tcPr>
          <w:p w14:paraId="695ADBF4" w14:textId="77777777" w:rsidR="00E6060C" w:rsidRPr="00E6060C" w:rsidRDefault="00E6060C" w:rsidP="00E6060C">
            <w:r w:rsidRPr="00E6060C">
              <w:lastRenderedPageBreak/>
              <w:t>Not yet known</w:t>
            </w:r>
          </w:p>
        </w:tc>
        <w:tc>
          <w:tcPr>
            <w:tcW w:w="1357" w:type="dxa"/>
            <w:tcBorders>
              <w:bottom w:val="single" w:sz="4" w:space="0" w:color="auto"/>
            </w:tcBorders>
            <w:shd w:val="clear" w:color="auto" w:fill="D9D9D9" w:themeFill="background1" w:themeFillShade="D9"/>
          </w:tcPr>
          <w:p w14:paraId="5DB4FEB9" w14:textId="77777777" w:rsidR="00E6060C" w:rsidRPr="00E6060C" w:rsidRDefault="00E6060C" w:rsidP="00E6060C">
            <w:r w:rsidRPr="00E6060C">
              <w:t>NA (12m follow-up proposed)</w:t>
            </w:r>
          </w:p>
        </w:tc>
        <w:tc>
          <w:tcPr>
            <w:tcW w:w="1285" w:type="dxa"/>
            <w:tcBorders>
              <w:bottom w:val="single" w:sz="4" w:space="0" w:color="auto"/>
            </w:tcBorders>
            <w:shd w:val="clear" w:color="auto" w:fill="D9D9D9" w:themeFill="background1" w:themeFillShade="D9"/>
          </w:tcPr>
          <w:p w14:paraId="039CEC4E" w14:textId="77777777" w:rsidR="00E6060C" w:rsidRPr="00E6060C" w:rsidRDefault="00E6060C" w:rsidP="00E6060C">
            <w:r w:rsidRPr="00E6060C">
              <w:t>Int=180</w:t>
            </w:r>
          </w:p>
          <w:p w14:paraId="362231CC" w14:textId="77777777" w:rsidR="00E6060C" w:rsidRPr="00E6060C" w:rsidRDefault="00E6060C" w:rsidP="00E6060C">
            <w:r w:rsidRPr="00E6060C">
              <w:t>Con=158</w:t>
            </w:r>
          </w:p>
        </w:tc>
        <w:tc>
          <w:tcPr>
            <w:tcW w:w="1358" w:type="dxa"/>
            <w:tcBorders>
              <w:bottom w:val="single" w:sz="4" w:space="0" w:color="auto"/>
            </w:tcBorders>
            <w:shd w:val="clear" w:color="auto" w:fill="D9D9D9" w:themeFill="background1" w:themeFillShade="D9"/>
          </w:tcPr>
          <w:p w14:paraId="58DD2132" w14:textId="77777777" w:rsidR="00E6060C" w:rsidRPr="00E6060C" w:rsidRDefault="00E6060C" w:rsidP="00E6060C">
            <w:r w:rsidRPr="00E6060C">
              <w:t>Not reported</w:t>
            </w:r>
          </w:p>
        </w:tc>
      </w:tr>
      <w:tr w:rsidR="00E6060C" w:rsidRPr="00E6060C" w14:paraId="25C6E012" w14:textId="77777777" w:rsidTr="00E6060C">
        <w:trPr>
          <w:gridAfter w:val="1"/>
          <w:wAfter w:w="13" w:type="dxa"/>
        </w:trPr>
        <w:tc>
          <w:tcPr>
            <w:tcW w:w="15080" w:type="dxa"/>
            <w:gridSpan w:val="11"/>
            <w:tcBorders>
              <w:top w:val="single" w:sz="4" w:space="0" w:color="auto"/>
              <w:bottom w:val="single" w:sz="4" w:space="0" w:color="auto"/>
            </w:tcBorders>
          </w:tcPr>
          <w:p w14:paraId="1DAD8B54" w14:textId="77777777" w:rsidR="00E6060C" w:rsidRPr="00E6060C" w:rsidRDefault="00E6060C" w:rsidP="00E6060C">
            <w:pPr>
              <w:rPr>
                <w:b/>
                <w:sz w:val="28"/>
                <w:szCs w:val="28"/>
              </w:rPr>
            </w:pPr>
            <w:r w:rsidRPr="00E6060C">
              <w:rPr>
                <w:b/>
                <w:sz w:val="28"/>
                <w:szCs w:val="28"/>
              </w:rPr>
              <w:t>HEALTH PROMOTION INTERVENTIONS</w:t>
            </w:r>
          </w:p>
        </w:tc>
      </w:tr>
      <w:tr w:rsidR="00E6060C" w:rsidRPr="00E6060C" w14:paraId="05E0EE89" w14:textId="77777777" w:rsidTr="00E6060C">
        <w:trPr>
          <w:gridAfter w:val="1"/>
          <w:wAfter w:w="13" w:type="dxa"/>
        </w:trPr>
        <w:tc>
          <w:tcPr>
            <w:tcW w:w="440" w:type="dxa"/>
            <w:tcBorders>
              <w:top w:val="single" w:sz="4" w:space="0" w:color="auto"/>
            </w:tcBorders>
          </w:tcPr>
          <w:p w14:paraId="598EE21D" w14:textId="77777777" w:rsidR="00E6060C" w:rsidRPr="00E6060C" w:rsidRDefault="00E6060C" w:rsidP="00E6060C">
            <w:r w:rsidRPr="00E6060C">
              <w:t>25</w:t>
            </w:r>
          </w:p>
        </w:tc>
        <w:tc>
          <w:tcPr>
            <w:tcW w:w="1403" w:type="dxa"/>
            <w:tcBorders>
              <w:top w:val="single" w:sz="4" w:space="0" w:color="auto"/>
            </w:tcBorders>
          </w:tcPr>
          <w:p w14:paraId="598548A0" w14:textId="0EA661BD" w:rsidR="00E6060C" w:rsidRPr="00E6060C" w:rsidRDefault="00B700DB" w:rsidP="00E6060C">
            <w:r>
              <w:t>*Aikens et al., 2014</w:t>
            </w:r>
          </w:p>
        </w:tc>
        <w:tc>
          <w:tcPr>
            <w:tcW w:w="880" w:type="dxa"/>
            <w:tcBorders>
              <w:top w:val="single" w:sz="4" w:space="0" w:color="auto"/>
            </w:tcBorders>
          </w:tcPr>
          <w:p w14:paraId="69401703" w14:textId="77777777" w:rsidR="00E6060C" w:rsidRPr="00E6060C" w:rsidRDefault="00E6060C" w:rsidP="00E6060C">
            <w:r w:rsidRPr="00E6060C">
              <w:t>P</w:t>
            </w:r>
          </w:p>
        </w:tc>
        <w:tc>
          <w:tcPr>
            <w:tcW w:w="1389" w:type="dxa"/>
            <w:tcBorders>
              <w:top w:val="single" w:sz="4" w:space="0" w:color="auto"/>
            </w:tcBorders>
          </w:tcPr>
          <w:p w14:paraId="5ABFB5B7" w14:textId="77777777" w:rsidR="00E6060C" w:rsidRPr="00E6060C" w:rsidRDefault="00E6060C" w:rsidP="00E6060C">
            <w:r w:rsidRPr="00E6060C">
              <w:t>USA</w:t>
            </w:r>
          </w:p>
        </w:tc>
        <w:tc>
          <w:tcPr>
            <w:tcW w:w="1635" w:type="dxa"/>
            <w:tcBorders>
              <w:top w:val="single" w:sz="4" w:space="0" w:color="auto"/>
            </w:tcBorders>
          </w:tcPr>
          <w:p w14:paraId="07AB0F57" w14:textId="77777777" w:rsidR="00E6060C" w:rsidRPr="00E6060C" w:rsidRDefault="00E6060C" w:rsidP="00E6060C">
            <w:r w:rsidRPr="00E6060C">
              <w:t>Chemical Company</w:t>
            </w:r>
          </w:p>
        </w:tc>
        <w:tc>
          <w:tcPr>
            <w:tcW w:w="1674" w:type="dxa"/>
            <w:tcBorders>
              <w:top w:val="single" w:sz="4" w:space="0" w:color="auto"/>
            </w:tcBorders>
          </w:tcPr>
          <w:p w14:paraId="4878389F" w14:textId="77777777" w:rsidR="00E6060C" w:rsidRPr="00E6060C" w:rsidRDefault="00E6060C" w:rsidP="00E6060C">
            <w:r w:rsidRPr="00E6060C">
              <w:t xml:space="preserve">R </w:t>
            </w:r>
          </w:p>
        </w:tc>
        <w:tc>
          <w:tcPr>
            <w:tcW w:w="2387" w:type="dxa"/>
            <w:tcBorders>
              <w:top w:val="single" w:sz="4" w:space="0" w:color="auto"/>
            </w:tcBorders>
          </w:tcPr>
          <w:p w14:paraId="4721188F" w14:textId="77777777" w:rsidR="00E6060C" w:rsidRPr="00E6060C" w:rsidRDefault="00E6060C" w:rsidP="00E6060C">
            <w:r w:rsidRPr="00E6060C">
              <w:t>To test whether a shortened version of the standard MBSR programme is effective for stress reduction and increasing WE</w:t>
            </w:r>
          </w:p>
        </w:tc>
        <w:tc>
          <w:tcPr>
            <w:tcW w:w="1272" w:type="dxa"/>
            <w:tcBorders>
              <w:top w:val="single" w:sz="4" w:space="0" w:color="auto"/>
            </w:tcBorders>
          </w:tcPr>
          <w:p w14:paraId="5BB7F5E5" w14:textId="77777777" w:rsidR="00E6060C" w:rsidRPr="00E6060C" w:rsidRDefault="00E6060C" w:rsidP="00E6060C">
            <w:r w:rsidRPr="00E6060C">
              <w:t>6m</w:t>
            </w:r>
          </w:p>
        </w:tc>
        <w:tc>
          <w:tcPr>
            <w:tcW w:w="1357" w:type="dxa"/>
            <w:tcBorders>
              <w:top w:val="single" w:sz="4" w:space="0" w:color="auto"/>
            </w:tcBorders>
          </w:tcPr>
          <w:p w14:paraId="3B614B20" w14:textId="77777777" w:rsidR="00E6060C" w:rsidRPr="00E6060C" w:rsidRDefault="00E6060C" w:rsidP="00E6060C">
            <w:r w:rsidRPr="00E6060C">
              <w:t>7 wks</w:t>
            </w:r>
          </w:p>
        </w:tc>
        <w:tc>
          <w:tcPr>
            <w:tcW w:w="1285" w:type="dxa"/>
            <w:tcBorders>
              <w:top w:val="single" w:sz="4" w:space="0" w:color="auto"/>
            </w:tcBorders>
          </w:tcPr>
          <w:p w14:paraId="1E8BEAE9" w14:textId="77777777" w:rsidR="00E6060C" w:rsidRPr="00E6060C" w:rsidRDefault="00E6060C" w:rsidP="00E6060C">
            <w:r w:rsidRPr="00E6060C">
              <w:t xml:space="preserve">Int=44 </w:t>
            </w:r>
          </w:p>
          <w:p w14:paraId="78BFAFC7" w14:textId="77777777" w:rsidR="00E6060C" w:rsidRPr="00E6060C" w:rsidRDefault="00E6060C" w:rsidP="00E6060C">
            <w:r w:rsidRPr="00E6060C">
              <w:t>Con=45</w:t>
            </w:r>
          </w:p>
          <w:p w14:paraId="6CC75BE7" w14:textId="77777777" w:rsidR="00E6060C" w:rsidRPr="00E6060C" w:rsidRDefault="00E6060C" w:rsidP="00E6060C">
            <w:r w:rsidRPr="00E6060C">
              <w:t>(matched across T1, T2 &amp; T3)</w:t>
            </w:r>
          </w:p>
        </w:tc>
        <w:tc>
          <w:tcPr>
            <w:tcW w:w="1358" w:type="dxa"/>
            <w:tcBorders>
              <w:top w:val="single" w:sz="4" w:space="0" w:color="auto"/>
            </w:tcBorders>
          </w:tcPr>
          <w:p w14:paraId="371D9B70" w14:textId="77777777" w:rsidR="00E6060C" w:rsidRPr="00E6060C" w:rsidRDefault="00E6060C" w:rsidP="00E6060C">
            <w:r w:rsidRPr="00E6060C">
              <w:t>Group</w:t>
            </w:r>
          </w:p>
        </w:tc>
      </w:tr>
      <w:tr w:rsidR="00E6060C" w:rsidRPr="00E6060C" w14:paraId="703F843D" w14:textId="77777777" w:rsidTr="00E6060C">
        <w:trPr>
          <w:gridAfter w:val="1"/>
          <w:wAfter w:w="13" w:type="dxa"/>
        </w:trPr>
        <w:tc>
          <w:tcPr>
            <w:tcW w:w="440" w:type="dxa"/>
          </w:tcPr>
          <w:p w14:paraId="212B9EE4" w14:textId="77777777" w:rsidR="00E6060C" w:rsidRPr="00E6060C" w:rsidRDefault="00E6060C" w:rsidP="00E6060C">
            <w:r w:rsidRPr="00E6060C">
              <w:t>26</w:t>
            </w:r>
          </w:p>
        </w:tc>
        <w:tc>
          <w:tcPr>
            <w:tcW w:w="1403" w:type="dxa"/>
          </w:tcPr>
          <w:p w14:paraId="217B4F3F" w14:textId="3793FB0D" w:rsidR="00E6060C" w:rsidRPr="00E6060C" w:rsidRDefault="00B700DB" w:rsidP="00E6060C">
            <w:pPr>
              <w:rPr>
                <w:rFonts w:ascii="Calibri" w:hAnsi="Calibri"/>
                <w:color w:val="000000"/>
              </w:rPr>
            </w:pPr>
            <w:r>
              <w:t>*</w:t>
            </w:r>
            <w:r>
              <w:rPr>
                <w:rFonts w:ascii="Calibri" w:hAnsi="Calibri"/>
                <w:color w:val="000000"/>
              </w:rPr>
              <w:t>Biggs, 2011</w:t>
            </w:r>
            <w:r w:rsidR="00E6060C" w:rsidRPr="00E6060C">
              <w:rPr>
                <w:rFonts w:ascii="Calibri" w:hAnsi="Calibri"/>
                <w:color w:val="000000"/>
              </w:rPr>
              <w:t xml:space="preserve"> </w:t>
            </w:r>
          </w:p>
          <w:p w14:paraId="129BE321" w14:textId="77777777" w:rsidR="00E6060C" w:rsidRPr="00E6060C" w:rsidRDefault="00E6060C" w:rsidP="00E6060C">
            <w:pPr>
              <w:rPr>
                <w:rFonts w:ascii="Calibri" w:hAnsi="Calibri"/>
                <w:b/>
                <w:color w:val="000000"/>
              </w:rPr>
            </w:pPr>
          </w:p>
        </w:tc>
        <w:tc>
          <w:tcPr>
            <w:tcW w:w="880" w:type="dxa"/>
          </w:tcPr>
          <w:p w14:paraId="01652828" w14:textId="77777777" w:rsidR="00E6060C" w:rsidRPr="00E6060C" w:rsidRDefault="00E6060C" w:rsidP="00E6060C">
            <w:r w:rsidRPr="00E6060C">
              <w:t>T</w:t>
            </w:r>
          </w:p>
        </w:tc>
        <w:tc>
          <w:tcPr>
            <w:tcW w:w="1389" w:type="dxa"/>
          </w:tcPr>
          <w:p w14:paraId="20C23EBB" w14:textId="77777777" w:rsidR="00E6060C" w:rsidRPr="00E6060C" w:rsidRDefault="00E6060C" w:rsidP="00E6060C">
            <w:r w:rsidRPr="00E6060C">
              <w:t>Australia</w:t>
            </w:r>
          </w:p>
        </w:tc>
        <w:tc>
          <w:tcPr>
            <w:tcW w:w="1635" w:type="dxa"/>
          </w:tcPr>
          <w:p w14:paraId="56ED4840" w14:textId="77777777" w:rsidR="00E6060C" w:rsidRPr="00E6060C" w:rsidRDefault="00E6060C" w:rsidP="00E6060C">
            <w:r w:rsidRPr="00E6060C">
              <w:t>Police service</w:t>
            </w:r>
          </w:p>
        </w:tc>
        <w:tc>
          <w:tcPr>
            <w:tcW w:w="1674" w:type="dxa"/>
          </w:tcPr>
          <w:p w14:paraId="67F9AD0E" w14:textId="77777777" w:rsidR="00E6060C" w:rsidRPr="00E6060C" w:rsidRDefault="00E6060C" w:rsidP="00E6060C">
            <w:pPr>
              <w:rPr>
                <w:rFonts w:ascii="Calibri" w:hAnsi="Calibri"/>
                <w:color w:val="000000"/>
              </w:rPr>
            </w:pPr>
            <w:r w:rsidRPr="00E6060C">
              <w:rPr>
                <w:rFonts w:ascii="Calibri" w:hAnsi="Calibri"/>
                <w:color w:val="000000"/>
              </w:rPr>
              <w:t>NR</w:t>
            </w:r>
          </w:p>
        </w:tc>
        <w:tc>
          <w:tcPr>
            <w:tcW w:w="2387" w:type="dxa"/>
          </w:tcPr>
          <w:p w14:paraId="7070E686" w14:textId="2B817BB2" w:rsidR="00E6060C" w:rsidRPr="00E6060C" w:rsidRDefault="00E6060C" w:rsidP="00E6060C">
            <w:r w:rsidRPr="00E6060C">
              <w:t xml:space="preserve">To improve the </w:t>
            </w:r>
            <w:r w:rsidR="001D6140">
              <w:t>well-being</w:t>
            </w:r>
            <w:r w:rsidRPr="00E6060C">
              <w:t xml:space="preserve"> (work engagement) of ‘correctional employees’</w:t>
            </w:r>
          </w:p>
        </w:tc>
        <w:tc>
          <w:tcPr>
            <w:tcW w:w="1272" w:type="dxa"/>
          </w:tcPr>
          <w:p w14:paraId="364886DC" w14:textId="77777777" w:rsidR="00E6060C" w:rsidRPr="00E6060C" w:rsidRDefault="00E6060C" w:rsidP="00E6060C">
            <w:r w:rsidRPr="00E6060C">
              <w:t>7m</w:t>
            </w:r>
          </w:p>
        </w:tc>
        <w:tc>
          <w:tcPr>
            <w:tcW w:w="1357" w:type="dxa"/>
          </w:tcPr>
          <w:p w14:paraId="176A7A38" w14:textId="77777777" w:rsidR="00E6060C" w:rsidRPr="00E6060C" w:rsidRDefault="00E6060C" w:rsidP="00E6060C">
            <w:r w:rsidRPr="00E6060C">
              <w:t>7m</w:t>
            </w:r>
          </w:p>
        </w:tc>
        <w:tc>
          <w:tcPr>
            <w:tcW w:w="1285" w:type="dxa"/>
          </w:tcPr>
          <w:p w14:paraId="6ADF7714" w14:textId="77777777" w:rsidR="00E6060C" w:rsidRPr="00E6060C" w:rsidRDefault="00E6060C" w:rsidP="00E6060C">
            <w:r w:rsidRPr="00E6060C">
              <w:t>Int=42</w:t>
            </w:r>
          </w:p>
          <w:p w14:paraId="19E83813" w14:textId="77777777" w:rsidR="00E6060C" w:rsidRPr="00E6060C" w:rsidRDefault="00E6060C" w:rsidP="00E6060C">
            <w:r w:rsidRPr="00E6060C">
              <w:t>Con=72</w:t>
            </w:r>
          </w:p>
          <w:p w14:paraId="7CBBE37A" w14:textId="77777777" w:rsidR="00E6060C" w:rsidRPr="00E6060C" w:rsidRDefault="00E6060C" w:rsidP="00E6060C">
            <w:r w:rsidRPr="00E6060C">
              <w:t>(matched across T1 &amp;</w:t>
            </w:r>
          </w:p>
          <w:p w14:paraId="4F12B076" w14:textId="77777777" w:rsidR="00E6060C" w:rsidRPr="00E6060C" w:rsidRDefault="00E6060C" w:rsidP="00E6060C">
            <w:r w:rsidRPr="00E6060C">
              <w:t>T2)</w:t>
            </w:r>
          </w:p>
          <w:p w14:paraId="1B088380" w14:textId="77777777" w:rsidR="00E6060C" w:rsidRPr="00E6060C" w:rsidRDefault="00E6060C" w:rsidP="00E6060C"/>
        </w:tc>
        <w:tc>
          <w:tcPr>
            <w:tcW w:w="1358" w:type="dxa"/>
          </w:tcPr>
          <w:p w14:paraId="30A976CE" w14:textId="77777777" w:rsidR="00E6060C" w:rsidRPr="00E6060C" w:rsidRDefault="00E6060C" w:rsidP="00E6060C">
            <w:r w:rsidRPr="00E6060C">
              <w:t>Group</w:t>
            </w:r>
          </w:p>
        </w:tc>
      </w:tr>
      <w:tr w:rsidR="00E6060C" w:rsidRPr="00E6060C" w14:paraId="08BC2EB6" w14:textId="77777777" w:rsidTr="00E6060C">
        <w:trPr>
          <w:gridAfter w:val="1"/>
          <w:wAfter w:w="13" w:type="dxa"/>
        </w:trPr>
        <w:tc>
          <w:tcPr>
            <w:tcW w:w="440" w:type="dxa"/>
          </w:tcPr>
          <w:p w14:paraId="4FC11C55" w14:textId="77777777" w:rsidR="00E6060C" w:rsidRPr="00E6060C" w:rsidRDefault="00E6060C" w:rsidP="00E6060C">
            <w:r w:rsidRPr="00E6060C">
              <w:t>27</w:t>
            </w:r>
          </w:p>
        </w:tc>
        <w:tc>
          <w:tcPr>
            <w:tcW w:w="1403" w:type="dxa"/>
          </w:tcPr>
          <w:p w14:paraId="3E68D29A" w14:textId="1EBE03EF" w:rsidR="00E6060C" w:rsidRPr="00E6060C" w:rsidRDefault="00B700DB" w:rsidP="00E6060C">
            <w:pPr>
              <w:rPr>
                <w:rFonts w:ascii="Calibri" w:hAnsi="Calibri"/>
                <w:color w:val="000000"/>
              </w:rPr>
            </w:pPr>
            <w:r>
              <w:t>*</w:t>
            </w:r>
            <w:r w:rsidR="00E6060C" w:rsidRPr="00E6060C">
              <w:rPr>
                <w:rFonts w:ascii="Calibri" w:hAnsi="Calibri"/>
                <w:color w:val="000000"/>
              </w:rPr>
              <w:t>Calitz, 2013</w:t>
            </w:r>
          </w:p>
          <w:p w14:paraId="56644319" w14:textId="77777777" w:rsidR="00E6060C" w:rsidRPr="00E6060C" w:rsidRDefault="00E6060C" w:rsidP="00E6060C">
            <w:pPr>
              <w:rPr>
                <w:rFonts w:ascii="Calibri" w:hAnsi="Calibri"/>
              </w:rPr>
            </w:pPr>
          </w:p>
        </w:tc>
        <w:tc>
          <w:tcPr>
            <w:tcW w:w="880" w:type="dxa"/>
          </w:tcPr>
          <w:p w14:paraId="5F6EF829" w14:textId="77777777" w:rsidR="00E6060C" w:rsidRPr="00E6060C" w:rsidRDefault="00E6060C" w:rsidP="00E6060C">
            <w:r w:rsidRPr="00E6060C">
              <w:t>T</w:t>
            </w:r>
          </w:p>
        </w:tc>
        <w:tc>
          <w:tcPr>
            <w:tcW w:w="1389" w:type="dxa"/>
          </w:tcPr>
          <w:p w14:paraId="3F33342E" w14:textId="77777777" w:rsidR="00E6060C" w:rsidRPr="00E6060C" w:rsidRDefault="00E6060C" w:rsidP="00E6060C">
            <w:r w:rsidRPr="00E6060C">
              <w:t>South Africa</w:t>
            </w:r>
          </w:p>
        </w:tc>
        <w:tc>
          <w:tcPr>
            <w:tcW w:w="1635" w:type="dxa"/>
          </w:tcPr>
          <w:p w14:paraId="2A65A925" w14:textId="77777777" w:rsidR="00E6060C" w:rsidRPr="00E6060C" w:rsidRDefault="00E6060C" w:rsidP="00E6060C">
            <w:r w:rsidRPr="00E6060C">
              <w:t xml:space="preserve">Social work </w:t>
            </w:r>
          </w:p>
        </w:tc>
        <w:tc>
          <w:tcPr>
            <w:tcW w:w="1674" w:type="dxa"/>
          </w:tcPr>
          <w:p w14:paraId="1916C184" w14:textId="77777777" w:rsidR="00E6060C" w:rsidRPr="00E6060C" w:rsidRDefault="00E6060C" w:rsidP="00E6060C">
            <w:pPr>
              <w:rPr>
                <w:rFonts w:ascii="Calibri" w:hAnsi="Calibri"/>
                <w:color w:val="000000"/>
              </w:rPr>
            </w:pPr>
            <w:r w:rsidRPr="00E6060C">
              <w:rPr>
                <w:rFonts w:ascii="Calibri" w:hAnsi="Calibri"/>
                <w:color w:val="000000"/>
              </w:rPr>
              <w:t>NR</w:t>
            </w:r>
          </w:p>
          <w:p w14:paraId="190AACF6" w14:textId="77777777" w:rsidR="00E6060C" w:rsidRPr="00E6060C" w:rsidRDefault="00E6060C" w:rsidP="00E6060C">
            <w:pPr>
              <w:rPr>
                <w:rFonts w:ascii="Calibri" w:hAnsi="Calibri"/>
                <w:color w:val="000000"/>
              </w:rPr>
            </w:pPr>
            <w:r w:rsidRPr="00E6060C">
              <w:rPr>
                <w:rFonts w:ascii="Calibri" w:hAnsi="Calibri"/>
                <w:color w:val="000000"/>
              </w:rPr>
              <w:t xml:space="preserve">Quasi-experimental, pre-test, post-test + follow-up, &amp; comparison group </w:t>
            </w:r>
          </w:p>
        </w:tc>
        <w:tc>
          <w:tcPr>
            <w:tcW w:w="2387" w:type="dxa"/>
          </w:tcPr>
          <w:p w14:paraId="499A2232" w14:textId="77777777" w:rsidR="00E6060C" w:rsidRPr="00E6060C" w:rsidRDefault="00E6060C" w:rsidP="00E6060C">
            <w:r w:rsidRPr="00E6060C">
              <w:t>To empower and re-motivate social workers, and decrease turnover and burnout</w:t>
            </w:r>
          </w:p>
        </w:tc>
        <w:tc>
          <w:tcPr>
            <w:tcW w:w="1272" w:type="dxa"/>
          </w:tcPr>
          <w:p w14:paraId="391EC749" w14:textId="77777777" w:rsidR="00E6060C" w:rsidRPr="00E6060C" w:rsidRDefault="00E6060C" w:rsidP="00E6060C">
            <w:r w:rsidRPr="00E6060C">
              <w:t>1m</w:t>
            </w:r>
          </w:p>
        </w:tc>
        <w:tc>
          <w:tcPr>
            <w:tcW w:w="1357" w:type="dxa"/>
          </w:tcPr>
          <w:p w14:paraId="6CCFFD4E" w14:textId="77777777" w:rsidR="00E6060C" w:rsidRPr="00E6060C" w:rsidRDefault="00E6060C" w:rsidP="00E6060C">
            <w:r w:rsidRPr="00E6060C">
              <w:t>32hrs</w:t>
            </w:r>
          </w:p>
        </w:tc>
        <w:tc>
          <w:tcPr>
            <w:tcW w:w="1285" w:type="dxa"/>
          </w:tcPr>
          <w:p w14:paraId="0235859D" w14:textId="77777777" w:rsidR="00E6060C" w:rsidRPr="00E6060C" w:rsidRDefault="00E6060C" w:rsidP="00E6060C">
            <w:r w:rsidRPr="00E6060C">
              <w:t>Int=11</w:t>
            </w:r>
          </w:p>
          <w:p w14:paraId="5A537747" w14:textId="77777777" w:rsidR="00E6060C" w:rsidRPr="00E6060C" w:rsidRDefault="00E6060C" w:rsidP="00E6060C">
            <w:r w:rsidRPr="00E6060C">
              <w:t>Con=14</w:t>
            </w:r>
          </w:p>
          <w:p w14:paraId="4F13D52E" w14:textId="77777777" w:rsidR="00E6060C" w:rsidRPr="00E6060C" w:rsidRDefault="00E6060C" w:rsidP="00E6060C">
            <w:r w:rsidRPr="00E6060C">
              <w:t>(matched across T1, T2 &amp; T3)</w:t>
            </w:r>
          </w:p>
        </w:tc>
        <w:tc>
          <w:tcPr>
            <w:tcW w:w="1358" w:type="dxa"/>
          </w:tcPr>
          <w:p w14:paraId="46E63641" w14:textId="77777777" w:rsidR="00E6060C" w:rsidRPr="00E6060C" w:rsidRDefault="00E6060C" w:rsidP="00E6060C">
            <w:r w:rsidRPr="00E6060C">
              <w:t>Group</w:t>
            </w:r>
          </w:p>
        </w:tc>
      </w:tr>
      <w:tr w:rsidR="00E6060C" w:rsidRPr="00E6060C" w14:paraId="7EFC1C56" w14:textId="77777777" w:rsidTr="00E6060C">
        <w:trPr>
          <w:gridAfter w:val="1"/>
          <w:wAfter w:w="13" w:type="dxa"/>
        </w:trPr>
        <w:tc>
          <w:tcPr>
            <w:tcW w:w="440" w:type="dxa"/>
          </w:tcPr>
          <w:p w14:paraId="3658C074" w14:textId="77777777" w:rsidR="00E6060C" w:rsidRPr="00E6060C" w:rsidRDefault="00E6060C" w:rsidP="00E6060C">
            <w:r w:rsidRPr="00E6060C">
              <w:t>28</w:t>
            </w:r>
          </w:p>
        </w:tc>
        <w:tc>
          <w:tcPr>
            <w:tcW w:w="1403" w:type="dxa"/>
          </w:tcPr>
          <w:p w14:paraId="05DBEECC" w14:textId="6ED579C2" w:rsidR="00E6060C" w:rsidRPr="00E6060C" w:rsidRDefault="00B700DB" w:rsidP="00E6060C">
            <w:r>
              <w:t>*Hengel, et al., 2012</w:t>
            </w:r>
          </w:p>
          <w:p w14:paraId="6164B49D" w14:textId="77777777" w:rsidR="00E6060C" w:rsidRPr="00E6060C" w:rsidRDefault="00E6060C" w:rsidP="00E6060C"/>
        </w:tc>
        <w:tc>
          <w:tcPr>
            <w:tcW w:w="880" w:type="dxa"/>
          </w:tcPr>
          <w:p w14:paraId="6F71E730" w14:textId="77777777" w:rsidR="00E6060C" w:rsidRPr="00E6060C" w:rsidRDefault="00E6060C" w:rsidP="00E6060C">
            <w:r w:rsidRPr="00E6060C">
              <w:t>P</w:t>
            </w:r>
          </w:p>
        </w:tc>
        <w:tc>
          <w:tcPr>
            <w:tcW w:w="1389" w:type="dxa"/>
          </w:tcPr>
          <w:p w14:paraId="7FBF1BD0" w14:textId="77777777" w:rsidR="00E6060C" w:rsidRPr="00E6060C" w:rsidRDefault="00E6060C" w:rsidP="00E6060C">
            <w:r w:rsidRPr="00E6060C">
              <w:t>The Netherlands</w:t>
            </w:r>
          </w:p>
        </w:tc>
        <w:tc>
          <w:tcPr>
            <w:tcW w:w="1635" w:type="dxa"/>
          </w:tcPr>
          <w:p w14:paraId="619AF2AC" w14:textId="77777777" w:rsidR="00E6060C" w:rsidRPr="00E6060C" w:rsidRDefault="00E6060C" w:rsidP="00E6060C">
            <w:r w:rsidRPr="00E6060C">
              <w:t>Construction sites</w:t>
            </w:r>
          </w:p>
        </w:tc>
        <w:tc>
          <w:tcPr>
            <w:tcW w:w="1674" w:type="dxa"/>
          </w:tcPr>
          <w:p w14:paraId="105C90EC" w14:textId="77777777" w:rsidR="00E6060C" w:rsidRPr="00E6060C" w:rsidRDefault="00E6060C" w:rsidP="00E6060C">
            <w:r w:rsidRPr="00E6060C">
              <w:t xml:space="preserve">CR (15 depts, 6 orgs) </w:t>
            </w:r>
          </w:p>
        </w:tc>
        <w:tc>
          <w:tcPr>
            <w:tcW w:w="2387" w:type="dxa"/>
          </w:tcPr>
          <w:p w14:paraId="4A305871" w14:textId="77777777" w:rsidR="00E6060C" w:rsidRPr="00E6060C" w:rsidRDefault="00E6060C" w:rsidP="00E6060C">
            <w:r w:rsidRPr="00E6060C">
              <w:t xml:space="preserve">To improve the health and work ability of construction workers </w:t>
            </w:r>
          </w:p>
        </w:tc>
        <w:tc>
          <w:tcPr>
            <w:tcW w:w="1272" w:type="dxa"/>
          </w:tcPr>
          <w:p w14:paraId="3BBDD56C" w14:textId="77777777" w:rsidR="00E6060C" w:rsidRPr="00E6060C" w:rsidRDefault="00E6060C" w:rsidP="00E6060C">
            <w:r w:rsidRPr="00E6060C">
              <w:t>12m</w:t>
            </w:r>
          </w:p>
        </w:tc>
        <w:tc>
          <w:tcPr>
            <w:tcW w:w="1357" w:type="dxa"/>
          </w:tcPr>
          <w:p w14:paraId="7CB15910" w14:textId="77777777" w:rsidR="00E6060C" w:rsidRPr="00E6060C" w:rsidRDefault="00E6060C" w:rsidP="00E6060C">
            <w:r w:rsidRPr="00E6060C">
              <w:t>3m</w:t>
            </w:r>
          </w:p>
        </w:tc>
        <w:tc>
          <w:tcPr>
            <w:tcW w:w="1285" w:type="dxa"/>
          </w:tcPr>
          <w:p w14:paraId="3AB2A9EF" w14:textId="77777777" w:rsidR="00E6060C" w:rsidRPr="00E6060C" w:rsidRDefault="00E6060C" w:rsidP="00E6060C">
            <w:r w:rsidRPr="00E6060C">
              <w:t>Int=171</w:t>
            </w:r>
          </w:p>
          <w:p w14:paraId="732DF7AF" w14:textId="77777777" w:rsidR="00E6060C" w:rsidRPr="00E6060C" w:rsidRDefault="00E6060C" w:rsidP="00E6060C">
            <w:r w:rsidRPr="00E6060C">
              <w:t>Con=122</w:t>
            </w:r>
          </w:p>
          <w:p w14:paraId="4583E7D0" w14:textId="77777777" w:rsidR="00E6060C" w:rsidRPr="00E6060C" w:rsidRDefault="00E6060C" w:rsidP="00E6060C">
            <w:r w:rsidRPr="00E6060C">
              <w:t>(matched across T1 &amp; T2 &amp; T3)</w:t>
            </w:r>
          </w:p>
        </w:tc>
        <w:tc>
          <w:tcPr>
            <w:tcW w:w="1358" w:type="dxa"/>
          </w:tcPr>
          <w:p w14:paraId="7060FE7C" w14:textId="77777777" w:rsidR="00E6060C" w:rsidRPr="00E6060C" w:rsidRDefault="00E6060C" w:rsidP="00E6060C">
            <w:r w:rsidRPr="00E6060C">
              <w:t>Group &amp;</w:t>
            </w:r>
          </w:p>
          <w:p w14:paraId="540FD8C7" w14:textId="77777777" w:rsidR="00E6060C" w:rsidRPr="00E6060C" w:rsidRDefault="00E6060C" w:rsidP="00E6060C">
            <w:r w:rsidRPr="00E6060C">
              <w:t>individual</w:t>
            </w:r>
          </w:p>
        </w:tc>
      </w:tr>
      <w:tr w:rsidR="00E6060C" w:rsidRPr="00E6060C" w14:paraId="31FA8155" w14:textId="77777777" w:rsidTr="00E6060C">
        <w:trPr>
          <w:gridAfter w:val="1"/>
          <w:wAfter w:w="13" w:type="dxa"/>
        </w:trPr>
        <w:tc>
          <w:tcPr>
            <w:tcW w:w="440" w:type="dxa"/>
          </w:tcPr>
          <w:p w14:paraId="28D80B7A" w14:textId="77777777" w:rsidR="00E6060C" w:rsidRPr="00E6060C" w:rsidRDefault="00E6060C" w:rsidP="00E6060C">
            <w:r w:rsidRPr="00E6060C">
              <w:lastRenderedPageBreak/>
              <w:t>29</w:t>
            </w:r>
          </w:p>
        </w:tc>
        <w:tc>
          <w:tcPr>
            <w:tcW w:w="1403" w:type="dxa"/>
          </w:tcPr>
          <w:p w14:paraId="033D0118" w14:textId="5354A049" w:rsidR="00E6060C" w:rsidRPr="00E6060C" w:rsidRDefault="00B700DB" w:rsidP="00E6060C">
            <w:pPr>
              <w:rPr>
                <w:rFonts w:ascii="Calibri" w:hAnsi="Calibri"/>
                <w:color w:val="000000"/>
              </w:rPr>
            </w:pPr>
            <w:r>
              <w:t>*</w:t>
            </w:r>
            <w:r>
              <w:rPr>
                <w:rFonts w:ascii="Calibri" w:hAnsi="Calibri"/>
                <w:color w:val="000000"/>
              </w:rPr>
              <w:t>Imamura et al., 2015</w:t>
            </w:r>
          </w:p>
        </w:tc>
        <w:tc>
          <w:tcPr>
            <w:tcW w:w="880" w:type="dxa"/>
          </w:tcPr>
          <w:p w14:paraId="565FAAEB" w14:textId="77777777" w:rsidR="00E6060C" w:rsidRPr="00E6060C" w:rsidRDefault="00E6060C" w:rsidP="00E6060C">
            <w:r w:rsidRPr="00E6060C">
              <w:t>P</w:t>
            </w:r>
          </w:p>
        </w:tc>
        <w:tc>
          <w:tcPr>
            <w:tcW w:w="1389" w:type="dxa"/>
          </w:tcPr>
          <w:p w14:paraId="2F2CD1DD" w14:textId="77777777" w:rsidR="00E6060C" w:rsidRPr="00E6060C" w:rsidRDefault="00E6060C" w:rsidP="00E6060C">
            <w:r w:rsidRPr="00E6060C">
              <w:t>Japan</w:t>
            </w:r>
          </w:p>
        </w:tc>
        <w:tc>
          <w:tcPr>
            <w:tcW w:w="1635" w:type="dxa"/>
          </w:tcPr>
          <w:p w14:paraId="657BE99E" w14:textId="77777777" w:rsidR="00E6060C" w:rsidRPr="00E6060C" w:rsidRDefault="00E6060C" w:rsidP="00E6060C">
            <w:r w:rsidRPr="00E6060C">
              <w:t>Two Information Technology companies</w:t>
            </w:r>
          </w:p>
        </w:tc>
        <w:tc>
          <w:tcPr>
            <w:tcW w:w="1674" w:type="dxa"/>
          </w:tcPr>
          <w:p w14:paraId="5DBE4689" w14:textId="77777777" w:rsidR="00E6060C" w:rsidRPr="00E6060C" w:rsidRDefault="00E6060C" w:rsidP="00E6060C">
            <w:pPr>
              <w:rPr>
                <w:rFonts w:ascii="Calibri" w:hAnsi="Calibri"/>
                <w:color w:val="000000"/>
              </w:rPr>
            </w:pPr>
            <w:r w:rsidRPr="00E6060C">
              <w:rPr>
                <w:rFonts w:ascii="Calibri" w:hAnsi="Calibri"/>
                <w:color w:val="000000"/>
              </w:rPr>
              <w:t>RCT</w:t>
            </w:r>
          </w:p>
        </w:tc>
        <w:tc>
          <w:tcPr>
            <w:tcW w:w="2387" w:type="dxa"/>
          </w:tcPr>
          <w:p w14:paraId="67A4E470" w14:textId="77777777" w:rsidR="00E6060C" w:rsidRPr="00E6060C" w:rsidRDefault="00E6060C" w:rsidP="00E6060C">
            <w:r w:rsidRPr="00E6060C">
              <w:rPr>
                <w:rFonts w:ascii="Calibri" w:hAnsi="Calibri"/>
                <w:color w:val="000000"/>
              </w:rPr>
              <w:t>To improve sub-threshold depressive symptoms among healthy workers</w:t>
            </w:r>
          </w:p>
        </w:tc>
        <w:tc>
          <w:tcPr>
            <w:tcW w:w="1272" w:type="dxa"/>
          </w:tcPr>
          <w:p w14:paraId="3BDC8164" w14:textId="77777777" w:rsidR="00E6060C" w:rsidRPr="00E6060C" w:rsidRDefault="00E6060C" w:rsidP="00E6060C">
            <w:r w:rsidRPr="00E6060C">
              <w:t>6m</w:t>
            </w:r>
          </w:p>
        </w:tc>
        <w:tc>
          <w:tcPr>
            <w:tcW w:w="1357" w:type="dxa"/>
          </w:tcPr>
          <w:p w14:paraId="155CB7F7" w14:textId="77777777" w:rsidR="00E6060C" w:rsidRPr="00E6060C" w:rsidRDefault="00E6060C" w:rsidP="00E6060C">
            <w:r w:rsidRPr="00E6060C">
              <w:t>6 wks</w:t>
            </w:r>
          </w:p>
        </w:tc>
        <w:tc>
          <w:tcPr>
            <w:tcW w:w="1285" w:type="dxa"/>
          </w:tcPr>
          <w:p w14:paraId="210A4205" w14:textId="77777777" w:rsidR="00E6060C" w:rsidRPr="00E6060C" w:rsidRDefault="00E6060C" w:rsidP="00E6060C">
            <w:r w:rsidRPr="00E6060C">
              <w:t>Int=270 (T2)</w:t>
            </w:r>
          </w:p>
          <w:p w14:paraId="219371A4" w14:textId="77777777" w:rsidR="00E6060C" w:rsidRPr="00E6060C" w:rsidRDefault="00E6060C" w:rsidP="00E6060C">
            <w:r w:rsidRPr="00E6060C">
              <w:t>Con=336 (T2)</w:t>
            </w:r>
          </w:p>
          <w:p w14:paraId="307B606B" w14:textId="77777777" w:rsidR="00E6060C" w:rsidRPr="00E6060C" w:rsidRDefault="00E6060C" w:rsidP="00E6060C">
            <w:r w:rsidRPr="00E6060C">
              <w:t>Int=272 (T3)</w:t>
            </w:r>
          </w:p>
          <w:p w14:paraId="082EB96C" w14:textId="77777777" w:rsidR="00E6060C" w:rsidRPr="00E6060C" w:rsidRDefault="00E6060C" w:rsidP="00E6060C">
            <w:r w:rsidRPr="00E6060C">
              <w:t>Con=320 (T3)</w:t>
            </w:r>
          </w:p>
        </w:tc>
        <w:tc>
          <w:tcPr>
            <w:tcW w:w="1358" w:type="dxa"/>
          </w:tcPr>
          <w:p w14:paraId="038C21D4" w14:textId="77777777" w:rsidR="00E6060C" w:rsidRPr="00E6060C" w:rsidRDefault="00E6060C" w:rsidP="00E6060C">
            <w:r w:rsidRPr="00E6060C">
              <w:t>Individual</w:t>
            </w:r>
          </w:p>
        </w:tc>
      </w:tr>
      <w:tr w:rsidR="00E6060C" w:rsidRPr="00E6060C" w14:paraId="472A9F1B" w14:textId="77777777" w:rsidTr="00E6060C">
        <w:trPr>
          <w:gridAfter w:val="1"/>
          <w:wAfter w:w="13" w:type="dxa"/>
        </w:trPr>
        <w:tc>
          <w:tcPr>
            <w:tcW w:w="440" w:type="dxa"/>
          </w:tcPr>
          <w:p w14:paraId="72406002" w14:textId="77777777" w:rsidR="00E6060C" w:rsidRPr="00E6060C" w:rsidRDefault="00E6060C" w:rsidP="00E6060C">
            <w:r w:rsidRPr="00E6060C">
              <w:t>30</w:t>
            </w:r>
          </w:p>
        </w:tc>
        <w:tc>
          <w:tcPr>
            <w:tcW w:w="1403" w:type="dxa"/>
          </w:tcPr>
          <w:p w14:paraId="2AB02D88" w14:textId="758BDBF7" w:rsidR="00E6060C" w:rsidRPr="00E6060C" w:rsidRDefault="00B700DB" w:rsidP="00E6060C">
            <w:r>
              <w:t>*Strijk, et al., 2013</w:t>
            </w:r>
          </w:p>
        </w:tc>
        <w:tc>
          <w:tcPr>
            <w:tcW w:w="880" w:type="dxa"/>
          </w:tcPr>
          <w:p w14:paraId="43CF772C" w14:textId="77777777" w:rsidR="00E6060C" w:rsidRPr="00E6060C" w:rsidRDefault="00E6060C" w:rsidP="00E6060C">
            <w:r w:rsidRPr="00E6060C">
              <w:t>P</w:t>
            </w:r>
          </w:p>
        </w:tc>
        <w:tc>
          <w:tcPr>
            <w:tcW w:w="1389" w:type="dxa"/>
          </w:tcPr>
          <w:p w14:paraId="091BB8BE" w14:textId="77777777" w:rsidR="00E6060C" w:rsidRPr="00E6060C" w:rsidRDefault="00E6060C" w:rsidP="00E6060C">
            <w:r w:rsidRPr="00E6060C">
              <w:t>The Netherlands</w:t>
            </w:r>
          </w:p>
        </w:tc>
        <w:tc>
          <w:tcPr>
            <w:tcW w:w="1635" w:type="dxa"/>
          </w:tcPr>
          <w:p w14:paraId="078AF7C4" w14:textId="77777777" w:rsidR="00E6060C" w:rsidRPr="00E6060C" w:rsidRDefault="00E6060C" w:rsidP="00E6060C">
            <w:r w:rsidRPr="00E6060C">
              <w:t>Two academic hospitals (one in Amsterdam, one in Leiden)</w:t>
            </w:r>
          </w:p>
        </w:tc>
        <w:tc>
          <w:tcPr>
            <w:tcW w:w="1674" w:type="dxa"/>
          </w:tcPr>
          <w:p w14:paraId="794FCA27" w14:textId="77777777" w:rsidR="00E6060C" w:rsidRPr="00E6060C" w:rsidRDefault="00E6060C" w:rsidP="00E6060C">
            <w:r w:rsidRPr="00E6060C">
              <w:t>R</w:t>
            </w:r>
          </w:p>
        </w:tc>
        <w:tc>
          <w:tcPr>
            <w:tcW w:w="2387" w:type="dxa"/>
          </w:tcPr>
          <w:p w14:paraId="050B43F7" w14:textId="77777777" w:rsidR="00E6060C" w:rsidRPr="00E6060C" w:rsidRDefault="00E6060C" w:rsidP="00E6060C">
            <w:r w:rsidRPr="00E6060C">
              <w:t xml:space="preserve">To evaluate the effectiveness of a worksite health intervention on vitality, WE, productivity  &amp; sick leave </w:t>
            </w:r>
          </w:p>
        </w:tc>
        <w:tc>
          <w:tcPr>
            <w:tcW w:w="1272" w:type="dxa"/>
          </w:tcPr>
          <w:p w14:paraId="1C3B0FB5" w14:textId="77777777" w:rsidR="00E6060C" w:rsidRPr="00E6060C" w:rsidRDefault="00E6060C" w:rsidP="00E6060C">
            <w:r w:rsidRPr="00E6060C">
              <w:t>12m</w:t>
            </w:r>
          </w:p>
        </w:tc>
        <w:tc>
          <w:tcPr>
            <w:tcW w:w="1357" w:type="dxa"/>
          </w:tcPr>
          <w:p w14:paraId="20D65657" w14:textId="77777777" w:rsidR="00E6060C" w:rsidRPr="00E6060C" w:rsidRDefault="00E6060C" w:rsidP="00E6060C">
            <w:r w:rsidRPr="00E6060C">
              <w:t>6m</w:t>
            </w:r>
          </w:p>
        </w:tc>
        <w:tc>
          <w:tcPr>
            <w:tcW w:w="1285" w:type="dxa"/>
          </w:tcPr>
          <w:p w14:paraId="59BB1B4D" w14:textId="77777777" w:rsidR="00E6060C" w:rsidRPr="00E6060C" w:rsidRDefault="00E6060C" w:rsidP="00E6060C">
            <w:r w:rsidRPr="00E6060C">
              <w:t>Int=250</w:t>
            </w:r>
          </w:p>
          <w:p w14:paraId="7A132EB0" w14:textId="77777777" w:rsidR="00E6060C" w:rsidRPr="00E6060C" w:rsidRDefault="00E6060C" w:rsidP="00E6060C">
            <w:r w:rsidRPr="00E6060C">
              <w:t>Con=250</w:t>
            </w:r>
          </w:p>
          <w:p w14:paraId="4CF30E59" w14:textId="77777777" w:rsidR="00E6060C" w:rsidRPr="00E6060C" w:rsidRDefault="00E6060C" w:rsidP="00E6060C">
            <w:r w:rsidRPr="00E6060C">
              <w:t>(matched across T1, T2 &amp; T3)</w:t>
            </w:r>
          </w:p>
        </w:tc>
        <w:tc>
          <w:tcPr>
            <w:tcW w:w="1358" w:type="dxa"/>
          </w:tcPr>
          <w:p w14:paraId="237A4247" w14:textId="77777777" w:rsidR="00E6060C" w:rsidRPr="00E6060C" w:rsidRDefault="00E6060C" w:rsidP="00E6060C">
            <w:r w:rsidRPr="00E6060C">
              <w:t>Group &amp;</w:t>
            </w:r>
          </w:p>
          <w:p w14:paraId="244D5E62" w14:textId="77777777" w:rsidR="00E6060C" w:rsidRPr="00E6060C" w:rsidRDefault="00E6060C" w:rsidP="00E6060C">
            <w:r w:rsidRPr="00E6060C">
              <w:t>individual</w:t>
            </w:r>
          </w:p>
        </w:tc>
      </w:tr>
      <w:tr w:rsidR="00E6060C" w:rsidRPr="00E6060C" w14:paraId="31D3364A" w14:textId="77777777" w:rsidTr="00E6060C">
        <w:trPr>
          <w:gridAfter w:val="1"/>
          <w:wAfter w:w="13" w:type="dxa"/>
        </w:trPr>
        <w:tc>
          <w:tcPr>
            <w:tcW w:w="440" w:type="dxa"/>
          </w:tcPr>
          <w:p w14:paraId="4926AFEA" w14:textId="77777777" w:rsidR="00E6060C" w:rsidRPr="00E6060C" w:rsidRDefault="00E6060C" w:rsidP="00E6060C">
            <w:r w:rsidRPr="00E6060C">
              <w:t>31</w:t>
            </w:r>
          </w:p>
        </w:tc>
        <w:tc>
          <w:tcPr>
            <w:tcW w:w="1403" w:type="dxa"/>
          </w:tcPr>
          <w:p w14:paraId="6C378D6E" w14:textId="2DCCFDEE" w:rsidR="00E6060C" w:rsidRPr="00E6060C" w:rsidRDefault="00B700DB" w:rsidP="00E6060C">
            <w:r>
              <w:t>*Van Berkel, et al., 2014</w:t>
            </w:r>
          </w:p>
        </w:tc>
        <w:tc>
          <w:tcPr>
            <w:tcW w:w="880" w:type="dxa"/>
          </w:tcPr>
          <w:p w14:paraId="2A39A49B" w14:textId="77777777" w:rsidR="00E6060C" w:rsidRPr="00E6060C" w:rsidRDefault="00E6060C" w:rsidP="00E6060C">
            <w:r w:rsidRPr="00E6060C">
              <w:t>P</w:t>
            </w:r>
          </w:p>
        </w:tc>
        <w:tc>
          <w:tcPr>
            <w:tcW w:w="1389" w:type="dxa"/>
          </w:tcPr>
          <w:p w14:paraId="006C9AAA" w14:textId="77777777" w:rsidR="00E6060C" w:rsidRPr="00E6060C" w:rsidRDefault="00E6060C" w:rsidP="00E6060C">
            <w:r w:rsidRPr="00E6060C">
              <w:t>The Netherlands</w:t>
            </w:r>
          </w:p>
        </w:tc>
        <w:tc>
          <w:tcPr>
            <w:tcW w:w="1635" w:type="dxa"/>
          </w:tcPr>
          <w:p w14:paraId="617622C1" w14:textId="77777777" w:rsidR="00E6060C" w:rsidRPr="00E6060C" w:rsidRDefault="00E6060C" w:rsidP="00E6060C">
            <w:r w:rsidRPr="00E6060C">
              <w:t>Research Institutes (x2)</w:t>
            </w:r>
          </w:p>
        </w:tc>
        <w:tc>
          <w:tcPr>
            <w:tcW w:w="1674" w:type="dxa"/>
          </w:tcPr>
          <w:p w14:paraId="0C202C65" w14:textId="77777777" w:rsidR="00E6060C" w:rsidRPr="00E6060C" w:rsidRDefault="00E6060C" w:rsidP="00E6060C">
            <w:r w:rsidRPr="00E6060C">
              <w:t>R</w:t>
            </w:r>
          </w:p>
        </w:tc>
        <w:tc>
          <w:tcPr>
            <w:tcW w:w="2387" w:type="dxa"/>
          </w:tcPr>
          <w:p w14:paraId="4953DB4F" w14:textId="77777777" w:rsidR="00E6060C" w:rsidRPr="00E6060C" w:rsidRDefault="00E6060C" w:rsidP="00E6060C">
            <w:r w:rsidRPr="00E6060C">
              <w:t>To improve self-regulation, WE and health</w:t>
            </w:r>
          </w:p>
        </w:tc>
        <w:tc>
          <w:tcPr>
            <w:tcW w:w="1272" w:type="dxa"/>
          </w:tcPr>
          <w:p w14:paraId="31113D84" w14:textId="77777777" w:rsidR="00E6060C" w:rsidRPr="00E6060C" w:rsidRDefault="00E6060C" w:rsidP="00E6060C">
            <w:r w:rsidRPr="00E6060C">
              <w:t>6m</w:t>
            </w:r>
          </w:p>
        </w:tc>
        <w:tc>
          <w:tcPr>
            <w:tcW w:w="1357" w:type="dxa"/>
          </w:tcPr>
          <w:p w14:paraId="7D71C64B" w14:textId="77777777" w:rsidR="00E6060C" w:rsidRPr="00E6060C" w:rsidRDefault="00E6060C" w:rsidP="00E6060C">
            <w:r w:rsidRPr="00E6060C">
              <w:t>7wks</w:t>
            </w:r>
          </w:p>
        </w:tc>
        <w:tc>
          <w:tcPr>
            <w:tcW w:w="1285" w:type="dxa"/>
          </w:tcPr>
          <w:p w14:paraId="10D1272E" w14:textId="77777777" w:rsidR="00E6060C" w:rsidRPr="00E6060C" w:rsidRDefault="00E6060C" w:rsidP="00E6060C">
            <w:r w:rsidRPr="00E6060C">
              <w:t>Matched across T1 &amp; T2:</w:t>
            </w:r>
          </w:p>
          <w:p w14:paraId="42D8D3F9" w14:textId="77777777" w:rsidR="00E6060C" w:rsidRPr="00E6060C" w:rsidRDefault="00E6060C" w:rsidP="00E6060C">
            <w:r w:rsidRPr="00E6060C">
              <w:t xml:space="preserve">Int=115 </w:t>
            </w:r>
          </w:p>
          <w:p w14:paraId="1348BD25" w14:textId="77777777" w:rsidR="00E6060C" w:rsidRPr="00E6060C" w:rsidRDefault="00E6060C" w:rsidP="00E6060C">
            <w:r w:rsidRPr="00E6060C">
              <w:t xml:space="preserve">Con=107 </w:t>
            </w:r>
          </w:p>
          <w:p w14:paraId="688CE511" w14:textId="77777777" w:rsidR="00E6060C" w:rsidRPr="00E6060C" w:rsidRDefault="00E6060C" w:rsidP="00E6060C">
            <w:r w:rsidRPr="00E6060C">
              <w:t>Matched across T1 &amp; T3:</w:t>
            </w:r>
          </w:p>
          <w:p w14:paraId="003CB8F6" w14:textId="77777777" w:rsidR="00E6060C" w:rsidRPr="00E6060C" w:rsidRDefault="00E6060C" w:rsidP="00E6060C">
            <w:r w:rsidRPr="00E6060C">
              <w:t xml:space="preserve">Int=120 </w:t>
            </w:r>
          </w:p>
          <w:p w14:paraId="34906B8B" w14:textId="77777777" w:rsidR="00E6060C" w:rsidRPr="00E6060C" w:rsidRDefault="00E6060C" w:rsidP="00E6060C">
            <w:r w:rsidRPr="00E6060C">
              <w:t xml:space="preserve">Con=110 </w:t>
            </w:r>
          </w:p>
          <w:p w14:paraId="237A737D" w14:textId="77777777" w:rsidR="00E6060C" w:rsidRPr="00E6060C" w:rsidRDefault="00E6060C" w:rsidP="00E6060C"/>
        </w:tc>
        <w:tc>
          <w:tcPr>
            <w:tcW w:w="1358" w:type="dxa"/>
          </w:tcPr>
          <w:p w14:paraId="2BAD48EB" w14:textId="77777777" w:rsidR="00E6060C" w:rsidRPr="00E6060C" w:rsidRDefault="00E6060C" w:rsidP="00E6060C">
            <w:r w:rsidRPr="00E6060C">
              <w:t>Group &amp; individual</w:t>
            </w:r>
          </w:p>
        </w:tc>
      </w:tr>
    </w:tbl>
    <w:p w14:paraId="579C04D2" w14:textId="77777777" w:rsidR="002A5A6B" w:rsidRDefault="002A5A6B">
      <w:r>
        <w:br w:type="page"/>
      </w:r>
    </w:p>
    <w:tbl>
      <w:tblPr>
        <w:tblStyle w:val="TableGrid8"/>
        <w:tblW w:w="1508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
        <w:gridCol w:w="1403"/>
        <w:gridCol w:w="880"/>
        <w:gridCol w:w="1389"/>
        <w:gridCol w:w="1635"/>
        <w:gridCol w:w="1674"/>
        <w:gridCol w:w="2387"/>
        <w:gridCol w:w="1272"/>
        <w:gridCol w:w="1357"/>
        <w:gridCol w:w="1285"/>
        <w:gridCol w:w="1358"/>
      </w:tblGrid>
      <w:tr w:rsidR="00E6060C" w:rsidRPr="00E6060C" w14:paraId="02E151C0" w14:textId="77777777" w:rsidTr="002A5A6B">
        <w:tc>
          <w:tcPr>
            <w:tcW w:w="15080" w:type="dxa"/>
            <w:gridSpan w:val="11"/>
            <w:shd w:val="clear" w:color="auto" w:fill="D9D9D9" w:themeFill="background1" w:themeFillShade="D9"/>
          </w:tcPr>
          <w:p w14:paraId="0ED68356" w14:textId="318F0ABF" w:rsidR="00E6060C" w:rsidRPr="00E6060C" w:rsidRDefault="00E6060C" w:rsidP="00E6060C">
            <w:pPr>
              <w:rPr>
                <w:b/>
              </w:rPr>
            </w:pPr>
            <w:r w:rsidRPr="00E6060C">
              <w:rPr>
                <w:b/>
              </w:rPr>
              <w:lastRenderedPageBreak/>
              <w:t>ONGOING HEALTH PROMOTION INTERVENTIONS</w:t>
            </w:r>
          </w:p>
          <w:p w14:paraId="56793489" w14:textId="77777777" w:rsidR="00E6060C" w:rsidRPr="00E6060C" w:rsidRDefault="00E6060C" w:rsidP="00E6060C">
            <w:pPr>
              <w:rPr>
                <w:b/>
              </w:rPr>
            </w:pPr>
          </w:p>
        </w:tc>
      </w:tr>
      <w:tr w:rsidR="00E6060C" w:rsidRPr="00E6060C" w14:paraId="5BB84401" w14:textId="77777777" w:rsidTr="002A5A6B">
        <w:tc>
          <w:tcPr>
            <w:tcW w:w="440" w:type="dxa"/>
            <w:shd w:val="clear" w:color="auto" w:fill="D9D9D9" w:themeFill="background1" w:themeFillShade="D9"/>
          </w:tcPr>
          <w:p w14:paraId="1909EE65" w14:textId="77777777" w:rsidR="00E6060C" w:rsidRPr="00E6060C" w:rsidRDefault="00E6060C" w:rsidP="00E6060C">
            <w:r w:rsidRPr="00E6060C">
              <w:t>32</w:t>
            </w:r>
          </w:p>
        </w:tc>
        <w:tc>
          <w:tcPr>
            <w:tcW w:w="1403" w:type="dxa"/>
            <w:shd w:val="clear" w:color="auto" w:fill="D9D9D9" w:themeFill="background1" w:themeFillShade="D9"/>
          </w:tcPr>
          <w:p w14:paraId="2D0B62A6" w14:textId="77777777" w:rsidR="00E6060C" w:rsidRPr="00E6060C" w:rsidRDefault="00E6060C" w:rsidP="00E6060C">
            <w:r w:rsidRPr="00E6060C">
              <w:t>Ebert et al., 2014</w:t>
            </w:r>
          </w:p>
        </w:tc>
        <w:tc>
          <w:tcPr>
            <w:tcW w:w="880" w:type="dxa"/>
            <w:shd w:val="clear" w:color="auto" w:fill="D9D9D9" w:themeFill="background1" w:themeFillShade="D9"/>
          </w:tcPr>
          <w:p w14:paraId="28D44F80" w14:textId="77777777" w:rsidR="00E6060C" w:rsidRPr="00E6060C" w:rsidRDefault="00E6060C" w:rsidP="00E6060C">
            <w:r w:rsidRPr="00E6060C">
              <w:t>P</w:t>
            </w:r>
          </w:p>
          <w:p w14:paraId="73FAA921" w14:textId="77777777" w:rsidR="00E6060C" w:rsidRPr="00E6060C" w:rsidRDefault="00E6060C" w:rsidP="00E6060C"/>
        </w:tc>
        <w:tc>
          <w:tcPr>
            <w:tcW w:w="1389" w:type="dxa"/>
            <w:shd w:val="clear" w:color="auto" w:fill="D9D9D9" w:themeFill="background1" w:themeFillShade="D9"/>
          </w:tcPr>
          <w:p w14:paraId="723749B3" w14:textId="77777777" w:rsidR="00E6060C" w:rsidRPr="00E6060C" w:rsidRDefault="00E6060C" w:rsidP="00E6060C">
            <w:r w:rsidRPr="00E6060C">
              <w:t>Germany</w:t>
            </w:r>
          </w:p>
        </w:tc>
        <w:tc>
          <w:tcPr>
            <w:tcW w:w="1635" w:type="dxa"/>
            <w:shd w:val="clear" w:color="auto" w:fill="D9D9D9" w:themeFill="background1" w:themeFillShade="D9"/>
          </w:tcPr>
          <w:p w14:paraId="4E135BD3" w14:textId="77777777" w:rsidR="00E6060C" w:rsidRPr="00E6060C" w:rsidRDefault="00E6060C" w:rsidP="00E6060C">
            <w:r w:rsidRPr="00E6060C">
              <w:t>Large Health Insurance firm</w:t>
            </w:r>
          </w:p>
        </w:tc>
        <w:tc>
          <w:tcPr>
            <w:tcW w:w="1674" w:type="dxa"/>
            <w:shd w:val="clear" w:color="auto" w:fill="D9D9D9" w:themeFill="background1" w:themeFillShade="D9"/>
          </w:tcPr>
          <w:p w14:paraId="57B69AF9" w14:textId="77777777" w:rsidR="00E6060C" w:rsidRPr="00E6060C" w:rsidRDefault="00E6060C" w:rsidP="00E6060C">
            <w:pPr>
              <w:rPr>
                <w:rFonts w:ascii="Calibri" w:hAnsi="Calibri"/>
                <w:color w:val="000000"/>
              </w:rPr>
            </w:pPr>
            <w:r w:rsidRPr="00E6060C">
              <w:rPr>
                <w:rFonts w:ascii="Calibri" w:hAnsi="Calibri"/>
                <w:color w:val="000000"/>
              </w:rPr>
              <w:t xml:space="preserve">RCT, three armed, pre-test, post-test </w:t>
            </w:r>
          </w:p>
        </w:tc>
        <w:tc>
          <w:tcPr>
            <w:tcW w:w="2387" w:type="dxa"/>
            <w:shd w:val="clear" w:color="auto" w:fill="D9D9D9" w:themeFill="background1" w:themeFillShade="D9"/>
          </w:tcPr>
          <w:p w14:paraId="13641CD3" w14:textId="77777777" w:rsidR="00E6060C" w:rsidRPr="00E6060C" w:rsidRDefault="00E6060C" w:rsidP="00E6060C">
            <w:r w:rsidRPr="00E6060C">
              <w:t>To investigate the acceptability and cost effectiveness of minimal guided and unguided internet and mobile based stress management interventions (iSMI) in employees with high levels of perceived stress</w:t>
            </w:r>
          </w:p>
        </w:tc>
        <w:tc>
          <w:tcPr>
            <w:tcW w:w="1272" w:type="dxa"/>
            <w:shd w:val="clear" w:color="auto" w:fill="D9D9D9" w:themeFill="background1" w:themeFillShade="D9"/>
          </w:tcPr>
          <w:p w14:paraId="02B28061" w14:textId="77777777" w:rsidR="00E6060C" w:rsidRPr="00E6060C" w:rsidRDefault="00E6060C" w:rsidP="00E6060C">
            <w:r w:rsidRPr="00E6060C">
              <w:t>6m</w:t>
            </w:r>
          </w:p>
        </w:tc>
        <w:tc>
          <w:tcPr>
            <w:tcW w:w="1357" w:type="dxa"/>
            <w:shd w:val="clear" w:color="auto" w:fill="D9D9D9" w:themeFill="background1" w:themeFillShade="D9"/>
          </w:tcPr>
          <w:p w14:paraId="14F3C5C9" w14:textId="77777777" w:rsidR="00E6060C" w:rsidRPr="00E6060C" w:rsidRDefault="00E6060C" w:rsidP="00E6060C">
            <w:r w:rsidRPr="00E6060C">
              <w:t>7 wks</w:t>
            </w:r>
          </w:p>
        </w:tc>
        <w:tc>
          <w:tcPr>
            <w:tcW w:w="1285" w:type="dxa"/>
            <w:shd w:val="clear" w:color="auto" w:fill="D9D9D9" w:themeFill="background1" w:themeFillShade="D9"/>
          </w:tcPr>
          <w:p w14:paraId="66F75A81" w14:textId="77777777" w:rsidR="00E6060C" w:rsidRPr="00E6060C" w:rsidRDefault="00E6060C" w:rsidP="00E6060C">
            <w:r w:rsidRPr="00E6060C">
              <w:t>Not yet recruited.</w:t>
            </w:r>
          </w:p>
        </w:tc>
        <w:tc>
          <w:tcPr>
            <w:tcW w:w="1358" w:type="dxa"/>
            <w:shd w:val="clear" w:color="auto" w:fill="D9D9D9" w:themeFill="background1" w:themeFillShade="D9"/>
          </w:tcPr>
          <w:p w14:paraId="3A57F755" w14:textId="77777777" w:rsidR="00E6060C" w:rsidRPr="00E6060C" w:rsidRDefault="00E6060C" w:rsidP="00E6060C">
            <w:r w:rsidRPr="00E6060C">
              <w:t>Individual</w:t>
            </w:r>
          </w:p>
        </w:tc>
      </w:tr>
      <w:tr w:rsidR="00E6060C" w:rsidRPr="00E6060C" w14:paraId="4DF5F29E" w14:textId="77777777" w:rsidTr="002A5A6B">
        <w:tc>
          <w:tcPr>
            <w:tcW w:w="440" w:type="dxa"/>
            <w:tcBorders>
              <w:bottom w:val="single" w:sz="4" w:space="0" w:color="auto"/>
            </w:tcBorders>
            <w:shd w:val="clear" w:color="auto" w:fill="D9D9D9" w:themeFill="background1" w:themeFillShade="D9"/>
          </w:tcPr>
          <w:p w14:paraId="4715C92F" w14:textId="77777777" w:rsidR="00E6060C" w:rsidRPr="00E6060C" w:rsidRDefault="00E6060C" w:rsidP="00E6060C">
            <w:r w:rsidRPr="00E6060C">
              <w:t>33</w:t>
            </w:r>
          </w:p>
        </w:tc>
        <w:tc>
          <w:tcPr>
            <w:tcW w:w="1403" w:type="dxa"/>
            <w:tcBorders>
              <w:bottom w:val="single" w:sz="4" w:space="0" w:color="auto"/>
            </w:tcBorders>
            <w:shd w:val="clear" w:color="auto" w:fill="D9D9D9" w:themeFill="background1" w:themeFillShade="D9"/>
          </w:tcPr>
          <w:p w14:paraId="29D3DC5A" w14:textId="77777777" w:rsidR="00E6060C" w:rsidRPr="00E6060C" w:rsidRDefault="00E6060C" w:rsidP="00E6060C">
            <w:r w:rsidRPr="00E6060C">
              <w:t>Wiezer et al., 2013</w:t>
            </w:r>
          </w:p>
        </w:tc>
        <w:tc>
          <w:tcPr>
            <w:tcW w:w="880" w:type="dxa"/>
            <w:tcBorders>
              <w:bottom w:val="single" w:sz="4" w:space="0" w:color="auto"/>
            </w:tcBorders>
            <w:shd w:val="clear" w:color="auto" w:fill="D9D9D9" w:themeFill="background1" w:themeFillShade="D9"/>
          </w:tcPr>
          <w:p w14:paraId="3FB93F17" w14:textId="77777777" w:rsidR="00E6060C" w:rsidRPr="00E6060C" w:rsidRDefault="00E6060C" w:rsidP="00E6060C">
            <w:r w:rsidRPr="00E6060C">
              <w:t>UnP</w:t>
            </w:r>
          </w:p>
          <w:p w14:paraId="40B61964" w14:textId="77777777" w:rsidR="00E6060C" w:rsidRPr="00E6060C" w:rsidRDefault="00E6060C" w:rsidP="00E6060C"/>
        </w:tc>
        <w:tc>
          <w:tcPr>
            <w:tcW w:w="1389" w:type="dxa"/>
            <w:tcBorders>
              <w:bottom w:val="single" w:sz="4" w:space="0" w:color="auto"/>
            </w:tcBorders>
            <w:shd w:val="clear" w:color="auto" w:fill="D9D9D9" w:themeFill="background1" w:themeFillShade="D9"/>
          </w:tcPr>
          <w:p w14:paraId="24F8E879" w14:textId="77777777" w:rsidR="00E6060C" w:rsidRPr="00E6060C" w:rsidRDefault="00E6060C" w:rsidP="00E6060C">
            <w:r w:rsidRPr="00E6060C">
              <w:t>The Netherlands</w:t>
            </w:r>
          </w:p>
        </w:tc>
        <w:tc>
          <w:tcPr>
            <w:tcW w:w="1635" w:type="dxa"/>
            <w:tcBorders>
              <w:bottom w:val="single" w:sz="4" w:space="0" w:color="auto"/>
            </w:tcBorders>
            <w:shd w:val="clear" w:color="auto" w:fill="D9D9D9" w:themeFill="background1" w:themeFillShade="D9"/>
          </w:tcPr>
          <w:p w14:paraId="7BFB26F2" w14:textId="77777777" w:rsidR="00E6060C" w:rsidRPr="00E6060C" w:rsidRDefault="00E6060C" w:rsidP="00E6060C">
            <w:r w:rsidRPr="00E6060C">
              <w:t>Large bank &amp; a Health &amp; Safety consultancy firm</w:t>
            </w:r>
          </w:p>
        </w:tc>
        <w:tc>
          <w:tcPr>
            <w:tcW w:w="1674" w:type="dxa"/>
            <w:tcBorders>
              <w:bottom w:val="single" w:sz="4" w:space="0" w:color="auto"/>
            </w:tcBorders>
            <w:shd w:val="clear" w:color="auto" w:fill="D9D9D9" w:themeFill="background1" w:themeFillShade="D9"/>
          </w:tcPr>
          <w:p w14:paraId="6D120C92" w14:textId="77777777" w:rsidR="00E6060C" w:rsidRPr="00E6060C" w:rsidRDefault="00E6060C" w:rsidP="00E6060C">
            <w:pPr>
              <w:rPr>
                <w:rFonts w:ascii="Calibri" w:hAnsi="Calibri"/>
                <w:color w:val="000000"/>
              </w:rPr>
            </w:pPr>
            <w:r w:rsidRPr="00E6060C">
              <w:rPr>
                <w:rFonts w:ascii="Calibri" w:hAnsi="Calibri"/>
                <w:color w:val="000000"/>
              </w:rPr>
              <w:t>NR, pre-test, post-test &amp; follow-up, matched control group</w:t>
            </w:r>
          </w:p>
        </w:tc>
        <w:tc>
          <w:tcPr>
            <w:tcW w:w="2387" w:type="dxa"/>
            <w:tcBorders>
              <w:bottom w:val="single" w:sz="4" w:space="0" w:color="auto"/>
            </w:tcBorders>
            <w:shd w:val="clear" w:color="auto" w:fill="D9D9D9" w:themeFill="background1" w:themeFillShade="D9"/>
          </w:tcPr>
          <w:p w14:paraId="68792437" w14:textId="77777777" w:rsidR="00E6060C" w:rsidRPr="00E6060C" w:rsidRDefault="00E6060C" w:rsidP="00E6060C">
            <w:r w:rsidRPr="00E6060C">
              <w:t>To evaluate a serious (not for entertainment) ‘Engagement’ game intervention for managers to reduce work-related stress and raise the WE of employees</w:t>
            </w:r>
          </w:p>
        </w:tc>
        <w:tc>
          <w:tcPr>
            <w:tcW w:w="1272" w:type="dxa"/>
            <w:tcBorders>
              <w:bottom w:val="single" w:sz="4" w:space="0" w:color="auto"/>
            </w:tcBorders>
            <w:shd w:val="clear" w:color="auto" w:fill="D9D9D9" w:themeFill="background1" w:themeFillShade="D9"/>
          </w:tcPr>
          <w:p w14:paraId="0A6F3078" w14:textId="77777777" w:rsidR="00E6060C" w:rsidRPr="00E6060C" w:rsidRDefault="00E6060C" w:rsidP="00E6060C">
            <w:r w:rsidRPr="00E6060C">
              <w:t>4m</w:t>
            </w:r>
          </w:p>
        </w:tc>
        <w:tc>
          <w:tcPr>
            <w:tcW w:w="1357" w:type="dxa"/>
            <w:tcBorders>
              <w:bottom w:val="single" w:sz="4" w:space="0" w:color="auto"/>
            </w:tcBorders>
            <w:shd w:val="clear" w:color="auto" w:fill="D9D9D9" w:themeFill="background1" w:themeFillShade="D9"/>
          </w:tcPr>
          <w:p w14:paraId="66A320F1" w14:textId="77777777" w:rsidR="00E6060C" w:rsidRPr="00E6060C" w:rsidRDefault="00E6060C" w:rsidP="00E6060C">
            <w:r w:rsidRPr="00E6060C">
              <w:t>20 mins</w:t>
            </w:r>
          </w:p>
        </w:tc>
        <w:tc>
          <w:tcPr>
            <w:tcW w:w="1285" w:type="dxa"/>
            <w:tcBorders>
              <w:bottom w:val="single" w:sz="4" w:space="0" w:color="auto"/>
            </w:tcBorders>
            <w:shd w:val="clear" w:color="auto" w:fill="D9D9D9" w:themeFill="background1" w:themeFillShade="D9"/>
          </w:tcPr>
          <w:p w14:paraId="1B33A3FB" w14:textId="77777777" w:rsidR="00E6060C" w:rsidRPr="00E6060C" w:rsidRDefault="00E6060C" w:rsidP="00E6060C">
            <w:r w:rsidRPr="00E6060C">
              <w:t>Not yet recruited.</w:t>
            </w:r>
          </w:p>
        </w:tc>
        <w:tc>
          <w:tcPr>
            <w:tcW w:w="1358" w:type="dxa"/>
            <w:tcBorders>
              <w:bottom w:val="single" w:sz="4" w:space="0" w:color="auto"/>
            </w:tcBorders>
            <w:shd w:val="clear" w:color="auto" w:fill="D9D9D9" w:themeFill="background1" w:themeFillShade="D9"/>
          </w:tcPr>
          <w:p w14:paraId="27269346" w14:textId="77777777" w:rsidR="00E6060C" w:rsidRPr="00E6060C" w:rsidRDefault="00E6060C" w:rsidP="00E6060C">
            <w:r w:rsidRPr="00E6060C">
              <w:t>Pairs</w:t>
            </w:r>
          </w:p>
          <w:p w14:paraId="0DECBC06" w14:textId="77777777" w:rsidR="00E6060C" w:rsidRPr="00E6060C" w:rsidRDefault="00E6060C" w:rsidP="00E6060C">
            <w:r w:rsidRPr="00E6060C">
              <w:t>Group</w:t>
            </w:r>
          </w:p>
        </w:tc>
      </w:tr>
    </w:tbl>
    <w:p w14:paraId="6F697954" w14:textId="77777777" w:rsidR="00E6060C" w:rsidRPr="00E6060C" w:rsidRDefault="00E6060C" w:rsidP="00E6060C">
      <w:pPr>
        <w:spacing w:line="240" w:lineRule="auto"/>
        <w:ind w:left="-567"/>
        <w:contextualSpacing/>
        <w:rPr>
          <w:sz w:val="20"/>
          <w:szCs w:val="20"/>
        </w:rPr>
      </w:pPr>
      <w:r w:rsidRPr="00E6060C">
        <w:rPr>
          <w:vertAlign w:val="superscript"/>
        </w:rPr>
        <w:t>*</w:t>
      </w:r>
      <w:r w:rsidRPr="00E6060C">
        <w:rPr>
          <w:sz w:val="20"/>
          <w:szCs w:val="20"/>
        </w:rPr>
        <w:t>Studies included in meta-analyses (</w:t>
      </w:r>
      <w:r w:rsidRPr="00E6060C">
        <w:rPr>
          <w:i/>
          <w:sz w:val="20"/>
          <w:szCs w:val="20"/>
        </w:rPr>
        <w:t>K</w:t>
      </w:r>
      <w:r w:rsidRPr="00E6060C">
        <w:rPr>
          <w:sz w:val="20"/>
          <w:szCs w:val="20"/>
        </w:rPr>
        <w:t>=20)</w:t>
      </w:r>
    </w:p>
    <w:p w14:paraId="3C6074DE" w14:textId="77777777" w:rsidR="00E6060C" w:rsidRPr="00E6060C" w:rsidRDefault="00E6060C" w:rsidP="00E6060C">
      <w:pPr>
        <w:spacing w:line="240" w:lineRule="auto"/>
        <w:ind w:left="-567"/>
        <w:contextualSpacing/>
        <w:rPr>
          <w:b/>
          <w:sz w:val="20"/>
          <w:szCs w:val="20"/>
          <w:vertAlign w:val="superscript"/>
        </w:rPr>
      </w:pPr>
      <w:r w:rsidRPr="00E6060C">
        <w:rPr>
          <w:b/>
          <w:sz w:val="20"/>
          <w:szCs w:val="20"/>
          <w:vertAlign w:val="superscript"/>
        </w:rPr>
        <w:t>a</w:t>
      </w:r>
      <w:r w:rsidRPr="00E6060C">
        <w:rPr>
          <w:sz w:val="20"/>
          <w:szCs w:val="20"/>
        </w:rPr>
        <w:t xml:space="preserve"> Type</w:t>
      </w:r>
      <w:r w:rsidRPr="00E6060C">
        <w:rPr>
          <w:sz w:val="20"/>
          <w:szCs w:val="20"/>
          <w:vertAlign w:val="superscript"/>
        </w:rPr>
        <w:t xml:space="preserve"> </w:t>
      </w:r>
      <w:r w:rsidRPr="00E6060C">
        <w:rPr>
          <w:sz w:val="20"/>
          <w:szCs w:val="20"/>
        </w:rPr>
        <w:t>of document: P=Published in a peer reviewed journal; UnP=Unpublished; G=Grey literature; T=PhD / MA thesis</w:t>
      </w:r>
    </w:p>
    <w:p w14:paraId="5B702B1C" w14:textId="6EEBFB37" w:rsidR="00E6060C" w:rsidRPr="00E6060C" w:rsidRDefault="00E6060C" w:rsidP="00E6060C">
      <w:pPr>
        <w:spacing w:line="240" w:lineRule="auto"/>
        <w:ind w:left="-567"/>
        <w:contextualSpacing/>
        <w:rPr>
          <w:sz w:val="20"/>
          <w:szCs w:val="20"/>
        </w:rPr>
      </w:pPr>
      <w:r w:rsidRPr="00E6060C">
        <w:rPr>
          <w:sz w:val="20"/>
          <w:szCs w:val="20"/>
          <w:vertAlign w:val="superscript"/>
        </w:rPr>
        <w:t xml:space="preserve"> b</w:t>
      </w:r>
      <w:r w:rsidRPr="00E6060C">
        <w:rPr>
          <w:sz w:val="20"/>
          <w:szCs w:val="20"/>
        </w:rPr>
        <w:t xml:space="preserve">Design: R=Randomised allocation at the </w:t>
      </w:r>
      <w:r w:rsidR="00597B3B">
        <w:rPr>
          <w:sz w:val="20"/>
          <w:szCs w:val="20"/>
        </w:rPr>
        <w:t>individual-level</w:t>
      </w:r>
      <w:r w:rsidRPr="00E6060C">
        <w:rPr>
          <w:sz w:val="20"/>
          <w:szCs w:val="20"/>
        </w:rPr>
        <w:t xml:space="preserve">; CR=Cluster randomised allocation at the level of departments / units; RM = randomised matched groups; RMP=randomised matched pairs; NR=Non-randomised allocation </w:t>
      </w:r>
    </w:p>
    <w:p w14:paraId="7932AF6E" w14:textId="77777777" w:rsidR="00E6060C" w:rsidRPr="00E6060C" w:rsidRDefault="00E6060C" w:rsidP="00E6060C">
      <w:pPr>
        <w:spacing w:line="240" w:lineRule="auto"/>
        <w:ind w:left="-567"/>
        <w:contextualSpacing/>
        <w:rPr>
          <w:i/>
          <w:sz w:val="20"/>
          <w:szCs w:val="20"/>
        </w:rPr>
      </w:pPr>
      <w:r w:rsidRPr="00E6060C">
        <w:rPr>
          <w:i/>
          <w:sz w:val="20"/>
          <w:szCs w:val="20"/>
        </w:rPr>
        <w:t>NOTES: T1=Time 1; T2=Time 2; T3=time 3; N/n=number of participants; int=Intervention group; Con=Control group; dept.=department; yr(s)=years; m=months; wks=weeks; min(s)=minutes; PsyCAP=Psychological capital</w:t>
      </w:r>
    </w:p>
    <w:p w14:paraId="2880FC22" w14:textId="77777777" w:rsidR="00E6060C" w:rsidRPr="00E6060C" w:rsidRDefault="00E6060C" w:rsidP="00E6060C">
      <w:pPr>
        <w:spacing w:line="240" w:lineRule="auto"/>
        <w:ind w:left="-567"/>
        <w:contextualSpacing/>
      </w:pPr>
    </w:p>
    <w:p w14:paraId="775570DA" w14:textId="77777777" w:rsidR="00E6060C" w:rsidRPr="00E6060C" w:rsidRDefault="00E6060C" w:rsidP="00E6060C"/>
    <w:p w14:paraId="5A538F55" w14:textId="77777777" w:rsidR="002A5A6B" w:rsidRDefault="002A5A6B">
      <w:pPr>
        <w:spacing w:after="160"/>
        <w:rPr>
          <w:rFonts w:asciiTheme="majorHAnsi" w:eastAsia="SimSun" w:hAnsiTheme="majorHAnsi" w:cstheme="majorBidi"/>
          <w:b/>
          <w:color w:val="000000" w:themeColor="text1"/>
          <w:sz w:val="28"/>
          <w:szCs w:val="26"/>
          <w:lang w:eastAsia="zh-CN"/>
        </w:rPr>
      </w:pPr>
      <w:r>
        <w:br w:type="page"/>
      </w:r>
    </w:p>
    <w:p w14:paraId="14B82DD0" w14:textId="2C267497" w:rsidR="00E6060C" w:rsidRPr="00E6060C" w:rsidRDefault="00E6060C" w:rsidP="007B44F8">
      <w:pPr>
        <w:pStyle w:val="Heading2nonumbers"/>
      </w:pPr>
      <w:bookmarkStart w:id="557" w:name="_Toc468286057"/>
      <w:r w:rsidRPr="00E6060C">
        <w:lastRenderedPageBreak/>
        <w:t>Appendix 4b: Characteristics of all studies included in the narrative systematic review and meta-analyses continued</w:t>
      </w:r>
      <w:bookmarkEnd w:id="557"/>
    </w:p>
    <w:p w14:paraId="78C23676" w14:textId="77777777" w:rsidR="00E6060C" w:rsidRPr="00E6060C" w:rsidRDefault="00E6060C" w:rsidP="00E6060C"/>
    <w:tbl>
      <w:tblPr>
        <w:tblStyle w:val="TableGrid8"/>
        <w:tblW w:w="1477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1560"/>
        <w:gridCol w:w="4111"/>
        <w:gridCol w:w="4819"/>
        <w:gridCol w:w="3827"/>
      </w:tblGrid>
      <w:tr w:rsidR="00E6060C" w:rsidRPr="00E6060C" w14:paraId="34C4D401" w14:textId="77777777" w:rsidTr="00E6060C">
        <w:trPr>
          <w:cantSplit/>
          <w:trHeight w:val="505"/>
          <w:tblHeader/>
        </w:trPr>
        <w:tc>
          <w:tcPr>
            <w:tcW w:w="454" w:type="dxa"/>
            <w:tcBorders>
              <w:top w:val="single" w:sz="4" w:space="0" w:color="auto"/>
              <w:bottom w:val="single" w:sz="4" w:space="0" w:color="auto"/>
            </w:tcBorders>
          </w:tcPr>
          <w:p w14:paraId="4DB04C05" w14:textId="77777777" w:rsidR="00E6060C" w:rsidRPr="00E6060C" w:rsidRDefault="00E6060C" w:rsidP="00E6060C">
            <w:pPr>
              <w:rPr>
                <w:b/>
              </w:rPr>
            </w:pPr>
          </w:p>
        </w:tc>
        <w:tc>
          <w:tcPr>
            <w:tcW w:w="1560" w:type="dxa"/>
            <w:tcBorders>
              <w:top w:val="single" w:sz="4" w:space="0" w:color="auto"/>
              <w:bottom w:val="single" w:sz="4" w:space="0" w:color="auto"/>
            </w:tcBorders>
          </w:tcPr>
          <w:p w14:paraId="7F613F18" w14:textId="77777777" w:rsidR="00E6060C" w:rsidRPr="00E6060C" w:rsidRDefault="00E6060C" w:rsidP="00E6060C">
            <w:pPr>
              <w:rPr>
                <w:b/>
              </w:rPr>
            </w:pPr>
            <w:r w:rsidRPr="00E6060C">
              <w:rPr>
                <w:b/>
              </w:rPr>
              <w:t>Ref</w:t>
            </w:r>
          </w:p>
        </w:tc>
        <w:tc>
          <w:tcPr>
            <w:tcW w:w="12757" w:type="dxa"/>
            <w:gridSpan w:val="3"/>
            <w:tcBorders>
              <w:top w:val="single" w:sz="4" w:space="0" w:color="auto"/>
              <w:bottom w:val="single" w:sz="4" w:space="0" w:color="auto"/>
            </w:tcBorders>
          </w:tcPr>
          <w:p w14:paraId="50BE6F68" w14:textId="77777777" w:rsidR="00E6060C" w:rsidRPr="00E6060C" w:rsidRDefault="00E6060C" w:rsidP="00E6060C">
            <w:pPr>
              <w:jc w:val="center"/>
              <w:rPr>
                <w:b/>
              </w:rPr>
            </w:pPr>
            <w:r w:rsidRPr="00E6060C">
              <w:rPr>
                <w:b/>
              </w:rPr>
              <w:t>Intervention details</w:t>
            </w:r>
          </w:p>
        </w:tc>
      </w:tr>
      <w:tr w:rsidR="00E6060C" w:rsidRPr="00E6060C" w14:paraId="0FE0ADE3" w14:textId="77777777" w:rsidTr="00E6060C">
        <w:trPr>
          <w:cantSplit/>
          <w:trHeight w:val="505"/>
          <w:tblHeader/>
        </w:trPr>
        <w:tc>
          <w:tcPr>
            <w:tcW w:w="454" w:type="dxa"/>
            <w:tcBorders>
              <w:top w:val="single" w:sz="4" w:space="0" w:color="auto"/>
              <w:bottom w:val="single" w:sz="4" w:space="0" w:color="auto"/>
            </w:tcBorders>
          </w:tcPr>
          <w:p w14:paraId="7E06016D" w14:textId="77777777" w:rsidR="00E6060C" w:rsidRPr="00E6060C" w:rsidRDefault="00E6060C" w:rsidP="00E6060C">
            <w:pPr>
              <w:rPr>
                <w:b/>
              </w:rPr>
            </w:pPr>
          </w:p>
        </w:tc>
        <w:tc>
          <w:tcPr>
            <w:tcW w:w="1560" w:type="dxa"/>
            <w:tcBorders>
              <w:top w:val="single" w:sz="4" w:space="0" w:color="auto"/>
              <w:bottom w:val="single" w:sz="4" w:space="0" w:color="auto"/>
            </w:tcBorders>
          </w:tcPr>
          <w:p w14:paraId="4771B559" w14:textId="77777777" w:rsidR="00E6060C" w:rsidRPr="00E6060C" w:rsidRDefault="00E6060C" w:rsidP="00E6060C">
            <w:pPr>
              <w:rPr>
                <w:b/>
              </w:rPr>
            </w:pPr>
          </w:p>
        </w:tc>
        <w:tc>
          <w:tcPr>
            <w:tcW w:w="4111" w:type="dxa"/>
            <w:tcBorders>
              <w:top w:val="single" w:sz="4" w:space="0" w:color="auto"/>
              <w:bottom w:val="single" w:sz="4" w:space="0" w:color="auto"/>
            </w:tcBorders>
          </w:tcPr>
          <w:p w14:paraId="7046EFD2" w14:textId="77777777" w:rsidR="00E6060C" w:rsidRPr="00E6060C" w:rsidRDefault="00E6060C" w:rsidP="00E6060C">
            <w:pPr>
              <w:rPr>
                <w:b/>
              </w:rPr>
            </w:pPr>
            <w:r w:rsidRPr="00E6060C">
              <w:rPr>
                <w:b/>
              </w:rPr>
              <w:t>Participant recruitment</w:t>
            </w:r>
          </w:p>
        </w:tc>
        <w:tc>
          <w:tcPr>
            <w:tcW w:w="4819" w:type="dxa"/>
            <w:tcBorders>
              <w:top w:val="single" w:sz="4" w:space="0" w:color="auto"/>
              <w:bottom w:val="single" w:sz="4" w:space="0" w:color="auto"/>
            </w:tcBorders>
          </w:tcPr>
          <w:p w14:paraId="6C6B38FB" w14:textId="77777777" w:rsidR="00E6060C" w:rsidRPr="00E6060C" w:rsidRDefault="00E6060C" w:rsidP="00E6060C">
            <w:pPr>
              <w:rPr>
                <w:b/>
              </w:rPr>
            </w:pPr>
            <w:r w:rsidRPr="00E6060C">
              <w:rPr>
                <w:b/>
              </w:rPr>
              <w:t>Intervention characteristics</w:t>
            </w:r>
          </w:p>
        </w:tc>
        <w:tc>
          <w:tcPr>
            <w:tcW w:w="3827" w:type="dxa"/>
            <w:tcBorders>
              <w:top w:val="single" w:sz="4" w:space="0" w:color="auto"/>
              <w:bottom w:val="single" w:sz="4" w:space="0" w:color="auto"/>
            </w:tcBorders>
          </w:tcPr>
          <w:p w14:paraId="6875F263" w14:textId="77777777" w:rsidR="00E6060C" w:rsidRPr="00E6060C" w:rsidRDefault="00E6060C" w:rsidP="00E6060C">
            <w:pPr>
              <w:rPr>
                <w:b/>
              </w:rPr>
            </w:pPr>
            <w:r w:rsidRPr="00E6060C">
              <w:rPr>
                <w:b/>
              </w:rPr>
              <w:t>Facilitators</w:t>
            </w:r>
          </w:p>
        </w:tc>
      </w:tr>
      <w:tr w:rsidR="00E6060C" w:rsidRPr="00E6060C" w14:paraId="57234050" w14:textId="77777777" w:rsidTr="00E6060C">
        <w:tc>
          <w:tcPr>
            <w:tcW w:w="14771" w:type="dxa"/>
            <w:gridSpan w:val="5"/>
            <w:tcBorders>
              <w:top w:val="single" w:sz="4" w:space="0" w:color="auto"/>
              <w:bottom w:val="single" w:sz="4" w:space="0" w:color="auto"/>
            </w:tcBorders>
          </w:tcPr>
          <w:p w14:paraId="397BA2D9" w14:textId="77777777" w:rsidR="00E6060C" w:rsidRPr="00E6060C" w:rsidRDefault="00E6060C" w:rsidP="00E6060C">
            <w:pPr>
              <w:rPr>
                <w:rFonts w:ascii="Calibri" w:hAnsi="Calibri"/>
                <w:b/>
                <w:color w:val="000000"/>
                <w:sz w:val="28"/>
                <w:szCs w:val="28"/>
              </w:rPr>
            </w:pPr>
            <w:r w:rsidRPr="00E6060C">
              <w:rPr>
                <w:rFonts w:ascii="Calibri" w:hAnsi="Calibri"/>
                <w:b/>
                <w:color w:val="000000"/>
                <w:sz w:val="28"/>
                <w:szCs w:val="28"/>
              </w:rPr>
              <w:t>PERSONAL RESOURCE BUILDING INTERVENTIONS</w:t>
            </w:r>
          </w:p>
        </w:tc>
      </w:tr>
      <w:tr w:rsidR="00E6060C" w:rsidRPr="00E6060C" w14:paraId="2503594F" w14:textId="77777777" w:rsidTr="00E6060C">
        <w:tc>
          <w:tcPr>
            <w:tcW w:w="454" w:type="dxa"/>
            <w:tcBorders>
              <w:top w:val="single" w:sz="4" w:space="0" w:color="auto"/>
            </w:tcBorders>
          </w:tcPr>
          <w:p w14:paraId="7E6722F6" w14:textId="77777777" w:rsidR="00E6060C" w:rsidRPr="00E6060C" w:rsidRDefault="00E6060C" w:rsidP="00E6060C">
            <w:r w:rsidRPr="00E6060C">
              <w:t>1</w:t>
            </w:r>
          </w:p>
        </w:tc>
        <w:tc>
          <w:tcPr>
            <w:tcW w:w="1560" w:type="dxa"/>
            <w:tcBorders>
              <w:top w:val="single" w:sz="4" w:space="0" w:color="auto"/>
            </w:tcBorders>
          </w:tcPr>
          <w:p w14:paraId="55B538C4" w14:textId="77777777" w:rsidR="00E6060C" w:rsidRPr="00E6060C" w:rsidRDefault="00E6060C" w:rsidP="00E6060C">
            <w:r w:rsidRPr="00E6060C">
              <w:t>Bishop, 2013</w:t>
            </w:r>
          </w:p>
        </w:tc>
        <w:tc>
          <w:tcPr>
            <w:tcW w:w="4111" w:type="dxa"/>
            <w:tcBorders>
              <w:top w:val="single" w:sz="4" w:space="0" w:color="auto"/>
            </w:tcBorders>
          </w:tcPr>
          <w:p w14:paraId="244FABB8" w14:textId="77777777" w:rsidR="00E6060C" w:rsidRPr="00E6060C" w:rsidRDefault="00E6060C" w:rsidP="00F15DDF">
            <w:pPr>
              <w:numPr>
                <w:ilvl w:val="0"/>
                <w:numId w:val="25"/>
              </w:numPr>
              <w:ind w:left="180" w:hanging="180"/>
              <w:contextualSpacing/>
            </w:pPr>
            <w:r w:rsidRPr="00E6060C">
              <w:t>Older nurse (≥45 yrs) actively practising for &gt;5 yrs from a non-profit community medical centre</w:t>
            </w:r>
          </w:p>
          <w:p w14:paraId="1F7B76A1" w14:textId="77777777" w:rsidR="00E6060C" w:rsidRPr="00E6060C" w:rsidRDefault="00E6060C" w:rsidP="00F15DDF">
            <w:pPr>
              <w:numPr>
                <w:ilvl w:val="0"/>
                <w:numId w:val="25"/>
              </w:numPr>
              <w:ind w:left="180" w:hanging="180"/>
              <w:contextualSpacing/>
            </w:pPr>
            <w:r w:rsidRPr="00E6060C">
              <w:t>Letter invited the nurses to participate. 19 were recruited and paid their salary to attend</w:t>
            </w:r>
          </w:p>
        </w:tc>
        <w:tc>
          <w:tcPr>
            <w:tcW w:w="4819" w:type="dxa"/>
            <w:tcBorders>
              <w:top w:val="single" w:sz="4" w:space="0" w:color="auto"/>
            </w:tcBorders>
          </w:tcPr>
          <w:p w14:paraId="5E82CE96" w14:textId="05341492" w:rsidR="00E6060C" w:rsidRPr="00E6060C" w:rsidRDefault="00160731" w:rsidP="00F15DDF">
            <w:pPr>
              <w:numPr>
                <w:ilvl w:val="0"/>
                <w:numId w:val="25"/>
              </w:numPr>
              <w:contextualSpacing/>
            </w:pPr>
            <w:r>
              <w:t>Appreciative i</w:t>
            </w:r>
            <w:r w:rsidR="00E6060C" w:rsidRPr="00E6060C">
              <w:t>nquiry approach</w:t>
            </w:r>
          </w:p>
          <w:p w14:paraId="5B3C3100" w14:textId="77777777" w:rsidR="00E6060C" w:rsidRPr="00E6060C" w:rsidRDefault="00E6060C" w:rsidP="00F15DDF">
            <w:pPr>
              <w:numPr>
                <w:ilvl w:val="0"/>
                <w:numId w:val="25"/>
              </w:numPr>
              <w:contextualSpacing/>
              <w:rPr>
                <w:rFonts w:ascii="Calibri" w:hAnsi="Calibri"/>
                <w:color w:val="000000"/>
              </w:rPr>
            </w:pPr>
            <w:r w:rsidRPr="00E6060C">
              <w:rPr>
                <w:rFonts w:ascii="Calibri" w:hAnsi="Calibri"/>
                <w:color w:val="000000"/>
              </w:rPr>
              <w:t>3 structured day retreats, 8 hrs each day, off-site</w:t>
            </w:r>
          </w:p>
          <w:p w14:paraId="2F30A50B" w14:textId="77777777" w:rsidR="00E6060C" w:rsidRPr="00E6060C" w:rsidRDefault="00E6060C" w:rsidP="00F15DDF">
            <w:pPr>
              <w:numPr>
                <w:ilvl w:val="0"/>
                <w:numId w:val="25"/>
              </w:numPr>
              <w:contextualSpacing/>
              <w:rPr>
                <w:rFonts w:ascii="Calibri" w:hAnsi="Calibri"/>
                <w:color w:val="000000"/>
              </w:rPr>
            </w:pPr>
            <w:r w:rsidRPr="00E6060C">
              <w:rPr>
                <w:rFonts w:ascii="Calibri" w:hAnsi="Calibri"/>
                <w:color w:val="000000"/>
              </w:rPr>
              <w:t xml:space="preserve">The retreats provided an opportunity for reflection and the sharing of stories about the true meaning of caring, allowing participants to reaffirm the core values of nursing, and increasing their sense of purpose and commitment to nursing </w:t>
            </w:r>
          </w:p>
        </w:tc>
        <w:tc>
          <w:tcPr>
            <w:tcW w:w="3827" w:type="dxa"/>
            <w:tcBorders>
              <w:top w:val="single" w:sz="4" w:space="0" w:color="auto"/>
            </w:tcBorders>
          </w:tcPr>
          <w:p w14:paraId="78385AE1" w14:textId="77777777" w:rsidR="00E6060C" w:rsidRPr="00E6060C" w:rsidRDefault="00E6060C" w:rsidP="00F15DDF">
            <w:pPr>
              <w:numPr>
                <w:ilvl w:val="0"/>
                <w:numId w:val="25"/>
              </w:numPr>
              <w:contextualSpacing/>
              <w:rPr>
                <w:rFonts w:ascii="Calibri" w:hAnsi="Calibri"/>
                <w:color w:val="000000"/>
              </w:rPr>
            </w:pPr>
            <w:r w:rsidRPr="00E6060C">
              <w:rPr>
                <w:rFonts w:ascii="Calibri" w:hAnsi="Calibri"/>
                <w:color w:val="000000"/>
              </w:rPr>
              <w:t xml:space="preserve">The retreats were facilitated by 4 nursing leaders and the Chief Nursing Officer from the medical centre. </w:t>
            </w:r>
          </w:p>
        </w:tc>
      </w:tr>
      <w:tr w:rsidR="00E6060C" w:rsidRPr="00E6060C" w14:paraId="728CBB9B" w14:textId="77777777" w:rsidTr="00E6060C">
        <w:tc>
          <w:tcPr>
            <w:tcW w:w="454" w:type="dxa"/>
          </w:tcPr>
          <w:p w14:paraId="0C85F103" w14:textId="77777777" w:rsidR="00E6060C" w:rsidRPr="00E6060C" w:rsidRDefault="00E6060C" w:rsidP="00E6060C">
            <w:r w:rsidRPr="00E6060C">
              <w:t>2</w:t>
            </w:r>
          </w:p>
        </w:tc>
        <w:tc>
          <w:tcPr>
            <w:tcW w:w="1560" w:type="dxa"/>
          </w:tcPr>
          <w:p w14:paraId="097BB43E" w14:textId="7E296A41" w:rsidR="00E6060C" w:rsidRPr="00E6060C" w:rsidRDefault="00B700DB" w:rsidP="00E6060C">
            <w:r>
              <w:t>*Carter, 2010</w:t>
            </w:r>
          </w:p>
        </w:tc>
        <w:tc>
          <w:tcPr>
            <w:tcW w:w="4111" w:type="dxa"/>
          </w:tcPr>
          <w:p w14:paraId="69BE722E" w14:textId="77777777" w:rsidR="00E6060C" w:rsidRPr="00E6060C" w:rsidRDefault="00E6060C" w:rsidP="00F15DDF">
            <w:pPr>
              <w:numPr>
                <w:ilvl w:val="0"/>
                <w:numId w:val="24"/>
              </w:numPr>
              <w:ind w:left="217" w:hanging="217"/>
              <w:contextualSpacing/>
            </w:pPr>
            <w:r w:rsidRPr="00E6060C">
              <w:t xml:space="preserve"> A large Australasian financial services organisation agreed to sponsor the research, and 20 branches took part</w:t>
            </w:r>
          </w:p>
        </w:tc>
        <w:tc>
          <w:tcPr>
            <w:tcW w:w="4819" w:type="dxa"/>
          </w:tcPr>
          <w:p w14:paraId="4A2F4FBD" w14:textId="77777777" w:rsidR="00E6060C" w:rsidRPr="00E6060C" w:rsidRDefault="00E6060C" w:rsidP="00E6060C">
            <w:r w:rsidRPr="00E6060C">
              <w:t>3 components:</w:t>
            </w:r>
          </w:p>
          <w:p w14:paraId="1412D743" w14:textId="77777777" w:rsidR="00E6060C" w:rsidRPr="00E6060C" w:rsidRDefault="00E6060C" w:rsidP="00F15DDF">
            <w:pPr>
              <w:numPr>
                <w:ilvl w:val="0"/>
                <w:numId w:val="24"/>
              </w:numPr>
              <w:ind w:left="217" w:hanging="217"/>
              <w:contextualSpacing/>
            </w:pPr>
            <w:r w:rsidRPr="00E6060C">
              <w:t>Half day ‘Forum theatre’ workshop (vicarious learning) -  enabled reflection and development of goal-oriented personal action plans</w:t>
            </w:r>
          </w:p>
          <w:p w14:paraId="31D8D166" w14:textId="77777777" w:rsidR="00E6060C" w:rsidRPr="00E6060C" w:rsidRDefault="00E6060C" w:rsidP="00F15DDF">
            <w:pPr>
              <w:numPr>
                <w:ilvl w:val="0"/>
                <w:numId w:val="24"/>
              </w:numPr>
              <w:ind w:left="217" w:hanging="217"/>
              <w:contextualSpacing/>
            </w:pPr>
            <w:r w:rsidRPr="00E6060C">
              <w:t>Half day ‘Rehearse for Reality’ workshop (role play) - for practising proactive customer conversations. Occurred 4 weeks after the first workshop.</w:t>
            </w:r>
          </w:p>
          <w:p w14:paraId="65E60866" w14:textId="77777777" w:rsidR="00E6060C" w:rsidRPr="00E6060C" w:rsidRDefault="00E6060C" w:rsidP="00F15DDF">
            <w:pPr>
              <w:numPr>
                <w:ilvl w:val="0"/>
                <w:numId w:val="24"/>
              </w:numPr>
              <w:ind w:left="217" w:hanging="217"/>
              <w:contextualSpacing/>
            </w:pPr>
            <w:r w:rsidRPr="00E6060C">
              <w:t>‘Entertainment education’ – DVDs of ‘actors’ participating in role plays played over 3 weekly branch meetings 4 months after the workshops</w:t>
            </w:r>
          </w:p>
        </w:tc>
        <w:tc>
          <w:tcPr>
            <w:tcW w:w="3827" w:type="dxa"/>
          </w:tcPr>
          <w:p w14:paraId="44DD22CC" w14:textId="77777777" w:rsidR="00E6060C" w:rsidRPr="00E6060C" w:rsidRDefault="00E6060C" w:rsidP="00F15DDF">
            <w:pPr>
              <w:numPr>
                <w:ilvl w:val="0"/>
                <w:numId w:val="24"/>
              </w:numPr>
              <w:ind w:left="210" w:hanging="210"/>
              <w:contextualSpacing/>
            </w:pPr>
            <w:r w:rsidRPr="00E6060C">
              <w:t>It is presumed that the author facilitated the workshops though this is not explicitly stated.</w:t>
            </w:r>
          </w:p>
        </w:tc>
      </w:tr>
      <w:tr w:rsidR="00E6060C" w:rsidRPr="00E6060C" w14:paraId="740A8304" w14:textId="77777777" w:rsidTr="00E6060C">
        <w:tc>
          <w:tcPr>
            <w:tcW w:w="454" w:type="dxa"/>
          </w:tcPr>
          <w:p w14:paraId="1C061ECC" w14:textId="77777777" w:rsidR="00E6060C" w:rsidRPr="00E6060C" w:rsidRDefault="00E6060C" w:rsidP="00E6060C">
            <w:r w:rsidRPr="00E6060C">
              <w:t>3</w:t>
            </w:r>
          </w:p>
        </w:tc>
        <w:tc>
          <w:tcPr>
            <w:tcW w:w="1560" w:type="dxa"/>
          </w:tcPr>
          <w:p w14:paraId="31D84AC2" w14:textId="4460D4DD" w:rsidR="00E6060C" w:rsidRPr="00E6060C" w:rsidRDefault="00B700DB" w:rsidP="00E6060C">
            <w:pPr>
              <w:rPr>
                <w:rFonts w:ascii="Calibri" w:hAnsi="Calibri"/>
                <w:color w:val="000000"/>
              </w:rPr>
            </w:pPr>
            <w:r>
              <w:t>*</w:t>
            </w:r>
            <w:r>
              <w:rPr>
                <w:rFonts w:ascii="Calibri" w:hAnsi="Calibri"/>
                <w:color w:val="000000"/>
              </w:rPr>
              <w:t>Chen et al., 2009</w:t>
            </w:r>
            <w:r w:rsidR="00E6060C" w:rsidRPr="00E6060C">
              <w:rPr>
                <w:rFonts w:ascii="Calibri" w:hAnsi="Calibri"/>
                <w:color w:val="000000"/>
              </w:rPr>
              <w:t xml:space="preserve"> </w:t>
            </w:r>
          </w:p>
        </w:tc>
        <w:tc>
          <w:tcPr>
            <w:tcW w:w="4111" w:type="dxa"/>
          </w:tcPr>
          <w:p w14:paraId="51B8B55D" w14:textId="77777777" w:rsidR="00E6060C" w:rsidRPr="00E6060C" w:rsidRDefault="00E6060C" w:rsidP="00F15DDF">
            <w:pPr>
              <w:numPr>
                <w:ilvl w:val="0"/>
                <w:numId w:val="26"/>
              </w:numPr>
              <w:ind w:left="207" w:hanging="207"/>
              <w:contextualSpacing/>
            </w:pPr>
            <w:r w:rsidRPr="00E6060C">
              <w:t>Conducted in an organisation that was already implementing ERP</w:t>
            </w:r>
          </w:p>
        </w:tc>
        <w:tc>
          <w:tcPr>
            <w:tcW w:w="4819" w:type="dxa"/>
          </w:tcPr>
          <w:p w14:paraId="3612962A" w14:textId="77777777" w:rsidR="00E6060C" w:rsidRPr="00E6060C" w:rsidRDefault="00E6060C" w:rsidP="00F15DDF">
            <w:pPr>
              <w:numPr>
                <w:ilvl w:val="0"/>
                <w:numId w:val="26"/>
              </w:numPr>
              <w:ind w:left="207" w:hanging="207"/>
              <w:contextualSpacing/>
            </w:pPr>
            <w:r w:rsidRPr="00E6060C">
              <w:t xml:space="preserve">5 days of technical training provided for both the control and intervention groups before a new computer system was installed throughout the </w:t>
            </w:r>
            <w:r w:rsidRPr="00E6060C">
              <w:lastRenderedPageBreak/>
              <w:t>organisation. This was provided by the IT Training and Information Systems Depts.</w:t>
            </w:r>
          </w:p>
          <w:p w14:paraId="021799E2" w14:textId="77777777" w:rsidR="00E6060C" w:rsidRPr="00E6060C" w:rsidRDefault="00E6060C" w:rsidP="00F15DDF">
            <w:pPr>
              <w:numPr>
                <w:ilvl w:val="0"/>
                <w:numId w:val="26"/>
              </w:numPr>
              <w:ind w:left="207" w:hanging="207"/>
              <w:contextualSpacing/>
            </w:pPr>
            <w:r w:rsidRPr="00E6060C">
              <w:t>Intervention group then received a resources workshop conducted by experienced organisational consultants and specially designed for this study</w:t>
            </w:r>
          </w:p>
          <w:p w14:paraId="5E7737A9" w14:textId="77777777" w:rsidR="00E6060C" w:rsidRPr="00E6060C" w:rsidRDefault="00E6060C" w:rsidP="00F15DDF">
            <w:pPr>
              <w:numPr>
                <w:ilvl w:val="0"/>
                <w:numId w:val="26"/>
              </w:numPr>
              <w:ind w:left="207" w:hanging="207"/>
              <w:contextualSpacing/>
            </w:pPr>
            <w:r w:rsidRPr="00E6060C">
              <w:t xml:space="preserve">4 hr workshop focused on means efficacy, social support and perceived control, using films and active learning methods to increase awareness of existing resources and ways to acquire new ones. </w:t>
            </w:r>
          </w:p>
        </w:tc>
        <w:tc>
          <w:tcPr>
            <w:tcW w:w="3827" w:type="dxa"/>
          </w:tcPr>
          <w:p w14:paraId="1E9F2FF5" w14:textId="77777777" w:rsidR="00E6060C" w:rsidRPr="00E6060C" w:rsidRDefault="00E6060C" w:rsidP="00F15DDF">
            <w:pPr>
              <w:numPr>
                <w:ilvl w:val="0"/>
                <w:numId w:val="26"/>
              </w:numPr>
              <w:ind w:left="192" w:hanging="192"/>
              <w:contextualSpacing/>
            </w:pPr>
            <w:r w:rsidRPr="00E6060C">
              <w:lastRenderedPageBreak/>
              <w:t>IT Training Dept. and Information Systems Dept. jointly administered the technical training</w:t>
            </w:r>
          </w:p>
          <w:p w14:paraId="5BFF8126" w14:textId="77777777" w:rsidR="00E6060C" w:rsidRPr="00E6060C" w:rsidRDefault="00E6060C" w:rsidP="00F15DDF">
            <w:pPr>
              <w:numPr>
                <w:ilvl w:val="0"/>
                <w:numId w:val="26"/>
              </w:numPr>
              <w:ind w:left="207" w:hanging="207"/>
              <w:contextualSpacing/>
            </w:pPr>
            <w:r w:rsidRPr="00E6060C">
              <w:lastRenderedPageBreak/>
              <w:t>The resource workshops were facilitated by experienced organisational consultants</w:t>
            </w:r>
          </w:p>
        </w:tc>
      </w:tr>
      <w:tr w:rsidR="00E6060C" w:rsidRPr="00E6060C" w14:paraId="1AEFF8B0" w14:textId="77777777" w:rsidTr="00E6060C">
        <w:tc>
          <w:tcPr>
            <w:tcW w:w="454" w:type="dxa"/>
          </w:tcPr>
          <w:p w14:paraId="52512617" w14:textId="77777777" w:rsidR="00E6060C" w:rsidRPr="00E6060C" w:rsidRDefault="00E6060C" w:rsidP="00E6060C">
            <w:r w:rsidRPr="00E6060C">
              <w:lastRenderedPageBreak/>
              <w:t>4</w:t>
            </w:r>
          </w:p>
        </w:tc>
        <w:tc>
          <w:tcPr>
            <w:tcW w:w="1560" w:type="dxa"/>
          </w:tcPr>
          <w:p w14:paraId="0E2F2117" w14:textId="77777777" w:rsidR="00E6060C" w:rsidRPr="00E6060C" w:rsidRDefault="00E6060C" w:rsidP="00E6060C">
            <w:r w:rsidRPr="00E6060C">
              <w:t>Iljntema, 2014</w:t>
            </w:r>
          </w:p>
        </w:tc>
        <w:tc>
          <w:tcPr>
            <w:tcW w:w="4111" w:type="dxa"/>
          </w:tcPr>
          <w:p w14:paraId="411535F0" w14:textId="77777777" w:rsidR="00E6060C" w:rsidRPr="00E6060C" w:rsidRDefault="00E6060C" w:rsidP="00F15DDF">
            <w:pPr>
              <w:numPr>
                <w:ilvl w:val="0"/>
                <w:numId w:val="32"/>
              </w:numPr>
              <w:ind w:left="139" w:hanging="139"/>
              <w:contextualSpacing/>
            </w:pPr>
            <w:r w:rsidRPr="00E6060C">
              <w:t>Not specified</w:t>
            </w:r>
          </w:p>
        </w:tc>
        <w:tc>
          <w:tcPr>
            <w:tcW w:w="4819" w:type="dxa"/>
          </w:tcPr>
          <w:p w14:paraId="65C31612" w14:textId="77777777" w:rsidR="00E6060C" w:rsidRPr="00E6060C" w:rsidRDefault="00E6060C" w:rsidP="00F15DDF">
            <w:pPr>
              <w:numPr>
                <w:ilvl w:val="0"/>
                <w:numId w:val="32"/>
              </w:numPr>
              <w:ind w:left="139" w:hanging="139"/>
              <w:contextualSpacing/>
            </w:pPr>
            <w:r w:rsidRPr="00E6060C">
              <w:t>Face-to-face coaching</w:t>
            </w:r>
          </w:p>
          <w:p w14:paraId="0832A13C" w14:textId="77777777" w:rsidR="00E6060C" w:rsidRPr="00E6060C" w:rsidRDefault="00E6060C" w:rsidP="00F15DDF">
            <w:pPr>
              <w:numPr>
                <w:ilvl w:val="0"/>
                <w:numId w:val="32"/>
              </w:numPr>
              <w:ind w:left="139" w:hanging="139"/>
              <w:contextualSpacing/>
            </w:pPr>
            <w:r w:rsidRPr="00E6060C">
              <w:t>E-coaching</w:t>
            </w:r>
          </w:p>
        </w:tc>
        <w:tc>
          <w:tcPr>
            <w:tcW w:w="3827" w:type="dxa"/>
          </w:tcPr>
          <w:p w14:paraId="19603578" w14:textId="77777777" w:rsidR="00E6060C" w:rsidRPr="00E6060C" w:rsidRDefault="00E6060C" w:rsidP="00F15DDF">
            <w:pPr>
              <w:numPr>
                <w:ilvl w:val="0"/>
                <w:numId w:val="32"/>
              </w:numPr>
              <w:ind w:left="139" w:hanging="139"/>
              <w:contextualSpacing/>
            </w:pPr>
            <w:r w:rsidRPr="00E6060C">
              <w:t>Professional coaches</w:t>
            </w:r>
          </w:p>
        </w:tc>
      </w:tr>
      <w:tr w:rsidR="00E6060C" w:rsidRPr="00E6060C" w14:paraId="1FF6E10E" w14:textId="77777777" w:rsidTr="00E6060C">
        <w:tc>
          <w:tcPr>
            <w:tcW w:w="454" w:type="dxa"/>
          </w:tcPr>
          <w:p w14:paraId="03244558" w14:textId="77777777" w:rsidR="00E6060C" w:rsidRPr="00E6060C" w:rsidRDefault="00E6060C" w:rsidP="00E6060C">
            <w:r w:rsidRPr="00E6060C">
              <w:t>5</w:t>
            </w:r>
          </w:p>
        </w:tc>
        <w:tc>
          <w:tcPr>
            <w:tcW w:w="1560" w:type="dxa"/>
          </w:tcPr>
          <w:p w14:paraId="2184E66F" w14:textId="77777777" w:rsidR="00E6060C" w:rsidRPr="00E6060C" w:rsidRDefault="00E6060C" w:rsidP="00E6060C">
            <w:r w:rsidRPr="00E6060C">
              <w:t>Maclean, 2013</w:t>
            </w:r>
          </w:p>
        </w:tc>
        <w:tc>
          <w:tcPr>
            <w:tcW w:w="4111" w:type="dxa"/>
          </w:tcPr>
          <w:p w14:paraId="02890347" w14:textId="77777777" w:rsidR="00E6060C" w:rsidRPr="00E6060C" w:rsidRDefault="00E6060C" w:rsidP="00F15DDF">
            <w:pPr>
              <w:numPr>
                <w:ilvl w:val="0"/>
                <w:numId w:val="27"/>
              </w:numPr>
              <w:ind w:left="180" w:hanging="180"/>
              <w:contextualSpacing/>
            </w:pPr>
            <w:r w:rsidRPr="00E6060C">
              <w:t>Researchers met with Mental Health Managers in the NHS to present the proposed research.</w:t>
            </w:r>
          </w:p>
          <w:p w14:paraId="5D4F61D4" w14:textId="77777777" w:rsidR="00E6060C" w:rsidRPr="00E6060C" w:rsidRDefault="00E6060C" w:rsidP="00F15DDF">
            <w:pPr>
              <w:numPr>
                <w:ilvl w:val="0"/>
                <w:numId w:val="27"/>
              </w:numPr>
              <w:ind w:left="180" w:hanging="180"/>
              <w:contextualSpacing/>
            </w:pPr>
            <w:r w:rsidRPr="00E6060C">
              <w:t>Managers identified departments</w:t>
            </w:r>
          </w:p>
          <w:p w14:paraId="4968F435" w14:textId="77777777" w:rsidR="00E6060C" w:rsidRPr="00E6060C" w:rsidRDefault="00E6060C" w:rsidP="00F15DDF">
            <w:pPr>
              <w:numPr>
                <w:ilvl w:val="0"/>
                <w:numId w:val="27"/>
              </w:numPr>
              <w:ind w:left="180" w:hanging="180"/>
              <w:contextualSpacing/>
            </w:pPr>
            <w:r w:rsidRPr="00E6060C">
              <w:t xml:space="preserve">All employees invited to participate </w:t>
            </w:r>
          </w:p>
          <w:p w14:paraId="5A6D7F34" w14:textId="77777777" w:rsidR="00E6060C" w:rsidRPr="00E6060C" w:rsidRDefault="00E6060C" w:rsidP="00F15DDF">
            <w:pPr>
              <w:numPr>
                <w:ilvl w:val="0"/>
                <w:numId w:val="27"/>
              </w:numPr>
              <w:ind w:left="180" w:hanging="180"/>
              <w:contextualSpacing/>
            </w:pPr>
            <w:r w:rsidRPr="00E6060C">
              <w:t>Posters advertised the study</w:t>
            </w:r>
          </w:p>
          <w:p w14:paraId="35B5C196" w14:textId="77777777" w:rsidR="00E6060C" w:rsidRPr="00E6060C" w:rsidRDefault="00E6060C" w:rsidP="00F15DDF">
            <w:pPr>
              <w:numPr>
                <w:ilvl w:val="0"/>
                <w:numId w:val="27"/>
              </w:numPr>
              <w:ind w:left="180" w:hanging="180"/>
              <w:contextualSpacing/>
            </w:pPr>
            <w:r w:rsidRPr="00E6060C">
              <w:t>Initially planned as an RCT but recruitment problems led to a quasi-experimental design with a cohort control</w:t>
            </w:r>
          </w:p>
        </w:tc>
        <w:tc>
          <w:tcPr>
            <w:tcW w:w="4819" w:type="dxa"/>
          </w:tcPr>
          <w:p w14:paraId="18D06D36" w14:textId="131F36D0" w:rsidR="00E6060C" w:rsidRPr="00E6060C" w:rsidRDefault="00E6060C" w:rsidP="00F15DDF">
            <w:pPr>
              <w:numPr>
                <w:ilvl w:val="0"/>
                <w:numId w:val="27"/>
              </w:numPr>
              <w:ind w:left="186" w:hanging="186"/>
              <w:contextualSpacing/>
            </w:pPr>
            <w:r w:rsidRPr="00E6060C">
              <w:t>Stan</w:t>
            </w:r>
            <w:r w:rsidR="008F064B">
              <w:t>dard protocol for ACT followed (according to Maclean, 2013)</w:t>
            </w:r>
          </w:p>
          <w:p w14:paraId="0EFA82AB" w14:textId="77777777" w:rsidR="00E6060C" w:rsidRPr="00E6060C" w:rsidRDefault="00E6060C" w:rsidP="00F15DDF">
            <w:pPr>
              <w:numPr>
                <w:ilvl w:val="0"/>
                <w:numId w:val="27"/>
              </w:numPr>
              <w:ind w:left="186" w:hanging="186"/>
              <w:contextualSpacing/>
            </w:pPr>
            <w:r w:rsidRPr="00E6060C">
              <w:t>ACT aids individuals to accept difficult experiences and commit to behaviour consistent with their values.</w:t>
            </w:r>
          </w:p>
          <w:p w14:paraId="3B7389A0" w14:textId="77777777" w:rsidR="00E6060C" w:rsidRPr="00E6060C" w:rsidRDefault="00E6060C" w:rsidP="00F15DDF">
            <w:pPr>
              <w:numPr>
                <w:ilvl w:val="0"/>
                <w:numId w:val="27"/>
              </w:numPr>
              <w:ind w:left="186" w:hanging="186"/>
              <w:contextualSpacing/>
            </w:pPr>
            <w:r w:rsidRPr="00E6060C">
              <w:t>Training involved the use of metaphors, mindfulness and ‘cognitive diffusion techniques’</w:t>
            </w:r>
          </w:p>
          <w:p w14:paraId="5A739F1B" w14:textId="77777777" w:rsidR="00E6060C" w:rsidRPr="00E6060C" w:rsidRDefault="00E6060C" w:rsidP="00F15DDF">
            <w:pPr>
              <w:numPr>
                <w:ilvl w:val="0"/>
                <w:numId w:val="27"/>
              </w:numPr>
              <w:ind w:left="186" w:hanging="186"/>
              <w:contextualSpacing/>
            </w:pPr>
            <w:r w:rsidRPr="00E6060C">
              <w:t>Handouts &amp; a CD of experiential exercises were provided</w:t>
            </w:r>
          </w:p>
          <w:p w14:paraId="20ABC2CD" w14:textId="77777777" w:rsidR="00E6060C" w:rsidRPr="00E6060C" w:rsidRDefault="00E6060C" w:rsidP="00F15DDF">
            <w:pPr>
              <w:numPr>
                <w:ilvl w:val="0"/>
                <w:numId w:val="27"/>
              </w:numPr>
              <w:ind w:left="186" w:hanging="186"/>
              <w:contextualSpacing/>
            </w:pPr>
            <w:r w:rsidRPr="00E6060C">
              <w:t>Homework was requested</w:t>
            </w:r>
          </w:p>
        </w:tc>
        <w:tc>
          <w:tcPr>
            <w:tcW w:w="3827" w:type="dxa"/>
          </w:tcPr>
          <w:p w14:paraId="785CECD7" w14:textId="77777777" w:rsidR="00E6060C" w:rsidRPr="00E6060C" w:rsidRDefault="00E6060C" w:rsidP="00F15DDF">
            <w:pPr>
              <w:numPr>
                <w:ilvl w:val="0"/>
                <w:numId w:val="27"/>
              </w:numPr>
              <w:contextualSpacing/>
            </w:pPr>
            <w:r w:rsidRPr="00E6060C">
              <w:t>The author, who was trained in delivering mindfulness based stress reduction</w:t>
            </w:r>
          </w:p>
        </w:tc>
      </w:tr>
      <w:tr w:rsidR="00E6060C" w:rsidRPr="00E6060C" w14:paraId="42911B85" w14:textId="77777777" w:rsidTr="00E6060C">
        <w:tc>
          <w:tcPr>
            <w:tcW w:w="454" w:type="dxa"/>
          </w:tcPr>
          <w:p w14:paraId="5D248DC2" w14:textId="77777777" w:rsidR="00E6060C" w:rsidRPr="00E6060C" w:rsidRDefault="00E6060C" w:rsidP="00E6060C">
            <w:r w:rsidRPr="00E6060C">
              <w:t>6</w:t>
            </w:r>
          </w:p>
        </w:tc>
        <w:tc>
          <w:tcPr>
            <w:tcW w:w="1560" w:type="dxa"/>
          </w:tcPr>
          <w:p w14:paraId="5E5F23BE" w14:textId="67A1A0AE" w:rsidR="00E6060C" w:rsidRPr="00E6060C" w:rsidRDefault="00B700DB" w:rsidP="00E6060C">
            <w:pPr>
              <w:rPr>
                <w:rFonts w:ascii="Calibri" w:hAnsi="Calibri"/>
                <w:color w:val="000000"/>
              </w:rPr>
            </w:pPr>
            <w:r>
              <w:t>*</w:t>
            </w:r>
            <w:r>
              <w:rPr>
                <w:rFonts w:ascii="Calibri" w:hAnsi="Calibri"/>
                <w:color w:val="000000"/>
              </w:rPr>
              <w:t>Ouweneel et al., 2013</w:t>
            </w:r>
          </w:p>
          <w:p w14:paraId="02EB08D1" w14:textId="77777777" w:rsidR="00E6060C" w:rsidRPr="00E6060C" w:rsidRDefault="00E6060C" w:rsidP="00E6060C"/>
        </w:tc>
        <w:tc>
          <w:tcPr>
            <w:tcW w:w="4111" w:type="dxa"/>
          </w:tcPr>
          <w:p w14:paraId="0DBDF6C5" w14:textId="77777777" w:rsidR="00E6060C" w:rsidRPr="00E6060C" w:rsidRDefault="00E6060C" w:rsidP="00F15DDF">
            <w:pPr>
              <w:numPr>
                <w:ilvl w:val="0"/>
                <w:numId w:val="22"/>
              </w:numPr>
              <w:ind w:left="217" w:hanging="217"/>
              <w:contextualSpacing/>
            </w:pPr>
            <w:r w:rsidRPr="00E6060C">
              <w:t xml:space="preserve">Via two separate websites. </w:t>
            </w:r>
          </w:p>
          <w:p w14:paraId="4BB0A9ED" w14:textId="77777777" w:rsidR="00E6060C" w:rsidRPr="00E6060C" w:rsidRDefault="00E6060C" w:rsidP="00F15DDF">
            <w:pPr>
              <w:numPr>
                <w:ilvl w:val="0"/>
                <w:numId w:val="22"/>
              </w:numPr>
              <w:ind w:left="217" w:hanging="217"/>
              <w:contextualSpacing/>
            </w:pPr>
            <w:r w:rsidRPr="00E6060C">
              <w:t>Participants were asked to fill in a survey and email addresses requested in case they were willing to fill in another following the intervention</w:t>
            </w:r>
          </w:p>
          <w:p w14:paraId="5373C914" w14:textId="77777777" w:rsidR="00E6060C" w:rsidRPr="00E6060C" w:rsidRDefault="00E6060C" w:rsidP="00E6060C">
            <w:pPr>
              <w:spacing w:after="200" w:line="276" w:lineRule="auto"/>
              <w:ind w:left="217"/>
              <w:contextualSpacing/>
            </w:pPr>
          </w:p>
        </w:tc>
        <w:tc>
          <w:tcPr>
            <w:tcW w:w="4819" w:type="dxa"/>
          </w:tcPr>
          <w:p w14:paraId="1BF5F842" w14:textId="77777777" w:rsidR="00E6060C" w:rsidRPr="00E6060C" w:rsidRDefault="00E6060C" w:rsidP="00F15DDF">
            <w:pPr>
              <w:numPr>
                <w:ilvl w:val="0"/>
                <w:numId w:val="22"/>
              </w:numPr>
              <w:ind w:left="217" w:hanging="217"/>
              <w:contextualSpacing/>
            </w:pPr>
            <w:r w:rsidRPr="00E6060C">
              <w:lastRenderedPageBreak/>
              <w:t>Automatic feedback report from baseline questionnaire results was used to individualise the intervention</w:t>
            </w:r>
          </w:p>
          <w:p w14:paraId="4641B658" w14:textId="77777777" w:rsidR="00E6060C" w:rsidRPr="00E6060C" w:rsidRDefault="00E6060C" w:rsidP="00F15DDF">
            <w:pPr>
              <w:numPr>
                <w:ilvl w:val="0"/>
                <w:numId w:val="22"/>
              </w:numPr>
              <w:ind w:left="217" w:hanging="217"/>
              <w:contextualSpacing/>
            </w:pPr>
            <w:r w:rsidRPr="00E6060C">
              <w:t>Three assignments set each week, four in the final week</w:t>
            </w:r>
          </w:p>
          <w:p w14:paraId="61FD3AEA" w14:textId="77777777" w:rsidR="00E6060C" w:rsidRPr="00E6060C" w:rsidRDefault="00E6060C" w:rsidP="00F15DDF">
            <w:pPr>
              <w:numPr>
                <w:ilvl w:val="0"/>
                <w:numId w:val="22"/>
              </w:numPr>
              <w:ind w:left="217" w:hanging="217"/>
              <w:contextualSpacing/>
            </w:pPr>
            <w:r w:rsidRPr="00E6060C">
              <w:lastRenderedPageBreak/>
              <w:t>Assignments focused on increasing positive experiences at work, goal setting, or resource building</w:t>
            </w:r>
          </w:p>
        </w:tc>
        <w:tc>
          <w:tcPr>
            <w:tcW w:w="3827" w:type="dxa"/>
          </w:tcPr>
          <w:p w14:paraId="4ACA00E5" w14:textId="77777777" w:rsidR="00E6060C" w:rsidRPr="00E6060C" w:rsidRDefault="00E6060C" w:rsidP="00E6060C">
            <w:r w:rsidRPr="00E6060C">
              <w:lastRenderedPageBreak/>
              <w:t xml:space="preserve">Nature of e-coach unspecified </w:t>
            </w:r>
          </w:p>
        </w:tc>
      </w:tr>
      <w:tr w:rsidR="00E6060C" w:rsidRPr="00E6060C" w14:paraId="54575C0E" w14:textId="77777777" w:rsidTr="00E6060C">
        <w:tc>
          <w:tcPr>
            <w:tcW w:w="454" w:type="dxa"/>
          </w:tcPr>
          <w:p w14:paraId="53D99E59" w14:textId="77777777" w:rsidR="00E6060C" w:rsidRPr="00E6060C" w:rsidRDefault="00E6060C" w:rsidP="00E6060C">
            <w:r w:rsidRPr="00E6060C">
              <w:t>7</w:t>
            </w:r>
          </w:p>
        </w:tc>
        <w:tc>
          <w:tcPr>
            <w:tcW w:w="1560" w:type="dxa"/>
          </w:tcPr>
          <w:p w14:paraId="5E9C9EC9" w14:textId="1AB1FDEC" w:rsidR="00E6060C" w:rsidRPr="00E6060C" w:rsidRDefault="00B700DB" w:rsidP="00E6060C">
            <w:pPr>
              <w:rPr>
                <w:rFonts w:ascii="Calibri" w:hAnsi="Calibri"/>
              </w:rPr>
            </w:pPr>
            <w:r>
              <w:t>*</w:t>
            </w:r>
            <w:r>
              <w:rPr>
                <w:rFonts w:ascii="Calibri" w:hAnsi="Calibri"/>
              </w:rPr>
              <w:t>Sodani et al., 2011</w:t>
            </w:r>
            <w:r w:rsidR="00E6060C" w:rsidRPr="00E6060C">
              <w:rPr>
                <w:rFonts w:ascii="Calibri" w:hAnsi="Calibri"/>
              </w:rPr>
              <w:t xml:space="preserve"> </w:t>
            </w:r>
          </w:p>
        </w:tc>
        <w:tc>
          <w:tcPr>
            <w:tcW w:w="4111" w:type="dxa"/>
          </w:tcPr>
          <w:p w14:paraId="398478C9" w14:textId="77777777" w:rsidR="00E6060C" w:rsidRPr="00E6060C" w:rsidRDefault="00E6060C" w:rsidP="00F15DDF">
            <w:pPr>
              <w:numPr>
                <w:ilvl w:val="0"/>
                <w:numId w:val="26"/>
              </w:numPr>
              <w:ind w:left="192" w:hanging="192"/>
              <w:contextualSpacing/>
            </w:pPr>
            <w:r w:rsidRPr="00E6060C">
              <w:t>Not specified, but participants were recruited from a welfare organisation in Iran</w:t>
            </w:r>
          </w:p>
        </w:tc>
        <w:tc>
          <w:tcPr>
            <w:tcW w:w="4819" w:type="dxa"/>
          </w:tcPr>
          <w:p w14:paraId="2A1A82D9" w14:textId="77777777" w:rsidR="00E6060C" w:rsidRPr="00E6060C" w:rsidRDefault="00E6060C" w:rsidP="00F15DDF">
            <w:pPr>
              <w:numPr>
                <w:ilvl w:val="0"/>
                <w:numId w:val="26"/>
              </w:numPr>
              <w:ind w:left="192" w:hanging="192"/>
              <w:contextualSpacing/>
            </w:pPr>
            <w:r w:rsidRPr="00E6060C">
              <w:t>9 creativity learning group sessions focusing on problem solving and perspective taking</w:t>
            </w:r>
          </w:p>
        </w:tc>
        <w:tc>
          <w:tcPr>
            <w:tcW w:w="3827" w:type="dxa"/>
          </w:tcPr>
          <w:p w14:paraId="561A91C7" w14:textId="77777777" w:rsidR="00E6060C" w:rsidRPr="00E6060C" w:rsidRDefault="00E6060C" w:rsidP="00F15DDF">
            <w:pPr>
              <w:numPr>
                <w:ilvl w:val="0"/>
                <w:numId w:val="26"/>
              </w:numPr>
              <w:ind w:left="192" w:hanging="192"/>
              <w:contextualSpacing/>
            </w:pPr>
            <w:r w:rsidRPr="00E6060C">
              <w:t>Not specified</w:t>
            </w:r>
          </w:p>
        </w:tc>
      </w:tr>
      <w:tr w:rsidR="00E6060C" w:rsidRPr="00E6060C" w14:paraId="230FFAB0" w14:textId="77777777" w:rsidTr="00E6060C">
        <w:tc>
          <w:tcPr>
            <w:tcW w:w="454" w:type="dxa"/>
          </w:tcPr>
          <w:p w14:paraId="367359FB" w14:textId="77777777" w:rsidR="00E6060C" w:rsidRPr="00E6060C" w:rsidRDefault="00E6060C" w:rsidP="00E6060C">
            <w:r w:rsidRPr="00E6060C">
              <w:t>8</w:t>
            </w:r>
          </w:p>
        </w:tc>
        <w:tc>
          <w:tcPr>
            <w:tcW w:w="1560" w:type="dxa"/>
          </w:tcPr>
          <w:p w14:paraId="024FC44F" w14:textId="513522DF" w:rsidR="00E6060C" w:rsidRPr="00E6060C" w:rsidRDefault="00B700DB" w:rsidP="00E6060C">
            <w:r>
              <w:t>*</w:t>
            </w:r>
            <w:r w:rsidR="00E6060C" w:rsidRPr="00E6060C">
              <w:t>Vuori et al., 2012</w:t>
            </w:r>
          </w:p>
          <w:p w14:paraId="492AC12C" w14:textId="77777777" w:rsidR="00E6060C" w:rsidRPr="00E6060C" w:rsidRDefault="00E6060C" w:rsidP="00E6060C"/>
        </w:tc>
        <w:tc>
          <w:tcPr>
            <w:tcW w:w="4111" w:type="dxa"/>
          </w:tcPr>
          <w:p w14:paraId="084190DA" w14:textId="77777777" w:rsidR="00E6060C" w:rsidRPr="00E6060C" w:rsidRDefault="00E6060C" w:rsidP="00F15DDF">
            <w:pPr>
              <w:numPr>
                <w:ilvl w:val="0"/>
                <w:numId w:val="23"/>
              </w:numPr>
              <w:ind w:left="217" w:hanging="217"/>
              <w:contextualSpacing/>
            </w:pPr>
            <w:r w:rsidRPr="00E6060C">
              <w:t>Organisations (n=43) were invited to participate via letter, and meetings were arranged to inform them about the study</w:t>
            </w:r>
          </w:p>
          <w:p w14:paraId="565EB9D6" w14:textId="77777777" w:rsidR="00E6060C" w:rsidRPr="00E6060C" w:rsidRDefault="00E6060C" w:rsidP="00F15DDF">
            <w:pPr>
              <w:numPr>
                <w:ilvl w:val="0"/>
                <w:numId w:val="23"/>
              </w:numPr>
              <w:ind w:left="217" w:hanging="217"/>
              <w:contextualSpacing/>
            </w:pPr>
            <w:r w:rsidRPr="00E6060C">
              <w:t>15 agreed to participate</w:t>
            </w:r>
          </w:p>
          <w:p w14:paraId="0B0C1AE4" w14:textId="77777777" w:rsidR="00E6060C" w:rsidRPr="00E6060C" w:rsidRDefault="00E6060C" w:rsidP="00F15DDF">
            <w:pPr>
              <w:numPr>
                <w:ilvl w:val="0"/>
                <w:numId w:val="23"/>
              </w:numPr>
              <w:ind w:left="217" w:hanging="217"/>
              <w:contextualSpacing/>
            </w:pPr>
            <w:r w:rsidRPr="00E6060C">
              <w:t>2 more were recruited via word of mouth</w:t>
            </w:r>
          </w:p>
          <w:p w14:paraId="6A704FA1" w14:textId="77777777" w:rsidR="00E6060C" w:rsidRPr="00E6060C" w:rsidRDefault="00E6060C" w:rsidP="00F15DDF">
            <w:pPr>
              <w:numPr>
                <w:ilvl w:val="0"/>
                <w:numId w:val="23"/>
              </w:numPr>
              <w:ind w:left="217" w:hanging="217"/>
              <w:contextualSpacing/>
            </w:pPr>
            <w:r w:rsidRPr="00E6060C">
              <w:t xml:space="preserve">Those who filled in T1 surveys from within the organisations became participants </w:t>
            </w:r>
          </w:p>
          <w:p w14:paraId="71ABB32B" w14:textId="77777777" w:rsidR="00E6060C" w:rsidRPr="00E6060C" w:rsidRDefault="00E6060C" w:rsidP="00F15DDF">
            <w:pPr>
              <w:numPr>
                <w:ilvl w:val="0"/>
                <w:numId w:val="23"/>
              </w:numPr>
              <w:ind w:left="217" w:hanging="217"/>
              <w:contextualSpacing/>
            </w:pPr>
          </w:p>
        </w:tc>
        <w:tc>
          <w:tcPr>
            <w:tcW w:w="4819" w:type="dxa"/>
          </w:tcPr>
          <w:p w14:paraId="63057719" w14:textId="77777777" w:rsidR="00E6060C" w:rsidRPr="00E6060C" w:rsidRDefault="00E6060C" w:rsidP="00E6060C">
            <w:r w:rsidRPr="00E6060C">
              <w:t>Workshop components:</w:t>
            </w:r>
          </w:p>
          <w:p w14:paraId="63B6EB4C" w14:textId="77777777" w:rsidR="00E6060C" w:rsidRPr="00E6060C" w:rsidRDefault="00E6060C" w:rsidP="00F15DDF">
            <w:pPr>
              <w:numPr>
                <w:ilvl w:val="0"/>
                <w:numId w:val="23"/>
              </w:numPr>
              <w:ind w:left="217" w:hanging="217"/>
              <w:contextualSpacing/>
            </w:pPr>
            <w:r w:rsidRPr="00E6060C">
              <w:t>Active learning</w:t>
            </w:r>
          </w:p>
          <w:p w14:paraId="7B6DAE0E" w14:textId="77777777" w:rsidR="00E6060C" w:rsidRPr="00E6060C" w:rsidRDefault="00E6060C" w:rsidP="00F15DDF">
            <w:pPr>
              <w:numPr>
                <w:ilvl w:val="0"/>
                <w:numId w:val="23"/>
              </w:numPr>
              <w:ind w:left="217" w:hanging="217"/>
              <w:contextualSpacing/>
            </w:pPr>
            <w:r w:rsidRPr="00E6060C">
              <w:t>Role playing</w:t>
            </w:r>
          </w:p>
          <w:p w14:paraId="39BB3B0F" w14:textId="77777777" w:rsidR="00E6060C" w:rsidRPr="00E6060C" w:rsidRDefault="00E6060C" w:rsidP="00F15DDF">
            <w:pPr>
              <w:numPr>
                <w:ilvl w:val="0"/>
                <w:numId w:val="23"/>
              </w:numPr>
              <w:ind w:left="217" w:hanging="217"/>
              <w:contextualSpacing/>
            </w:pPr>
            <w:r w:rsidRPr="00E6060C">
              <w:t>Social modelling</w:t>
            </w:r>
          </w:p>
          <w:p w14:paraId="5ED57E8C" w14:textId="77777777" w:rsidR="00E6060C" w:rsidRPr="00E6060C" w:rsidRDefault="00E6060C" w:rsidP="00F15DDF">
            <w:pPr>
              <w:numPr>
                <w:ilvl w:val="0"/>
                <w:numId w:val="23"/>
              </w:numPr>
              <w:ind w:left="217" w:hanging="217"/>
              <w:contextualSpacing/>
            </w:pPr>
            <w:r w:rsidRPr="00E6060C">
              <w:t>Gradual exposure</w:t>
            </w:r>
          </w:p>
        </w:tc>
        <w:tc>
          <w:tcPr>
            <w:tcW w:w="3827" w:type="dxa"/>
          </w:tcPr>
          <w:p w14:paraId="3F64A15E" w14:textId="77777777" w:rsidR="00E6060C" w:rsidRPr="00E6060C" w:rsidRDefault="00E6060C" w:rsidP="00F15DDF">
            <w:pPr>
              <w:numPr>
                <w:ilvl w:val="0"/>
                <w:numId w:val="23"/>
              </w:numPr>
              <w:ind w:left="242" w:hanging="242"/>
              <w:contextualSpacing/>
            </w:pPr>
            <w:r w:rsidRPr="00E6060C">
              <w:t>2 trainers from participating organisations were trained by the researchers and delivered the training to participants over 5 4 hr sessions or 3 full days.</w:t>
            </w:r>
          </w:p>
          <w:p w14:paraId="128F6B31" w14:textId="77777777" w:rsidR="00E6060C" w:rsidRPr="00E6060C" w:rsidRDefault="00E6060C" w:rsidP="00F15DDF">
            <w:pPr>
              <w:numPr>
                <w:ilvl w:val="0"/>
                <w:numId w:val="23"/>
              </w:numPr>
              <w:ind w:left="242" w:hanging="242"/>
              <w:contextualSpacing/>
            </w:pPr>
            <w:r w:rsidRPr="00E6060C">
              <w:t>Trainers were trained free of charge</w:t>
            </w:r>
          </w:p>
        </w:tc>
      </w:tr>
      <w:tr w:rsidR="00E6060C" w:rsidRPr="00E6060C" w14:paraId="3351E365" w14:textId="77777777" w:rsidTr="00E6060C">
        <w:tc>
          <w:tcPr>
            <w:tcW w:w="14771" w:type="dxa"/>
            <w:gridSpan w:val="5"/>
            <w:shd w:val="clear" w:color="auto" w:fill="D9D9D9" w:themeFill="background1" w:themeFillShade="D9"/>
          </w:tcPr>
          <w:p w14:paraId="3710FB25" w14:textId="77777777" w:rsidR="00E6060C" w:rsidRPr="00E6060C" w:rsidRDefault="00E6060C" w:rsidP="00E6060C">
            <w:pPr>
              <w:rPr>
                <w:b/>
              </w:rPr>
            </w:pPr>
            <w:r w:rsidRPr="00E6060C">
              <w:rPr>
                <w:b/>
              </w:rPr>
              <w:t>ONGOING PERSONAL RESOURCE BUILDING STUDIES</w:t>
            </w:r>
          </w:p>
          <w:p w14:paraId="217F7FAD" w14:textId="77777777" w:rsidR="00E6060C" w:rsidRPr="00E6060C" w:rsidRDefault="00E6060C" w:rsidP="00E6060C"/>
        </w:tc>
      </w:tr>
      <w:tr w:rsidR="00E6060C" w:rsidRPr="00E6060C" w14:paraId="529E1B05" w14:textId="77777777" w:rsidTr="00E6060C">
        <w:tc>
          <w:tcPr>
            <w:tcW w:w="454" w:type="dxa"/>
            <w:shd w:val="clear" w:color="auto" w:fill="D9D9D9" w:themeFill="background1" w:themeFillShade="D9"/>
          </w:tcPr>
          <w:p w14:paraId="678D6178" w14:textId="77777777" w:rsidR="00E6060C" w:rsidRPr="00E6060C" w:rsidRDefault="00E6060C" w:rsidP="00E6060C">
            <w:r w:rsidRPr="00E6060C">
              <w:t>9</w:t>
            </w:r>
          </w:p>
        </w:tc>
        <w:tc>
          <w:tcPr>
            <w:tcW w:w="1560" w:type="dxa"/>
            <w:shd w:val="clear" w:color="auto" w:fill="D9D9D9" w:themeFill="background1" w:themeFillShade="D9"/>
          </w:tcPr>
          <w:p w14:paraId="35E1393F" w14:textId="77777777" w:rsidR="00E6060C" w:rsidRPr="00E6060C" w:rsidRDefault="00E6060C" w:rsidP="00E6060C">
            <w:r w:rsidRPr="00E6060C">
              <w:t>Koolhaas et al., 2010</w:t>
            </w:r>
          </w:p>
        </w:tc>
        <w:tc>
          <w:tcPr>
            <w:tcW w:w="4111" w:type="dxa"/>
            <w:shd w:val="clear" w:color="auto" w:fill="D9D9D9" w:themeFill="background1" w:themeFillShade="D9"/>
          </w:tcPr>
          <w:p w14:paraId="1C5DFB02" w14:textId="77777777" w:rsidR="00E6060C" w:rsidRPr="00E6060C" w:rsidRDefault="00E6060C" w:rsidP="00F15DDF">
            <w:pPr>
              <w:numPr>
                <w:ilvl w:val="0"/>
                <w:numId w:val="29"/>
              </w:numPr>
              <w:contextualSpacing/>
            </w:pPr>
            <w:r w:rsidRPr="00E6060C">
              <w:t>Workers ≥45 yrs from different departments of the University Medical Center of Groningen, and the University itself</w:t>
            </w:r>
          </w:p>
          <w:p w14:paraId="5C733C63" w14:textId="77777777" w:rsidR="00E6060C" w:rsidRPr="00E6060C" w:rsidRDefault="00E6060C" w:rsidP="00F15DDF">
            <w:pPr>
              <w:numPr>
                <w:ilvl w:val="0"/>
                <w:numId w:val="29"/>
              </w:numPr>
              <w:contextualSpacing/>
            </w:pPr>
            <w:r w:rsidRPr="00E6060C">
              <w:t>Supervisors within proposed departments were invited to participate, and their workers were subsequently invited to participate, creating supervisor-worker dyads.</w:t>
            </w:r>
          </w:p>
          <w:p w14:paraId="4BE098CD" w14:textId="77777777" w:rsidR="00E6060C" w:rsidRPr="00E6060C" w:rsidRDefault="00E6060C" w:rsidP="00F15DDF">
            <w:pPr>
              <w:numPr>
                <w:ilvl w:val="0"/>
                <w:numId w:val="29"/>
              </w:numPr>
              <w:contextualSpacing/>
            </w:pPr>
            <w:r w:rsidRPr="00E6060C">
              <w:lastRenderedPageBreak/>
              <w:t>Control supervisors will be trained in future if the intervention proves successful</w:t>
            </w:r>
          </w:p>
        </w:tc>
        <w:tc>
          <w:tcPr>
            <w:tcW w:w="4819" w:type="dxa"/>
            <w:shd w:val="clear" w:color="auto" w:fill="D9D9D9" w:themeFill="background1" w:themeFillShade="D9"/>
          </w:tcPr>
          <w:p w14:paraId="0252CD76" w14:textId="77777777" w:rsidR="00E6060C" w:rsidRPr="00E6060C" w:rsidRDefault="00E6060C" w:rsidP="00E6060C">
            <w:r w:rsidRPr="00E6060C">
              <w:lastRenderedPageBreak/>
              <w:t>Focus on:</w:t>
            </w:r>
          </w:p>
          <w:p w14:paraId="3DA0EB4E" w14:textId="77777777" w:rsidR="00E6060C" w:rsidRPr="00E6060C" w:rsidRDefault="00E6060C" w:rsidP="00F15DDF">
            <w:pPr>
              <w:numPr>
                <w:ilvl w:val="0"/>
                <w:numId w:val="29"/>
              </w:numPr>
              <w:ind w:left="186" w:hanging="186"/>
              <w:contextualSpacing/>
            </w:pPr>
            <w:r w:rsidRPr="00E6060C">
              <w:t xml:space="preserve">changing workers’ awareness &amp; behaviour </w:t>
            </w:r>
          </w:p>
          <w:p w14:paraId="616FD518" w14:textId="77777777" w:rsidR="00E6060C" w:rsidRPr="00E6060C" w:rsidRDefault="00E6060C" w:rsidP="00F15DDF">
            <w:pPr>
              <w:numPr>
                <w:ilvl w:val="0"/>
                <w:numId w:val="29"/>
              </w:numPr>
              <w:ind w:left="186" w:hanging="186"/>
              <w:contextualSpacing/>
            </w:pPr>
            <w:r w:rsidRPr="00E6060C">
              <w:t>improving supervisor support</w:t>
            </w:r>
          </w:p>
          <w:p w14:paraId="1A4EEEAF" w14:textId="77777777" w:rsidR="00E6060C" w:rsidRPr="00E6060C" w:rsidRDefault="00E6060C" w:rsidP="00F15DDF">
            <w:pPr>
              <w:numPr>
                <w:ilvl w:val="0"/>
                <w:numId w:val="29"/>
              </w:numPr>
              <w:ind w:left="186" w:hanging="186"/>
              <w:contextualSpacing/>
            </w:pPr>
            <w:r w:rsidRPr="00E6060C">
              <w:t xml:space="preserve">improving use of HR professionals and occupational health tools </w:t>
            </w:r>
          </w:p>
          <w:p w14:paraId="612777CE" w14:textId="77777777" w:rsidR="00E6060C" w:rsidRPr="00E6060C" w:rsidRDefault="00E6060C" w:rsidP="00F15DDF">
            <w:pPr>
              <w:numPr>
                <w:ilvl w:val="0"/>
                <w:numId w:val="29"/>
              </w:numPr>
              <w:ind w:left="186" w:hanging="186"/>
              <w:contextualSpacing/>
            </w:pPr>
            <w:r w:rsidRPr="00E6060C">
              <w:t xml:space="preserve">Supervisors in the intervention condition received training (2 workshops 2 weeks apart) before the intervention in problem-solving </w:t>
            </w:r>
            <w:r w:rsidRPr="00E6060C">
              <w:lastRenderedPageBreak/>
              <w:t>strategies and supportive techniques for helping workers</w:t>
            </w:r>
          </w:p>
          <w:p w14:paraId="422BF792" w14:textId="77777777" w:rsidR="00E6060C" w:rsidRPr="00E6060C" w:rsidRDefault="00E6060C" w:rsidP="00F15DDF">
            <w:pPr>
              <w:numPr>
                <w:ilvl w:val="0"/>
                <w:numId w:val="29"/>
              </w:numPr>
              <w:ind w:left="186" w:hanging="186"/>
              <w:contextualSpacing/>
            </w:pPr>
            <w:r w:rsidRPr="00E6060C">
              <w:t>Workers completed a workbook which identified problems to working sustainably, and discussed these with supervisors, creating a 1 yr action plan</w:t>
            </w:r>
          </w:p>
        </w:tc>
        <w:tc>
          <w:tcPr>
            <w:tcW w:w="3827" w:type="dxa"/>
            <w:shd w:val="clear" w:color="auto" w:fill="D9D9D9" w:themeFill="background1" w:themeFillShade="D9"/>
          </w:tcPr>
          <w:p w14:paraId="2BC57ECC" w14:textId="77777777" w:rsidR="00E6060C" w:rsidRPr="00E6060C" w:rsidRDefault="00E6060C" w:rsidP="00E6060C">
            <w:r w:rsidRPr="00E6060C">
              <w:lastRenderedPageBreak/>
              <w:t>Not specified</w:t>
            </w:r>
          </w:p>
        </w:tc>
      </w:tr>
      <w:tr w:rsidR="00E6060C" w:rsidRPr="00E6060C" w14:paraId="6AD70C9F" w14:textId="77777777" w:rsidTr="00E6060C">
        <w:tc>
          <w:tcPr>
            <w:tcW w:w="454" w:type="dxa"/>
            <w:shd w:val="clear" w:color="auto" w:fill="D9D9D9" w:themeFill="background1" w:themeFillShade="D9"/>
          </w:tcPr>
          <w:p w14:paraId="167F7087" w14:textId="77777777" w:rsidR="00E6060C" w:rsidRPr="00E6060C" w:rsidRDefault="00E6060C" w:rsidP="00E6060C">
            <w:r w:rsidRPr="00E6060C">
              <w:t>10</w:t>
            </w:r>
          </w:p>
        </w:tc>
        <w:tc>
          <w:tcPr>
            <w:tcW w:w="1560" w:type="dxa"/>
            <w:shd w:val="clear" w:color="auto" w:fill="D9D9D9" w:themeFill="background1" w:themeFillShade="D9"/>
          </w:tcPr>
          <w:p w14:paraId="320C9920" w14:textId="39569615" w:rsidR="00E6060C" w:rsidRPr="00E6060C" w:rsidRDefault="00E6060C" w:rsidP="00E6060C">
            <w:r w:rsidRPr="00E6060C">
              <w:t xml:space="preserve">Schelvis </w:t>
            </w:r>
            <w:r w:rsidR="00B64DD5">
              <w:t>et al.,</w:t>
            </w:r>
            <w:r w:rsidRPr="00E6060C">
              <w:t xml:space="preserve"> 2013</w:t>
            </w:r>
          </w:p>
        </w:tc>
        <w:tc>
          <w:tcPr>
            <w:tcW w:w="4111" w:type="dxa"/>
            <w:shd w:val="clear" w:color="auto" w:fill="D9D9D9" w:themeFill="background1" w:themeFillShade="D9"/>
          </w:tcPr>
          <w:p w14:paraId="285B2F4D" w14:textId="0C7EFCB9" w:rsidR="00E6060C" w:rsidRPr="00E6060C" w:rsidRDefault="00E6060C" w:rsidP="00F15DDF">
            <w:pPr>
              <w:numPr>
                <w:ilvl w:val="0"/>
                <w:numId w:val="30"/>
              </w:numPr>
              <w:ind w:left="139" w:hanging="139"/>
              <w:contextualSpacing/>
            </w:pPr>
            <w:r w:rsidRPr="00E6060C">
              <w:t>Two schools recruited, and these schools chose an experimental group (one dept.) based on needs they identified</w:t>
            </w:r>
          </w:p>
          <w:p w14:paraId="4D326C2C" w14:textId="77777777" w:rsidR="00E6060C" w:rsidRPr="00E6060C" w:rsidRDefault="00E6060C" w:rsidP="00F15DDF">
            <w:pPr>
              <w:numPr>
                <w:ilvl w:val="0"/>
                <w:numId w:val="30"/>
              </w:numPr>
              <w:ind w:left="139" w:hanging="139"/>
              <w:contextualSpacing/>
            </w:pPr>
            <w:r w:rsidRPr="00E6060C">
              <w:t>Matched control groups were selected by the researchers (matched on dept. size, age of employees, and type of work)</w:t>
            </w:r>
          </w:p>
        </w:tc>
        <w:tc>
          <w:tcPr>
            <w:tcW w:w="4819" w:type="dxa"/>
            <w:shd w:val="clear" w:color="auto" w:fill="D9D9D9" w:themeFill="background1" w:themeFillShade="D9"/>
          </w:tcPr>
          <w:p w14:paraId="226CAD9A" w14:textId="77777777" w:rsidR="00E6060C" w:rsidRPr="00E6060C" w:rsidRDefault="00E6060C" w:rsidP="00F15DDF">
            <w:pPr>
              <w:numPr>
                <w:ilvl w:val="0"/>
                <w:numId w:val="30"/>
              </w:numPr>
              <w:ind w:left="186" w:hanging="186"/>
              <w:contextualSpacing/>
            </w:pPr>
            <w:r w:rsidRPr="00E6060C">
              <w:t>Participatory action approach using the Heuristic Method (HM)</w:t>
            </w:r>
          </w:p>
          <w:p w14:paraId="3E4CA9B6" w14:textId="77777777" w:rsidR="00E6060C" w:rsidRPr="00E6060C" w:rsidRDefault="00E6060C" w:rsidP="00F15DDF">
            <w:pPr>
              <w:numPr>
                <w:ilvl w:val="0"/>
                <w:numId w:val="30"/>
              </w:numPr>
              <w:ind w:left="186" w:hanging="186"/>
              <w:contextualSpacing/>
            </w:pPr>
            <w:r w:rsidRPr="00E6060C">
              <w:t xml:space="preserve">HM aims to optimise occupational self-efficacy and organisational efficacy </w:t>
            </w:r>
          </w:p>
          <w:p w14:paraId="1E1790DF" w14:textId="77777777" w:rsidR="00E6060C" w:rsidRPr="00E6060C" w:rsidRDefault="00E6060C" w:rsidP="00F15DDF">
            <w:pPr>
              <w:numPr>
                <w:ilvl w:val="0"/>
                <w:numId w:val="30"/>
              </w:numPr>
              <w:ind w:left="186" w:hanging="186"/>
              <w:contextualSpacing/>
            </w:pPr>
            <w:r w:rsidRPr="00E6060C">
              <w:t>Needs assessment identifies what hinders and stimulates ‘happy’ working and informs the development of an action and implementation plan</w:t>
            </w:r>
          </w:p>
          <w:p w14:paraId="091D881E" w14:textId="77777777" w:rsidR="00E6060C" w:rsidRPr="00E6060C" w:rsidRDefault="00E6060C" w:rsidP="00F15DDF">
            <w:pPr>
              <w:numPr>
                <w:ilvl w:val="0"/>
                <w:numId w:val="30"/>
              </w:numPr>
              <w:ind w:left="186" w:hanging="186"/>
              <w:contextualSpacing/>
            </w:pPr>
            <w:r w:rsidRPr="00E6060C">
              <w:t>Group sessions facilitate reflection and action planning</w:t>
            </w:r>
          </w:p>
        </w:tc>
        <w:tc>
          <w:tcPr>
            <w:tcW w:w="3827" w:type="dxa"/>
            <w:shd w:val="clear" w:color="auto" w:fill="D9D9D9" w:themeFill="background1" w:themeFillShade="D9"/>
          </w:tcPr>
          <w:p w14:paraId="4CFB96DA" w14:textId="77777777" w:rsidR="00E6060C" w:rsidRPr="00E6060C" w:rsidRDefault="00E6060C" w:rsidP="00F15DDF">
            <w:pPr>
              <w:numPr>
                <w:ilvl w:val="0"/>
                <w:numId w:val="30"/>
              </w:numPr>
              <w:ind w:left="139" w:hanging="139"/>
              <w:contextualSpacing/>
            </w:pPr>
            <w:r w:rsidRPr="00E6060C">
              <w:t xml:space="preserve"> Not specified</w:t>
            </w:r>
          </w:p>
        </w:tc>
      </w:tr>
      <w:tr w:rsidR="00E6060C" w:rsidRPr="00E6060C" w14:paraId="15DF638F" w14:textId="77777777" w:rsidTr="00E6060C">
        <w:tc>
          <w:tcPr>
            <w:tcW w:w="454" w:type="dxa"/>
            <w:shd w:val="clear" w:color="auto" w:fill="D9D9D9" w:themeFill="background1" w:themeFillShade="D9"/>
          </w:tcPr>
          <w:p w14:paraId="570C3163" w14:textId="77777777" w:rsidR="00E6060C" w:rsidRPr="00E6060C" w:rsidRDefault="00E6060C" w:rsidP="00E6060C">
            <w:r w:rsidRPr="00E6060C">
              <w:t>11</w:t>
            </w:r>
          </w:p>
        </w:tc>
        <w:tc>
          <w:tcPr>
            <w:tcW w:w="1560" w:type="dxa"/>
            <w:shd w:val="clear" w:color="auto" w:fill="D9D9D9" w:themeFill="background1" w:themeFillShade="D9"/>
          </w:tcPr>
          <w:p w14:paraId="09CF8619" w14:textId="053227F3" w:rsidR="00E6060C" w:rsidRPr="00E6060C" w:rsidRDefault="00E6060C" w:rsidP="00E6060C">
            <w:r w:rsidRPr="00E6060C">
              <w:t xml:space="preserve">Shaw </w:t>
            </w:r>
            <w:r w:rsidR="00B64DD5">
              <w:t>et al.,</w:t>
            </w:r>
            <w:r w:rsidRPr="00E6060C">
              <w:t xml:space="preserve"> 2014</w:t>
            </w:r>
          </w:p>
        </w:tc>
        <w:tc>
          <w:tcPr>
            <w:tcW w:w="4111" w:type="dxa"/>
            <w:shd w:val="clear" w:color="auto" w:fill="D9D9D9" w:themeFill="background1" w:themeFillShade="D9"/>
          </w:tcPr>
          <w:p w14:paraId="79582C78" w14:textId="77777777" w:rsidR="00E6060C" w:rsidRPr="00E6060C" w:rsidRDefault="00E6060C" w:rsidP="00F15DDF">
            <w:pPr>
              <w:numPr>
                <w:ilvl w:val="0"/>
                <w:numId w:val="28"/>
              </w:numPr>
              <w:ind w:left="178" w:hanging="178"/>
              <w:contextualSpacing/>
            </w:pPr>
            <w:r w:rsidRPr="00E6060C">
              <w:t>General workforce announcements (email, posters, flyers)</w:t>
            </w:r>
          </w:p>
          <w:p w14:paraId="46AEEB0F" w14:textId="77777777" w:rsidR="00E6060C" w:rsidRPr="00E6060C" w:rsidRDefault="00E6060C" w:rsidP="00F15DDF">
            <w:pPr>
              <w:numPr>
                <w:ilvl w:val="0"/>
                <w:numId w:val="28"/>
              </w:numPr>
              <w:ind w:left="178" w:hanging="178"/>
              <w:contextualSpacing/>
            </w:pPr>
            <w:r w:rsidRPr="00E6060C">
              <w:t xml:space="preserve">Workers with at least one chronic physical health condition (&gt;6 months) and willing to explore strategies to help deal with health related issues at work, such as aches and fatigue  </w:t>
            </w:r>
          </w:p>
        </w:tc>
        <w:tc>
          <w:tcPr>
            <w:tcW w:w="4819" w:type="dxa"/>
            <w:shd w:val="clear" w:color="auto" w:fill="D9D9D9" w:themeFill="background1" w:themeFillShade="D9"/>
          </w:tcPr>
          <w:p w14:paraId="3F7C74D8" w14:textId="77777777" w:rsidR="00E6060C" w:rsidRPr="00E6060C" w:rsidRDefault="00E6060C" w:rsidP="00F15DDF">
            <w:pPr>
              <w:numPr>
                <w:ilvl w:val="0"/>
                <w:numId w:val="28"/>
              </w:numPr>
              <w:ind w:left="186" w:hanging="186"/>
              <w:contextualSpacing/>
            </w:pPr>
            <w:r w:rsidRPr="00E6060C">
              <w:t>Employer-sponsored psycho-educational self-management group intervention programme (several workshops, 10hrs total)</w:t>
            </w:r>
          </w:p>
          <w:p w14:paraId="249B4681" w14:textId="77777777" w:rsidR="00E6060C" w:rsidRPr="00E6060C" w:rsidRDefault="00E6060C" w:rsidP="00F15DDF">
            <w:pPr>
              <w:numPr>
                <w:ilvl w:val="0"/>
                <w:numId w:val="28"/>
              </w:numPr>
              <w:ind w:left="186" w:hanging="186"/>
              <w:contextualSpacing/>
            </w:pPr>
            <w:r w:rsidRPr="00E6060C">
              <w:t>Focus on work habits, expressing needs, applying problem solving strategies, dealing with negative thoughts and emotions about work</w:t>
            </w:r>
          </w:p>
          <w:p w14:paraId="73EC9A01" w14:textId="77777777" w:rsidR="00E6060C" w:rsidRPr="00E6060C" w:rsidRDefault="00E6060C" w:rsidP="00F15DDF">
            <w:pPr>
              <w:numPr>
                <w:ilvl w:val="0"/>
                <w:numId w:val="28"/>
              </w:numPr>
              <w:ind w:left="186" w:hanging="186"/>
              <w:contextualSpacing/>
            </w:pPr>
            <w:r w:rsidRPr="00E6060C">
              <w:t>5 on-site but after hours 2 hr workshops planned over 2-3 months</w:t>
            </w:r>
          </w:p>
          <w:p w14:paraId="56DCFBB8" w14:textId="77777777" w:rsidR="00E6060C" w:rsidRPr="00E6060C" w:rsidRDefault="00E6060C" w:rsidP="00F15DDF">
            <w:pPr>
              <w:numPr>
                <w:ilvl w:val="0"/>
                <w:numId w:val="28"/>
              </w:numPr>
              <w:ind w:left="186" w:hanging="186"/>
              <w:contextualSpacing/>
            </w:pPr>
            <w:r w:rsidRPr="00E6060C">
              <w:t>Controls will be offered a one day workshop after the end of the study</w:t>
            </w:r>
          </w:p>
        </w:tc>
        <w:tc>
          <w:tcPr>
            <w:tcW w:w="3827" w:type="dxa"/>
            <w:shd w:val="clear" w:color="auto" w:fill="D9D9D9" w:themeFill="background1" w:themeFillShade="D9"/>
          </w:tcPr>
          <w:p w14:paraId="76B19649" w14:textId="77777777" w:rsidR="00E6060C" w:rsidRPr="00E6060C" w:rsidRDefault="00E6060C" w:rsidP="00F15DDF">
            <w:pPr>
              <w:numPr>
                <w:ilvl w:val="0"/>
                <w:numId w:val="28"/>
              </w:numPr>
              <w:ind w:left="178" w:hanging="178"/>
              <w:contextualSpacing/>
            </w:pPr>
            <w:r w:rsidRPr="00E6060C">
              <w:t>Specially trained facilitator – psychologist or clinical social worker)</w:t>
            </w:r>
          </w:p>
        </w:tc>
      </w:tr>
      <w:tr w:rsidR="00E6060C" w:rsidRPr="00E6060C" w14:paraId="29069CCE" w14:textId="77777777" w:rsidTr="00E6060C">
        <w:tc>
          <w:tcPr>
            <w:tcW w:w="454" w:type="dxa"/>
            <w:tcBorders>
              <w:bottom w:val="single" w:sz="4" w:space="0" w:color="auto"/>
            </w:tcBorders>
            <w:shd w:val="clear" w:color="auto" w:fill="D9D9D9" w:themeFill="background1" w:themeFillShade="D9"/>
          </w:tcPr>
          <w:p w14:paraId="35FB344D" w14:textId="77777777" w:rsidR="00E6060C" w:rsidRPr="00E6060C" w:rsidRDefault="00E6060C" w:rsidP="00E6060C">
            <w:r w:rsidRPr="00E6060C">
              <w:lastRenderedPageBreak/>
              <w:t>12</w:t>
            </w:r>
          </w:p>
        </w:tc>
        <w:tc>
          <w:tcPr>
            <w:tcW w:w="1560" w:type="dxa"/>
            <w:tcBorders>
              <w:bottom w:val="single" w:sz="4" w:space="0" w:color="auto"/>
            </w:tcBorders>
            <w:shd w:val="clear" w:color="auto" w:fill="D9D9D9" w:themeFill="background1" w:themeFillShade="D9"/>
          </w:tcPr>
          <w:p w14:paraId="01122F2A" w14:textId="0026E9E1" w:rsidR="00E6060C" w:rsidRPr="00E6060C" w:rsidRDefault="00E6060C" w:rsidP="00E6060C">
            <w:r w:rsidRPr="00E6060C">
              <w:t>Yuan</w:t>
            </w:r>
            <w:r w:rsidR="00004C6F">
              <w:t xml:space="preserve"> </w:t>
            </w:r>
            <w:r w:rsidR="00B64DD5">
              <w:t>et al.,</w:t>
            </w:r>
            <w:r w:rsidRPr="00E6060C">
              <w:t xml:space="preserve"> 2014</w:t>
            </w:r>
          </w:p>
          <w:p w14:paraId="31A812C9" w14:textId="77777777" w:rsidR="00E6060C" w:rsidRPr="00E6060C" w:rsidRDefault="00E6060C" w:rsidP="00E6060C">
            <w:pPr>
              <w:jc w:val="center"/>
            </w:pPr>
          </w:p>
        </w:tc>
        <w:tc>
          <w:tcPr>
            <w:tcW w:w="4111" w:type="dxa"/>
            <w:tcBorders>
              <w:bottom w:val="single" w:sz="4" w:space="0" w:color="auto"/>
            </w:tcBorders>
            <w:shd w:val="clear" w:color="auto" w:fill="D9D9D9" w:themeFill="background1" w:themeFillShade="D9"/>
          </w:tcPr>
          <w:p w14:paraId="17E56929" w14:textId="77777777" w:rsidR="00E6060C" w:rsidRPr="00E6060C" w:rsidRDefault="00E6060C" w:rsidP="00F15DDF">
            <w:pPr>
              <w:numPr>
                <w:ilvl w:val="0"/>
                <w:numId w:val="31"/>
              </w:numPr>
              <w:ind w:left="139" w:hanging="139"/>
              <w:contextualSpacing/>
            </w:pPr>
            <w:r w:rsidRPr="00E6060C">
              <w:t>Participant recruitment open to the public, via magazines, websites, HR depts., the Employers’ Federation of Hong Kong</w:t>
            </w:r>
          </w:p>
          <w:p w14:paraId="57001B74" w14:textId="77777777" w:rsidR="00E6060C" w:rsidRPr="00E6060C" w:rsidRDefault="00E6060C" w:rsidP="00F15DDF">
            <w:pPr>
              <w:numPr>
                <w:ilvl w:val="0"/>
                <w:numId w:val="31"/>
              </w:numPr>
              <w:ind w:left="139" w:hanging="139"/>
              <w:contextualSpacing/>
            </w:pPr>
            <w:r w:rsidRPr="00E6060C">
              <w:t>Controls will be offered the programme after the intervention finishes</w:t>
            </w:r>
          </w:p>
        </w:tc>
        <w:tc>
          <w:tcPr>
            <w:tcW w:w="4819" w:type="dxa"/>
            <w:tcBorders>
              <w:bottom w:val="single" w:sz="4" w:space="0" w:color="auto"/>
            </w:tcBorders>
            <w:shd w:val="clear" w:color="auto" w:fill="D9D9D9" w:themeFill="background1" w:themeFillShade="D9"/>
          </w:tcPr>
          <w:p w14:paraId="3A2A1343" w14:textId="77777777" w:rsidR="00E6060C" w:rsidRPr="00E6060C" w:rsidRDefault="00E6060C" w:rsidP="00E6060C">
            <w:r w:rsidRPr="00E6060C">
              <w:t>4 web-based training sessions (1 session per week), each targeting one of the PsyCAP components (hope, efficacy, optimism, resilience):</w:t>
            </w:r>
          </w:p>
          <w:p w14:paraId="7B31B286" w14:textId="77777777" w:rsidR="00E6060C" w:rsidRPr="00E6060C" w:rsidRDefault="00E6060C" w:rsidP="00F15DDF">
            <w:pPr>
              <w:numPr>
                <w:ilvl w:val="0"/>
                <w:numId w:val="31"/>
              </w:numPr>
              <w:ind w:left="139" w:hanging="139"/>
              <w:contextualSpacing/>
            </w:pPr>
            <w:r w:rsidRPr="00E6060C">
              <w:t>‘Hope’ training involves goal-setting</w:t>
            </w:r>
          </w:p>
          <w:p w14:paraId="3C9ABFEE" w14:textId="77777777" w:rsidR="00E6060C" w:rsidRPr="00E6060C" w:rsidRDefault="00E6060C" w:rsidP="00F15DDF">
            <w:pPr>
              <w:numPr>
                <w:ilvl w:val="0"/>
                <w:numId w:val="31"/>
              </w:numPr>
              <w:ind w:left="139" w:hanging="139"/>
              <w:contextualSpacing/>
            </w:pPr>
            <w:r w:rsidRPr="00E6060C">
              <w:t>‘Efficacy’ training involves expressive writing (e.g. on personal mastery experiences at work)</w:t>
            </w:r>
          </w:p>
          <w:p w14:paraId="17C1F40A" w14:textId="77777777" w:rsidR="00E6060C" w:rsidRPr="00E6060C" w:rsidRDefault="00E6060C" w:rsidP="00F15DDF">
            <w:pPr>
              <w:numPr>
                <w:ilvl w:val="0"/>
                <w:numId w:val="31"/>
              </w:numPr>
              <w:ind w:left="139" w:hanging="139"/>
              <w:contextualSpacing/>
            </w:pPr>
            <w:r w:rsidRPr="00E6060C">
              <w:t xml:space="preserve">‘Optimism’ training involves exploring attitudes and negative thoughts </w:t>
            </w:r>
          </w:p>
          <w:p w14:paraId="06BBF0AA" w14:textId="77777777" w:rsidR="00E6060C" w:rsidRPr="00E6060C" w:rsidRDefault="00E6060C" w:rsidP="00F15DDF">
            <w:pPr>
              <w:numPr>
                <w:ilvl w:val="0"/>
                <w:numId w:val="31"/>
              </w:numPr>
              <w:ind w:left="139" w:hanging="139"/>
              <w:contextualSpacing/>
            </w:pPr>
            <w:r w:rsidRPr="00E6060C">
              <w:t>‘Resilience’ training involves re-evaluating risk for adversity &amp; planning to control it and overcome obstacles</w:t>
            </w:r>
          </w:p>
          <w:p w14:paraId="730C52BE" w14:textId="77777777" w:rsidR="00E6060C" w:rsidRPr="00E6060C" w:rsidRDefault="00E6060C" w:rsidP="00E6060C"/>
        </w:tc>
        <w:tc>
          <w:tcPr>
            <w:tcW w:w="3827" w:type="dxa"/>
            <w:tcBorders>
              <w:bottom w:val="single" w:sz="4" w:space="0" w:color="auto"/>
            </w:tcBorders>
            <w:shd w:val="clear" w:color="auto" w:fill="D9D9D9" w:themeFill="background1" w:themeFillShade="D9"/>
          </w:tcPr>
          <w:p w14:paraId="3ACF2A93" w14:textId="77777777" w:rsidR="00E6060C" w:rsidRPr="00E6060C" w:rsidRDefault="00E6060C" w:rsidP="00E6060C">
            <w:r w:rsidRPr="00E6060C">
              <w:t>None (all online)</w:t>
            </w:r>
          </w:p>
          <w:p w14:paraId="38A12471" w14:textId="77777777" w:rsidR="00E6060C" w:rsidRPr="00E6060C" w:rsidRDefault="00E6060C" w:rsidP="00E6060C"/>
          <w:p w14:paraId="18FFD121" w14:textId="77777777" w:rsidR="00E6060C" w:rsidRPr="00E6060C" w:rsidRDefault="00E6060C" w:rsidP="00E6060C"/>
        </w:tc>
      </w:tr>
      <w:tr w:rsidR="00E6060C" w:rsidRPr="00E6060C" w14:paraId="71DD7C37" w14:textId="77777777" w:rsidTr="00E6060C">
        <w:tc>
          <w:tcPr>
            <w:tcW w:w="14771" w:type="dxa"/>
            <w:gridSpan w:val="5"/>
            <w:tcBorders>
              <w:top w:val="single" w:sz="4" w:space="0" w:color="auto"/>
              <w:bottom w:val="single" w:sz="4" w:space="0" w:color="auto"/>
            </w:tcBorders>
          </w:tcPr>
          <w:p w14:paraId="7DBA5F0D" w14:textId="77777777" w:rsidR="00E6060C" w:rsidRPr="00E6060C" w:rsidRDefault="00E6060C" w:rsidP="00E6060C">
            <w:pPr>
              <w:rPr>
                <w:b/>
                <w:sz w:val="28"/>
                <w:szCs w:val="28"/>
              </w:rPr>
            </w:pPr>
            <w:r w:rsidRPr="00E6060C">
              <w:rPr>
                <w:b/>
                <w:sz w:val="28"/>
                <w:szCs w:val="28"/>
              </w:rPr>
              <w:t>JOB RESOURCE BUILDING INTERVENTIONS</w:t>
            </w:r>
          </w:p>
        </w:tc>
      </w:tr>
      <w:tr w:rsidR="00E6060C" w:rsidRPr="00E6060C" w14:paraId="503286D5" w14:textId="77777777" w:rsidTr="00E6060C">
        <w:tc>
          <w:tcPr>
            <w:tcW w:w="454" w:type="dxa"/>
            <w:tcBorders>
              <w:top w:val="single" w:sz="4" w:space="0" w:color="auto"/>
            </w:tcBorders>
          </w:tcPr>
          <w:p w14:paraId="58F34BFB" w14:textId="77777777" w:rsidR="00E6060C" w:rsidRPr="00E6060C" w:rsidRDefault="00E6060C" w:rsidP="00E6060C">
            <w:r w:rsidRPr="00E6060C">
              <w:t>13</w:t>
            </w:r>
          </w:p>
        </w:tc>
        <w:tc>
          <w:tcPr>
            <w:tcW w:w="1560" w:type="dxa"/>
            <w:tcBorders>
              <w:top w:val="single" w:sz="4" w:space="0" w:color="auto"/>
            </w:tcBorders>
          </w:tcPr>
          <w:p w14:paraId="08B6BBB9" w14:textId="1FD20743" w:rsidR="00E6060C" w:rsidRPr="00E6060C" w:rsidRDefault="00B700DB" w:rsidP="00E6060C">
            <w:pPr>
              <w:rPr>
                <w:rFonts w:ascii="Calibri" w:hAnsi="Calibri"/>
                <w:color w:val="000000"/>
              </w:rPr>
            </w:pPr>
            <w:r>
              <w:t>*</w:t>
            </w:r>
            <w:r>
              <w:rPr>
                <w:rFonts w:ascii="Calibri" w:hAnsi="Calibri"/>
                <w:color w:val="000000"/>
              </w:rPr>
              <w:t>Cifre et al., 2011</w:t>
            </w:r>
          </w:p>
        </w:tc>
        <w:tc>
          <w:tcPr>
            <w:tcW w:w="4111" w:type="dxa"/>
            <w:tcBorders>
              <w:top w:val="single" w:sz="4" w:space="0" w:color="auto"/>
            </w:tcBorders>
          </w:tcPr>
          <w:p w14:paraId="654C4C05" w14:textId="77777777" w:rsidR="00E6060C" w:rsidRPr="00E6060C" w:rsidRDefault="00E6060C" w:rsidP="00F15DDF">
            <w:pPr>
              <w:numPr>
                <w:ilvl w:val="0"/>
                <w:numId w:val="33"/>
              </w:numPr>
              <w:ind w:left="217" w:hanging="217"/>
              <w:contextualSpacing/>
            </w:pPr>
            <w:r w:rsidRPr="00E6060C">
              <w:t>Researchers met with supervisors of an enamel manufacturing company to explain the aim of the study and the intervention</w:t>
            </w:r>
          </w:p>
          <w:p w14:paraId="3B0D5547" w14:textId="77777777" w:rsidR="00E6060C" w:rsidRPr="00E6060C" w:rsidRDefault="00E6060C" w:rsidP="00F15DDF">
            <w:pPr>
              <w:numPr>
                <w:ilvl w:val="0"/>
                <w:numId w:val="33"/>
              </w:numPr>
              <w:ind w:left="217" w:hanging="217"/>
              <w:contextualSpacing/>
            </w:pPr>
            <w:r w:rsidRPr="00E6060C">
              <w:t>Supervisors administered the surveys to their employees and these were returned to the researchers in sealed envelopes</w:t>
            </w:r>
          </w:p>
        </w:tc>
        <w:tc>
          <w:tcPr>
            <w:tcW w:w="4819" w:type="dxa"/>
            <w:tcBorders>
              <w:top w:val="single" w:sz="4" w:space="0" w:color="auto"/>
            </w:tcBorders>
          </w:tcPr>
          <w:p w14:paraId="098D4922" w14:textId="77777777" w:rsidR="00E6060C" w:rsidRPr="00E6060C" w:rsidRDefault="00E6060C" w:rsidP="00E6060C">
            <w:r w:rsidRPr="00E6060C">
              <w:t>Action-Research approach, involving:</w:t>
            </w:r>
          </w:p>
          <w:p w14:paraId="0C3B43A5" w14:textId="77777777" w:rsidR="00E6060C" w:rsidRPr="00E6060C" w:rsidRDefault="00E6060C" w:rsidP="00F15DDF">
            <w:pPr>
              <w:numPr>
                <w:ilvl w:val="0"/>
                <w:numId w:val="33"/>
              </w:numPr>
              <w:ind w:left="217" w:hanging="217"/>
              <w:contextualSpacing/>
            </w:pPr>
            <w:r w:rsidRPr="00E6060C">
              <w:t>Supervisor role-redesign initiated via a one-to-one interview between the supervisor of the intervention department and a manager</w:t>
            </w:r>
          </w:p>
          <w:p w14:paraId="589EBD73" w14:textId="77777777" w:rsidR="00E6060C" w:rsidRPr="00E6060C" w:rsidRDefault="00E6060C" w:rsidP="00F15DDF">
            <w:pPr>
              <w:numPr>
                <w:ilvl w:val="0"/>
                <w:numId w:val="33"/>
              </w:numPr>
              <w:ind w:left="217" w:hanging="217"/>
              <w:contextualSpacing/>
            </w:pPr>
            <w:r w:rsidRPr="00E6060C">
              <w:t>Increasing employee awareness of job training completed which was provided by the organisation</w:t>
            </w:r>
          </w:p>
          <w:p w14:paraId="5CD6BA92" w14:textId="77777777" w:rsidR="00E6060C" w:rsidRPr="00E6060C" w:rsidRDefault="00E6060C" w:rsidP="00F15DDF">
            <w:pPr>
              <w:numPr>
                <w:ilvl w:val="0"/>
                <w:numId w:val="33"/>
              </w:numPr>
              <w:ind w:left="217" w:hanging="217"/>
              <w:contextualSpacing/>
            </w:pPr>
            <w:r w:rsidRPr="00E6060C">
              <w:t>Increasing job training</w:t>
            </w:r>
          </w:p>
        </w:tc>
        <w:tc>
          <w:tcPr>
            <w:tcW w:w="3827" w:type="dxa"/>
            <w:tcBorders>
              <w:top w:val="single" w:sz="4" w:space="0" w:color="auto"/>
            </w:tcBorders>
          </w:tcPr>
          <w:p w14:paraId="34C04C0E" w14:textId="77777777" w:rsidR="00E6060C" w:rsidRPr="00E6060C" w:rsidRDefault="00E6060C" w:rsidP="00E6060C">
            <w:r w:rsidRPr="00E6060C">
              <w:t>Top management of the participating organisation e.g. one of the managers explained to employees what training they had received over recent years</w:t>
            </w:r>
          </w:p>
        </w:tc>
      </w:tr>
      <w:tr w:rsidR="00E6060C" w:rsidRPr="00E6060C" w14:paraId="4ADBB47E" w14:textId="77777777" w:rsidTr="00E6060C">
        <w:tc>
          <w:tcPr>
            <w:tcW w:w="454" w:type="dxa"/>
          </w:tcPr>
          <w:p w14:paraId="3D6B79BD" w14:textId="77777777" w:rsidR="00E6060C" w:rsidRPr="00E6060C" w:rsidRDefault="00E6060C" w:rsidP="00E6060C">
            <w:r w:rsidRPr="00E6060C">
              <w:t>14</w:t>
            </w:r>
          </w:p>
        </w:tc>
        <w:tc>
          <w:tcPr>
            <w:tcW w:w="1560" w:type="dxa"/>
          </w:tcPr>
          <w:p w14:paraId="5F2A11C3" w14:textId="10F689D6" w:rsidR="00E6060C" w:rsidRPr="00E6060C" w:rsidRDefault="00B700DB" w:rsidP="00B700DB">
            <w:pPr>
              <w:rPr>
                <w:rFonts w:ascii="Calibri" w:hAnsi="Calibri"/>
                <w:color w:val="000000"/>
              </w:rPr>
            </w:pPr>
            <w:r>
              <w:t>*</w:t>
            </w:r>
            <w:r w:rsidR="00E6060C" w:rsidRPr="00E6060C">
              <w:rPr>
                <w:rFonts w:ascii="Calibri" w:hAnsi="Calibri"/>
                <w:color w:val="000000"/>
              </w:rPr>
              <w:t xml:space="preserve">Coffeng et al., 2014 </w:t>
            </w:r>
          </w:p>
        </w:tc>
        <w:tc>
          <w:tcPr>
            <w:tcW w:w="4111" w:type="dxa"/>
          </w:tcPr>
          <w:p w14:paraId="6BF85854" w14:textId="77777777" w:rsidR="00E6060C" w:rsidRPr="00E6060C" w:rsidRDefault="00E6060C" w:rsidP="00F15DDF">
            <w:pPr>
              <w:numPr>
                <w:ilvl w:val="0"/>
                <w:numId w:val="35"/>
              </w:numPr>
              <w:ind w:left="176" w:hanging="176"/>
              <w:contextualSpacing/>
            </w:pPr>
            <w:r w:rsidRPr="00E6060C">
              <w:t xml:space="preserve">Via team leaders from 19 depts of a Dutch financial provider. </w:t>
            </w:r>
          </w:p>
          <w:p w14:paraId="31617D56" w14:textId="77777777" w:rsidR="00E6060C" w:rsidRPr="00E6060C" w:rsidRDefault="00E6060C" w:rsidP="00F15DDF">
            <w:pPr>
              <w:numPr>
                <w:ilvl w:val="0"/>
                <w:numId w:val="35"/>
              </w:numPr>
              <w:ind w:left="176" w:hanging="176"/>
              <w:contextualSpacing/>
            </w:pPr>
            <w:r w:rsidRPr="00E6060C">
              <w:t>Study communicated to everyone via top management and team leaders</w:t>
            </w:r>
          </w:p>
        </w:tc>
        <w:tc>
          <w:tcPr>
            <w:tcW w:w="4819" w:type="dxa"/>
          </w:tcPr>
          <w:p w14:paraId="04121899" w14:textId="77777777" w:rsidR="00E6060C" w:rsidRPr="00E6060C" w:rsidRDefault="00E6060C" w:rsidP="00F15DDF">
            <w:pPr>
              <w:numPr>
                <w:ilvl w:val="0"/>
                <w:numId w:val="35"/>
              </w:numPr>
              <w:ind w:left="217" w:hanging="217"/>
              <w:contextualSpacing/>
            </w:pPr>
            <w:r w:rsidRPr="00E6060C">
              <w:t xml:space="preserve">Combined social and </w:t>
            </w:r>
          </w:p>
          <w:p w14:paraId="45465C94" w14:textId="77777777" w:rsidR="00E6060C" w:rsidRPr="00E6060C" w:rsidRDefault="00E6060C" w:rsidP="00E6060C">
            <w:pPr>
              <w:spacing w:after="200" w:line="276" w:lineRule="auto"/>
              <w:ind w:left="217"/>
              <w:contextualSpacing/>
            </w:pPr>
            <w:r w:rsidRPr="00E6060C">
              <w:t>environmental intervention (3 depts) compared to a social environmental only intervention (7 depts), a physical environmental only intervention (3 depts), and no intervention (6 depts)</w:t>
            </w:r>
          </w:p>
          <w:p w14:paraId="375A800B" w14:textId="77777777" w:rsidR="00E6060C" w:rsidRPr="00E6060C" w:rsidRDefault="00E6060C" w:rsidP="00F15DDF">
            <w:pPr>
              <w:numPr>
                <w:ilvl w:val="0"/>
                <w:numId w:val="35"/>
              </w:numPr>
              <w:ind w:left="176" w:hanging="176"/>
              <w:contextualSpacing/>
            </w:pPr>
            <w:r w:rsidRPr="00E6060C">
              <w:lastRenderedPageBreak/>
              <w:t>The Social environmental condition consisted of group motivational interviewing (GMI) by team leaders. 3 x 90 min GMI sessions conducted 3 weeks apart (6 weeks in total) to stimulate physical activity and relaxation and enhance self-regulation of behaviour</w:t>
            </w:r>
          </w:p>
          <w:p w14:paraId="25EEFD84" w14:textId="77777777" w:rsidR="00E6060C" w:rsidRPr="00E6060C" w:rsidRDefault="00E6060C" w:rsidP="00F15DDF">
            <w:pPr>
              <w:numPr>
                <w:ilvl w:val="0"/>
                <w:numId w:val="35"/>
              </w:numPr>
              <w:ind w:left="176" w:hanging="176"/>
              <w:contextualSpacing/>
            </w:pPr>
            <w:r w:rsidRPr="00E6060C">
              <w:t>The physical environmental condition consisted of the creation of Vitality in Practice zones (e.g. coffee zones, meeting zones)</w:t>
            </w:r>
          </w:p>
          <w:p w14:paraId="5C806A6C" w14:textId="77777777" w:rsidR="00E6060C" w:rsidRPr="00E6060C" w:rsidRDefault="00E6060C" w:rsidP="00F15DDF">
            <w:pPr>
              <w:numPr>
                <w:ilvl w:val="0"/>
                <w:numId w:val="35"/>
              </w:numPr>
              <w:ind w:left="217" w:hanging="217"/>
              <w:contextualSpacing/>
            </w:pPr>
            <w:r w:rsidRPr="00E6060C">
              <w:t>The combined condition consisted of both of the above</w:t>
            </w:r>
          </w:p>
        </w:tc>
        <w:tc>
          <w:tcPr>
            <w:tcW w:w="3827" w:type="dxa"/>
          </w:tcPr>
          <w:p w14:paraId="457F9749" w14:textId="77777777" w:rsidR="00E6060C" w:rsidRPr="00E6060C" w:rsidRDefault="00E6060C" w:rsidP="00F15DDF">
            <w:pPr>
              <w:numPr>
                <w:ilvl w:val="0"/>
                <w:numId w:val="35"/>
              </w:numPr>
              <w:ind w:left="217" w:hanging="217"/>
              <w:contextualSpacing/>
            </w:pPr>
            <w:r w:rsidRPr="00E6060C">
              <w:lastRenderedPageBreak/>
              <w:t xml:space="preserve">GMI-professionals trained team leaders in GMI (2 days) so team leaders in the GMI intervention condition could use GMI with their team </w:t>
            </w:r>
          </w:p>
        </w:tc>
      </w:tr>
      <w:tr w:rsidR="00E6060C" w:rsidRPr="00E6060C" w14:paraId="25596137" w14:textId="77777777" w:rsidTr="00E6060C">
        <w:tc>
          <w:tcPr>
            <w:tcW w:w="454" w:type="dxa"/>
          </w:tcPr>
          <w:p w14:paraId="69A831F8" w14:textId="77777777" w:rsidR="00E6060C" w:rsidRPr="00E6060C" w:rsidRDefault="00E6060C" w:rsidP="00E6060C">
            <w:r w:rsidRPr="00E6060C">
              <w:t>15</w:t>
            </w:r>
          </w:p>
        </w:tc>
        <w:tc>
          <w:tcPr>
            <w:tcW w:w="1560" w:type="dxa"/>
          </w:tcPr>
          <w:p w14:paraId="7491DC05" w14:textId="77777777" w:rsidR="00E6060C" w:rsidRPr="00E6060C" w:rsidRDefault="00E6060C" w:rsidP="00E6060C">
            <w:r w:rsidRPr="00E6060C">
              <w:t>Kawakami et al., 2012</w:t>
            </w:r>
          </w:p>
        </w:tc>
        <w:tc>
          <w:tcPr>
            <w:tcW w:w="4111" w:type="dxa"/>
          </w:tcPr>
          <w:p w14:paraId="1AB29F5C" w14:textId="77777777" w:rsidR="00E6060C" w:rsidRPr="00E6060C" w:rsidRDefault="00E6060C" w:rsidP="00F15DDF">
            <w:pPr>
              <w:numPr>
                <w:ilvl w:val="0"/>
                <w:numId w:val="26"/>
              </w:numPr>
              <w:ind w:left="176" w:hanging="176"/>
              <w:contextualSpacing/>
            </w:pPr>
            <w:r w:rsidRPr="00E6060C">
              <w:t>Recruited from registered monitors of a web survey company in Japan</w:t>
            </w:r>
          </w:p>
        </w:tc>
        <w:tc>
          <w:tcPr>
            <w:tcW w:w="4819" w:type="dxa"/>
          </w:tcPr>
          <w:p w14:paraId="5198437E" w14:textId="77777777" w:rsidR="00E6060C" w:rsidRPr="00E6060C" w:rsidRDefault="00E6060C" w:rsidP="00F15DDF">
            <w:pPr>
              <w:numPr>
                <w:ilvl w:val="0"/>
                <w:numId w:val="26"/>
              </w:numPr>
              <w:ind w:left="176" w:hanging="176"/>
              <w:contextualSpacing/>
              <w:rPr>
                <w:rFonts w:ascii="Calibri" w:hAnsi="Calibri"/>
                <w:color w:val="000000"/>
              </w:rPr>
            </w:pPr>
            <w:r w:rsidRPr="00E6060C">
              <w:t xml:space="preserve">Intervention group had access to the </w:t>
            </w:r>
            <w:r w:rsidRPr="00E6060C">
              <w:rPr>
                <w:rFonts w:ascii="Calibri" w:hAnsi="Calibri"/>
                <w:color w:val="000000"/>
              </w:rPr>
              <w:t>University of Tokyo website for Stress Management and Education on Depression (UTSMed) to see if this information website was effective in improving WE at 1m and 4 m follow up</w:t>
            </w:r>
          </w:p>
        </w:tc>
        <w:tc>
          <w:tcPr>
            <w:tcW w:w="3827" w:type="dxa"/>
          </w:tcPr>
          <w:p w14:paraId="59622605" w14:textId="77777777" w:rsidR="00E6060C" w:rsidRPr="00E6060C" w:rsidRDefault="00E6060C" w:rsidP="00E6060C">
            <w:r w:rsidRPr="00E6060C">
              <w:t>None – intervention involved a website</w:t>
            </w:r>
          </w:p>
        </w:tc>
      </w:tr>
      <w:tr w:rsidR="00E6060C" w:rsidRPr="00E6060C" w14:paraId="25FF65F4" w14:textId="77777777" w:rsidTr="00E6060C">
        <w:tc>
          <w:tcPr>
            <w:tcW w:w="454" w:type="dxa"/>
          </w:tcPr>
          <w:p w14:paraId="5A5BDB25" w14:textId="24869A07" w:rsidR="00E6060C" w:rsidRPr="00E6060C" w:rsidRDefault="00AF1388" w:rsidP="00E6060C">
            <w:r>
              <w:t>16</w:t>
            </w:r>
          </w:p>
        </w:tc>
        <w:tc>
          <w:tcPr>
            <w:tcW w:w="1560" w:type="dxa"/>
          </w:tcPr>
          <w:p w14:paraId="10F2F5B5" w14:textId="77777777" w:rsidR="00E6060C" w:rsidRPr="00E6060C" w:rsidRDefault="00E6060C" w:rsidP="00E6060C">
            <w:r w:rsidRPr="00E6060C">
              <w:t>Martinussen et al., 2012</w:t>
            </w:r>
          </w:p>
        </w:tc>
        <w:tc>
          <w:tcPr>
            <w:tcW w:w="4111" w:type="dxa"/>
          </w:tcPr>
          <w:p w14:paraId="53C8DD5F" w14:textId="77777777" w:rsidR="00E6060C" w:rsidRPr="00E6060C" w:rsidRDefault="00E6060C" w:rsidP="00F15DDF">
            <w:pPr>
              <w:numPr>
                <w:ilvl w:val="0"/>
                <w:numId w:val="36"/>
              </w:numPr>
              <w:ind w:left="172" w:hanging="172"/>
              <w:contextualSpacing/>
            </w:pPr>
            <w:r w:rsidRPr="00E6060C">
              <w:t>Questionnaires were distributed to work places by a contact working in each of 6 geographical areas, based on an estimate of the no. of people working with children and adolescents in those areas</w:t>
            </w:r>
          </w:p>
          <w:p w14:paraId="5BE15D54" w14:textId="77777777" w:rsidR="00E6060C" w:rsidRPr="00E6060C" w:rsidRDefault="00E6060C" w:rsidP="00F15DDF">
            <w:pPr>
              <w:numPr>
                <w:ilvl w:val="0"/>
                <w:numId w:val="36"/>
              </w:numPr>
              <w:ind w:left="172" w:hanging="172"/>
              <w:contextualSpacing/>
            </w:pPr>
            <w:r w:rsidRPr="00E6060C">
              <w:t>The author notes it is possible not all potential participants received a questionnaire</w:t>
            </w:r>
          </w:p>
        </w:tc>
        <w:tc>
          <w:tcPr>
            <w:tcW w:w="4819" w:type="dxa"/>
          </w:tcPr>
          <w:p w14:paraId="6FC634DB" w14:textId="77777777" w:rsidR="00E6060C" w:rsidRPr="00E6060C" w:rsidRDefault="00E6060C" w:rsidP="00F15DDF">
            <w:pPr>
              <w:numPr>
                <w:ilvl w:val="0"/>
                <w:numId w:val="36"/>
              </w:numPr>
              <w:ind w:left="176" w:hanging="176"/>
              <w:contextualSpacing/>
            </w:pPr>
            <w:r w:rsidRPr="00E6060C">
              <w:t>Nine specific courses offered to employees of 1-2 days length (e.g. training on collaboration between services, in the use of instruments and interventions etc)</w:t>
            </w:r>
          </w:p>
          <w:p w14:paraId="21E6B17E" w14:textId="77777777" w:rsidR="00E6060C" w:rsidRPr="00E6060C" w:rsidRDefault="00E6060C" w:rsidP="00F15DDF">
            <w:pPr>
              <w:numPr>
                <w:ilvl w:val="0"/>
                <w:numId w:val="36"/>
              </w:numPr>
              <w:ind w:left="176" w:hanging="176"/>
              <w:contextualSpacing/>
            </w:pPr>
            <w:r w:rsidRPr="00E6060C">
              <w:t>Inter-professional teams created to assess the need for local interventions &amp; to co-ordinate local treatment programmes</w:t>
            </w:r>
          </w:p>
        </w:tc>
        <w:tc>
          <w:tcPr>
            <w:tcW w:w="3827" w:type="dxa"/>
          </w:tcPr>
          <w:p w14:paraId="2A33F309" w14:textId="77777777" w:rsidR="00E6060C" w:rsidRPr="00E6060C" w:rsidRDefault="00E6060C" w:rsidP="00F15DDF">
            <w:pPr>
              <w:numPr>
                <w:ilvl w:val="0"/>
                <w:numId w:val="36"/>
              </w:numPr>
              <w:contextualSpacing/>
            </w:pPr>
            <w:r w:rsidRPr="00E6060C">
              <w:t>Course providers</w:t>
            </w:r>
          </w:p>
        </w:tc>
      </w:tr>
      <w:tr w:rsidR="00E6060C" w:rsidRPr="00E6060C" w14:paraId="4E9BB89D" w14:textId="77777777" w:rsidTr="00E6060C">
        <w:tc>
          <w:tcPr>
            <w:tcW w:w="454" w:type="dxa"/>
            <w:tcBorders>
              <w:bottom w:val="single" w:sz="4" w:space="0" w:color="auto"/>
            </w:tcBorders>
          </w:tcPr>
          <w:p w14:paraId="51F718A2" w14:textId="59340AEB" w:rsidR="00E6060C" w:rsidRPr="00E6060C" w:rsidRDefault="00AF1388" w:rsidP="00E6060C">
            <w:r>
              <w:t>17</w:t>
            </w:r>
          </w:p>
        </w:tc>
        <w:tc>
          <w:tcPr>
            <w:tcW w:w="1560" w:type="dxa"/>
            <w:tcBorders>
              <w:bottom w:val="single" w:sz="4" w:space="0" w:color="auto"/>
            </w:tcBorders>
          </w:tcPr>
          <w:p w14:paraId="0F78D446" w14:textId="1C221532" w:rsidR="00E6060C" w:rsidRPr="00E6060C" w:rsidRDefault="00B700DB" w:rsidP="00E6060C">
            <w:pPr>
              <w:rPr>
                <w:rFonts w:ascii="Calibri" w:hAnsi="Calibri"/>
                <w:color w:val="000000"/>
              </w:rPr>
            </w:pPr>
            <w:r>
              <w:t>*</w:t>
            </w:r>
            <w:r>
              <w:rPr>
                <w:rFonts w:ascii="Calibri" w:hAnsi="Calibri"/>
                <w:color w:val="000000"/>
              </w:rPr>
              <w:t>Naruse et al., 2014</w:t>
            </w:r>
          </w:p>
        </w:tc>
        <w:tc>
          <w:tcPr>
            <w:tcW w:w="4111" w:type="dxa"/>
            <w:tcBorders>
              <w:bottom w:val="single" w:sz="4" w:space="0" w:color="auto"/>
            </w:tcBorders>
          </w:tcPr>
          <w:p w14:paraId="2974379B" w14:textId="77777777" w:rsidR="00E6060C" w:rsidRPr="00E6060C" w:rsidRDefault="00E6060C" w:rsidP="00F15DDF">
            <w:pPr>
              <w:numPr>
                <w:ilvl w:val="0"/>
                <w:numId w:val="34"/>
              </w:numPr>
              <w:ind w:left="217" w:hanging="217"/>
              <w:contextualSpacing/>
            </w:pPr>
            <w:r w:rsidRPr="00E6060C">
              <w:t xml:space="preserve">Three home health agencies employing Home Visiting Nurses (HVNs) were selected as the intervention group based </w:t>
            </w:r>
            <w:r w:rsidRPr="00E6060C">
              <w:lastRenderedPageBreak/>
              <w:t>on their interest in applying a skill mix to their home visits.</w:t>
            </w:r>
          </w:p>
        </w:tc>
        <w:tc>
          <w:tcPr>
            <w:tcW w:w="4819" w:type="dxa"/>
            <w:tcBorders>
              <w:bottom w:val="single" w:sz="4" w:space="0" w:color="auto"/>
            </w:tcBorders>
          </w:tcPr>
          <w:p w14:paraId="6A85F54C" w14:textId="77777777" w:rsidR="00E6060C" w:rsidRPr="00E6060C" w:rsidRDefault="00E6060C" w:rsidP="00F15DDF">
            <w:pPr>
              <w:numPr>
                <w:ilvl w:val="0"/>
                <w:numId w:val="34"/>
              </w:numPr>
              <w:ind w:left="217" w:hanging="217"/>
              <w:contextualSpacing/>
            </w:pPr>
            <w:r w:rsidRPr="00E6060C">
              <w:lastRenderedPageBreak/>
              <w:t>Skill-mix intervention -  HVNs offered an assistant on community visits</w:t>
            </w:r>
          </w:p>
          <w:p w14:paraId="30204318" w14:textId="77777777" w:rsidR="00E6060C" w:rsidRPr="00E6060C" w:rsidRDefault="00E6060C" w:rsidP="00F15DDF">
            <w:pPr>
              <w:numPr>
                <w:ilvl w:val="0"/>
                <w:numId w:val="34"/>
              </w:numPr>
              <w:ind w:left="217" w:hanging="217"/>
              <w:contextualSpacing/>
            </w:pPr>
            <w:r w:rsidRPr="00E6060C">
              <w:lastRenderedPageBreak/>
              <w:t>Assistants from the intervention agencies worked on weekdays attending home visits with HVNs when requested</w:t>
            </w:r>
          </w:p>
          <w:p w14:paraId="60BACB6E" w14:textId="77777777" w:rsidR="00E6060C" w:rsidRPr="00E6060C" w:rsidRDefault="00E6060C" w:rsidP="00F15DDF">
            <w:pPr>
              <w:numPr>
                <w:ilvl w:val="0"/>
                <w:numId w:val="34"/>
              </w:numPr>
              <w:ind w:left="217" w:hanging="217"/>
              <w:contextualSpacing/>
            </w:pPr>
            <w:r w:rsidRPr="00E6060C">
              <w:t>Each assistant received an educational programme first, detailing how to provide help.</w:t>
            </w:r>
          </w:p>
        </w:tc>
        <w:tc>
          <w:tcPr>
            <w:tcW w:w="3827" w:type="dxa"/>
            <w:tcBorders>
              <w:bottom w:val="single" w:sz="4" w:space="0" w:color="auto"/>
            </w:tcBorders>
          </w:tcPr>
          <w:p w14:paraId="791B2162" w14:textId="77777777" w:rsidR="00E6060C" w:rsidRPr="00E6060C" w:rsidRDefault="00E6060C" w:rsidP="00F15DDF">
            <w:pPr>
              <w:numPr>
                <w:ilvl w:val="0"/>
                <w:numId w:val="34"/>
              </w:numPr>
              <w:ind w:left="217" w:hanging="217"/>
              <w:contextualSpacing/>
            </w:pPr>
            <w:r w:rsidRPr="00E6060C">
              <w:lastRenderedPageBreak/>
              <w:t>Nurse managers provided the educational programme for assistants</w:t>
            </w:r>
          </w:p>
          <w:p w14:paraId="20DCB86C" w14:textId="77777777" w:rsidR="00E6060C" w:rsidRPr="00E6060C" w:rsidRDefault="00E6060C" w:rsidP="00F15DDF">
            <w:pPr>
              <w:numPr>
                <w:ilvl w:val="0"/>
                <w:numId w:val="34"/>
              </w:numPr>
              <w:ind w:left="217" w:hanging="217"/>
              <w:contextualSpacing/>
            </w:pPr>
            <w:r w:rsidRPr="00E6060C">
              <w:t>Assistants provided the help</w:t>
            </w:r>
          </w:p>
        </w:tc>
      </w:tr>
      <w:tr w:rsidR="00AF1388" w:rsidRPr="00E6060C" w14:paraId="6370F110" w14:textId="77777777" w:rsidTr="004D1676">
        <w:tc>
          <w:tcPr>
            <w:tcW w:w="454" w:type="dxa"/>
          </w:tcPr>
          <w:p w14:paraId="464A6D00" w14:textId="18B894C3" w:rsidR="00AF1388" w:rsidRPr="00E6060C" w:rsidRDefault="00AF1388" w:rsidP="004D1676">
            <w:r>
              <w:t>18</w:t>
            </w:r>
          </w:p>
        </w:tc>
        <w:tc>
          <w:tcPr>
            <w:tcW w:w="1560" w:type="dxa"/>
          </w:tcPr>
          <w:p w14:paraId="3044611F" w14:textId="77777777" w:rsidR="00AF1388" w:rsidRPr="00E6060C" w:rsidRDefault="00AF1388" w:rsidP="004D1676">
            <w:r w:rsidRPr="00E6060C">
              <w:t>Rickard et al., 2012</w:t>
            </w:r>
          </w:p>
        </w:tc>
        <w:tc>
          <w:tcPr>
            <w:tcW w:w="4111" w:type="dxa"/>
          </w:tcPr>
          <w:p w14:paraId="4A4EA266" w14:textId="77777777" w:rsidR="00AF1388" w:rsidRPr="00E6060C" w:rsidRDefault="00AF1388" w:rsidP="004D1676">
            <w:pPr>
              <w:numPr>
                <w:ilvl w:val="0"/>
                <w:numId w:val="35"/>
              </w:numPr>
              <w:ind w:left="217" w:hanging="217"/>
              <w:contextualSpacing/>
            </w:pPr>
            <w:r w:rsidRPr="00E6060C">
              <w:t>The survey was distributed to all registered nurses and midwives at two major city hospitals in the Northern Territory, via central admin systems</w:t>
            </w:r>
          </w:p>
        </w:tc>
        <w:tc>
          <w:tcPr>
            <w:tcW w:w="4819" w:type="dxa"/>
          </w:tcPr>
          <w:p w14:paraId="45B90F7A" w14:textId="77777777" w:rsidR="00AF1388" w:rsidRPr="00E6060C" w:rsidRDefault="00AF1388" w:rsidP="004D1676">
            <w:pPr>
              <w:numPr>
                <w:ilvl w:val="0"/>
                <w:numId w:val="35"/>
              </w:numPr>
              <w:ind w:left="217" w:hanging="217"/>
              <w:contextualSpacing/>
            </w:pPr>
            <w:r w:rsidRPr="00E6060C">
              <w:t>Nursing workload tool implemented to facilitate workload assessment &amp; roster audits</w:t>
            </w:r>
          </w:p>
          <w:p w14:paraId="67938ECA" w14:textId="77777777" w:rsidR="00AF1388" w:rsidRPr="00E6060C" w:rsidRDefault="00AF1388" w:rsidP="004D1676">
            <w:pPr>
              <w:numPr>
                <w:ilvl w:val="0"/>
                <w:numId w:val="35"/>
              </w:numPr>
              <w:ind w:left="217" w:hanging="217"/>
              <w:contextualSpacing/>
            </w:pPr>
            <w:r w:rsidRPr="00E6060C">
              <w:t>Increased staff numbers to address shortfalls</w:t>
            </w:r>
          </w:p>
          <w:p w14:paraId="22D9C290" w14:textId="77777777" w:rsidR="00AF1388" w:rsidRPr="00E6060C" w:rsidRDefault="00AF1388" w:rsidP="004D1676">
            <w:pPr>
              <w:numPr>
                <w:ilvl w:val="0"/>
                <w:numId w:val="35"/>
              </w:numPr>
              <w:ind w:left="217" w:hanging="217"/>
              <w:contextualSpacing/>
            </w:pPr>
            <w:r w:rsidRPr="00E6060C">
              <w:t>increased supervision</w:t>
            </w:r>
          </w:p>
          <w:p w14:paraId="1709C65D" w14:textId="77777777" w:rsidR="00AF1388" w:rsidRPr="00E6060C" w:rsidRDefault="00AF1388" w:rsidP="004D1676">
            <w:pPr>
              <w:numPr>
                <w:ilvl w:val="0"/>
                <w:numId w:val="35"/>
              </w:numPr>
              <w:ind w:left="217" w:hanging="217"/>
              <w:contextualSpacing/>
            </w:pPr>
            <w:r w:rsidRPr="00E6060C">
              <w:t>increased access to development and training opportunities</w:t>
            </w:r>
          </w:p>
          <w:p w14:paraId="6D0B8C2A" w14:textId="77777777" w:rsidR="00AF1388" w:rsidRPr="00E6060C" w:rsidRDefault="00AF1388" w:rsidP="004D1676">
            <w:pPr>
              <w:numPr>
                <w:ilvl w:val="0"/>
                <w:numId w:val="35"/>
              </w:numPr>
              <w:ind w:left="217" w:hanging="217"/>
              <w:contextualSpacing/>
            </w:pPr>
            <w:r w:rsidRPr="00E6060C">
              <w:t>recruitment campaign</w:t>
            </w:r>
          </w:p>
        </w:tc>
        <w:tc>
          <w:tcPr>
            <w:tcW w:w="3827" w:type="dxa"/>
          </w:tcPr>
          <w:p w14:paraId="6F0D11CE" w14:textId="77777777" w:rsidR="00AF1388" w:rsidRPr="00E6060C" w:rsidRDefault="00AF1388" w:rsidP="004D1676">
            <w:r w:rsidRPr="00E6060C">
              <w:t>NA</w:t>
            </w:r>
          </w:p>
        </w:tc>
      </w:tr>
      <w:tr w:rsidR="00E6060C" w:rsidRPr="00E6060C" w14:paraId="5308EED5" w14:textId="77777777" w:rsidTr="00E6060C">
        <w:tc>
          <w:tcPr>
            <w:tcW w:w="14771" w:type="dxa"/>
            <w:gridSpan w:val="5"/>
            <w:tcBorders>
              <w:top w:val="single" w:sz="4" w:space="0" w:color="auto"/>
              <w:bottom w:val="single" w:sz="4" w:space="0" w:color="auto"/>
            </w:tcBorders>
          </w:tcPr>
          <w:p w14:paraId="47062D69" w14:textId="77777777" w:rsidR="00E6060C" w:rsidRPr="00E6060C" w:rsidRDefault="00E6060C" w:rsidP="00E6060C">
            <w:pPr>
              <w:rPr>
                <w:b/>
                <w:sz w:val="28"/>
                <w:szCs w:val="28"/>
              </w:rPr>
            </w:pPr>
            <w:r w:rsidRPr="00E6060C">
              <w:rPr>
                <w:b/>
                <w:sz w:val="28"/>
                <w:szCs w:val="28"/>
              </w:rPr>
              <w:t>LEADERSHIP TRAINING INTERVENTIONS</w:t>
            </w:r>
          </w:p>
        </w:tc>
      </w:tr>
      <w:tr w:rsidR="00E6060C" w:rsidRPr="00E6060C" w14:paraId="2FE5FC7F" w14:textId="77777777" w:rsidTr="00E6060C">
        <w:tc>
          <w:tcPr>
            <w:tcW w:w="454" w:type="dxa"/>
            <w:tcBorders>
              <w:top w:val="single" w:sz="4" w:space="0" w:color="auto"/>
            </w:tcBorders>
          </w:tcPr>
          <w:p w14:paraId="18BF4B7B" w14:textId="77777777" w:rsidR="00E6060C" w:rsidRPr="00E6060C" w:rsidRDefault="00E6060C" w:rsidP="00E6060C">
            <w:r w:rsidRPr="00E6060C">
              <w:t>19</w:t>
            </w:r>
          </w:p>
        </w:tc>
        <w:tc>
          <w:tcPr>
            <w:tcW w:w="1560" w:type="dxa"/>
            <w:tcBorders>
              <w:top w:val="single" w:sz="4" w:space="0" w:color="auto"/>
            </w:tcBorders>
          </w:tcPr>
          <w:p w14:paraId="7DBF68F3" w14:textId="075DA32C" w:rsidR="00E6060C" w:rsidRPr="00E6060C" w:rsidRDefault="00B700DB" w:rsidP="00B700DB">
            <w:pPr>
              <w:rPr>
                <w:rFonts w:ascii="Calibri" w:hAnsi="Calibri"/>
                <w:color w:val="000000"/>
              </w:rPr>
            </w:pPr>
            <w:r>
              <w:t>*</w:t>
            </w:r>
            <w:r w:rsidR="00E6060C" w:rsidRPr="00E6060C">
              <w:rPr>
                <w:rFonts w:ascii="Calibri" w:hAnsi="Calibri"/>
                <w:color w:val="000000"/>
              </w:rPr>
              <w:t xml:space="preserve">Angelo </w:t>
            </w:r>
            <w:r w:rsidR="005726FB">
              <w:rPr>
                <w:rFonts w:ascii="Calibri" w:hAnsi="Calibri"/>
                <w:color w:val="000000"/>
              </w:rPr>
              <w:t>&amp; Chambel</w:t>
            </w:r>
            <w:r w:rsidR="00E6060C" w:rsidRPr="00E6060C">
              <w:rPr>
                <w:rFonts w:ascii="Calibri" w:hAnsi="Calibri"/>
                <w:color w:val="000000"/>
              </w:rPr>
              <w:t xml:space="preserve">, 2013 </w:t>
            </w:r>
          </w:p>
        </w:tc>
        <w:tc>
          <w:tcPr>
            <w:tcW w:w="4111" w:type="dxa"/>
            <w:tcBorders>
              <w:top w:val="single" w:sz="4" w:space="0" w:color="auto"/>
            </w:tcBorders>
          </w:tcPr>
          <w:p w14:paraId="332A261E" w14:textId="77777777" w:rsidR="00E6060C" w:rsidRPr="00E6060C" w:rsidRDefault="00E6060C" w:rsidP="00F15DDF">
            <w:pPr>
              <w:numPr>
                <w:ilvl w:val="0"/>
                <w:numId w:val="34"/>
              </w:numPr>
              <w:ind w:left="217" w:hanging="217"/>
              <w:contextualSpacing/>
            </w:pPr>
            <w:r w:rsidRPr="00E6060C">
              <w:t>Not reported how the organisation was recruited</w:t>
            </w:r>
          </w:p>
          <w:p w14:paraId="73051FD7" w14:textId="77777777" w:rsidR="00E6060C" w:rsidRPr="00E6060C" w:rsidRDefault="00E6060C" w:rsidP="00F15DDF">
            <w:pPr>
              <w:numPr>
                <w:ilvl w:val="0"/>
                <w:numId w:val="34"/>
              </w:numPr>
              <w:ind w:left="217" w:hanging="217"/>
              <w:contextualSpacing/>
            </w:pPr>
            <w:r w:rsidRPr="00E6060C">
              <w:t>4 intervention districts</w:t>
            </w:r>
          </w:p>
          <w:p w14:paraId="26A37E3B" w14:textId="77777777" w:rsidR="00E6060C" w:rsidRPr="00E6060C" w:rsidRDefault="00E6060C" w:rsidP="00F15DDF">
            <w:pPr>
              <w:numPr>
                <w:ilvl w:val="0"/>
                <w:numId w:val="34"/>
              </w:numPr>
              <w:ind w:left="217" w:hanging="217"/>
              <w:contextualSpacing/>
            </w:pPr>
            <w:r w:rsidRPr="00E6060C">
              <w:t>Employees were informed about the study via their supervisors</w:t>
            </w:r>
          </w:p>
          <w:p w14:paraId="692E727A" w14:textId="77777777" w:rsidR="00E6060C" w:rsidRPr="00E6060C" w:rsidRDefault="00E6060C" w:rsidP="00F15DDF">
            <w:pPr>
              <w:numPr>
                <w:ilvl w:val="0"/>
                <w:numId w:val="34"/>
              </w:numPr>
              <w:ind w:left="217" w:hanging="217"/>
              <w:contextualSpacing/>
            </w:pPr>
            <w:r w:rsidRPr="00E6060C">
              <w:t>N=137 (33 supervisors, 104 of their employees)</w:t>
            </w:r>
          </w:p>
        </w:tc>
        <w:tc>
          <w:tcPr>
            <w:tcW w:w="4819" w:type="dxa"/>
            <w:tcBorders>
              <w:top w:val="single" w:sz="4" w:space="0" w:color="auto"/>
            </w:tcBorders>
          </w:tcPr>
          <w:p w14:paraId="35EA9261" w14:textId="77777777" w:rsidR="00E6060C" w:rsidRPr="00E6060C" w:rsidRDefault="00E6060C" w:rsidP="00F15DDF">
            <w:pPr>
              <w:numPr>
                <w:ilvl w:val="0"/>
                <w:numId w:val="34"/>
              </w:numPr>
              <w:ind w:left="217" w:hanging="217"/>
              <w:contextualSpacing/>
            </w:pPr>
            <w:r w:rsidRPr="00E6060C">
              <w:t>Diagnosis phase consisted of a 10 day observation and focus groups at the HQs of the 4 intervention districts</w:t>
            </w:r>
          </w:p>
          <w:p w14:paraId="02FE67D6" w14:textId="77777777" w:rsidR="00E6060C" w:rsidRPr="00E6060C" w:rsidRDefault="00E6060C" w:rsidP="00F15DDF">
            <w:pPr>
              <w:numPr>
                <w:ilvl w:val="0"/>
                <w:numId w:val="34"/>
              </w:numPr>
              <w:ind w:left="217" w:hanging="217"/>
              <w:contextualSpacing/>
            </w:pPr>
            <w:r w:rsidRPr="00E6060C">
              <w:t>Intervention consisted of a 3 day stress management workshop for supervisors</w:t>
            </w:r>
          </w:p>
          <w:p w14:paraId="74E232FD" w14:textId="77777777" w:rsidR="00E6060C" w:rsidRPr="00E6060C" w:rsidRDefault="00E6060C" w:rsidP="00F15DDF">
            <w:pPr>
              <w:numPr>
                <w:ilvl w:val="0"/>
                <w:numId w:val="34"/>
              </w:numPr>
              <w:ind w:left="217" w:hanging="217"/>
              <w:contextualSpacing/>
            </w:pPr>
            <w:r w:rsidRPr="00E6060C">
              <w:t>Educational component of the training involved discussing topics such as stress, occupational health, coping strategies etc.</w:t>
            </w:r>
          </w:p>
          <w:p w14:paraId="24CB013C" w14:textId="77777777" w:rsidR="00E6060C" w:rsidRPr="00E6060C" w:rsidRDefault="00E6060C" w:rsidP="00F15DDF">
            <w:pPr>
              <w:numPr>
                <w:ilvl w:val="0"/>
                <w:numId w:val="34"/>
              </w:numPr>
              <w:ind w:left="217" w:hanging="217"/>
              <w:contextualSpacing/>
            </w:pPr>
            <w:r w:rsidRPr="00E6060C">
              <w:t>Action component of the training involved creating problem-solving teams to design and implement action plans to manage stressful situations e.g. returning to work after a critical incident, how to create peer support</w:t>
            </w:r>
          </w:p>
        </w:tc>
        <w:tc>
          <w:tcPr>
            <w:tcW w:w="3827" w:type="dxa"/>
            <w:tcBorders>
              <w:top w:val="single" w:sz="4" w:space="0" w:color="auto"/>
            </w:tcBorders>
          </w:tcPr>
          <w:p w14:paraId="1AFB25CD" w14:textId="77777777" w:rsidR="00E6060C" w:rsidRPr="00E6060C" w:rsidRDefault="00E6060C" w:rsidP="00F15DDF">
            <w:pPr>
              <w:numPr>
                <w:ilvl w:val="0"/>
                <w:numId w:val="34"/>
              </w:numPr>
              <w:ind w:left="217" w:hanging="217"/>
              <w:contextualSpacing/>
            </w:pPr>
            <w:r w:rsidRPr="00E6060C">
              <w:t>Study author conducted the diagnosis observation and focus groups and the 3 days of training with supervisors</w:t>
            </w:r>
          </w:p>
        </w:tc>
      </w:tr>
      <w:tr w:rsidR="00E6060C" w:rsidRPr="00E6060C" w14:paraId="1AF40086" w14:textId="77777777" w:rsidTr="00E6060C">
        <w:tc>
          <w:tcPr>
            <w:tcW w:w="454" w:type="dxa"/>
          </w:tcPr>
          <w:p w14:paraId="25145181" w14:textId="77777777" w:rsidR="00E6060C" w:rsidRPr="00E6060C" w:rsidRDefault="00E6060C" w:rsidP="00E6060C">
            <w:r w:rsidRPr="00E6060C">
              <w:lastRenderedPageBreak/>
              <w:t>20</w:t>
            </w:r>
          </w:p>
        </w:tc>
        <w:tc>
          <w:tcPr>
            <w:tcW w:w="1560" w:type="dxa"/>
          </w:tcPr>
          <w:p w14:paraId="178792A4" w14:textId="5182342B" w:rsidR="00E6060C" w:rsidRPr="00E6060C" w:rsidRDefault="00B700DB" w:rsidP="00E6060C">
            <w:pPr>
              <w:rPr>
                <w:rFonts w:ascii="Calibri" w:hAnsi="Calibri"/>
                <w:color w:val="000000"/>
              </w:rPr>
            </w:pPr>
            <w:r>
              <w:t>*</w:t>
            </w:r>
            <w:r w:rsidR="00A54063">
              <w:rPr>
                <w:rFonts w:ascii="Calibri" w:hAnsi="Calibri"/>
                <w:color w:val="000000"/>
              </w:rPr>
              <w:t>Biggs et al., 2014</w:t>
            </w:r>
            <w:r w:rsidR="00E6060C" w:rsidRPr="00E6060C">
              <w:rPr>
                <w:rFonts w:ascii="Calibri" w:hAnsi="Calibri"/>
                <w:color w:val="000000"/>
              </w:rPr>
              <w:t xml:space="preserve"> </w:t>
            </w:r>
          </w:p>
        </w:tc>
        <w:tc>
          <w:tcPr>
            <w:tcW w:w="4111" w:type="dxa"/>
          </w:tcPr>
          <w:p w14:paraId="471149B6" w14:textId="77777777" w:rsidR="00E6060C" w:rsidRPr="00E6060C" w:rsidRDefault="00E6060C" w:rsidP="00F15DDF">
            <w:pPr>
              <w:numPr>
                <w:ilvl w:val="0"/>
                <w:numId w:val="35"/>
              </w:numPr>
              <w:ind w:left="217" w:hanging="217"/>
              <w:contextualSpacing/>
            </w:pPr>
            <w:r w:rsidRPr="00E6060C">
              <w:t>76 leaders within two organisational regions of a large, Australian state police service were invited to participate if they ranked above sergeant level</w:t>
            </w:r>
          </w:p>
          <w:p w14:paraId="7D45A46E" w14:textId="77777777" w:rsidR="00E6060C" w:rsidRPr="00E6060C" w:rsidRDefault="00E6060C" w:rsidP="00F15DDF">
            <w:pPr>
              <w:numPr>
                <w:ilvl w:val="0"/>
                <w:numId w:val="35"/>
              </w:numPr>
              <w:ind w:left="217" w:hanging="217"/>
              <w:contextualSpacing/>
            </w:pPr>
            <w:r w:rsidRPr="00E6060C">
              <w:t>6 participants couldn’t attend due to roster conflicts</w:t>
            </w:r>
          </w:p>
          <w:p w14:paraId="73C1FD94" w14:textId="77777777" w:rsidR="00E6060C" w:rsidRPr="00E6060C" w:rsidRDefault="00E6060C" w:rsidP="00F15DDF">
            <w:pPr>
              <w:numPr>
                <w:ilvl w:val="0"/>
                <w:numId w:val="35"/>
              </w:numPr>
              <w:ind w:left="217" w:hanging="217"/>
              <w:contextualSpacing/>
            </w:pPr>
            <w:r w:rsidRPr="00E6060C">
              <w:t xml:space="preserve">All employees in the 2 regions were invited to complete surveys pre- and post-intervention </w:t>
            </w:r>
          </w:p>
        </w:tc>
        <w:tc>
          <w:tcPr>
            <w:tcW w:w="4819" w:type="dxa"/>
          </w:tcPr>
          <w:p w14:paraId="742A0D13" w14:textId="77777777" w:rsidR="00E6060C" w:rsidRPr="00E6060C" w:rsidRDefault="00E6060C" w:rsidP="00E6060C">
            <w:r w:rsidRPr="00E6060C">
              <w:t>The intervention had 3 parts:</w:t>
            </w:r>
          </w:p>
          <w:p w14:paraId="0C448AEA" w14:textId="77777777" w:rsidR="00E6060C" w:rsidRPr="00E6060C" w:rsidRDefault="00E6060C" w:rsidP="00F15DDF">
            <w:pPr>
              <w:numPr>
                <w:ilvl w:val="0"/>
                <w:numId w:val="35"/>
              </w:numPr>
              <w:ind w:left="175" w:hanging="175"/>
              <w:contextualSpacing/>
            </w:pPr>
            <w:r w:rsidRPr="00E6060C">
              <w:t xml:space="preserve">i) 360 degree review process completed by intervention participants, their supervisors, and their direct employees </w:t>
            </w:r>
          </w:p>
          <w:p w14:paraId="3C91F3F9" w14:textId="77777777" w:rsidR="00E6060C" w:rsidRPr="00E6060C" w:rsidRDefault="00E6060C" w:rsidP="00F15DDF">
            <w:pPr>
              <w:numPr>
                <w:ilvl w:val="0"/>
                <w:numId w:val="35"/>
              </w:numPr>
              <w:ind w:left="217" w:hanging="217"/>
              <w:contextualSpacing/>
            </w:pPr>
            <w:r w:rsidRPr="00E6060C">
              <w:t>ii) action-learning workshops conducted over 5 days, involving education about leadership styles, effective communication, and strategic leadership, and a practical project (e.g. implementing a ‘change strategy’)</w:t>
            </w:r>
          </w:p>
          <w:p w14:paraId="46495D71" w14:textId="77777777" w:rsidR="00E6060C" w:rsidRPr="00E6060C" w:rsidRDefault="00E6060C" w:rsidP="00F15DDF">
            <w:pPr>
              <w:numPr>
                <w:ilvl w:val="0"/>
                <w:numId w:val="35"/>
              </w:numPr>
              <w:ind w:left="217" w:hanging="217"/>
              <w:contextualSpacing/>
            </w:pPr>
            <w:r w:rsidRPr="00E6060C">
              <w:t>individual coaching for intervention participants (leaders) throughout</w:t>
            </w:r>
          </w:p>
        </w:tc>
        <w:tc>
          <w:tcPr>
            <w:tcW w:w="3827" w:type="dxa"/>
          </w:tcPr>
          <w:p w14:paraId="0792848E" w14:textId="77777777" w:rsidR="00E6060C" w:rsidRPr="00E6060C" w:rsidRDefault="00E6060C" w:rsidP="00F15DDF">
            <w:pPr>
              <w:numPr>
                <w:ilvl w:val="0"/>
                <w:numId w:val="35"/>
              </w:numPr>
              <w:ind w:left="217" w:hanging="217"/>
              <w:contextualSpacing/>
            </w:pPr>
            <w:r w:rsidRPr="00E6060C">
              <w:t>External consultant from the organisation</w:t>
            </w:r>
          </w:p>
        </w:tc>
      </w:tr>
      <w:tr w:rsidR="00E6060C" w:rsidRPr="00E6060C" w14:paraId="0E2FBA38" w14:textId="77777777" w:rsidTr="00E6060C">
        <w:tc>
          <w:tcPr>
            <w:tcW w:w="454" w:type="dxa"/>
          </w:tcPr>
          <w:p w14:paraId="1DC4CC5B" w14:textId="77777777" w:rsidR="00E6060C" w:rsidRPr="00E6060C" w:rsidRDefault="00E6060C" w:rsidP="00E6060C">
            <w:r w:rsidRPr="00E6060C">
              <w:t>21</w:t>
            </w:r>
          </w:p>
        </w:tc>
        <w:tc>
          <w:tcPr>
            <w:tcW w:w="1560" w:type="dxa"/>
          </w:tcPr>
          <w:p w14:paraId="21E070F7" w14:textId="3FD07426" w:rsidR="00E6060C" w:rsidRPr="00E6060C" w:rsidRDefault="00B700DB" w:rsidP="00B700DB">
            <w:pPr>
              <w:rPr>
                <w:rFonts w:ascii="Calibri" w:hAnsi="Calibri"/>
                <w:color w:val="000000"/>
              </w:rPr>
            </w:pPr>
            <w:r>
              <w:t>*</w:t>
            </w:r>
            <w:r w:rsidR="00E6060C" w:rsidRPr="00E6060C">
              <w:rPr>
                <w:rFonts w:ascii="Calibri" w:hAnsi="Calibri"/>
                <w:color w:val="000000"/>
              </w:rPr>
              <w:t xml:space="preserve">Kmiec, 2010 </w:t>
            </w:r>
          </w:p>
        </w:tc>
        <w:tc>
          <w:tcPr>
            <w:tcW w:w="4111" w:type="dxa"/>
          </w:tcPr>
          <w:p w14:paraId="3A5A6628" w14:textId="77777777" w:rsidR="00E6060C" w:rsidRPr="00E6060C" w:rsidRDefault="00E6060C" w:rsidP="00F15DDF">
            <w:pPr>
              <w:numPr>
                <w:ilvl w:val="0"/>
                <w:numId w:val="37"/>
              </w:numPr>
              <w:ind w:left="217" w:hanging="217"/>
              <w:contextualSpacing/>
            </w:pPr>
            <w:r w:rsidRPr="00E6060C">
              <w:t>2 of 14 business units were selected by convenience, due to operational and logistical constraints</w:t>
            </w:r>
          </w:p>
          <w:p w14:paraId="390DEFBD" w14:textId="77777777" w:rsidR="00E6060C" w:rsidRPr="00E6060C" w:rsidRDefault="00E6060C" w:rsidP="00F15DDF">
            <w:pPr>
              <w:numPr>
                <w:ilvl w:val="0"/>
                <w:numId w:val="37"/>
              </w:numPr>
              <w:ind w:left="217" w:hanging="217"/>
              <w:contextualSpacing/>
            </w:pPr>
            <w:r w:rsidRPr="00E6060C">
              <w:t xml:space="preserve">A senior HR manager helped identify groups which were as similar as possible </w:t>
            </w:r>
          </w:p>
          <w:p w14:paraId="66B2EC04" w14:textId="77777777" w:rsidR="00E6060C" w:rsidRPr="00E6060C" w:rsidRDefault="00E6060C" w:rsidP="00F15DDF">
            <w:pPr>
              <w:numPr>
                <w:ilvl w:val="0"/>
                <w:numId w:val="37"/>
              </w:numPr>
              <w:ind w:left="217" w:hanging="217"/>
              <w:contextualSpacing/>
            </w:pPr>
            <w:r w:rsidRPr="00E6060C">
              <w:t>HR managers recruited teams via an announcement</w:t>
            </w:r>
          </w:p>
          <w:p w14:paraId="791544CB" w14:textId="77777777" w:rsidR="00E6060C" w:rsidRPr="00E6060C" w:rsidRDefault="00E6060C" w:rsidP="00F15DDF">
            <w:pPr>
              <w:numPr>
                <w:ilvl w:val="0"/>
                <w:numId w:val="37"/>
              </w:numPr>
              <w:ind w:left="217" w:hanging="217"/>
              <w:contextualSpacing/>
            </w:pPr>
            <w:r w:rsidRPr="00E6060C">
              <w:t>A production dept formed the intervention group (N=34, including 2 managers) and a Maintenance dept (N=33, including 2 managers) formed the control</w:t>
            </w:r>
          </w:p>
          <w:p w14:paraId="3FFD1CCD" w14:textId="77777777" w:rsidR="00E6060C" w:rsidRPr="00E6060C" w:rsidRDefault="00E6060C" w:rsidP="00F15DDF">
            <w:pPr>
              <w:numPr>
                <w:ilvl w:val="0"/>
                <w:numId w:val="37"/>
              </w:numPr>
              <w:ind w:left="217" w:hanging="217"/>
              <w:contextualSpacing/>
            </w:pPr>
            <w:r w:rsidRPr="00E6060C">
              <w:t>All employees within the depts. were invited to participate (42% of all employees in the organisation)</w:t>
            </w:r>
          </w:p>
        </w:tc>
        <w:tc>
          <w:tcPr>
            <w:tcW w:w="4819" w:type="dxa"/>
          </w:tcPr>
          <w:p w14:paraId="6C46C474" w14:textId="77777777" w:rsidR="00E6060C" w:rsidRPr="00E6060C" w:rsidRDefault="00E6060C" w:rsidP="00F15DDF">
            <w:pPr>
              <w:numPr>
                <w:ilvl w:val="0"/>
                <w:numId w:val="37"/>
              </w:numPr>
              <w:ind w:left="217" w:hanging="217"/>
              <w:contextualSpacing/>
            </w:pPr>
            <w:r w:rsidRPr="00E6060C">
              <w:t>Involved leaders only</w:t>
            </w:r>
          </w:p>
          <w:p w14:paraId="71EB8A20" w14:textId="77777777" w:rsidR="00E6060C" w:rsidRPr="00E6060C" w:rsidRDefault="00E6060C" w:rsidP="00F15DDF">
            <w:pPr>
              <w:numPr>
                <w:ilvl w:val="0"/>
                <w:numId w:val="37"/>
              </w:numPr>
              <w:ind w:left="217" w:hanging="217"/>
              <w:contextualSpacing/>
            </w:pPr>
            <w:r w:rsidRPr="00E6060C">
              <w:t>Intensive programme, including education, skills practice &amp; self-coaching</w:t>
            </w:r>
          </w:p>
          <w:p w14:paraId="741EF4B8" w14:textId="77777777" w:rsidR="00E6060C" w:rsidRPr="00E6060C" w:rsidRDefault="00E6060C" w:rsidP="00F15DDF">
            <w:pPr>
              <w:numPr>
                <w:ilvl w:val="0"/>
                <w:numId w:val="37"/>
              </w:numPr>
              <w:ind w:left="217" w:hanging="217"/>
              <w:contextualSpacing/>
            </w:pPr>
            <w:r w:rsidRPr="00E6060C">
              <w:t>Method was based on the book, ‘The Savvy Manager: 5 skills that drive optimal Performance’ (Flagello &amp; Dugas, 2009) and involved  blended learning i.e. classroom teaching &amp; online learning</w:t>
            </w:r>
          </w:p>
        </w:tc>
        <w:tc>
          <w:tcPr>
            <w:tcW w:w="3827" w:type="dxa"/>
          </w:tcPr>
          <w:p w14:paraId="629F23DD" w14:textId="77777777" w:rsidR="00E6060C" w:rsidRPr="00E6060C" w:rsidRDefault="00E6060C" w:rsidP="00F15DDF">
            <w:pPr>
              <w:numPr>
                <w:ilvl w:val="0"/>
                <w:numId w:val="37"/>
              </w:numPr>
              <w:ind w:left="217" w:hanging="217"/>
              <w:contextualSpacing/>
            </w:pPr>
            <w:r w:rsidRPr="00E6060C">
              <w:t>Not specified, presumably the author</w:t>
            </w:r>
          </w:p>
        </w:tc>
      </w:tr>
      <w:tr w:rsidR="00E6060C" w:rsidRPr="00E6060C" w14:paraId="4FCA45AC" w14:textId="77777777" w:rsidTr="00E6060C">
        <w:tc>
          <w:tcPr>
            <w:tcW w:w="454" w:type="dxa"/>
          </w:tcPr>
          <w:p w14:paraId="58079D28" w14:textId="77777777" w:rsidR="00E6060C" w:rsidRPr="00E6060C" w:rsidRDefault="00E6060C" w:rsidP="00E6060C">
            <w:r w:rsidRPr="00E6060C">
              <w:t>22</w:t>
            </w:r>
          </w:p>
        </w:tc>
        <w:tc>
          <w:tcPr>
            <w:tcW w:w="1560" w:type="dxa"/>
          </w:tcPr>
          <w:p w14:paraId="3724E4D1" w14:textId="5C19FD67" w:rsidR="00E6060C" w:rsidRPr="00E6060C" w:rsidRDefault="00B700DB" w:rsidP="00E6060C">
            <w:pPr>
              <w:rPr>
                <w:rFonts w:ascii="Calibri" w:hAnsi="Calibri"/>
              </w:rPr>
            </w:pPr>
            <w:r>
              <w:t>*</w:t>
            </w:r>
            <w:r w:rsidR="00E6060C" w:rsidRPr="00E6060C">
              <w:rPr>
                <w:rFonts w:ascii="Calibri" w:hAnsi="Calibri"/>
              </w:rPr>
              <w:t>Rigotti</w:t>
            </w:r>
            <w:r w:rsidR="0071411A">
              <w:rPr>
                <w:rFonts w:ascii="Calibri" w:hAnsi="Calibri"/>
              </w:rPr>
              <w:t xml:space="preserve"> et al., 2014</w:t>
            </w:r>
            <w:r w:rsidR="00E6060C" w:rsidRPr="00E6060C">
              <w:rPr>
                <w:rFonts w:ascii="Calibri" w:hAnsi="Calibri"/>
              </w:rPr>
              <w:t xml:space="preserve"> </w:t>
            </w:r>
          </w:p>
        </w:tc>
        <w:tc>
          <w:tcPr>
            <w:tcW w:w="4111" w:type="dxa"/>
          </w:tcPr>
          <w:p w14:paraId="1D6B053D" w14:textId="77777777" w:rsidR="00E6060C" w:rsidRPr="00E6060C" w:rsidRDefault="00E6060C" w:rsidP="00F15DDF">
            <w:pPr>
              <w:numPr>
                <w:ilvl w:val="0"/>
                <w:numId w:val="38"/>
              </w:numPr>
              <w:ind w:left="217" w:hanging="217"/>
              <w:contextualSpacing/>
            </w:pPr>
            <w:r w:rsidRPr="00E6060C">
              <w:t xml:space="preserve">Teams from public and private organisations were recruited individually </w:t>
            </w:r>
          </w:p>
          <w:p w14:paraId="2DB4AA70" w14:textId="77777777" w:rsidR="00E6060C" w:rsidRPr="00E6060C" w:rsidRDefault="00E6060C" w:rsidP="00F15DDF">
            <w:pPr>
              <w:numPr>
                <w:ilvl w:val="0"/>
                <w:numId w:val="38"/>
              </w:numPr>
              <w:ind w:left="217" w:hanging="217"/>
              <w:contextualSpacing/>
            </w:pPr>
            <w:r w:rsidRPr="00E6060C">
              <w:lastRenderedPageBreak/>
              <w:t>Leaders and their employees in both intervention and control organisations were invited to fill in the surveys</w:t>
            </w:r>
          </w:p>
          <w:p w14:paraId="06FB43C9" w14:textId="77777777" w:rsidR="00E6060C" w:rsidRPr="00E6060C" w:rsidRDefault="00E6060C" w:rsidP="00F15DDF">
            <w:pPr>
              <w:numPr>
                <w:ilvl w:val="0"/>
                <w:numId w:val="38"/>
              </w:numPr>
              <w:ind w:left="217" w:hanging="217"/>
              <w:contextualSpacing/>
            </w:pPr>
            <w:r w:rsidRPr="00E6060C">
              <w:t>11 teams in Germany took part in the intervention (N=115)</w:t>
            </w:r>
          </w:p>
          <w:p w14:paraId="7064393A" w14:textId="77777777" w:rsidR="00E6060C" w:rsidRPr="00E6060C" w:rsidRDefault="00E6060C" w:rsidP="00F15DDF">
            <w:pPr>
              <w:numPr>
                <w:ilvl w:val="0"/>
                <w:numId w:val="38"/>
              </w:numPr>
              <w:ind w:left="217" w:hanging="217"/>
              <w:contextualSpacing/>
            </w:pPr>
            <w:r w:rsidRPr="00E6060C">
              <w:t>Matched controls were reportedly easy to find</w:t>
            </w:r>
          </w:p>
        </w:tc>
        <w:tc>
          <w:tcPr>
            <w:tcW w:w="4819" w:type="dxa"/>
          </w:tcPr>
          <w:p w14:paraId="4FF463A6" w14:textId="77777777" w:rsidR="00E6060C" w:rsidRPr="00E6060C" w:rsidRDefault="00E6060C" w:rsidP="00F15DDF">
            <w:pPr>
              <w:numPr>
                <w:ilvl w:val="0"/>
                <w:numId w:val="38"/>
              </w:numPr>
              <w:ind w:left="217" w:hanging="217"/>
              <w:contextualSpacing/>
            </w:pPr>
            <w:r w:rsidRPr="00E6060C">
              <w:lastRenderedPageBreak/>
              <w:t>The intervention was developed by the researchers</w:t>
            </w:r>
          </w:p>
          <w:p w14:paraId="6D9FC1A0" w14:textId="77777777" w:rsidR="00E6060C" w:rsidRPr="00E6060C" w:rsidRDefault="00E6060C" w:rsidP="00F15DDF">
            <w:pPr>
              <w:numPr>
                <w:ilvl w:val="0"/>
                <w:numId w:val="38"/>
              </w:numPr>
              <w:ind w:left="217" w:hanging="217"/>
              <w:contextualSpacing/>
            </w:pPr>
            <w:r w:rsidRPr="00E6060C">
              <w:lastRenderedPageBreak/>
              <w:t>Lectures on work &amp; health, co-operation, SMART goals etc for all participants</w:t>
            </w:r>
          </w:p>
          <w:p w14:paraId="24D40DAA" w14:textId="77777777" w:rsidR="00E6060C" w:rsidRPr="00E6060C" w:rsidRDefault="00E6060C" w:rsidP="00F15DDF">
            <w:pPr>
              <w:numPr>
                <w:ilvl w:val="0"/>
                <w:numId w:val="38"/>
              </w:numPr>
              <w:ind w:left="217" w:hanging="217"/>
              <w:contextualSpacing/>
            </w:pPr>
            <w:r w:rsidRPr="00E6060C">
              <w:t>Separate training for leaders, including observations of leaders in team meetings, feedback on observations, individual coaching</w:t>
            </w:r>
          </w:p>
        </w:tc>
        <w:tc>
          <w:tcPr>
            <w:tcW w:w="3827" w:type="dxa"/>
          </w:tcPr>
          <w:p w14:paraId="761CF404" w14:textId="77777777" w:rsidR="00E6060C" w:rsidRPr="00E6060C" w:rsidRDefault="00E6060C" w:rsidP="00F15DDF">
            <w:pPr>
              <w:numPr>
                <w:ilvl w:val="0"/>
                <w:numId w:val="38"/>
              </w:numPr>
              <w:ind w:left="217" w:hanging="217"/>
              <w:contextualSpacing/>
            </w:pPr>
          </w:p>
        </w:tc>
      </w:tr>
      <w:tr w:rsidR="00E6060C" w:rsidRPr="00E6060C" w14:paraId="324A722C" w14:textId="77777777" w:rsidTr="00E6060C">
        <w:tc>
          <w:tcPr>
            <w:tcW w:w="454" w:type="dxa"/>
          </w:tcPr>
          <w:p w14:paraId="1DDFBA04" w14:textId="77777777" w:rsidR="00E6060C" w:rsidRPr="00E6060C" w:rsidRDefault="00E6060C" w:rsidP="00E6060C">
            <w:r w:rsidRPr="00E6060C">
              <w:t>23</w:t>
            </w:r>
          </w:p>
        </w:tc>
        <w:tc>
          <w:tcPr>
            <w:tcW w:w="1560" w:type="dxa"/>
          </w:tcPr>
          <w:p w14:paraId="2AEFFFD3" w14:textId="0D247354" w:rsidR="00E6060C" w:rsidRPr="00E6060C" w:rsidRDefault="00B700DB" w:rsidP="00E6060C">
            <w:pPr>
              <w:rPr>
                <w:rFonts w:ascii="Calibri" w:hAnsi="Calibri"/>
              </w:rPr>
            </w:pPr>
            <w:r>
              <w:t>*</w:t>
            </w:r>
            <w:r w:rsidR="0071411A">
              <w:rPr>
                <w:rFonts w:ascii="Calibri" w:hAnsi="Calibri"/>
              </w:rPr>
              <w:t>Rigotti et al., 2014</w:t>
            </w:r>
          </w:p>
        </w:tc>
        <w:tc>
          <w:tcPr>
            <w:tcW w:w="4111" w:type="dxa"/>
          </w:tcPr>
          <w:p w14:paraId="5436095C" w14:textId="77777777" w:rsidR="00E6060C" w:rsidRPr="00E6060C" w:rsidRDefault="00E6060C" w:rsidP="00F15DDF">
            <w:pPr>
              <w:numPr>
                <w:ilvl w:val="0"/>
                <w:numId w:val="37"/>
              </w:numPr>
              <w:ind w:left="217" w:hanging="217"/>
              <w:contextualSpacing/>
            </w:pPr>
            <w:r w:rsidRPr="00E6060C">
              <w:t>As above</w:t>
            </w:r>
          </w:p>
          <w:p w14:paraId="3811E1BE" w14:textId="77777777" w:rsidR="00E6060C" w:rsidRPr="00E6060C" w:rsidRDefault="00E6060C" w:rsidP="00F15DDF">
            <w:pPr>
              <w:numPr>
                <w:ilvl w:val="0"/>
                <w:numId w:val="37"/>
              </w:numPr>
              <w:ind w:left="217" w:hanging="217"/>
              <w:contextualSpacing/>
            </w:pPr>
            <w:r w:rsidRPr="00E6060C">
              <w:t>17 teams in Sweden took part (N=353)</w:t>
            </w:r>
          </w:p>
          <w:p w14:paraId="210E0F44" w14:textId="77777777" w:rsidR="00E6060C" w:rsidRPr="00E6060C" w:rsidRDefault="00E6060C" w:rsidP="00F15DDF">
            <w:pPr>
              <w:numPr>
                <w:ilvl w:val="0"/>
                <w:numId w:val="37"/>
              </w:numPr>
              <w:ind w:left="217" w:hanging="217"/>
              <w:contextualSpacing/>
            </w:pPr>
            <w:r w:rsidRPr="00E6060C">
              <w:t>Matched controls were reportedly easy to find</w:t>
            </w:r>
          </w:p>
          <w:p w14:paraId="336C63FE" w14:textId="77777777" w:rsidR="00E6060C" w:rsidRPr="00E6060C" w:rsidRDefault="00E6060C" w:rsidP="00E6060C">
            <w:pPr>
              <w:ind w:left="217"/>
              <w:contextualSpacing/>
            </w:pPr>
          </w:p>
        </w:tc>
        <w:tc>
          <w:tcPr>
            <w:tcW w:w="4819" w:type="dxa"/>
          </w:tcPr>
          <w:p w14:paraId="6044DB44" w14:textId="77777777" w:rsidR="00E6060C" w:rsidRPr="00E6060C" w:rsidRDefault="00E6060C" w:rsidP="00F15DDF">
            <w:pPr>
              <w:numPr>
                <w:ilvl w:val="0"/>
                <w:numId w:val="37"/>
              </w:numPr>
              <w:ind w:left="217" w:hanging="217"/>
              <w:contextualSpacing/>
            </w:pPr>
            <w:r w:rsidRPr="00E6060C">
              <w:t>As above</w:t>
            </w:r>
          </w:p>
        </w:tc>
        <w:tc>
          <w:tcPr>
            <w:tcW w:w="3827" w:type="dxa"/>
          </w:tcPr>
          <w:p w14:paraId="4C9CB14B" w14:textId="77777777" w:rsidR="00E6060C" w:rsidRPr="00E6060C" w:rsidRDefault="00E6060C" w:rsidP="00F15DDF">
            <w:pPr>
              <w:numPr>
                <w:ilvl w:val="0"/>
                <w:numId w:val="37"/>
              </w:numPr>
              <w:ind w:left="217" w:hanging="217"/>
              <w:contextualSpacing/>
            </w:pPr>
            <w:r w:rsidRPr="00E6060C">
              <w:t>By inference, the authors</w:t>
            </w:r>
          </w:p>
        </w:tc>
      </w:tr>
      <w:tr w:rsidR="00E6060C" w:rsidRPr="00E6060C" w14:paraId="61FF4639" w14:textId="77777777" w:rsidTr="00E6060C">
        <w:tc>
          <w:tcPr>
            <w:tcW w:w="14771" w:type="dxa"/>
            <w:gridSpan w:val="5"/>
            <w:shd w:val="clear" w:color="auto" w:fill="D9D9D9" w:themeFill="background1" w:themeFillShade="D9"/>
          </w:tcPr>
          <w:p w14:paraId="6D0AD959" w14:textId="77777777" w:rsidR="00E6060C" w:rsidRPr="00E6060C" w:rsidRDefault="00E6060C" w:rsidP="00E6060C">
            <w:pPr>
              <w:rPr>
                <w:b/>
              </w:rPr>
            </w:pPr>
            <w:r w:rsidRPr="00E6060C">
              <w:rPr>
                <w:b/>
              </w:rPr>
              <w:t>ONGOING LEADERSHIP TRAINING INTERVENTIONS</w:t>
            </w:r>
          </w:p>
          <w:p w14:paraId="54412397" w14:textId="77777777" w:rsidR="00E6060C" w:rsidRPr="00E6060C" w:rsidRDefault="00E6060C" w:rsidP="00E6060C">
            <w:pPr>
              <w:rPr>
                <w:b/>
              </w:rPr>
            </w:pPr>
          </w:p>
        </w:tc>
      </w:tr>
      <w:tr w:rsidR="00E6060C" w:rsidRPr="00E6060C" w14:paraId="179C0C48" w14:textId="77777777" w:rsidTr="00E6060C">
        <w:tc>
          <w:tcPr>
            <w:tcW w:w="454" w:type="dxa"/>
            <w:tcBorders>
              <w:bottom w:val="single" w:sz="4" w:space="0" w:color="auto"/>
            </w:tcBorders>
            <w:shd w:val="clear" w:color="auto" w:fill="D9D9D9" w:themeFill="background1" w:themeFillShade="D9"/>
          </w:tcPr>
          <w:p w14:paraId="1935E7E7" w14:textId="77777777" w:rsidR="00E6060C" w:rsidRPr="00E6060C" w:rsidRDefault="00E6060C" w:rsidP="00E6060C">
            <w:r w:rsidRPr="00E6060C">
              <w:t>24</w:t>
            </w:r>
          </w:p>
        </w:tc>
        <w:tc>
          <w:tcPr>
            <w:tcW w:w="1560" w:type="dxa"/>
            <w:tcBorders>
              <w:bottom w:val="single" w:sz="4" w:space="0" w:color="auto"/>
            </w:tcBorders>
            <w:shd w:val="clear" w:color="auto" w:fill="D9D9D9" w:themeFill="background1" w:themeFillShade="D9"/>
          </w:tcPr>
          <w:p w14:paraId="440E51AC" w14:textId="5308F055" w:rsidR="00E6060C" w:rsidRPr="00E6060C" w:rsidRDefault="00E6060C" w:rsidP="00E6060C">
            <w:pPr>
              <w:rPr>
                <w:rFonts w:ascii="Calibri" w:hAnsi="Calibri"/>
                <w:color w:val="000000"/>
              </w:rPr>
            </w:pPr>
            <w:r w:rsidRPr="00E6060C">
              <w:rPr>
                <w:rFonts w:ascii="Calibri" w:hAnsi="Calibri"/>
                <w:color w:val="000000"/>
              </w:rPr>
              <w:t xml:space="preserve">White </w:t>
            </w:r>
            <w:r w:rsidR="00B64DD5">
              <w:rPr>
                <w:rFonts w:ascii="Calibri" w:hAnsi="Calibri"/>
                <w:color w:val="000000"/>
              </w:rPr>
              <w:t>et al.,</w:t>
            </w:r>
            <w:r w:rsidRPr="00E6060C">
              <w:rPr>
                <w:rFonts w:ascii="Calibri" w:hAnsi="Calibri"/>
                <w:color w:val="000000"/>
              </w:rPr>
              <w:t xml:space="preserve"> 2014</w:t>
            </w:r>
          </w:p>
        </w:tc>
        <w:tc>
          <w:tcPr>
            <w:tcW w:w="4111" w:type="dxa"/>
            <w:tcBorders>
              <w:bottom w:val="single" w:sz="4" w:space="0" w:color="auto"/>
            </w:tcBorders>
            <w:shd w:val="clear" w:color="auto" w:fill="D9D9D9" w:themeFill="background1" w:themeFillShade="D9"/>
          </w:tcPr>
          <w:p w14:paraId="74601BA2" w14:textId="77777777" w:rsidR="00E6060C" w:rsidRPr="00E6060C" w:rsidRDefault="00E6060C" w:rsidP="00F15DDF">
            <w:pPr>
              <w:numPr>
                <w:ilvl w:val="0"/>
                <w:numId w:val="37"/>
              </w:numPr>
              <w:ind w:left="217" w:hanging="217"/>
              <w:contextualSpacing/>
            </w:pPr>
            <w:r w:rsidRPr="00E6060C">
              <w:t>Stratified sampling used</w:t>
            </w:r>
          </w:p>
          <w:p w14:paraId="26110220" w14:textId="77777777" w:rsidR="00E6060C" w:rsidRPr="00E6060C" w:rsidRDefault="00E6060C" w:rsidP="00F15DDF">
            <w:pPr>
              <w:numPr>
                <w:ilvl w:val="0"/>
                <w:numId w:val="37"/>
              </w:numPr>
              <w:ind w:left="217" w:hanging="217"/>
              <w:contextualSpacing/>
            </w:pPr>
            <w:r w:rsidRPr="00E6060C">
              <w:t>9 intervention wards from 7 hospitals (N=253), which formed all of the intervention wards in the programme</w:t>
            </w:r>
          </w:p>
          <w:p w14:paraId="758B4B3B" w14:textId="77777777" w:rsidR="00E6060C" w:rsidRPr="00E6060C" w:rsidRDefault="00E6060C" w:rsidP="00F15DDF">
            <w:pPr>
              <w:numPr>
                <w:ilvl w:val="0"/>
                <w:numId w:val="37"/>
              </w:numPr>
              <w:ind w:left="217" w:hanging="217"/>
              <w:contextualSpacing/>
            </w:pPr>
            <w:r w:rsidRPr="00E6060C">
              <w:t>Intervention Wards were identified by the Project Lead in each Productive (intervention) Ward</w:t>
            </w:r>
          </w:p>
          <w:p w14:paraId="7BD20CD1" w14:textId="77777777" w:rsidR="00E6060C" w:rsidRPr="00E6060C" w:rsidRDefault="00E6060C" w:rsidP="00F15DDF">
            <w:pPr>
              <w:numPr>
                <w:ilvl w:val="0"/>
                <w:numId w:val="37"/>
              </w:numPr>
              <w:ind w:left="217" w:hanging="217"/>
              <w:contextualSpacing/>
            </w:pPr>
            <w:r w:rsidRPr="00E6060C">
              <w:t>All staff on intervention wards were surveyed, not just nurses</w:t>
            </w:r>
          </w:p>
          <w:p w14:paraId="4442ADD4" w14:textId="77777777" w:rsidR="00E6060C" w:rsidRPr="00E6060C" w:rsidRDefault="00E6060C" w:rsidP="00F15DDF">
            <w:pPr>
              <w:numPr>
                <w:ilvl w:val="0"/>
                <w:numId w:val="37"/>
              </w:numPr>
              <w:ind w:left="217" w:hanging="217"/>
              <w:contextualSpacing/>
            </w:pPr>
            <w:r w:rsidRPr="00E6060C">
              <w:t>Purposive sampling used to select matched control wards, based on ward size and specialty</w:t>
            </w:r>
          </w:p>
          <w:p w14:paraId="4D137A40" w14:textId="77777777" w:rsidR="00E6060C" w:rsidRPr="00E6060C" w:rsidRDefault="00E6060C" w:rsidP="00F15DDF">
            <w:pPr>
              <w:numPr>
                <w:ilvl w:val="0"/>
                <w:numId w:val="37"/>
              </w:numPr>
              <w:ind w:left="217" w:hanging="217"/>
              <w:contextualSpacing/>
            </w:pPr>
            <w:r w:rsidRPr="00E6060C">
              <w:t xml:space="preserve">Intervention and control wards were from a range of specialties, including </w:t>
            </w:r>
            <w:r w:rsidRPr="00E6060C">
              <w:lastRenderedPageBreak/>
              <w:t>both acute and non-acute clinical care wards</w:t>
            </w:r>
          </w:p>
        </w:tc>
        <w:tc>
          <w:tcPr>
            <w:tcW w:w="4819" w:type="dxa"/>
            <w:tcBorders>
              <w:bottom w:val="single" w:sz="4" w:space="0" w:color="auto"/>
            </w:tcBorders>
            <w:shd w:val="clear" w:color="auto" w:fill="D9D9D9" w:themeFill="background1" w:themeFillShade="D9"/>
          </w:tcPr>
          <w:p w14:paraId="7F45DA17" w14:textId="77777777" w:rsidR="00E6060C" w:rsidRPr="00E6060C" w:rsidRDefault="00E6060C" w:rsidP="00F15DDF">
            <w:pPr>
              <w:numPr>
                <w:ilvl w:val="0"/>
                <w:numId w:val="37"/>
              </w:numPr>
              <w:ind w:left="217" w:hanging="217"/>
              <w:contextualSpacing/>
            </w:pPr>
            <w:r w:rsidRPr="00E6060C">
              <w:lastRenderedPageBreak/>
              <w:t>QI programme, the Productive Ward, designed to utilise ‘lean’ improvement techniques, i.e. those improving the efficiency of processes by minimising ‘unnecessary’ steps, maximising desired outputs</w:t>
            </w:r>
          </w:p>
          <w:p w14:paraId="35CC9353" w14:textId="77777777" w:rsidR="00E6060C" w:rsidRPr="00E6060C" w:rsidRDefault="00E6060C" w:rsidP="00E6060C">
            <w:r w:rsidRPr="00E6060C">
              <w:t>Intended to:</w:t>
            </w:r>
          </w:p>
          <w:p w14:paraId="043CB172" w14:textId="77777777" w:rsidR="00E6060C" w:rsidRPr="00E6060C" w:rsidRDefault="00E6060C" w:rsidP="00F15DDF">
            <w:pPr>
              <w:numPr>
                <w:ilvl w:val="0"/>
                <w:numId w:val="37"/>
              </w:numPr>
              <w:ind w:left="217" w:hanging="217"/>
              <w:contextualSpacing/>
            </w:pPr>
            <w:r w:rsidRPr="00E6060C">
              <w:t>increase the amount of time nurses spend in direct patient care</w:t>
            </w:r>
          </w:p>
          <w:p w14:paraId="2770112C" w14:textId="77777777" w:rsidR="00E6060C" w:rsidRPr="00E6060C" w:rsidRDefault="00E6060C" w:rsidP="00F15DDF">
            <w:pPr>
              <w:numPr>
                <w:ilvl w:val="0"/>
                <w:numId w:val="37"/>
              </w:numPr>
              <w:ind w:left="217" w:hanging="217"/>
              <w:contextualSpacing/>
            </w:pPr>
            <w:r w:rsidRPr="00E6060C">
              <w:t>improve staff and patient experience</w:t>
            </w:r>
          </w:p>
          <w:p w14:paraId="114F85A7" w14:textId="77777777" w:rsidR="00E6060C" w:rsidRPr="00E6060C" w:rsidRDefault="00E6060C" w:rsidP="00F15DDF">
            <w:pPr>
              <w:numPr>
                <w:ilvl w:val="0"/>
                <w:numId w:val="37"/>
              </w:numPr>
              <w:ind w:left="217" w:hanging="217"/>
              <w:contextualSpacing/>
            </w:pPr>
            <w:r w:rsidRPr="00E6060C">
              <w:t>make structural changes to wards to improve their efficiency in terms of time and money</w:t>
            </w:r>
          </w:p>
        </w:tc>
        <w:tc>
          <w:tcPr>
            <w:tcW w:w="3827" w:type="dxa"/>
            <w:tcBorders>
              <w:bottom w:val="single" w:sz="4" w:space="0" w:color="auto"/>
            </w:tcBorders>
            <w:shd w:val="clear" w:color="auto" w:fill="D9D9D9" w:themeFill="background1" w:themeFillShade="D9"/>
          </w:tcPr>
          <w:p w14:paraId="32C701C7" w14:textId="77777777" w:rsidR="00E6060C" w:rsidRPr="00E6060C" w:rsidRDefault="00E6060C" w:rsidP="00F15DDF">
            <w:pPr>
              <w:numPr>
                <w:ilvl w:val="0"/>
                <w:numId w:val="37"/>
              </w:numPr>
              <w:ind w:left="217" w:hanging="217"/>
              <w:contextualSpacing/>
            </w:pPr>
            <w:r w:rsidRPr="00E6060C">
              <w:t>Not specified</w:t>
            </w:r>
          </w:p>
        </w:tc>
      </w:tr>
      <w:tr w:rsidR="00E6060C" w:rsidRPr="00E6060C" w14:paraId="240131FB" w14:textId="77777777" w:rsidTr="00E6060C">
        <w:tc>
          <w:tcPr>
            <w:tcW w:w="14771" w:type="dxa"/>
            <w:gridSpan w:val="5"/>
            <w:tcBorders>
              <w:top w:val="single" w:sz="4" w:space="0" w:color="auto"/>
              <w:bottom w:val="single" w:sz="4" w:space="0" w:color="auto"/>
            </w:tcBorders>
          </w:tcPr>
          <w:p w14:paraId="588FE997" w14:textId="77777777" w:rsidR="00E6060C" w:rsidRPr="00E6060C" w:rsidRDefault="00E6060C" w:rsidP="00E6060C">
            <w:pPr>
              <w:rPr>
                <w:b/>
                <w:sz w:val="28"/>
                <w:szCs w:val="28"/>
              </w:rPr>
            </w:pPr>
            <w:r w:rsidRPr="00E6060C">
              <w:rPr>
                <w:b/>
                <w:sz w:val="28"/>
                <w:szCs w:val="28"/>
              </w:rPr>
              <w:t>HEALTH PROMOTION INTERVENTIONS</w:t>
            </w:r>
          </w:p>
        </w:tc>
      </w:tr>
      <w:tr w:rsidR="00E6060C" w:rsidRPr="00E6060C" w14:paraId="1ED01658" w14:textId="77777777" w:rsidTr="00E6060C">
        <w:tc>
          <w:tcPr>
            <w:tcW w:w="454" w:type="dxa"/>
            <w:tcBorders>
              <w:top w:val="single" w:sz="4" w:space="0" w:color="auto"/>
            </w:tcBorders>
          </w:tcPr>
          <w:p w14:paraId="5CE721C7" w14:textId="77777777" w:rsidR="00E6060C" w:rsidRPr="00E6060C" w:rsidRDefault="00E6060C" w:rsidP="00E6060C">
            <w:r w:rsidRPr="00E6060C">
              <w:t>25</w:t>
            </w:r>
          </w:p>
        </w:tc>
        <w:tc>
          <w:tcPr>
            <w:tcW w:w="1560" w:type="dxa"/>
            <w:tcBorders>
              <w:top w:val="single" w:sz="4" w:space="0" w:color="auto"/>
            </w:tcBorders>
          </w:tcPr>
          <w:p w14:paraId="2A07C6F5" w14:textId="1EB00C98" w:rsidR="00E6060C" w:rsidRPr="00E6060C" w:rsidRDefault="00B700DB" w:rsidP="00E6060C">
            <w:r>
              <w:t>*Aikens et al., 2014</w:t>
            </w:r>
          </w:p>
        </w:tc>
        <w:tc>
          <w:tcPr>
            <w:tcW w:w="4111" w:type="dxa"/>
          </w:tcPr>
          <w:p w14:paraId="07685B8E" w14:textId="31A7FBAE" w:rsidR="00E6060C" w:rsidRPr="00E6060C" w:rsidRDefault="00E6060C" w:rsidP="00F15DDF">
            <w:pPr>
              <w:numPr>
                <w:ilvl w:val="0"/>
                <w:numId w:val="35"/>
              </w:numPr>
              <w:ind w:left="186" w:hanging="186"/>
              <w:contextualSpacing/>
            </w:pPr>
            <w:r w:rsidRPr="00E6060C">
              <w:t>Participants were drawn from a sample of 600 Dow employees who had completed a heal</w:t>
            </w:r>
            <w:r w:rsidR="00BA1D44">
              <w:t>th risk assessment in the prece</w:t>
            </w:r>
            <w:r w:rsidRPr="00E6060C">
              <w:t xml:space="preserve">ding 6 months and were ≥18 yrs of age </w:t>
            </w:r>
          </w:p>
          <w:p w14:paraId="498D130E" w14:textId="77777777" w:rsidR="00E6060C" w:rsidRPr="00E6060C" w:rsidRDefault="00E6060C" w:rsidP="00F15DDF">
            <w:pPr>
              <w:numPr>
                <w:ilvl w:val="0"/>
                <w:numId w:val="35"/>
              </w:numPr>
              <w:ind w:left="186" w:hanging="186"/>
              <w:contextualSpacing/>
            </w:pPr>
            <w:r w:rsidRPr="00E6060C">
              <w:t>Participants were emailed with the project details and of the 135 who responded, 90 were randomly selected to participate</w:t>
            </w:r>
          </w:p>
        </w:tc>
        <w:tc>
          <w:tcPr>
            <w:tcW w:w="4819" w:type="dxa"/>
          </w:tcPr>
          <w:p w14:paraId="4420C9F7" w14:textId="77777777" w:rsidR="00E6060C" w:rsidRPr="00E6060C" w:rsidRDefault="00E6060C" w:rsidP="00F15DDF">
            <w:pPr>
              <w:numPr>
                <w:ilvl w:val="0"/>
                <w:numId w:val="35"/>
              </w:numPr>
              <w:ind w:left="175" w:hanging="175"/>
              <w:contextualSpacing/>
            </w:pPr>
            <w:r w:rsidRPr="00E6060C">
              <w:t>Virtual mindfulness sessions over 7 weeks</w:t>
            </w:r>
          </w:p>
          <w:p w14:paraId="38F0E651" w14:textId="77777777" w:rsidR="00E6060C" w:rsidRPr="00E6060C" w:rsidRDefault="00E6060C" w:rsidP="00F15DDF">
            <w:pPr>
              <w:numPr>
                <w:ilvl w:val="0"/>
                <w:numId w:val="35"/>
              </w:numPr>
              <w:ind w:left="175" w:hanging="175"/>
              <w:contextualSpacing/>
            </w:pPr>
            <w:r w:rsidRPr="00E6060C">
              <w:t>Homework</w:t>
            </w:r>
          </w:p>
          <w:p w14:paraId="0CC08640" w14:textId="77777777" w:rsidR="00E6060C" w:rsidRPr="00E6060C" w:rsidRDefault="00E6060C" w:rsidP="00F15DDF">
            <w:pPr>
              <w:numPr>
                <w:ilvl w:val="0"/>
                <w:numId w:val="35"/>
              </w:numPr>
              <w:ind w:left="175" w:hanging="175"/>
              <w:contextualSpacing/>
            </w:pPr>
            <w:r w:rsidRPr="00E6060C">
              <w:t>Progress tracking survey</w:t>
            </w:r>
          </w:p>
          <w:p w14:paraId="50EAEA0A" w14:textId="77777777" w:rsidR="00E6060C" w:rsidRPr="00E6060C" w:rsidRDefault="00E6060C" w:rsidP="00F15DDF">
            <w:pPr>
              <w:numPr>
                <w:ilvl w:val="0"/>
                <w:numId w:val="35"/>
              </w:numPr>
              <w:ind w:left="175" w:hanging="175"/>
              <w:contextualSpacing/>
            </w:pPr>
            <w:r w:rsidRPr="00E6060C">
              <w:t>E-coaching</w:t>
            </w:r>
          </w:p>
        </w:tc>
        <w:tc>
          <w:tcPr>
            <w:tcW w:w="3827" w:type="dxa"/>
          </w:tcPr>
          <w:p w14:paraId="5F216297" w14:textId="77777777" w:rsidR="00E6060C" w:rsidRPr="00E6060C" w:rsidRDefault="00E6060C" w:rsidP="00F15DDF">
            <w:pPr>
              <w:numPr>
                <w:ilvl w:val="0"/>
                <w:numId w:val="35"/>
              </w:numPr>
              <w:contextualSpacing/>
            </w:pPr>
            <w:r w:rsidRPr="00E6060C">
              <w:t>A board certified internal medicine physician, with training in integrative medicine and MBSR</w:t>
            </w:r>
          </w:p>
        </w:tc>
      </w:tr>
      <w:tr w:rsidR="00E6060C" w:rsidRPr="00E6060C" w14:paraId="464737C3" w14:textId="77777777" w:rsidTr="00E6060C">
        <w:tc>
          <w:tcPr>
            <w:tcW w:w="454" w:type="dxa"/>
          </w:tcPr>
          <w:p w14:paraId="2FF5FF7E" w14:textId="77777777" w:rsidR="00E6060C" w:rsidRPr="00E6060C" w:rsidRDefault="00E6060C" w:rsidP="00E6060C">
            <w:r w:rsidRPr="00E6060C">
              <w:t>26</w:t>
            </w:r>
          </w:p>
        </w:tc>
        <w:tc>
          <w:tcPr>
            <w:tcW w:w="1560" w:type="dxa"/>
          </w:tcPr>
          <w:p w14:paraId="0B57503B" w14:textId="66581339" w:rsidR="00E6060C" w:rsidRPr="00E6060C" w:rsidRDefault="00B700DB" w:rsidP="00E6060C">
            <w:pPr>
              <w:rPr>
                <w:rFonts w:ascii="Calibri" w:hAnsi="Calibri"/>
                <w:color w:val="000000"/>
              </w:rPr>
            </w:pPr>
            <w:r>
              <w:t>*</w:t>
            </w:r>
            <w:r w:rsidR="00E6060C" w:rsidRPr="00E6060C">
              <w:rPr>
                <w:rFonts w:ascii="Calibri" w:hAnsi="Calibri"/>
                <w:color w:val="000000"/>
              </w:rPr>
              <w:t xml:space="preserve">Biggs, 2011 </w:t>
            </w:r>
          </w:p>
          <w:p w14:paraId="2FAD978A" w14:textId="77777777" w:rsidR="00E6060C" w:rsidRPr="00E6060C" w:rsidRDefault="00E6060C" w:rsidP="00E6060C">
            <w:pPr>
              <w:rPr>
                <w:rFonts w:ascii="Calibri" w:hAnsi="Calibri"/>
                <w:b/>
                <w:color w:val="000000"/>
              </w:rPr>
            </w:pPr>
          </w:p>
        </w:tc>
        <w:tc>
          <w:tcPr>
            <w:tcW w:w="4111" w:type="dxa"/>
          </w:tcPr>
          <w:p w14:paraId="319B5423" w14:textId="77777777" w:rsidR="00E6060C" w:rsidRPr="00E6060C" w:rsidRDefault="00E6060C" w:rsidP="00F15DDF">
            <w:pPr>
              <w:numPr>
                <w:ilvl w:val="0"/>
                <w:numId w:val="35"/>
              </w:numPr>
              <w:ind w:left="162" w:hanging="162"/>
              <w:contextualSpacing/>
            </w:pPr>
            <w:r w:rsidRPr="00E6060C">
              <w:t>3 custodial correctional centres formed the intervention group, chosen as they represented metropolitan and regional centres with a diverse range of offenders and claimed the highest rates of psychological stress in 2002/3</w:t>
            </w:r>
          </w:p>
          <w:p w14:paraId="2EF795BD" w14:textId="77777777" w:rsidR="00E6060C" w:rsidRPr="00E6060C" w:rsidRDefault="00E6060C" w:rsidP="00F15DDF">
            <w:pPr>
              <w:numPr>
                <w:ilvl w:val="0"/>
                <w:numId w:val="35"/>
              </w:numPr>
              <w:ind w:left="162" w:hanging="162"/>
              <w:contextualSpacing/>
            </w:pPr>
            <w:r w:rsidRPr="00E6060C">
              <w:t>Employees rostered to work on the same days that the intervention was planned to occur were invited to participate</w:t>
            </w:r>
          </w:p>
          <w:p w14:paraId="6B383106" w14:textId="77777777" w:rsidR="00E6060C" w:rsidRPr="00E6060C" w:rsidRDefault="00E6060C" w:rsidP="00F15DDF">
            <w:pPr>
              <w:numPr>
                <w:ilvl w:val="0"/>
                <w:numId w:val="35"/>
              </w:numPr>
              <w:ind w:left="162" w:hanging="162"/>
              <w:contextualSpacing/>
            </w:pPr>
            <w:r w:rsidRPr="00E6060C">
              <w:t xml:space="preserve">Employees not rostered to work were asked to register interest in participating in the workshops. It was intended that the workshops be repeated, however, this was not possible due to organisational constraints </w:t>
            </w:r>
          </w:p>
        </w:tc>
        <w:tc>
          <w:tcPr>
            <w:tcW w:w="4819" w:type="dxa"/>
          </w:tcPr>
          <w:p w14:paraId="65BDAA50" w14:textId="77777777" w:rsidR="00E6060C" w:rsidRPr="00E6060C" w:rsidRDefault="00E6060C" w:rsidP="00F15DDF">
            <w:pPr>
              <w:numPr>
                <w:ilvl w:val="0"/>
                <w:numId w:val="35"/>
              </w:numPr>
              <w:ind w:left="162" w:hanging="162"/>
              <w:contextualSpacing/>
            </w:pPr>
            <w:r w:rsidRPr="00E6060C">
              <w:t>Participatory action research:</w:t>
            </w:r>
          </w:p>
          <w:p w14:paraId="383BB813" w14:textId="7EB2075D" w:rsidR="00E6060C" w:rsidRPr="00E6060C" w:rsidRDefault="00E6060C" w:rsidP="00F15DDF">
            <w:pPr>
              <w:numPr>
                <w:ilvl w:val="0"/>
                <w:numId w:val="35"/>
              </w:numPr>
              <w:ind w:left="162" w:hanging="162"/>
              <w:contextualSpacing/>
            </w:pPr>
            <w:r w:rsidRPr="00E6060C">
              <w:t>6 workshops involving psycho-education and CBT-based skills training (topics included: stress at work, coping with stress, social support, career development, harassment, bullying and violence at work &amp; work-life balance)</w:t>
            </w:r>
          </w:p>
        </w:tc>
        <w:tc>
          <w:tcPr>
            <w:tcW w:w="3827" w:type="dxa"/>
          </w:tcPr>
          <w:p w14:paraId="661171CA" w14:textId="77777777" w:rsidR="00E6060C" w:rsidRPr="00E6060C" w:rsidRDefault="00E6060C" w:rsidP="00F15DDF">
            <w:pPr>
              <w:numPr>
                <w:ilvl w:val="0"/>
                <w:numId w:val="35"/>
              </w:numPr>
              <w:ind w:left="162" w:hanging="162"/>
              <w:contextualSpacing/>
            </w:pPr>
            <w:r w:rsidRPr="00E6060C">
              <w:t>Two experienced university researchers (one of which was the study author)</w:t>
            </w:r>
          </w:p>
        </w:tc>
      </w:tr>
      <w:tr w:rsidR="00E6060C" w:rsidRPr="00E6060C" w14:paraId="1C057892" w14:textId="77777777" w:rsidTr="00E6060C">
        <w:tc>
          <w:tcPr>
            <w:tcW w:w="454" w:type="dxa"/>
          </w:tcPr>
          <w:p w14:paraId="35330477" w14:textId="77777777" w:rsidR="00E6060C" w:rsidRPr="00E6060C" w:rsidRDefault="00E6060C" w:rsidP="00E6060C">
            <w:r w:rsidRPr="00E6060C">
              <w:lastRenderedPageBreak/>
              <w:t>27</w:t>
            </w:r>
          </w:p>
        </w:tc>
        <w:tc>
          <w:tcPr>
            <w:tcW w:w="1560" w:type="dxa"/>
          </w:tcPr>
          <w:p w14:paraId="013F0DCB" w14:textId="36D90135" w:rsidR="00E6060C" w:rsidRPr="00E6060C" w:rsidRDefault="00B700DB" w:rsidP="00E6060C">
            <w:pPr>
              <w:rPr>
                <w:rFonts w:ascii="Calibri" w:hAnsi="Calibri"/>
                <w:color w:val="000000"/>
              </w:rPr>
            </w:pPr>
            <w:r>
              <w:t>*</w:t>
            </w:r>
            <w:r>
              <w:rPr>
                <w:rFonts w:ascii="Calibri" w:hAnsi="Calibri"/>
                <w:color w:val="000000"/>
              </w:rPr>
              <w:t>Calitz, 2013</w:t>
            </w:r>
          </w:p>
          <w:p w14:paraId="6B00DFF0" w14:textId="77777777" w:rsidR="00E6060C" w:rsidRPr="00E6060C" w:rsidRDefault="00E6060C" w:rsidP="00E6060C">
            <w:pPr>
              <w:rPr>
                <w:rFonts w:ascii="Calibri" w:hAnsi="Calibri"/>
              </w:rPr>
            </w:pPr>
          </w:p>
        </w:tc>
        <w:tc>
          <w:tcPr>
            <w:tcW w:w="4111" w:type="dxa"/>
          </w:tcPr>
          <w:p w14:paraId="1B9BE710" w14:textId="77777777" w:rsidR="00E6060C" w:rsidRPr="00E6060C" w:rsidRDefault="00E6060C" w:rsidP="00F15DDF">
            <w:pPr>
              <w:numPr>
                <w:ilvl w:val="0"/>
                <w:numId w:val="25"/>
              </w:numPr>
              <w:ind w:left="217" w:hanging="217"/>
              <w:contextualSpacing/>
            </w:pPr>
            <w:r w:rsidRPr="00E6060C">
              <w:t xml:space="preserve">25 participants working as social workers, who had completed the needs assessment, and who could attend the workshops, were selected to form the comparison (n=14) and intervention (n=11) groups </w:t>
            </w:r>
          </w:p>
        </w:tc>
        <w:tc>
          <w:tcPr>
            <w:tcW w:w="4819" w:type="dxa"/>
          </w:tcPr>
          <w:p w14:paraId="46FC0CFB" w14:textId="77777777" w:rsidR="00E6060C" w:rsidRPr="00E6060C" w:rsidRDefault="00E6060C" w:rsidP="00F15DDF">
            <w:pPr>
              <w:numPr>
                <w:ilvl w:val="0"/>
                <w:numId w:val="25"/>
              </w:numPr>
              <w:ind w:left="217" w:hanging="217"/>
              <w:contextualSpacing/>
            </w:pPr>
            <w:r w:rsidRPr="00E6060C">
              <w:t xml:space="preserve">2 days of group sessions providing psycho-education on topics such as WE, job satisfaction, burnout and stress. </w:t>
            </w:r>
          </w:p>
          <w:p w14:paraId="4E8ACD8D" w14:textId="77777777" w:rsidR="00E6060C" w:rsidRPr="00E6060C" w:rsidRDefault="00E6060C" w:rsidP="00F15DDF">
            <w:pPr>
              <w:numPr>
                <w:ilvl w:val="0"/>
                <w:numId w:val="25"/>
              </w:numPr>
              <w:ind w:left="217" w:hanging="217"/>
              <w:contextualSpacing/>
            </w:pPr>
            <w:r w:rsidRPr="00E6060C">
              <w:t>Active learning exercises conducted in sessions and toolkits provided containing resources such as articles, web links and self-help manuals.</w:t>
            </w:r>
          </w:p>
        </w:tc>
        <w:tc>
          <w:tcPr>
            <w:tcW w:w="3827" w:type="dxa"/>
          </w:tcPr>
          <w:p w14:paraId="3DFC884B" w14:textId="77777777" w:rsidR="00E6060C" w:rsidRPr="00E6060C" w:rsidRDefault="00E6060C" w:rsidP="00F15DDF">
            <w:pPr>
              <w:numPr>
                <w:ilvl w:val="0"/>
                <w:numId w:val="25"/>
              </w:numPr>
              <w:ind w:left="217" w:hanging="217"/>
              <w:contextualSpacing/>
            </w:pPr>
            <w:r w:rsidRPr="00E6060C">
              <w:t>Not specified but presumably the author</w:t>
            </w:r>
          </w:p>
        </w:tc>
      </w:tr>
      <w:tr w:rsidR="00E6060C" w:rsidRPr="00E6060C" w14:paraId="21E7C8B5" w14:textId="77777777" w:rsidTr="00E6060C">
        <w:tc>
          <w:tcPr>
            <w:tcW w:w="454" w:type="dxa"/>
          </w:tcPr>
          <w:p w14:paraId="18EF2BEB" w14:textId="77777777" w:rsidR="00E6060C" w:rsidRPr="00E6060C" w:rsidRDefault="00E6060C" w:rsidP="00E6060C">
            <w:r w:rsidRPr="00E6060C">
              <w:t>28</w:t>
            </w:r>
          </w:p>
        </w:tc>
        <w:tc>
          <w:tcPr>
            <w:tcW w:w="1560" w:type="dxa"/>
          </w:tcPr>
          <w:p w14:paraId="2A7496A9" w14:textId="0938132A" w:rsidR="00E6060C" w:rsidRPr="00E6060C" w:rsidRDefault="00B700DB" w:rsidP="00E6060C">
            <w:r>
              <w:t>*</w:t>
            </w:r>
            <w:r w:rsidR="00E6060C" w:rsidRPr="00E6060C">
              <w:t>Hengel, et al., 20</w:t>
            </w:r>
            <w:r>
              <w:t>12</w:t>
            </w:r>
          </w:p>
          <w:p w14:paraId="55C4A563" w14:textId="77777777" w:rsidR="00E6060C" w:rsidRPr="00E6060C" w:rsidRDefault="00E6060C" w:rsidP="00E6060C"/>
        </w:tc>
        <w:tc>
          <w:tcPr>
            <w:tcW w:w="4111" w:type="dxa"/>
          </w:tcPr>
          <w:p w14:paraId="7409B88E" w14:textId="77777777" w:rsidR="00E6060C" w:rsidRPr="00E6060C" w:rsidRDefault="00E6060C" w:rsidP="00F15DDF">
            <w:pPr>
              <w:numPr>
                <w:ilvl w:val="0"/>
                <w:numId w:val="39"/>
              </w:numPr>
              <w:ind w:left="217" w:hanging="217"/>
              <w:contextualSpacing/>
            </w:pPr>
            <w:r w:rsidRPr="00E6060C">
              <w:t>Construction workers contracted by 6 companies specialising in house, commercial or industrial building</w:t>
            </w:r>
          </w:p>
          <w:p w14:paraId="33FA0783" w14:textId="77777777" w:rsidR="00E6060C" w:rsidRPr="00E6060C" w:rsidRDefault="00E6060C" w:rsidP="00F15DDF">
            <w:pPr>
              <w:numPr>
                <w:ilvl w:val="0"/>
                <w:numId w:val="39"/>
              </w:numPr>
              <w:ind w:left="217" w:hanging="217"/>
              <w:contextualSpacing/>
            </w:pPr>
            <w:r w:rsidRPr="00E6060C">
              <w:t>Top management of each company were recruited and committed to the project in writing, and support the participation of their workers in work time</w:t>
            </w:r>
          </w:p>
          <w:p w14:paraId="19FF0409" w14:textId="77777777" w:rsidR="00E6060C" w:rsidRPr="00E6060C" w:rsidRDefault="00E6060C" w:rsidP="00F15DDF">
            <w:pPr>
              <w:numPr>
                <w:ilvl w:val="0"/>
                <w:numId w:val="39"/>
              </w:numPr>
              <w:ind w:left="217" w:hanging="217"/>
              <w:contextualSpacing/>
            </w:pPr>
            <w:r w:rsidRPr="00E6060C">
              <w:t>Managers informed all supervisors about the project aims</w:t>
            </w:r>
          </w:p>
          <w:p w14:paraId="674A7FC5" w14:textId="77777777" w:rsidR="00E6060C" w:rsidRPr="00E6060C" w:rsidRDefault="00E6060C" w:rsidP="00F15DDF">
            <w:pPr>
              <w:numPr>
                <w:ilvl w:val="0"/>
                <w:numId w:val="39"/>
              </w:numPr>
              <w:ind w:left="217" w:hanging="217"/>
              <w:contextualSpacing/>
            </w:pPr>
            <w:r w:rsidRPr="00E6060C">
              <w:t>The researchers informed all workers via an oral presentation and handing out information letters</w:t>
            </w:r>
          </w:p>
        </w:tc>
        <w:tc>
          <w:tcPr>
            <w:tcW w:w="4819" w:type="dxa"/>
          </w:tcPr>
          <w:p w14:paraId="301492BE" w14:textId="77777777" w:rsidR="00E6060C" w:rsidRPr="00E6060C" w:rsidRDefault="00E6060C" w:rsidP="00F15DDF">
            <w:pPr>
              <w:numPr>
                <w:ilvl w:val="0"/>
                <w:numId w:val="39"/>
              </w:numPr>
              <w:ind w:left="217" w:hanging="217"/>
              <w:contextualSpacing/>
            </w:pPr>
            <w:r w:rsidRPr="00E6060C">
              <w:t>Individual training sessions to lower physical workload</w:t>
            </w:r>
          </w:p>
          <w:p w14:paraId="204E4543" w14:textId="77777777" w:rsidR="00E6060C" w:rsidRPr="00E6060C" w:rsidRDefault="00E6060C" w:rsidP="00F15DDF">
            <w:pPr>
              <w:numPr>
                <w:ilvl w:val="0"/>
                <w:numId w:val="39"/>
              </w:numPr>
              <w:ind w:left="217" w:hanging="217"/>
              <w:contextualSpacing/>
            </w:pPr>
            <w:r w:rsidRPr="00E6060C">
              <w:t>Rest-break tool</w:t>
            </w:r>
          </w:p>
          <w:p w14:paraId="75C3E4B1" w14:textId="77777777" w:rsidR="00E6060C" w:rsidRPr="00E6060C" w:rsidRDefault="00E6060C" w:rsidP="00F15DDF">
            <w:pPr>
              <w:numPr>
                <w:ilvl w:val="0"/>
                <w:numId w:val="39"/>
              </w:numPr>
              <w:ind w:left="217" w:hanging="217"/>
              <w:contextualSpacing/>
            </w:pPr>
            <w:r w:rsidRPr="00E6060C">
              <w:t>Group empowerment sessions</w:t>
            </w:r>
          </w:p>
        </w:tc>
        <w:tc>
          <w:tcPr>
            <w:tcW w:w="3827" w:type="dxa"/>
          </w:tcPr>
          <w:p w14:paraId="772953D5" w14:textId="77777777" w:rsidR="00E6060C" w:rsidRPr="00E6060C" w:rsidRDefault="00E6060C" w:rsidP="00F15DDF">
            <w:pPr>
              <w:numPr>
                <w:ilvl w:val="0"/>
                <w:numId w:val="39"/>
              </w:numPr>
              <w:ind w:left="217" w:hanging="217"/>
              <w:contextualSpacing/>
            </w:pPr>
            <w:r w:rsidRPr="00E6060C">
              <w:t>Occupational physical therapist</w:t>
            </w:r>
          </w:p>
          <w:p w14:paraId="07820433" w14:textId="77777777" w:rsidR="00E6060C" w:rsidRPr="00E6060C" w:rsidRDefault="00E6060C" w:rsidP="00F15DDF">
            <w:pPr>
              <w:numPr>
                <w:ilvl w:val="0"/>
                <w:numId w:val="39"/>
              </w:numPr>
              <w:ind w:left="217" w:hanging="217"/>
              <w:contextualSpacing/>
            </w:pPr>
            <w:r w:rsidRPr="00E6060C">
              <w:t>Empowerment trainer (therapist)</w:t>
            </w:r>
          </w:p>
        </w:tc>
      </w:tr>
      <w:tr w:rsidR="00E6060C" w:rsidRPr="00E6060C" w14:paraId="6F30C67B" w14:textId="77777777" w:rsidTr="00E6060C">
        <w:tc>
          <w:tcPr>
            <w:tcW w:w="454" w:type="dxa"/>
          </w:tcPr>
          <w:p w14:paraId="540B99B9" w14:textId="77777777" w:rsidR="00E6060C" w:rsidRPr="00E6060C" w:rsidRDefault="00E6060C" w:rsidP="00E6060C">
            <w:r w:rsidRPr="00E6060C">
              <w:t>29</w:t>
            </w:r>
          </w:p>
        </w:tc>
        <w:tc>
          <w:tcPr>
            <w:tcW w:w="1560" w:type="dxa"/>
          </w:tcPr>
          <w:p w14:paraId="5C154378" w14:textId="73F7AA83" w:rsidR="00E6060C" w:rsidRPr="00E6060C" w:rsidRDefault="00AD462A" w:rsidP="00E6060C">
            <w:pPr>
              <w:rPr>
                <w:rFonts w:ascii="Calibri" w:hAnsi="Calibri"/>
                <w:color w:val="000000"/>
              </w:rPr>
            </w:pPr>
            <w:r>
              <w:rPr>
                <w:rFonts w:ascii="Calibri" w:hAnsi="Calibri"/>
                <w:color w:val="000000"/>
              </w:rPr>
              <w:t>*Imamura et al., 2015</w:t>
            </w:r>
          </w:p>
        </w:tc>
        <w:tc>
          <w:tcPr>
            <w:tcW w:w="4111" w:type="dxa"/>
          </w:tcPr>
          <w:p w14:paraId="36CA36B3" w14:textId="77777777" w:rsidR="00E6060C" w:rsidRPr="00E6060C" w:rsidRDefault="00E6060C" w:rsidP="00F15DDF">
            <w:pPr>
              <w:numPr>
                <w:ilvl w:val="0"/>
                <w:numId w:val="35"/>
              </w:numPr>
              <w:ind w:left="162" w:hanging="162"/>
              <w:contextualSpacing/>
            </w:pPr>
            <w:r w:rsidRPr="00E6060C">
              <w:t>All workers in one company and workers in three departments of another company were invited to take part between Sept-Oct 2011.</w:t>
            </w:r>
          </w:p>
          <w:p w14:paraId="06A13E48" w14:textId="77777777" w:rsidR="00E6060C" w:rsidRPr="00E6060C" w:rsidRDefault="00E6060C" w:rsidP="00F15DDF">
            <w:pPr>
              <w:numPr>
                <w:ilvl w:val="0"/>
                <w:numId w:val="35"/>
              </w:numPr>
              <w:ind w:left="162" w:hanging="162"/>
              <w:contextualSpacing/>
            </w:pPr>
            <w:r w:rsidRPr="00E6060C">
              <w:t>Inclusion criteria: 20-60 yrs of age; employed full-time by the company; and having access to a PC</w:t>
            </w:r>
          </w:p>
          <w:p w14:paraId="72DF0E0B" w14:textId="77777777" w:rsidR="00E6060C" w:rsidRPr="00E6060C" w:rsidRDefault="00E6060C" w:rsidP="00F15DDF">
            <w:pPr>
              <w:numPr>
                <w:ilvl w:val="0"/>
                <w:numId w:val="35"/>
              </w:numPr>
              <w:ind w:left="162" w:hanging="162"/>
              <w:contextualSpacing/>
            </w:pPr>
            <w:r w:rsidRPr="00E6060C">
              <w:t xml:space="preserve">Exclusion criteria: having a major depressive episode in the past month; having lifetime bipolar disorder; having </w:t>
            </w:r>
            <w:r w:rsidRPr="00E6060C">
              <w:lastRenderedPageBreak/>
              <w:t xml:space="preserve">15+ sick leave days due to mental health problems in the past 3 months </w:t>
            </w:r>
          </w:p>
        </w:tc>
        <w:tc>
          <w:tcPr>
            <w:tcW w:w="4819" w:type="dxa"/>
          </w:tcPr>
          <w:p w14:paraId="722ABD8B" w14:textId="77777777" w:rsidR="00E6060C" w:rsidRPr="00E6060C" w:rsidRDefault="00E6060C" w:rsidP="00F15DDF">
            <w:pPr>
              <w:numPr>
                <w:ilvl w:val="0"/>
                <w:numId w:val="35"/>
              </w:numPr>
              <w:ind w:left="162" w:hanging="162"/>
              <w:contextualSpacing/>
            </w:pPr>
            <w:r w:rsidRPr="00E6060C">
              <w:lastRenderedPageBreak/>
              <w:t>Web-based</w:t>
            </w:r>
          </w:p>
          <w:p w14:paraId="6CB67FF2" w14:textId="77777777" w:rsidR="00E6060C" w:rsidRPr="00E6060C" w:rsidRDefault="00E6060C" w:rsidP="00F15DDF">
            <w:pPr>
              <w:numPr>
                <w:ilvl w:val="0"/>
                <w:numId w:val="35"/>
              </w:numPr>
              <w:ind w:left="162" w:hanging="162"/>
              <w:contextualSpacing/>
            </w:pPr>
            <w:r w:rsidRPr="00E6060C">
              <w:t>Based on a Manga (Japanese comic) story</w:t>
            </w:r>
          </w:p>
          <w:p w14:paraId="305749E5" w14:textId="77777777" w:rsidR="00E6060C" w:rsidRPr="00E6060C" w:rsidRDefault="00E6060C" w:rsidP="00F15DDF">
            <w:pPr>
              <w:numPr>
                <w:ilvl w:val="0"/>
                <w:numId w:val="35"/>
              </w:numPr>
              <w:ind w:left="162" w:hanging="162"/>
              <w:contextualSpacing/>
            </w:pPr>
            <w:r w:rsidRPr="00E6060C">
              <w:t>Weekly 30 min training sessions in CBT-based stress management skills for 6 weeks</w:t>
            </w:r>
          </w:p>
          <w:p w14:paraId="1FBAAE16" w14:textId="77777777" w:rsidR="00E6060C" w:rsidRPr="00E6060C" w:rsidRDefault="00E6060C" w:rsidP="00F15DDF">
            <w:pPr>
              <w:numPr>
                <w:ilvl w:val="0"/>
                <w:numId w:val="35"/>
              </w:numPr>
              <w:ind w:left="162" w:hanging="162"/>
              <w:contextualSpacing/>
            </w:pPr>
            <w:r w:rsidRPr="00E6060C">
              <w:t>Components: self-monitoring; cognitive restructuring; relaxation; assertiveness; problem solving</w:t>
            </w:r>
          </w:p>
          <w:p w14:paraId="57B537F0" w14:textId="77777777" w:rsidR="00E6060C" w:rsidRPr="00E6060C" w:rsidRDefault="00E6060C" w:rsidP="00F15DDF">
            <w:pPr>
              <w:numPr>
                <w:ilvl w:val="0"/>
                <w:numId w:val="35"/>
              </w:numPr>
              <w:ind w:left="162" w:hanging="162"/>
              <w:contextualSpacing/>
            </w:pPr>
            <w:r w:rsidRPr="00E6060C">
              <w:t>Voluntary homework at the end of each session encouraged</w:t>
            </w:r>
          </w:p>
        </w:tc>
        <w:tc>
          <w:tcPr>
            <w:tcW w:w="3827" w:type="dxa"/>
          </w:tcPr>
          <w:p w14:paraId="5E2FE9FF" w14:textId="77777777" w:rsidR="00E6060C" w:rsidRPr="00E6060C" w:rsidRDefault="00E6060C" w:rsidP="00F15DDF">
            <w:pPr>
              <w:numPr>
                <w:ilvl w:val="0"/>
                <w:numId w:val="35"/>
              </w:numPr>
              <w:ind w:left="162" w:hanging="162"/>
              <w:contextualSpacing/>
            </w:pPr>
            <w:r w:rsidRPr="00E6060C">
              <w:t>5 trained Clinical Psychologists provided feedback on submitted homework</w:t>
            </w:r>
          </w:p>
        </w:tc>
      </w:tr>
      <w:tr w:rsidR="00E6060C" w:rsidRPr="00E6060C" w14:paraId="6ACD237A" w14:textId="77777777" w:rsidTr="00E6060C">
        <w:tc>
          <w:tcPr>
            <w:tcW w:w="454" w:type="dxa"/>
          </w:tcPr>
          <w:p w14:paraId="3D3B5DA3" w14:textId="77777777" w:rsidR="00E6060C" w:rsidRPr="00E6060C" w:rsidRDefault="00E6060C" w:rsidP="00E6060C">
            <w:r w:rsidRPr="00E6060C">
              <w:t>30</w:t>
            </w:r>
          </w:p>
        </w:tc>
        <w:tc>
          <w:tcPr>
            <w:tcW w:w="1560" w:type="dxa"/>
          </w:tcPr>
          <w:p w14:paraId="298400EC" w14:textId="1D348305" w:rsidR="00E6060C" w:rsidRPr="00E6060C" w:rsidRDefault="00B700DB" w:rsidP="00E6060C">
            <w:r>
              <w:t>*Strijk, et al., 2013</w:t>
            </w:r>
          </w:p>
        </w:tc>
        <w:tc>
          <w:tcPr>
            <w:tcW w:w="4111" w:type="dxa"/>
          </w:tcPr>
          <w:p w14:paraId="482414E2" w14:textId="77777777" w:rsidR="00E6060C" w:rsidRPr="00E6060C" w:rsidRDefault="00E6060C" w:rsidP="00F15DDF">
            <w:pPr>
              <w:numPr>
                <w:ilvl w:val="0"/>
                <w:numId w:val="39"/>
              </w:numPr>
              <w:ind w:left="176" w:hanging="176"/>
              <w:contextualSpacing/>
            </w:pPr>
            <w:r w:rsidRPr="00E6060C">
              <w:t>All workers aged ≥45 yrs, and working ≥16 hrs a week, from two academic hospitals (Amsterdam &amp; Leiden) were invited by post</w:t>
            </w:r>
          </w:p>
          <w:p w14:paraId="2B41EFF4" w14:textId="77777777" w:rsidR="00E6060C" w:rsidRPr="00E6060C" w:rsidRDefault="00E6060C" w:rsidP="00E6060C">
            <w:pPr>
              <w:ind w:left="176"/>
              <w:contextualSpacing/>
            </w:pPr>
          </w:p>
        </w:tc>
        <w:tc>
          <w:tcPr>
            <w:tcW w:w="4819" w:type="dxa"/>
          </w:tcPr>
          <w:p w14:paraId="1B9F32EB" w14:textId="77777777" w:rsidR="00E6060C" w:rsidRPr="00E6060C" w:rsidRDefault="00E6060C" w:rsidP="00F15DDF">
            <w:pPr>
              <w:numPr>
                <w:ilvl w:val="0"/>
                <w:numId w:val="39"/>
              </w:numPr>
              <w:ind w:left="176" w:hanging="176"/>
              <w:contextualSpacing/>
            </w:pPr>
            <w:r w:rsidRPr="00E6060C">
              <w:t>Personal Vitality Coach</w:t>
            </w:r>
          </w:p>
          <w:p w14:paraId="45711B97" w14:textId="77777777" w:rsidR="00E6060C" w:rsidRPr="00E6060C" w:rsidRDefault="00E6060C" w:rsidP="00F15DDF">
            <w:pPr>
              <w:numPr>
                <w:ilvl w:val="0"/>
                <w:numId w:val="39"/>
              </w:numPr>
              <w:ind w:left="176" w:hanging="176"/>
              <w:contextualSpacing/>
            </w:pPr>
            <w:r w:rsidRPr="00E6060C">
              <w:t>Vitality exercise programme (yoga &amp; aerobic)</w:t>
            </w:r>
          </w:p>
          <w:p w14:paraId="1F3C4EDE" w14:textId="77777777" w:rsidR="00E6060C" w:rsidRPr="00E6060C" w:rsidRDefault="00E6060C" w:rsidP="00F15DDF">
            <w:pPr>
              <w:numPr>
                <w:ilvl w:val="0"/>
                <w:numId w:val="39"/>
              </w:numPr>
              <w:ind w:left="175" w:hanging="175"/>
              <w:contextualSpacing/>
            </w:pPr>
            <w:r w:rsidRPr="00E6060C">
              <w:t>Free fruit</w:t>
            </w:r>
          </w:p>
        </w:tc>
        <w:tc>
          <w:tcPr>
            <w:tcW w:w="3827" w:type="dxa"/>
          </w:tcPr>
          <w:p w14:paraId="67AA5A69" w14:textId="77777777" w:rsidR="00E6060C" w:rsidRPr="00E6060C" w:rsidRDefault="00E6060C" w:rsidP="00F15DDF">
            <w:pPr>
              <w:numPr>
                <w:ilvl w:val="0"/>
                <w:numId w:val="39"/>
              </w:numPr>
              <w:contextualSpacing/>
            </w:pPr>
            <w:r w:rsidRPr="00E6060C">
              <w:t>Qualified, yoga instructor</w:t>
            </w:r>
          </w:p>
          <w:p w14:paraId="0D5B5E17" w14:textId="77777777" w:rsidR="00E6060C" w:rsidRPr="00E6060C" w:rsidRDefault="00E6060C" w:rsidP="00F15DDF">
            <w:pPr>
              <w:numPr>
                <w:ilvl w:val="0"/>
                <w:numId w:val="39"/>
              </w:numPr>
              <w:contextualSpacing/>
            </w:pPr>
            <w:r w:rsidRPr="00E6060C">
              <w:t>Fitness instructor</w:t>
            </w:r>
          </w:p>
          <w:p w14:paraId="05355A12" w14:textId="77777777" w:rsidR="00E6060C" w:rsidRPr="00E6060C" w:rsidRDefault="00E6060C" w:rsidP="00F15DDF">
            <w:pPr>
              <w:numPr>
                <w:ilvl w:val="0"/>
                <w:numId w:val="39"/>
              </w:numPr>
              <w:contextualSpacing/>
            </w:pPr>
            <w:r w:rsidRPr="00E6060C">
              <w:t>Personal Vitality Coach</w:t>
            </w:r>
          </w:p>
        </w:tc>
      </w:tr>
      <w:tr w:rsidR="00E6060C" w:rsidRPr="00E6060C" w14:paraId="79141D6B" w14:textId="77777777" w:rsidTr="00E6060C">
        <w:tc>
          <w:tcPr>
            <w:tcW w:w="454" w:type="dxa"/>
          </w:tcPr>
          <w:p w14:paraId="5AD6EF56" w14:textId="77777777" w:rsidR="00E6060C" w:rsidRPr="00E6060C" w:rsidRDefault="00E6060C" w:rsidP="00E6060C">
            <w:r w:rsidRPr="00E6060C">
              <w:t>31</w:t>
            </w:r>
          </w:p>
        </w:tc>
        <w:tc>
          <w:tcPr>
            <w:tcW w:w="1560" w:type="dxa"/>
          </w:tcPr>
          <w:p w14:paraId="02A8A55D" w14:textId="7646E464" w:rsidR="00E6060C" w:rsidRPr="00E6060C" w:rsidRDefault="00B700DB" w:rsidP="00E6060C">
            <w:r>
              <w:t>*Van Berkel, et al., 2014</w:t>
            </w:r>
          </w:p>
        </w:tc>
        <w:tc>
          <w:tcPr>
            <w:tcW w:w="4111" w:type="dxa"/>
          </w:tcPr>
          <w:p w14:paraId="1ADCA293" w14:textId="77777777" w:rsidR="00E6060C" w:rsidRPr="00E6060C" w:rsidRDefault="00E6060C" w:rsidP="00F15DDF">
            <w:pPr>
              <w:numPr>
                <w:ilvl w:val="0"/>
                <w:numId w:val="125"/>
              </w:numPr>
              <w:ind w:left="217" w:hanging="217"/>
              <w:contextualSpacing/>
            </w:pPr>
            <w:r w:rsidRPr="00E6060C">
              <w:t>Via communication channels such as intranet, internet, posters and e-newsletters</w:t>
            </w:r>
          </w:p>
          <w:p w14:paraId="1D55A751" w14:textId="77777777" w:rsidR="00E6060C" w:rsidRPr="00E6060C" w:rsidRDefault="00E6060C" w:rsidP="00F15DDF">
            <w:pPr>
              <w:numPr>
                <w:ilvl w:val="0"/>
                <w:numId w:val="125"/>
              </w:numPr>
              <w:ind w:left="217" w:hanging="217"/>
              <w:contextualSpacing/>
            </w:pPr>
            <w:r w:rsidRPr="00E6060C">
              <w:t>Support was sought from supervisors and directors</w:t>
            </w:r>
          </w:p>
          <w:p w14:paraId="7A008499" w14:textId="77777777" w:rsidR="00E6060C" w:rsidRPr="00E6060C" w:rsidRDefault="00E6060C" w:rsidP="00F15DDF">
            <w:pPr>
              <w:numPr>
                <w:ilvl w:val="0"/>
                <w:numId w:val="125"/>
              </w:numPr>
              <w:ind w:left="217" w:hanging="217"/>
              <w:contextualSpacing/>
            </w:pPr>
            <w:r w:rsidRPr="00E6060C">
              <w:t>Workers were invited by email</w:t>
            </w:r>
          </w:p>
          <w:p w14:paraId="00EBC7F0" w14:textId="77777777" w:rsidR="00E6060C" w:rsidRPr="00E6060C" w:rsidRDefault="00E6060C" w:rsidP="00F15DDF">
            <w:pPr>
              <w:numPr>
                <w:ilvl w:val="0"/>
                <w:numId w:val="125"/>
              </w:numPr>
              <w:ind w:left="217" w:hanging="217"/>
              <w:contextualSpacing/>
            </w:pPr>
            <w:r w:rsidRPr="00E6060C">
              <w:t xml:space="preserve">In one organisation, a hard copy of an invitation was distributed to participants </w:t>
            </w:r>
          </w:p>
          <w:p w14:paraId="7061FA75" w14:textId="77777777" w:rsidR="00E6060C" w:rsidRPr="00E6060C" w:rsidRDefault="00E6060C" w:rsidP="00E6060C">
            <w:pPr>
              <w:ind w:left="217"/>
              <w:contextualSpacing/>
            </w:pPr>
          </w:p>
        </w:tc>
        <w:tc>
          <w:tcPr>
            <w:tcW w:w="4819" w:type="dxa"/>
          </w:tcPr>
          <w:p w14:paraId="79D24427" w14:textId="77777777" w:rsidR="00E6060C" w:rsidRPr="00E6060C" w:rsidRDefault="00E6060C" w:rsidP="00F15DDF">
            <w:pPr>
              <w:numPr>
                <w:ilvl w:val="0"/>
                <w:numId w:val="125"/>
              </w:numPr>
              <w:ind w:left="217" w:hanging="217"/>
              <w:contextualSpacing/>
            </w:pPr>
            <w:r w:rsidRPr="00E6060C">
              <w:t>8 week group mindfulness training</w:t>
            </w:r>
          </w:p>
          <w:p w14:paraId="128D75E5" w14:textId="77777777" w:rsidR="00E6060C" w:rsidRPr="00E6060C" w:rsidRDefault="00E6060C" w:rsidP="00F15DDF">
            <w:pPr>
              <w:numPr>
                <w:ilvl w:val="0"/>
                <w:numId w:val="125"/>
              </w:numPr>
              <w:ind w:left="217" w:hanging="217"/>
              <w:contextualSpacing/>
            </w:pPr>
            <w:r w:rsidRPr="00E6060C">
              <w:t xml:space="preserve">Goal-setting homework </w:t>
            </w:r>
          </w:p>
          <w:p w14:paraId="57F0910E" w14:textId="77777777" w:rsidR="00E6060C" w:rsidRPr="00E6060C" w:rsidRDefault="00E6060C" w:rsidP="00F15DDF">
            <w:pPr>
              <w:numPr>
                <w:ilvl w:val="0"/>
                <w:numId w:val="125"/>
              </w:numPr>
              <w:ind w:left="217" w:hanging="217"/>
              <w:contextualSpacing/>
            </w:pPr>
            <w:r w:rsidRPr="00E6060C">
              <w:t>individual e-coaching</w:t>
            </w:r>
          </w:p>
          <w:p w14:paraId="42F9AF23" w14:textId="77777777" w:rsidR="00E6060C" w:rsidRPr="00E6060C" w:rsidRDefault="00E6060C" w:rsidP="00F15DDF">
            <w:pPr>
              <w:numPr>
                <w:ilvl w:val="0"/>
                <w:numId w:val="125"/>
              </w:numPr>
              <w:ind w:left="217" w:hanging="217"/>
              <w:contextualSpacing/>
            </w:pPr>
            <w:r w:rsidRPr="00E6060C">
              <w:t>Free fruit and veg snacks</w:t>
            </w:r>
          </w:p>
          <w:p w14:paraId="7FC09E83" w14:textId="77777777" w:rsidR="00E6060C" w:rsidRPr="00E6060C" w:rsidRDefault="00E6060C" w:rsidP="00F15DDF">
            <w:pPr>
              <w:numPr>
                <w:ilvl w:val="0"/>
                <w:numId w:val="125"/>
              </w:numPr>
              <w:ind w:left="217" w:hanging="217"/>
              <w:contextualSpacing/>
            </w:pPr>
            <w:r w:rsidRPr="00E6060C">
              <w:t>Buddy system</w:t>
            </w:r>
          </w:p>
          <w:p w14:paraId="1B8E0EC3" w14:textId="77777777" w:rsidR="00E6060C" w:rsidRPr="00E6060C" w:rsidRDefault="00E6060C" w:rsidP="00F15DDF">
            <w:pPr>
              <w:numPr>
                <w:ilvl w:val="0"/>
                <w:numId w:val="125"/>
              </w:numPr>
              <w:ind w:left="217" w:hanging="217"/>
              <w:contextualSpacing/>
            </w:pPr>
            <w:r w:rsidRPr="00E6060C">
              <w:t>Supporting materials (e.g. web page, logbook)</w:t>
            </w:r>
          </w:p>
        </w:tc>
        <w:tc>
          <w:tcPr>
            <w:tcW w:w="3827" w:type="dxa"/>
          </w:tcPr>
          <w:p w14:paraId="33D91C64" w14:textId="77777777" w:rsidR="00E6060C" w:rsidRPr="00E6060C" w:rsidRDefault="00E6060C" w:rsidP="00F15DDF">
            <w:pPr>
              <w:numPr>
                <w:ilvl w:val="0"/>
                <w:numId w:val="125"/>
              </w:numPr>
              <w:ind w:left="217" w:hanging="217"/>
              <w:contextualSpacing/>
            </w:pPr>
            <w:r w:rsidRPr="00E6060C">
              <w:t>4 certified mindfulness trainers who were members of the Society of Mindfulness-Based trainers in the Netherlands and Flanders</w:t>
            </w:r>
          </w:p>
          <w:p w14:paraId="2B230218" w14:textId="77777777" w:rsidR="00E6060C" w:rsidRPr="00E6060C" w:rsidRDefault="00E6060C" w:rsidP="00F15DDF">
            <w:pPr>
              <w:numPr>
                <w:ilvl w:val="0"/>
                <w:numId w:val="125"/>
              </w:numPr>
              <w:ind w:left="217" w:hanging="217"/>
              <w:contextualSpacing/>
            </w:pPr>
            <w:r w:rsidRPr="00E6060C">
              <w:t>Assume these trainers also provided the e-coaching</w:t>
            </w:r>
          </w:p>
        </w:tc>
      </w:tr>
      <w:tr w:rsidR="00E6060C" w:rsidRPr="00E6060C" w14:paraId="4A07896F" w14:textId="77777777" w:rsidTr="00E6060C">
        <w:tc>
          <w:tcPr>
            <w:tcW w:w="14771" w:type="dxa"/>
            <w:gridSpan w:val="5"/>
            <w:shd w:val="clear" w:color="auto" w:fill="D9D9D9" w:themeFill="background1" w:themeFillShade="D9"/>
          </w:tcPr>
          <w:p w14:paraId="13B995BF" w14:textId="77777777" w:rsidR="00E6060C" w:rsidRPr="00E6060C" w:rsidRDefault="00E6060C" w:rsidP="00E6060C">
            <w:pPr>
              <w:rPr>
                <w:b/>
              </w:rPr>
            </w:pPr>
            <w:r w:rsidRPr="00E6060C">
              <w:rPr>
                <w:b/>
              </w:rPr>
              <w:t>ONGOING HEALTH PROMOTION INTERVENTIONS</w:t>
            </w:r>
          </w:p>
          <w:p w14:paraId="51B28E3D" w14:textId="77777777" w:rsidR="00E6060C" w:rsidRPr="00E6060C" w:rsidRDefault="00E6060C" w:rsidP="00E6060C">
            <w:pPr>
              <w:rPr>
                <w:b/>
              </w:rPr>
            </w:pPr>
          </w:p>
        </w:tc>
      </w:tr>
      <w:tr w:rsidR="00E6060C" w:rsidRPr="00E6060C" w14:paraId="20EB83B8" w14:textId="77777777" w:rsidTr="00E6060C">
        <w:tc>
          <w:tcPr>
            <w:tcW w:w="454" w:type="dxa"/>
            <w:shd w:val="clear" w:color="auto" w:fill="D9D9D9" w:themeFill="background1" w:themeFillShade="D9"/>
          </w:tcPr>
          <w:p w14:paraId="1E3047E9" w14:textId="77777777" w:rsidR="00E6060C" w:rsidRPr="00E6060C" w:rsidRDefault="00E6060C" w:rsidP="00E6060C">
            <w:r w:rsidRPr="00E6060C">
              <w:t>32</w:t>
            </w:r>
          </w:p>
        </w:tc>
        <w:tc>
          <w:tcPr>
            <w:tcW w:w="1560" w:type="dxa"/>
            <w:shd w:val="clear" w:color="auto" w:fill="D9D9D9" w:themeFill="background1" w:themeFillShade="D9"/>
          </w:tcPr>
          <w:p w14:paraId="3D436E4A" w14:textId="77777777" w:rsidR="00E6060C" w:rsidRPr="00E6060C" w:rsidRDefault="00E6060C" w:rsidP="00E6060C">
            <w:r w:rsidRPr="00E6060C">
              <w:t>Ebert et al., 2014</w:t>
            </w:r>
          </w:p>
        </w:tc>
        <w:tc>
          <w:tcPr>
            <w:tcW w:w="4111" w:type="dxa"/>
            <w:shd w:val="clear" w:color="auto" w:fill="D9D9D9" w:themeFill="background1" w:themeFillShade="D9"/>
          </w:tcPr>
          <w:p w14:paraId="5EEAF302" w14:textId="77777777" w:rsidR="00E6060C" w:rsidRPr="00E6060C" w:rsidRDefault="00E6060C" w:rsidP="00F15DDF">
            <w:pPr>
              <w:numPr>
                <w:ilvl w:val="0"/>
                <w:numId w:val="40"/>
              </w:numPr>
              <w:ind w:left="147" w:hanging="147"/>
              <w:contextualSpacing/>
            </w:pPr>
            <w:r w:rsidRPr="00E6060C">
              <w:t>Participants were intended to be recruited (Jan-May 2014) via the homepage of a large health insurance company in Germany, all regional offices of the insurance company, and adverts in newspapers and a ‘members-journal’</w:t>
            </w:r>
          </w:p>
          <w:p w14:paraId="767983AB" w14:textId="77777777" w:rsidR="00E6060C" w:rsidRPr="00E6060C" w:rsidRDefault="00E6060C" w:rsidP="00F15DDF">
            <w:pPr>
              <w:numPr>
                <w:ilvl w:val="0"/>
                <w:numId w:val="40"/>
              </w:numPr>
              <w:ind w:left="147" w:hanging="147"/>
              <w:contextualSpacing/>
            </w:pPr>
            <w:r w:rsidRPr="00E6060C">
              <w:t>The invitation extends to all eligible participants, not just members of the insurance company</w:t>
            </w:r>
          </w:p>
          <w:p w14:paraId="2EBD1F33" w14:textId="77777777" w:rsidR="00E6060C" w:rsidRPr="00E6060C" w:rsidRDefault="00E6060C" w:rsidP="00F15DDF">
            <w:pPr>
              <w:numPr>
                <w:ilvl w:val="0"/>
                <w:numId w:val="40"/>
              </w:numPr>
              <w:ind w:left="147" w:hanging="147"/>
              <w:contextualSpacing/>
            </w:pPr>
            <w:r w:rsidRPr="00E6060C">
              <w:lastRenderedPageBreak/>
              <w:t xml:space="preserve">Those who applied to participate should have received an online information letter </w:t>
            </w:r>
          </w:p>
          <w:p w14:paraId="2862A68B" w14:textId="77777777" w:rsidR="00E6060C" w:rsidRPr="00E6060C" w:rsidRDefault="00E6060C" w:rsidP="00F15DDF">
            <w:pPr>
              <w:numPr>
                <w:ilvl w:val="0"/>
                <w:numId w:val="40"/>
              </w:numPr>
              <w:ind w:left="147" w:hanging="147"/>
              <w:contextualSpacing/>
            </w:pPr>
            <w:r w:rsidRPr="00E6060C">
              <w:t>Those meeting the inclusion criteria were randomly assigned to groups (employees &gt;18yrs, with scores higher than 22 on the Perceived Stress scale (PSS, 1 SD above the mean), amongst others)</w:t>
            </w:r>
          </w:p>
          <w:p w14:paraId="6B9BF31E" w14:textId="77777777" w:rsidR="00E6060C" w:rsidRPr="00E6060C" w:rsidRDefault="00E6060C" w:rsidP="00F15DDF">
            <w:pPr>
              <w:numPr>
                <w:ilvl w:val="0"/>
                <w:numId w:val="41"/>
              </w:numPr>
              <w:ind w:left="208" w:hanging="208"/>
              <w:contextualSpacing/>
            </w:pPr>
            <w:r w:rsidRPr="00E6060C">
              <w:t>Exclusion criteria included not being employed, past diagnosis of psychosis or dissociative symptoms, and a suicide risk (&gt;1 on item 9 of the BDI)</w:t>
            </w:r>
          </w:p>
          <w:p w14:paraId="58CAB0D2" w14:textId="77777777" w:rsidR="00E6060C" w:rsidRPr="00E6060C" w:rsidRDefault="00E6060C" w:rsidP="00E6060C">
            <w:pPr>
              <w:spacing w:after="200" w:line="276" w:lineRule="auto"/>
              <w:ind w:left="147"/>
              <w:contextualSpacing/>
            </w:pPr>
          </w:p>
        </w:tc>
        <w:tc>
          <w:tcPr>
            <w:tcW w:w="4819" w:type="dxa"/>
            <w:shd w:val="clear" w:color="auto" w:fill="D9D9D9" w:themeFill="background1" w:themeFillShade="D9"/>
          </w:tcPr>
          <w:p w14:paraId="72EE49EB" w14:textId="77777777" w:rsidR="00E6060C" w:rsidRPr="00E6060C" w:rsidRDefault="00E6060C" w:rsidP="00E6060C">
            <w:r w:rsidRPr="00E6060C">
              <w:lastRenderedPageBreak/>
              <w:t xml:space="preserve">Three groups: </w:t>
            </w:r>
          </w:p>
          <w:p w14:paraId="3A96B036" w14:textId="77777777" w:rsidR="00E6060C" w:rsidRPr="00E6060C" w:rsidRDefault="00E6060C" w:rsidP="00E6060C">
            <w:r w:rsidRPr="00E6060C">
              <w:t>1. minimal guided iSMI</w:t>
            </w:r>
          </w:p>
          <w:p w14:paraId="41F2DA90" w14:textId="77777777" w:rsidR="00E6060C" w:rsidRPr="00E6060C" w:rsidRDefault="00E6060C" w:rsidP="00E6060C">
            <w:r w:rsidRPr="00E6060C">
              <w:t>2. unguided iSMI</w:t>
            </w:r>
          </w:p>
          <w:p w14:paraId="1CB7A314" w14:textId="77777777" w:rsidR="00E6060C" w:rsidRPr="00E6060C" w:rsidRDefault="00E6060C" w:rsidP="00E6060C">
            <w:r w:rsidRPr="00E6060C">
              <w:t>3. waiting list control</w:t>
            </w:r>
          </w:p>
          <w:p w14:paraId="4BF7E4CC" w14:textId="77777777" w:rsidR="00E6060C" w:rsidRPr="00E6060C" w:rsidRDefault="00E6060C" w:rsidP="00F15DDF">
            <w:pPr>
              <w:numPr>
                <w:ilvl w:val="0"/>
                <w:numId w:val="40"/>
              </w:numPr>
              <w:ind w:left="147" w:hanging="147"/>
              <w:contextualSpacing/>
            </w:pPr>
            <w:r w:rsidRPr="00E6060C">
              <w:t xml:space="preserve">All groups have access to treatment as usual </w:t>
            </w:r>
          </w:p>
          <w:p w14:paraId="0011383C" w14:textId="77777777" w:rsidR="00E6060C" w:rsidRPr="00E6060C" w:rsidRDefault="00E6060C" w:rsidP="00F15DDF">
            <w:pPr>
              <w:numPr>
                <w:ilvl w:val="0"/>
                <w:numId w:val="40"/>
              </w:numPr>
              <w:ind w:left="147" w:hanging="147"/>
              <w:contextualSpacing/>
            </w:pPr>
            <w:r w:rsidRPr="00E6060C">
              <w:t>2 components: problem solving and emotion regulation</w:t>
            </w:r>
          </w:p>
          <w:p w14:paraId="2FA70C45" w14:textId="77777777" w:rsidR="00E6060C" w:rsidRPr="00E6060C" w:rsidRDefault="00E6060C" w:rsidP="00F15DDF">
            <w:pPr>
              <w:numPr>
                <w:ilvl w:val="0"/>
                <w:numId w:val="40"/>
              </w:numPr>
              <w:ind w:left="147" w:hanging="147"/>
              <w:contextualSpacing/>
            </w:pPr>
            <w:r w:rsidRPr="00E6060C">
              <w:t>8 sessions covering psycho-education, problem solving, emotion regulation, planning for the future and a booster session (after 4 weeks)</w:t>
            </w:r>
          </w:p>
          <w:p w14:paraId="368E8EEE" w14:textId="77777777" w:rsidR="00E6060C" w:rsidRPr="00E6060C" w:rsidRDefault="00E6060C" w:rsidP="00F15DDF">
            <w:pPr>
              <w:numPr>
                <w:ilvl w:val="0"/>
                <w:numId w:val="40"/>
              </w:numPr>
              <w:ind w:left="147" w:hanging="147"/>
              <w:contextualSpacing/>
            </w:pPr>
            <w:r w:rsidRPr="00E6060C">
              <w:lastRenderedPageBreak/>
              <w:t>8 further, optional modules offered, which are integrated into sessions 2 to 6, &amp; include time management, rumination, worrying, psychological detachment from work, sleep hygiene, rhythm &amp; regularity of sleeping habits, nutrition &amp; exercise, organisation of breaks during work, &amp; social support</w:t>
            </w:r>
          </w:p>
          <w:p w14:paraId="160E1C1A" w14:textId="77777777" w:rsidR="00E6060C" w:rsidRPr="00E6060C" w:rsidRDefault="00E6060C" w:rsidP="00F15DDF">
            <w:pPr>
              <w:numPr>
                <w:ilvl w:val="0"/>
                <w:numId w:val="40"/>
              </w:numPr>
              <w:ind w:left="147" w:hanging="147"/>
              <w:contextualSpacing/>
            </w:pPr>
            <w:r w:rsidRPr="00E6060C">
              <w:t>Each session is 45-60 mins</w:t>
            </w:r>
          </w:p>
          <w:p w14:paraId="3658CA8B" w14:textId="77777777" w:rsidR="00E6060C" w:rsidRPr="00E6060C" w:rsidRDefault="00E6060C" w:rsidP="00F15DDF">
            <w:pPr>
              <w:numPr>
                <w:ilvl w:val="0"/>
                <w:numId w:val="40"/>
              </w:numPr>
              <w:ind w:left="147" w:hanging="147"/>
              <w:contextualSpacing/>
            </w:pPr>
            <w:r w:rsidRPr="00E6060C">
              <w:t>Participants advised to take 1-2 sessions a week</w:t>
            </w:r>
          </w:p>
          <w:p w14:paraId="075EF9B6" w14:textId="77777777" w:rsidR="00E6060C" w:rsidRPr="00E6060C" w:rsidRDefault="00E6060C" w:rsidP="00F15DDF">
            <w:pPr>
              <w:numPr>
                <w:ilvl w:val="0"/>
                <w:numId w:val="40"/>
              </w:numPr>
              <w:ind w:left="147" w:hanging="147"/>
              <w:contextualSpacing/>
            </w:pPr>
            <w:r w:rsidRPr="00E6060C">
              <w:t>Sessions include texts, exercises, testimonials, audio and video clips</w:t>
            </w:r>
          </w:p>
          <w:p w14:paraId="619E6BF8" w14:textId="77777777" w:rsidR="00E6060C" w:rsidRPr="00E6060C" w:rsidRDefault="00E6060C" w:rsidP="00F15DDF">
            <w:pPr>
              <w:numPr>
                <w:ilvl w:val="0"/>
                <w:numId w:val="40"/>
              </w:numPr>
              <w:ind w:left="147" w:hanging="147"/>
              <w:contextualSpacing/>
            </w:pPr>
            <w:r w:rsidRPr="00E6060C">
              <w:t>Daily online stress diary encouraged</w:t>
            </w:r>
          </w:p>
          <w:p w14:paraId="15A0F36B" w14:textId="77777777" w:rsidR="00E6060C" w:rsidRPr="00E6060C" w:rsidRDefault="00E6060C" w:rsidP="00F15DDF">
            <w:pPr>
              <w:numPr>
                <w:ilvl w:val="0"/>
                <w:numId w:val="40"/>
              </w:numPr>
              <w:ind w:left="147" w:hanging="147"/>
              <w:contextualSpacing/>
            </w:pPr>
            <w:r w:rsidRPr="00E6060C">
              <w:t>Homework</w:t>
            </w:r>
          </w:p>
          <w:p w14:paraId="5AA7200B" w14:textId="77777777" w:rsidR="00E6060C" w:rsidRPr="00E6060C" w:rsidRDefault="00E6060C" w:rsidP="00F15DDF">
            <w:pPr>
              <w:numPr>
                <w:ilvl w:val="0"/>
                <w:numId w:val="40"/>
              </w:numPr>
              <w:ind w:left="147" w:hanging="147"/>
              <w:contextualSpacing/>
            </w:pPr>
            <w:r w:rsidRPr="00E6060C">
              <w:t>Adapted to the individual via responsive web design</w:t>
            </w:r>
          </w:p>
          <w:p w14:paraId="58852D79" w14:textId="77777777" w:rsidR="00E6060C" w:rsidRPr="00E6060C" w:rsidRDefault="00E6060C" w:rsidP="00F15DDF">
            <w:pPr>
              <w:numPr>
                <w:ilvl w:val="0"/>
                <w:numId w:val="40"/>
              </w:numPr>
              <w:ind w:left="147" w:hanging="147"/>
              <w:contextualSpacing/>
            </w:pPr>
            <w:r w:rsidRPr="00E6060C">
              <w:t>Can receive motivational texts &amp; exercises on mobile phones (e.g. relaxation exercises)</w:t>
            </w:r>
          </w:p>
          <w:p w14:paraId="082E4EE1" w14:textId="77777777" w:rsidR="00E6060C" w:rsidRPr="00E6060C" w:rsidRDefault="00E6060C" w:rsidP="00F15DDF">
            <w:pPr>
              <w:numPr>
                <w:ilvl w:val="0"/>
                <w:numId w:val="40"/>
              </w:numPr>
              <w:ind w:left="147" w:hanging="147"/>
              <w:contextualSpacing/>
            </w:pPr>
            <w:r w:rsidRPr="00E6060C">
              <w:t>Unguided iSMI group are not supported by an e-coach but have a contact for technical queries</w:t>
            </w:r>
          </w:p>
          <w:p w14:paraId="7394D1FF" w14:textId="77777777" w:rsidR="00E6060C" w:rsidRPr="00E6060C" w:rsidRDefault="00E6060C" w:rsidP="00F15DDF">
            <w:pPr>
              <w:numPr>
                <w:ilvl w:val="0"/>
                <w:numId w:val="40"/>
              </w:numPr>
              <w:ind w:left="147" w:hanging="147"/>
              <w:contextualSpacing/>
            </w:pPr>
            <w:r w:rsidRPr="00E6060C">
              <w:t>Minimal guided iSMI group have an e-coach (trained psychologists) who monitor and support participants’ adherence to the programme, &amp; provide feedback on demand</w:t>
            </w:r>
          </w:p>
        </w:tc>
        <w:tc>
          <w:tcPr>
            <w:tcW w:w="3827" w:type="dxa"/>
            <w:shd w:val="clear" w:color="auto" w:fill="D9D9D9" w:themeFill="background1" w:themeFillShade="D9"/>
          </w:tcPr>
          <w:p w14:paraId="2F490FAF" w14:textId="77777777" w:rsidR="00E6060C" w:rsidRPr="00E6060C" w:rsidRDefault="00E6060C" w:rsidP="00F15DDF">
            <w:pPr>
              <w:numPr>
                <w:ilvl w:val="0"/>
                <w:numId w:val="42"/>
              </w:numPr>
              <w:ind w:left="176" w:hanging="176"/>
              <w:contextualSpacing/>
            </w:pPr>
            <w:r w:rsidRPr="00E6060C">
              <w:lastRenderedPageBreak/>
              <w:t>E-coaches – trained psychologists who will follow standard guidelines</w:t>
            </w:r>
          </w:p>
        </w:tc>
      </w:tr>
      <w:tr w:rsidR="00E6060C" w:rsidRPr="00E6060C" w14:paraId="48FD8D02" w14:textId="77777777" w:rsidTr="00E6060C">
        <w:tc>
          <w:tcPr>
            <w:tcW w:w="454" w:type="dxa"/>
            <w:tcBorders>
              <w:bottom w:val="single" w:sz="4" w:space="0" w:color="auto"/>
            </w:tcBorders>
            <w:shd w:val="clear" w:color="auto" w:fill="D9D9D9" w:themeFill="background1" w:themeFillShade="D9"/>
          </w:tcPr>
          <w:p w14:paraId="0628E6D7" w14:textId="77777777" w:rsidR="00E6060C" w:rsidRPr="00E6060C" w:rsidRDefault="00E6060C" w:rsidP="00E6060C">
            <w:r w:rsidRPr="00E6060C">
              <w:t>33</w:t>
            </w:r>
          </w:p>
        </w:tc>
        <w:tc>
          <w:tcPr>
            <w:tcW w:w="1560" w:type="dxa"/>
            <w:tcBorders>
              <w:bottom w:val="single" w:sz="4" w:space="0" w:color="auto"/>
            </w:tcBorders>
            <w:shd w:val="clear" w:color="auto" w:fill="D9D9D9" w:themeFill="background1" w:themeFillShade="D9"/>
          </w:tcPr>
          <w:p w14:paraId="6A2C7409" w14:textId="77777777" w:rsidR="00E6060C" w:rsidRPr="00E6060C" w:rsidRDefault="00E6060C" w:rsidP="00E6060C">
            <w:r w:rsidRPr="00E6060C">
              <w:t>Wiezer et al., 2013</w:t>
            </w:r>
          </w:p>
        </w:tc>
        <w:tc>
          <w:tcPr>
            <w:tcW w:w="4111" w:type="dxa"/>
            <w:tcBorders>
              <w:bottom w:val="single" w:sz="4" w:space="0" w:color="auto"/>
            </w:tcBorders>
            <w:shd w:val="clear" w:color="auto" w:fill="D9D9D9" w:themeFill="background1" w:themeFillShade="D9"/>
          </w:tcPr>
          <w:p w14:paraId="466C645F" w14:textId="77777777" w:rsidR="00E6060C" w:rsidRPr="00E6060C" w:rsidRDefault="00E6060C" w:rsidP="00F15DDF">
            <w:pPr>
              <w:numPr>
                <w:ilvl w:val="0"/>
                <w:numId w:val="26"/>
              </w:numPr>
              <w:ind w:left="286" w:hanging="286"/>
              <w:contextualSpacing/>
            </w:pPr>
            <w:r w:rsidRPr="00E6060C">
              <w:t xml:space="preserve"> Not specified </w:t>
            </w:r>
          </w:p>
        </w:tc>
        <w:tc>
          <w:tcPr>
            <w:tcW w:w="4819" w:type="dxa"/>
            <w:tcBorders>
              <w:bottom w:val="single" w:sz="4" w:space="0" w:color="auto"/>
            </w:tcBorders>
            <w:shd w:val="clear" w:color="auto" w:fill="D9D9D9" w:themeFill="background1" w:themeFillShade="D9"/>
          </w:tcPr>
          <w:p w14:paraId="475367F4" w14:textId="77777777" w:rsidR="00E6060C" w:rsidRPr="00E6060C" w:rsidRDefault="00E6060C" w:rsidP="00F15DDF">
            <w:pPr>
              <w:numPr>
                <w:ilvl w:val="0"/>
                <w:numId w:val="43"/>
              </w:numPr>
              <w:ind w:left="183" w:hanging="183"/>
              <w:contextualSpacing/>
            </w:pPr>
            <w:r w:rsidRPr="00E6060C">
              <w:t>Intervention group receives standard training, plus the game</w:t>
            </w:r>
          </w:p>
          <w:p w14:paraId="65C7D481" w14:textId="77777777" w:rsidR="00E6060C" w:rsidRPr="00E6060C" w:rsidRDefault="00E6060C" w:rsidP="00F15DDF">
            <w:pPr>
              <w:numPr>
                <w:ilvl w:val="0"/>
                <w:numId w:val="43"/>
              </w:numPr>
              <w:ind w:left="183" w:hanging="183"/>
              <w:contextualSpacing/>
            </w:pPr>
            <w:r w:rsidRPr="00E6060C">
              <w:t>Control receives standard training without the game</w:t>
            </w:r>
          </w:p>
          <w:p w14:paraId="3E304309" w14:textId="77777777" w:rsidR="00E6060C" w:rsidRPr="00E6060C" w:rsidRDefault="00E6060C" w:rsidP="00F15DDF">
            <w:pPr>
              <w:numPr>
                <w:ilvl w:val="0"/>
                <w:numId w:val="43"/>
              </w:numPr>
              <w:ind w:left="183" w:hanging="183"/>
              <w:contextualSpacing/>
            </w:pPr>
            <w:r w:rsidRPr="00E6060C">
              <w:t>Game consists of two scenarios, each 20 mins</w:t>
            </w:r>
          </w:p>
          <w:p w14:paraId="5C8898DE" w14:textId="77777777" w:rsidR="00E6060C" w:rsidRPr="00E6060C" w:rsidRDefault="00E6060C" w:rsidP="00F15DDF">
            <w:pPr>
              <w:numPr>
                <w:ilvl w:val="0"/>
                <w:numId w:val="43"/>
              </w:numPr>
              <w:ind w:left="183" w:hanging="183"/>
              <w:contextualSpacing/>
            </w:pPr>
            <w:r w:rsidRPr="00E6060C">
              <w:lastRenderedPageBreak/>
              <w:t>One scenario is more challenging than the other</w:t>
            </w:r>
          </w:p>
          <w:p w14:paraId="7F5D6C5D" w14:textId="77777777" w:rsidR="00E6060C" w:rsidRPr="00E6060C" w:rsidRDefault="00E6060C" w:rsidP="00F15DDF">
            <w:pPr>
              <w:numPr>
                <w:ilvl w:val="0"/>
                <w:numId w:val="43"/>
              </w:numPr>
              <w:ind w:left="183" w:hanging="183"/>
              <w:contextualSpacing/>
            </w:pPr>
            <w:r w:rsidRPr="00E6060C">
              <w:t>Game usually played in pairs, to stimulate discussion around decisions, as part of the training</w:t>
            </w:r>
          </w:p>
          <w:p w14:paraId="3E132552" w14:textId="77777777" w:rsidR="00E6060C" w:rsidRPr="00E6060C" w:rsidRDefault="00E6060C" w:rsidP="00F15DDF">
            <w:pPr>
              <w:numPr>
                <w:ilvl w:val="0"/>
                <w:numId w:val="43"/>
              </w:numPr>
              <w:ind w:left="183" w:hanging="183"/>
              <w:contextualSpacing/>
            </w:pPr>
            <w:r w:rsidRPr="00E6060C">
              <w:t>Feedback provided for why targets were / were not reached</w:t>
            </w:r>
          </w:p>
          <w:p w14:paraId="7F8B863D" w14:textId="77777777" w:rsidR="00E6060C" w:rsidRPr="00E6060C" w:rsidRDefault="00E6060C" w:rsidP="00F15DDF">
            <w:pPr>
              <w:numPr>
                <w:ilvl w:val="0"/>
                <w:numId w:val="43"/>
              </w:numPr>
              <w:ind w:left="183" w:hanging="183"/>
              <w:contextualSpacing/>
            </w:pPr>
            <w:r w:rsidRPr="00E6060C">
              <w:t>Results of all couples discussed in a group</w:t>
            </w:r>
          </w:p>
          <w:p w14:paraId="26A9CEFE" w14:textId="77777777" w:rsidR="00E6060C" w:rsidRPr="00E6060C" w:rsidRDefault="00E6060C" w:rsidP="00E6060C">
            <w:r w:rsidRPr="00E6060C">
              <w:t>Game particulars:</w:t>
            </w:r>
          </w:p>
          <w:p w14:paraId="5B76B16D" w14:textId="77777777" w:rsidR="00E6060C" w:rsidRPr="00E6060C" w:rsidRDefault="00E6060C" w:rsidP="00F15DDF">
            <w:pPr>
              <w:numPr>
                <w:ilvl w:val="0"/>
                <w:numId w:val="26"/>
              </w:numPr>
              <w:ind w:left="286" w:hanging="286"/>
              <w:contextualSpacing/>
            </w:pPr>
            <w:r w:rsidRPr="00E6060C">
              <w:t>Set in a Mexican restaurant</w:t>
            </w:r>
          </w:p>
          <w:p w14:paraId="7381838D" w14:textId="77777777" w:rsidR="00E6060C" w:rsidRPr="00E6060C" w:rsidRDefault="00E6060C" w:rsidP="00F15DDF">
            <w:pPr>
              <w:numPr>
                <w:ilvl w:val="0"/>
                <w:numId w:val="26"/>
              </w:numPr>
              <w:ind w:left="286" w:hanging="286"/>
              <w:contextualSpacing/>
            </w:pPr>
            <w:r w:rsidRPr="00E6060C">
              <w:t>The manager (gamer) manages 6 employees, their job demands and resources and their personal ambitions.</w:t>
            </w:r>
          </w:p>
          <w:p w14:paraId="4AA0BA13" w14:textId="77777777" w:rsidR="00E6060C" w:rsidRPr="00E6060C" w:rsidRDefault="00E6060C" w:rsidP="00F15DDF">
            <w:pPr>
              <w:numPr>
                <w:ilvl w:val="0"/>
                <w:numId w:val="26"/>
              </w:numPr>
              <w:ind w:left="286" w:hanging="286"/>
              <w:contextualSpacing/>
            </w:pPr>
            <w:r w:rsidRPr="00E6060C">
              <w:t>Balance between demands and resources influences employee WE &amp; stress level, their work quality, no. customers, and the financial returns of the restaurant</w:t>
            </w:r>
          </w:p>
          <w:p w14:paraId="130F3C81" w14:textId="77777777" w:rsidR="00E6060C" w:rsidRPr="00E6060C" w:rsidRDefault="00E6060C" w:rsidP="00F15DDF">
            <w:pPr>
              <w:numPr>
                <w:ilvl w:val="0"/>
                <w:numId w:val="26"/>
              </w:numPr>
              <w:ind w:left="286" w:hanging="286"/>
              <w:contextualSpacing/>
            </w:pPr>
            <w:r w:rsidRPr="00E6060C">
              <w:t xml:space="preserve">Manager interventions alter balance of demands, resources etc. </w:t>
            </w:r>
          </w:p>
          <w:p w14:paraId="4A90CCEC" w14:textId="77777777" w:rsidR="00E6060C" w:rsidRPr="00E6060C" w:rsidRDefault="00E6060C" w:rsidP="00F15DDF">
            <w:pPr>
              <w:numPr>
                <w:ilvl w:val="0"/>
                <w:numId w:val="43"/>
              </w:numPr>
              <w:ind w:left="286" w:hanging="286"/>
              <w:contextualSpacing/>
            </w:pPr>
            <w:r w:rsidRPr="00E6060C">
              <w:t>Events occur to which the manager has to react</w:t>
            </w:r>
          </w:p>
        </w:tc>
        <w:tc>
          <w:tcPr>
            <w:tcW w:w="3827" w:type="dxa"/>
            <w:tcBorders>
              <w:bottom w:val="single" w:sz="4" w:space="0" w:color="auto"/>
            </w:tcBorders>
            <w:shd w:val="clear" w:color="auto" w:fill="D9D9D9" w:themeFill="background1" w:themeFillShade="D9"/>
          </w:tcPr>
          <w:p w14:paraId="30124C15" w14:textId="77777777" w:rsidR="00E6060C" w:rsidRPr="00E6060C" w:rsidRDefault="00E6060C" w:rsidP="00F15DDF">
            <w:pPr>
              <w:numPr>
                <w:ilvl w:val="0"/>
                <w:numId w:val="43"/>
              </w:numPr>
              <w:ind w:left="286" w:hanging="286"/>
              <w:contextualSpacing/>
            </w:pPr>
            <w:r w:rsidRPr="00E6060C">
              <w:lastRenderedPageBreak/>
              <w:t>The researchers</w:t>
            </w:r>
          </w:p>
        </w:tc>
      </w:tr>
    </w:tbl>
    <w:p w14:paraId="4217553A" w14:textId="77777777" w:rsidR="00E6060C" w:rsidRPr="00E6060C" w:rsidRDefault="00E6060C" w:rsidP="00E6060C">
      <w:pPr>
        <w:spacing w:line="240" w:lineRule="auto"/>
        <w:ind w:left="-567"/>
        <w:contextualSpacing/>
        <w:rPr>
          <w:sz w:val="20"/>
          <w:szCs w:val="20"/>
        </w:rPr>
      </w:pPr>
      <w:r w:rsidRPr="00E6060C">
        <w:rPr>
          <w:sz w:val="20"/>
          <w:szCs w:val="20"/>
          <w:vertAlign w:val="superscript"/>
        </w:rPr>
        <w:t>*</w:t>
      </w:r>
      <w:r w:rsidRPr="00E6060C">
        <w:rPr>
          <w:sz w:val="20"/>
          <w:szCs w:val="20"/>
        </w:rPr>
        <w:t>Studies included in meta-analyses (</w:t>
      </w:r>
      <w:r w:rsidRPr="00E6060C">
        <w:rPr>
          <w:i/>
          <w:sz w:val="20"/>
          <w:szCs w:val="20"/>
        </w:rPr>
        <w:t>K</w:t>
      </w:r>
      <w:r w:rsidRPr="00E6060C">
        <w:rPr>
          <w:sz w:val="20"/>
          <w:szCs w:val="20"/>
        </w:rPr>
        <w:t>=20)</w:t>
      </w:r>
    </w:p>
    <w:p w14:paraId="142D6133" w14:textId="77777777" w:rsidR="00E6060C" w:rsidRPr="00E6060C" w:rsidRDefault="00E6060C" w:rsidP="00E6060C">
      <w:pPr>
        <w:spacing w:line="240" w:lineRule="auto"/>
        <w:ind w:left="-567"/>
        <w:contextualSpacing/>
        <w:rPr>
          <w:b/>
          <w:sz w:val="20"/>
          <w:szCs w:val="20"/>
          <w:vertAlign w:val="superscript"/>
        </w:rPr>
      </w:pPr>
      <w:r w:rsidRPr="00E6060C">
        <w:rPr>
          <w:b/>
          <w:sz w:val="20"/>
          <w:szCs w:val="20"/>
          <w:vertAlign w:val="superscript"/>
        </w:rPr>
        <w:t>a</w:t>
      </w:r>
      <w:r w:rsidRPr="00E6060C">
        <w:rPr>
          <w:sz w:val="20"/>
          <w:szCs w:val="20"/>
        </w:rPr>
        <w:t xml:space="preserve"> Type</w:t>
      </w:r>
      <w:r w:rsidRPr="00E6060C">
        <w:rPr>
          <w:sz w:val="20"/>
          <w:szCs w:val="20"/>
          <w:vertAlign w:val="superscript"/>
        </w:rPr>
        <w:t xml:space="preserve"> </w:t>
      </w:r>
      <w:r w:rsidRPr="00E6060C">
        <w:rPr>
          <w:sz w:val="20"/>
          <w:szCs w:val="20"/>
        </w:rPr>
        <w:t>of document: P=Published in a peer reviewed journal; UnP=Unpublished; G=Grey literature; T=PhD / MA thesis</w:t>
      </w:r>
    </w:p>
    <w:p w14:paraId="2BF68DD0" w14:textId="013CD16B" w:rsidR="00E6060C" w:rsidRPr="00E6060C" w:rsidRDefault="00E6060C" w:rsidP="00E6060C">
      <w:pPr>
        <w:spacing w:line="240" w:lineRule="auto"/>
        <w:ind w:left="-567"/>
        <w:contextualSpacing/>
        <w:rPr>
          <w:sz w:val="20"/>
          <w:szCs w:val="20"/>
        </w:rPr>
      </w:pPr>
      <w:r w:rsidRPr="00E6060C">
        <w:rPr>
          <w:sz w:val="20"/>
          <w:szCs w:val="20"/>
          <w:vertAlign w:val="superscript"/>
        </w:rPr>
        <w:t xml:space="preserve"> b</w:t>
      </w:r>
      <w:r w:rsidRPr="00E6060C">
        <w:rPr>
          <w:sz w:val="20"/>
          <w:szCs w:val="20"/>
        </w:rPr>
        <w:t xml:space="preserve">Design: R=Randomised allocation at the </w:t>
      </w:r>
      <w:r w:rsidR="00597B3B">
        <w:rPr>
          <w:sz w:val="20"/>
          <w:szCs w:val="20"/>
        </w:rPr>
        <w:t>individual-level</w:t>
      </w:r>
      <w:r w:rsidRPr="00E6060C">
        <w:rPr>
          <w:sz w:val="20"/>
          <w:szCs w:val="20"/>
        </w:rPr>
        <w:t xml:space="preserve">; CR=Cluster randomised allocation at the level of departments / units; RM = randomised matched groups; RMP=randomised matched pairs; NR=Non-randomised allocation </w:t>
      </w:r>
    </w:p>
    <w:p w14:paraId="2CAB2574" w14:textId="3B8837DB" w:rsidR="00430633" w:rsidRDefault="00E6060C" w:rsidP="00E6060C">
      <w:pPr>
        <w:spacing w:line="240" w:lineRule="auto"/>
        <w:ind w:left="-567"/>
        <w:contextualSpacing/>
        <w:rPr>
          <w:i/>
          <w:sz w:val="20"/>
          <w:szCs w:val="20"/>
        </w:rPr>
      </w:pPr>
      <w:r w:rsidRPr="00E6060C">
        <w:rPr>
          <w:i/>
          <w:sz w:val="20"/>
          <w:szCs w:val="20"/>
        </w:rPr>
        <w:t>NOTES: dept.=department; yr(s)=years; min(s)=minutes; PsyCAP=Psychological capital; ACT=Acceptance commitment therapy; CBT=Cognitive behavioural therapy; GMI=Group motivational interviewing iSMI=internet and mobile based stress-management interventions</w:t>
      </w:r>
    </w:p>
    <w:p w14:paraId="73D3A9B1" w14:textId="77777777" w:rsidR="00430633" w:rsidRDefault="00430633">
      <w:pPr>
        <w:spacing w:after="160"/>
        <w:rPr>
          <w:i/>
          <w:sz w:val="20"/>
          <w:szCs w:val="20"/>
        </w:rPr>
      </w:pPr>
      <w:r>
        <w:rPr>
          <w:i/>
          <w:sz w:val="20"/>
          <w:szCs w:val="20"/>
        </w:rPr>
        <w:br w:type="page"/>
      </w:r>
    </w:p>
    <w:p w14:paraId="3CC89228" w14:textId="77777777" w:rsidR="00E6060C" w:rsidRPr="00E6060C" w:rsidRDefault="00E6060C" w:rsidP="007B44F8">
      <w:pPr>
        <w:pStyle w:val="Heading2nonumbers"/>
        <w:rPr>
          <w:color w:val="2E74B5" w:themeColor="accent1" w:themeShade="BF"/>
        </w:rPr>
      </w:pPr>
      <w:bookmarkStart w:id="558" w:name="_Toc468286058"/>
      <w:r w:rsidRPr="00E6060C">
        <w:lastRenderedPageBreak/>
        <w:t>Appendix 4c: Outcomes measured and findings for each of the studies included in the narrative systematic review and meta-analyses (</w:t>
      </w:r>
      <w:r w:rsidRPr="00E6060C">
        <w:rPr>
          <w:i/>
        </w:rPr>
        <w:t>K</w:t>
      </w:r>
      <w:r w:rsidRPr="00E6060C">
        <w:t>=33)</w:t>
      </w:r>
      <w:bookmarkEnd w:id="558"/>
    </w:p>
    <w:p w14:paraId="759BD927" w14:textId="77777777" w:rsidR="00E6060C" w:rsidRPr="00E6060C" w:rsidRDefault="00E6060C" w:rsidP="00E6060C"/>
    <w:tbl>
      <w:tblPr>
        <w:tblStyle w:val="TableGrid8"/>
        <w:tblW w:w="14317" w:type="dxa"/>
        <w:tblInd w:w="-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1403"/>
        <w:gridCol w:w="1560"/>
        <w:gridCol w:w="1275"/>
        <w:gridCol w:w="2835"/>
        <w:gridCol w:w="3402"/>
        <w:gridCol w:w="3402"/>
      </w:tblGrid>
      <w:tr w:rsidR="00E6060C" w:rsidRPr="00E6060C" w14:paraId="3F96F4CE" w14:textId="77777777" w:rsidTr="00E6060C">
        <w:trPr>
          <w:cantSplit/>
          <w:trHeight w:val="505"/>
          <w:tblHeader/>
        </w:trPr>
        <w:tc>
          <w:tcPr>
            <w:tcW w:w="440" w:type="dxa"/>
            <w:vMerge w:val="restart"/>
            <w:tcBorders>
              <w:top w:val="single" w:sz="4" w:space="0" w:color="auto"/>
              <w:bottom w:val="single" w:sz="4" w:space="0" w:color="auto"/>
            </w:tcBorders>
          </w:tcPr>
          <w:p w14:paraId="76E69816" w14:textId="77777777" w:rsidR="00E6060C" w:rsidRPr="00E6060C" w:rsidRDefault="00E6060C" w:rsidP="00E6060C">
            <w:pPr>
              <w:rPr>
                <w:b/>
              </w:rPr>
            </w:pPr>
          </w:p>
        </w:tc>
        <w:tc>
          <w:tcPr>
            <w:tcW w:w="1403" w:type="dxa"/>
            <w:vMerge w:val="restart"/>
            <w:tcBorders>
              <w:top w:val="single" w:sz="4" w:space="0" w:color="auto"/>
              <w:bottom w:val="single" w:sz="4" w:space="0" w:color="auto"/>
            </w:tcBorders>
          </w:tcPr>
          <w:p w14:paraId="07658BFE" w14:textId="77777777" w:rsidR="00E6060C" w:rsidRPr="00E6060C" w:rsidRDefault="00E6060C" w:rsidP="00E6060C">
            <w:pPr>
              <w:rPr>
                <w:b/>
              </w:rPr>
            </w:pPr>
            <w:r w:rsidRPr="00E6060C">
              <w:rPr>
                <w:b/>
              </w:rPr>
              <w:t>Ref</w:t>
            </w:r>
          </w:p>
        </w:tc>
        <w:tc>
          <w:tcPr>
            <w:tcW w:w="1560" w:type="dxa"/>
            <w:vMerge w:val="restart"/>
            <w:tcBorders>
              <w:top w:val="single" w:sz="4" w:space="0" w:color="auto"/>
              <w:bottom w:val="single" w:sz="4" w:space="0" w:color="auto"/>
            </w:tcBorders>
          </w:tcPr>
          <w:p w14:paraId="5DB83676" w14:textId="77777777" w:rsidR="00E6060C" w:rsidRPr="00E6060C" w:rsidRDefault="00E6060C" w:rsidP="00E6060C">
            <w:pPr>
              <w:rPr>
                <w:b/>
              </w:rPr>
            </w:pPr>
            <w:r w:rsidRPr="00E6060C">
              <w:rPr>
                <w:b/>
              </w:rPr>
              <w:t>WE outcomes measured</w:t>
            </w:r>
          </w:p>
        </w:tc>
        <w:tc>
          <w:tcPr>
            <w:tcW w:w="1275" w:type="dxa"/>
            <w:vMerge w:val="restart"/>
            <w:tcBorders>
              <w:top w:val="single" w:sz="4" w:space="0" w:color="auto"/>
              <w:bottom w:val="single" w:sz="4" w:space="0" w:color="auto"/>
            </w:tcBorders>
          </w:tcPr>
          <w:p w14:paraId="7F0E26A1" w14:textId="77777777" w:rsidR="00E6060C" w:rsidRPr="00E6060C" w:rsidRDefault="00E6060C" w:rsidP="00E6060C">
            <w:pPr>
              <w:rPr>
                <w:b/>
              </w:rPr>
            </w:pPr>
            <w:r w:rsidRPr="00E6060C">
              <w:rPr>
                <w:b/>
              </w:rPr>
              <w:t xml:space="preserve">WE measure </w:t>
            </w:r>
          </w:p>
        </w:tc>
        <w:tc>
          <w:tcPr>
            <w:tcW w:w="2835" w:type="dxa"/>
            <w:vMerge w:val="restart"/>
            <w:tcBorders>
              <w:top w:val="single" w:sz="4" w:space="0" w:color="auto"/>
              <w:bottom w:val="single" w:sz="4" w:space="0" w:color="auto"/>
            </w:tcBorders>
          </w:tcPr>
          <w:p w14:paraId="5CECDF8E" w14:textId="77777777" w:rsidR="00E6060C" w:rsidRPr="00E6060C" w:rsidRDefault="00E6060C" w:rsidP="00E6060C">
            <w:pPr>
              <w:rPr>
                <w:b/>
              </w:rPr>
            </w:pPr>
            <w:r w:rsidRPr="00E6060C">
              <w:rPr>
                <w:b/>
              </w:rPr>
              <w:t>Other outcomes measured</w:t>
            </w:r>
          </w:p>
        </w:tc>
        <w:tc>
          <w:tcPr>
            <w:tcW w:w="6804" w:type="dxa"/>
            <w:gridSpan w:val="2"/>
            <w:tcBorders>
              <w:top w:val="single" w:sz="4" w:space="0" w:color="auto"/>
              <w:bottom w:val="single" w:sz="4" w:space="0" w:color="auto"/>
            </w:tcBorders>
          </w:tcPr>
          <w:p w14:paraId="0649282D" w14:textId="77777777" w:rsidR="00E6060C" w:rsidRPr="00E6060C" w:rsidRDefault="00E6060C" w:rsidP="00E6060C">
            <w:pPr>
              <w:contextualSpacing/>
              <w:jc w:val="center"/>
              <w:rPr>
                <w:b/>
              </w:rPr>
            </w:pPr>
            <w:r w:rsidRPr="00E6060C">
              <w:rPr>
                <w:b/>
              </w:rPr>
              <w:t>Key conclusions</w:t>
            </w:r>
          </w:p>
        </w:tc>
      </w:tr>
      <w:tr w:rsidR="00E6060C" w:rsidRPr="00E6060C" w14:paraId="44192F8F" w14:textId="77777777" w:rsidTr="00E6060C">
        <w:trPr>
          <w:cantSplit/>
          <w:trHeight w:val="505"/>
          <w:tblHeader/>
        </w:trPr>
        <w:tc>
          <w:tcPr>
            <w:tcW w:w="440" w:type="dxa"/>
            <w:vMerge/>
            <w:tcBorders>
              <w:top w:val="single" w:sz="4" w:space="0" w:color="auto"/>
              <w:bottom w:val="single" w:sz="4" w:space="0" w:color="auto"/>
            </w:tcBorders>
          </w:tcPr>
          <w:p w14:paraId="1D3A4DFE" w14:textId="77777777" w:rsidR="00E6060C" w:rsidRPr="00E6060C" w:rsidRDefault="00E6060C" w:rsidP="00E6060C">
            <w:pPr>
              <w:rPr>
                <w:b/>
              </w:rPr>
            </w:pPr>
          </w:p>
        </w:tc>
        <w:tc>
          <w:tcPr>
            <w:tcW w:w="1403" w:type="dxa"/>
            <w:vMerge/>
            <w:tcBorders>
              <w:top w:val="single" w:sz="4" w:space="0" w:color="auto"/>
              <w:bottom w:val="single" w:sz="4" w:space="0" w:color="auto"/>
            </w:tcBorders>
          </w:tcPr>
          <w:p w14:paraId="60CEC3DE" w14:textId="77777777" w:rsidR="00E6060C" w:rsidRPr="00E6060C" w:rsidRDefault="00E6060C" w:rsidP="00E6060C">
            <w:pPr>
              <w:rPr>
                <w:b/>
              </w:rPr>
            </w:pPr>
          </w:p>
        </w:tc>
        <w:tc>
          <w:tcPr>
            <w:tcW w:w="1560" w:type="dxa"/>
            <w:vMerge/>
            <w:tcBorders>
              <w:top w:val="single" w:sz="4" w:space="0" w:color="auto"/>
              <w:bottom w:val="single" w:sz="4" w:space="0" w:color="auto"/>
            </w:tcBorders>
          </w:tcPr>
          <w:p w14:paraId="773CF722" w14:textId="77777777" w:rsidR="00E6060C" w:rsidRPr="00E6060C" w:rsidRDefault="00E6060C" w:rsidP="00E6060C">
            <w:pPr>
              <w:rPr>
                <w:b/>
              </w:rPr>
            </w:pPr>
          </w:p>
        </w:tc>
        <w:tc>
          <w:tcPr>
            <w:tcW w:w="1275" w:type="dxa"/>
            <w:vMerge/>
            <w:tcBorders>
              <w:top w:val="single" w:sz="4" w:space="0" w:color="auto"/>
              <w:bottom w:val="single" w:sz="4" w:space="0" w:color="auto"/>
            </w:tcBorders>
          </w:tcPr>
          <w:p w14:paraId="78E1CB3C" w14:textId="77777777" w:rsidR="00E6060C" w:rsidRPr="00E6060C" w:rsidRDefault="00E6060C" w:rsidP="00E6060C">
            <w:pPr>
              <w:rPr>
                <w:b/>
              </w:rPr>
            </w:pPr>
          </w:p>
        </w:tc>
        <w:tc>
          <w:tcPr>
            <w:tcW w:w="2835" w:type="dxa"/>
            <w:vMerge/>
            <w:tcBorders>
              <w:top w:val="single" w:sz="4" w:space="0" w:color="auto"/>
              <w:bottom w:val="single" w:sz="4" w:space="0" w:color="auto"/>
            </w:tcBorders>
          </w:tcPr>
          <w:p w14:paraId="093EAE9E" w14:textId="77777777" w:rsidR="00E6060C" w:rsidRPr="00E6060C" w:rsidRDefault="00E6060C" w:rsidP="00E6060C">
            <w:pPr>
              <w:rPr>
                <w:b/>
              </w:rPr>
            </w:pPr>
          </w:p>
        </w:tc>
        <w:tc>
          <w:tcPr>
            <w:tcW w:w="3402" w:type="dxa"/>
            <w:tcBorders>
              <w:top w:val="single" w:sz="4" w:space="0" w:color="auto"/>
              <w:bottom w:val="single" w:sz="4" w:space="0" w:color="auto"/>
            </w:tcBorders>
          </w:tcPr>
          <w:p w14:paraId="44BD9394" w14:textId="77777777" w:rsidR="00E6060C" w:rsidRPr="00E6060C" w:rsidRDefault="00E6060C" w:rsidP="00E6060C">
            <w:pPr>
              <w:contextualSpacing/>
              <w:rPr>
                <w:b/>
              </w:rPr>
            </w:pPr>
            <w:r w:rsidRPr="00E6060C">
              <w:rPr>
                <w:b/>
              </w:rPr>
              <w:t>Work engagement</w:t>
            </w:r>
          </w:p>
        </w:tc>
        <w:tc>
          <w:tcPr>
            <w:tcW w:w="3402" w:type="dxa"/>
            <w:tcBorders>
              <w:top w:val="single" w:sz="4" w:space="0" w:color="auto"/>
              <w:bottom w:val="single" w:sz="4" w:space="0" w:color="auto"/>
            </w:tcBorders>
          </w:tcPr>
          <w:p w14:paraId="37D366BD" w14:textId="77777777" w:rsidR="00E6060C" w:rsidRPr="00E6060C" w:rsidRDefault="00E6060C" w:rsidP="00E6060C">
            <w:pPr>
              <w:contextualSpacing/>
              <w:rPr>
                <w:b/>
              </w:rPr>
            </w:pPr>
            <w:r w:rsidRPr="00E6060C">
              <w:rPr>
                <w:b/>
              </w:rPr>
              <w:t>Other outcomes</w:t>
            </w:r>
          </w:p>
        </w:tc>
      </w:tr>
      <w:tr w:rsidR="00E6060C" w:rsidRPr="00E6060C" w14:paraId="2F2B9757" w14:textId="77777777" w:rsidTr="00E6060C">
        <w:tc>
          <w:tcPr>
            <w:tcW w:w="14317" w:type="dxa"/>
            <w:gridSpan w:val="7"/>
            <w:tcBorders>
              <w:top w:val="single" w:sz="4" w:space="0" w:color="auto"/>
              <w:bottom w:val="single" w:sz="4" w:space="0" w:color="auto"/>
            </w:tcBorders>
          </w:tcPr>
          <w:p w14:paraId="1542650E" w14:textId="77777777" w:rsidR="00E6060C" w:rsidRPr="00E6060C" w:rsidRDefault="00E6060C" w:rsidP="00E6060C">
            <w:pPr>
              <w:rPr>
                <w:b/>
                <w:sz w:val="28"/>
                <w:szCs w:val="28"/>
              </w:rPr>
            </w:pPr>
            <w:r w:rsidRPr="00E6060C">
              <w:rPr>
                <w:b/>
                <w:sz w:val="28"/>
                <w:szCs w:val="28"/>
              </w:rPr>
              <w:t>PERSONAL RESOURCE BUILDING INTERVENTIONS</w:t>
            </w:r>
          </w:p>
        </w:tc>
      </w:tr>
      <w:tr w:rsidR="00E6060C" w:rsidRPr="00E6060C" w14:paraId="28291503" w14:textId="77777777" w:rsidTr="00E6060C">
        <w:tc>
          <w:tcPr>
            <w:tcW w:w="440" w:type="dxa"/>
            <w:tcBorders>
              <w:top w:val="single" w:sz="4" w:space="0" w:color="auto"/>
            </w:tcBorders>
          </w:tcPr>
          <w:p w14:paraId="3659A27F" w14:textId="77777777" w:rsidR="00E6060C" w:rsidRPr="00E6060C" w:rsidRDefault="00E6060C" w:rsidP="00E6060C">
            <w:r w:rsidRPr="00E6060C">
              <w:t>1</w:t>
            </w:r>
          </w:p>
        </w:tc>
        <w:tc>
          <w:tcPr>
            <w:tcW w:w="1403" w:type="dxa"/>
            <w:tcBorders>
              <w:top w:val="single" w:sz="4" w:space="0" w:color="auto"/>
            </w:tcBorders>
          </w:tcPr>
          <w:p w14:paraId="27BBBD54" w14:textId="77777777" w:rsidR="00E6060C" w:rsidRPr="00E6060C" w:rsidRDefault="00E6060C" w:rsidP="00E6060C">
            <w:r w:rsidRPr="00E6060C">
              <w:t>Bishop, 2013</w:t>
            </w:r>
          </w:p>
        </w:tc>
        <w:tc>
          <w:tcPr>
            <w:tcW w:w="1560" w:type="dxa"/>
            <w:tcBorders>
              <w:top w:val="single" w:sz="4" w:space="0" w:color="auto"/>
            </w:tcBorders>
          </w:tcPr>
          <w:p w14:paraId="685AF52A" w14:textId="77777777" w:rsidR="00E6060C" w:rsidRPr="00E6060C" w:rsidRDefault="00E6060C" w:rsidP="00E6060C">
            <w:r w:rsidRPr="00E6060C">
              <w:t>Work engagement</w:t>
            </w:r>
          </w:p>
        </w:tc>
        <w:tc>
          <w:tcPr>
            <w:tcW w:w="1275" w:type="dxa"/>
            <w:tcBorders>
              <w:top w:val="single" w:sz="4" w:space="0" w:color="auto"/>
            </w:tcBorders>
          </w:tcPr>
          <w:p w14:paraId="047C2833" w14:textId="77777777" w:rsidR="00E6060C" w:rsidRPr="00E6060C" w:rsidRDefault="00E6060C" w:rsidP="00E6060C">
            <w:r w:rsidRPr="00E6060C">
              <w:t>UWES-17</w:t>
            </w:r>
          </w:p>
        </w:tc>
        <w:tc>
          <w:tcPr>
            <w:tcW w:w="2835" w:type="dxa"/>
            <w:tcBorders>
              <w:top w:val="single" w:sz="4" w:space="0" w:color="auto"/>
            </w:tcBorders>
          </w:tcPr>
          <w:p w14:paraId="2A1EDB22" w14:textId="77777777" w:rsidR="00E6060C" w:rsidRPr="00E6060C" w:rsidRDefault="00E6060C" w:rsidP="00E6060C">
            <w:r w:rsidRPr="00E6060C">
              <w:t>None</w:t>
            </w:r>
          </w:p>
        </w:tc>
        <w:tc>
          <w:tcPr>
            <w:tcW w:w="3402" w:type="dxa"/>
            <w:tcBorders>
              <w:top w:val="single" w:sz="4" w:space="0" w:color="auto"/>
            </w:tcBorders>
          </w:tcPr>
          <w:p w14:paraId="7CC98070" w14:textId="77777777" w:rsidR="00E6060C" w:rsidRPr="00E6060C" w:rsidRDefault="00E6060C" w:rsidP="00F15DDF">
            <w:pPr>
              <w:numPr>
                <w:ilvl w:val="0"/>
                <w:numId w:val="105"/>
              </w:numPr>
              <w:ind w:left="161" w:hanging="161"/>
              <w:contextualSpacing/>
              <w:rPr>
                <w:rFonts w:ascii="Calibri" w:hAnsi="Calibri"/>
                <w:color w:val="000000"/>
              </w:rPr>
            </w:pPr>
            <w:r w:rsidRPr="00E6060C">
              <w:rPr>
                <w:rFonts w:ascii="Calibri" w:hAnsi="Calibri"/>
                <w:color w:val="000000"/>
              </w:rPr>
              <w:t xml:space="preserve">Significant increases in the post-intervention WE scores were found; the most significant increases were in vigour and absorption. </w:t>
            </w:r>
          </w:p>
        </w:tc>
        <w:tc>
          <w:tcPr>
            <w:tcW w:w="3402" w:type="dxa"/>
            <w:tcBorders>
              <w:top w:val="single" w:sz="4" w:space="0" w:color="auto"/>
            </w:tcBorders>
          </w:tcPr>
          <w:p w14:paraId="595147C4" w14:textId="77777777" w:rsidR="00E6060C" w:rsidRPr="00E6060C" w:rsidRDefault="00E6060C" w:rsidP="00F15DDF">
            <w:pPr>
              <w:numPr>
                <w:ilvl w:val="0"/>
                <w:numId w:val="105"/>
              </w:numPr>
              <w:ind w:left="161" w:hanging="161"/>
              <w:contextualSpacing/>
              <w:rPr>
                <w:rFonts w:ascii="Calibri" w:hAnsi="Calibri"/>
                <w:color w:val="000000"/>
              </w:rPr>
            </w:pPr>
            <w:r w:rsidRPr="00E6060C">
              <w:rPr>
                <w:rFonts w:ascii="Calibri" w:hAnsi="Calibri"/>
                <w:color w:val="000000"/>
              </w:rPr>
              <w:t>Results suggest that leadership strategies aimed at improving WE using caring theories have a significant positive impact.</w:t>
            </w:r>
          </w:p>
          <w:p w14:paraId="1E3B0671" w14:textId="77777777" w:rsidR="00E6060C" w:rsidRPr="00E6060C" w:rsidRDefault="00E6060C" w:rsidP="00F15DDF">
            <w:pPr>
              <w:numPr>
                <w:ilvl w:val="0"/>
                <w:numId w:val="105"/>
              </w:numPr>
              <w:ind w:left="161" w:hanging="161"/>
              <w:contextualSpacing/>
              <w:rPr>
                <w:rFonts w:ascii="Calibri" w:hAnsi="Calibri"/>
                <w:color w:val="000000"/>
              </w:rPr>
            </w:pPr>
            <w:r w:rsidRPr="00E6060C">
              <w:rPr>
                <w:rFonts w:ascii="Calibri" w:hAnsi="Calibri"/>
                <w:color w:val="000000"/>
              </w:rPr>
              <w:t xml:space="preserve">The themes indicate the value in building positive work relationships, sense of belonging and teamwork, as well as a space to gain emotional support. </w:t>
            </w:r>
          </w:p>
          <w:p w14:paraId="5972E787" w14:textId="77777777" w:rsidR="00E6060C" w:rsidRPr="00E6060C" w:rsidRDefault="00E6060C" w:rsidP="00F15DDF">
            <w:pPr>
              <w:numPr>
                <w:ilvl w:val="0"/>
                <w:numId w:val="105"/>
              </w:numPr>
              <w:ind w:left="161" w:hanging="161"/>
              <w:contextualSpacing/>
              <w:rPr>
                <w:rFonts w:ascii="Calibri" w:hAnsi="Calibri"/>
                <w:color w:val="000000"/>
              </w:rPr>
            </w:pPr>
            <w:r w:rsidRPr="00E6060C">
              <w:rPr>
                <w:rFonts w:ascii="Calibri" w:hAnsi="Calibri"/>
                <w:color w:val="000000"/>
              </w:rPr>
              <w:t>An unintended finding was the need to reassess 12 hr shifts.</w:t>
            </w:r>
          </w:p>
        </w:tc>
      </w:tr>
      <w:tr w:rsidR="00E6060C" w:rsidRPr="00E6060C" w14:paraId="37CB2711" w14:textId="77777777" w:rsidTr="00E6060C">
        <w:tc>
          <w:tcPr>
            <w:tcW w:w="440" w:type="dxa"/>
          </w:tcPr>
          <w:p w14:paraId="4B17EE4E" w14:textId="77777777" w:rsidR="00E6060C" w:rsidRPr="00E6060C" w:rsidRDefault="00E6060C" w:rsidP="00E6060C">
            <w:r w:rsidRPr="00E6060C">
              <w:t>2</w:t>
            </w:r>
          </w:p>
        </w:tc>
        <w:tc>
          <w:tcPr>
            <w:tcW w:w="1403" w:type="dxa"/>
          </w:tcPr>
          <w:p w14:paraId="701DF47C" w14:textId="0C9195F3" w:rsidR="00E6060C" w:rsidRPr="00E6060C" w:rsidRDefault="001260A3" w:rsidP="00E6060C">
            <w:r>
              <w:t>*</w:t>
            </w:r>
            <w:r w:rsidR="00E6060C" w:rsidRPr="00E6060C">
              <w:t>Carter, 2010</w:t>
            </w:r>
          </w:p>
        </w:tc>
        <w:tc>
          <w:tcPr>
            <w:tcW w:w="1560" w:type="dxa"/>
          </w:tcPr>
          <w:p w14:paraId="48392432" w14:textId="77777777" w:rsidR="00E6060C" w:rsidRPr="00E6060C" w:rsidRDefault="00E6060C" w:rsidP="00E6060C">
            <w:r w:rsidRPr="00E6060C">
              <w:t>Work engagement</w:t>
            </w:r>
          </w:p>
          <w:p w14:paraId="532E6269" w14:textId="77777777" w:rsidR="00E6060C" w:rsidRPr="00E6060C" w:rsidRDefault="00E6060C" w:rsidP="00E6060C">
            <w:r w:rsidRPr="00E6060C">
              <w:t>Vigour</w:t>
            </w:r>
          </w:p>
          <w:p w14:paraId="35824497" w14:textId="77777777" w:rsidR="00E6060C" w:rsidRPr="00E6060C" w:rsidRDefault="00E6060C" w:rsidP="00E6060C">
            <w:r w:rsidRPr="00E6060C">
              <w:t>Dedication</w:t>
            </w:r>
          </w:p>
          <w:p w14:paraId="618E24A7" w14:textId="77777777" w:rsidR="00E6060C" w:rsidRPr="00E6060C" w:rsidRDefault="00E6060C" w:rsidP="00E6060C">
            <w:r w:rsidRPr="00E6060C">
              <w:t>Absorption</w:t>
            </w:r>
          </w:p>
        </w:tc>
        <w:tc>
          <w:tcPr>
            <w:tcW w:w="1275" w:type="dxa"/>
          </w:tcPr>
          <w:p w14:paraId="252105AB" w14:textId="77777777" w:rsidR="00E6060C" w:rsidRPr="00E6060C" w:rsidRDefault="00E6060C" w:rsidP="00E6060C">
            <w:r w:rsidRPr="00E6060C">
              <w:t>UWES-9</w:t>
            </w:r>
          </w:p>
        </w:tc>
        <w:tc>
          <w:tcPr>
            <w:tcW w:w="2835" w:type="dxa"/>
          </w:tcPr>
          <w:p w14:paraId="7EE33347" w14:textId="77777777" w:rsidR="00E6060C" w:rsidRPr="00E6060C" w:rsidRDefault="00E6060C" w:rsidP="00F15DDF">
            <w:pPr>
              <w:numPr>
                <w:ilvl w:val="0"/>
                <w:numId w:val="104"/>
              </w:numPr>
              <w:ind w:left="161" w:hanging="161"/>
              <w:contextualSpacing/>
            </w:pPr>
            <w:r w:rsidRPr="00E6060C">
              <w:t>Task-specific self-efficacy in workplace</w:t>
            </w:r>
          </w:p>
          <w:p w14:paraId="6D3339E7" w14:textId="77777777" w:rsidR="00E6060C" w:rsidRPr="00E6060C" w:rsidRDefault="00E6060C" w:rsidP="00F15DDF">
            <w:pPr>
              <w:numPr>
                <w:ilvl w:val="0"/>
                <w:numId w:val="104"/>
              </w:numPr>
              <w:ind w:left="161" w:hanging="161"/>
              <w:contextualSpacing/>
            </w:pPr>
            <w:r w:rsidRPr="00E6060C">
              <w:t>Work-related performance (no. appointments made &amp; no. products sold)</w:t>
            </w:r>
          </w:p>
        </w:tc>
        <w:tc>
          <w:tcPr>
            <w:tcW w:w="3402" w:type="dxa"/>
          </w:tcPr>
          <w:p w14:paraId="614150B9" w14:textId="77777777" w:rsidR="00E6060C" w:rsidRPr="00E6060C" w:rsidRDefault="00E6060C" w:rsidP="00F15DDF">
            <w:pPr>
              <w:numPr>
                <w:ilvl w:val="0"/>
                <w:numId w:val="104"/>
              </w:numPr>
              <w:spacing w:after="200"/>
              <w:ind w:left="211" w:hanging="211"/>
              <w:contextualSpacing/>
            </w:pPr>
            <w:r w:rsidRPr="00E6060C">
              <w:t>WE decreased over time for both intervention and control groups</w:t>
            </w:r>
          </w:p>
          <w:p w14:paraId="21C2A226" w14:textId="77777777" w:rsidR="00E6060C" w:rsidRPr="00E6060C" w:rsidRDefault="00E6060C" w:rsidP="00F15DDF">
            <w:pPr>
              <w:numPr>
                <w:ilvl w:val="0"/>
                <w:numId w:val="104"/>
              </w:numPr>
              <w:spacing w:after="200"/>
              <w:ind w:left="211" w:hanging="211"/>
              <w:contextualSpacing/>
            </w:pPr>
            <w:r w:rsidRPr="00E6060C">
              <w:t>WE decreased significantly more for control group than intervention group</w:t>
            </w:r>
          </w:p>
          <w:p w14:paraId="42D35695" w14:textId="77777777" w:rsidR="00E6060C" w:rsidRPr="00E6060C" w:rsidRDefault="00E6060C" w:rsidP="00F15DDF">
            <w:pPr>
              <w:numPr>
                <w:ilvl w:val="0"/>
                <w:numId w:val="104"/>
              </w:numPr>
              <w:spacing w:after="200"/>
              <w:ind w:left="211" w:hanging="211"/>
              <w:contextualSpacing/>
            </w:pPr>
            <w:r w:rsidRPr="00E6060C">
              <w:t>WE significantly correlated with performance level, task-specific self-efficacy, Appointments made and Products sold</w:t>
            </w:r>
          </w:p>
        </w:tc>
        <w:tc>
          <w:tcPr>
            <w:tcW w:w="3402" w:type="dxa"/>
          </w:tcPr>
          <w:p w14:paraId="40AD769C" w14:textId="77777777" w:rsidR="00E6060C" w:rsidRPr="00E6060C" w:rsidRDefault="00E6060C" w:rsidP="00F15DDF">
            <w:pPr>
              <w:numPr>
                <w:ilvl w:val="0"/>
                <w:numId w:val="104"/>
              </w:numPr>
              <w:ind w:left="211" w:hanging="211"/>
              <w:contextualSpacing/>
            </w:pPr>
            <w:r w:rsidRPr="00E6060C">
              <w:t>Number of appointments made and products sold increased</w:t>
            </w:r>
          </w:p>
          <w:p w14:paraId="59AC0866" w14:textId="77777777" w:rsidR="00E6060C" w:rsidRPr="00E6060C" w:rsidRDefault="00E6060C" w:rsidP="00F15DDF">
            <w:pPr>
              <w:numPr>
                <w:ilvl w:val="0"/>
                <w:numId w:val="104"/>
              </w:numPr>
              <w:ind w:left="211" w:hanging="211"/>
              <w:contextualSpacing/>
            </w:pPr>
            <w:r w:rsidRPr="00E6060C">
              <w:t>Decreased task-specific self-efficacy</w:t>
            </w:r>
          </w:p>
        </w:tc>
      </w:tr>
      <w:tr w:rsidR="00E6060C" w:rsidRPr="00E6060C" w14:paraId="2169D8AD" w14:textId="77777777" w:rsidTr="00E6060C">
        <w:tc>
          <w:tcPr>
            <w:tcW w:w="440" w:type="dxa"/>
          </w:tcPr>
          <w:p w14:paraId="07A6943E" w14:textId="77777777" w:rsidR="00E6060C" w:rsidRPr="00E6060C" w:rsidRDefault="00E6060C" w:rsidP="00E6060C">
            <w:r w:rsidRPr="00E6060C">
              <w:t>3</w:t>
            </w:r>
          </w:p>
        </w:tc>
        <w:tc>
          <w:tcPr>
            <w:tcW w:w="1403" w:type="dxa"/>
          </w:tcPr>
          <w:p w14:paraId="1C91B291" w14:textId="673C8D1B"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 xml:space="preserve">Chen et al., 2009 </w:t>
            </w:r>
          </w:p>
        </w:tc>
        <w:tc>
          <w:tcPr>
            <w:tcW w:w="1560" w:type="dxa"/>
          </w:tcPr>
          <w:p w14:paraId="1C7C2651" w14:textId="77777777" w:rsidR="00E6060C" w:rsidRPr="00E6060C" w:rsidRDefault="00E6060C" w:rsidP="00E6060C">
            <w:r w:rsidRPr="00E6060C">
              <w:t>Vigour</w:t>
            </w:r>
          </w:p>
        </w:tc>
        <w:tc>
          <w:tcPr>
            <w:tcW w:w="1275" w:type="dxa"/>
          </w:tcPr>
          <w:p w14:paraId="61D6A965" w14:textId="77777777" w:rsidR="00E6060C" w:rsidRPr="00E6060C" w:rsidRDefault="00E6060C" w:rsidP="00E6060C">
            <w:r w:rsidRPr="00E6060C">
              <w:t>UWES-17</w:t>
            </w:r>
          </w:p>
        </w:tc>
        <w:tc>
          <w:tcPr>
            <w:tcW w:w="2835" w:type="dxa"/>
          </w:tcPr>
          <w:p w14:paraId="032D7BD6"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t>Means efficacy for ERP</w:t>
            </w:r>
          </w:p>
          <w:p w14:paraId="02F462B0"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t>Social support</w:t>
            </w:r>
          </w:p>
          <w:p w14:paraId="747AB847"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t>Perceived control</w:t>
            </w:r>
          </w:p>
          <w:p w14:paraId="22FC716E"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lastRenderedPageBreak/>
              <w:t>Quantitative workload</w:t>
            </w:r>
          </w:p>
          <w:p w14:paraId="49983BB0"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t>Qualitative workload</w:t>
            </w:r>
          </w:p>
          <w:p w14:paraId="7036A7A6"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t>Satisfaction with IT</w:t>
            </w:r>
          </w:p>
          <w:p w14:paraId="7BCA8DE7" w14:textId="77777777" w:rsidR="00E6060C" w:rsidRPr="00E6060C" w:rsidRDefault="00E6060C" w:rsidP="00F15DDF">
            <w:pPr>
              <w:numPr>
                <w:ilvl w:val="0"/>
                <w:numId w:val="26"/>
              </w:numPr>
              <w:ind w:left="161" w:hanging="161"/>
              <w:contextualSpacing/>
              <w:rPr>
                <w:rFonts w:ascii="Calibri" w:hAnsi="Calibri"/>
                <w:color w:val="000000"/>
              </w:rPr>
            </w:pPr>
            <w:r w:rsidRPr="00E6060C">
              <w:rPr>
                <w:rFonts w:ascii="Calibri" w:hAnsi="Calibri"/>
                <w:color w:val="000000"/>
              </w:rPr>
              <w:t>Exhaustion</w:t>
            </w:r>
          </w:p>
        </w:tc>
        <w:tc>
          <w:tcPr>
            <w:tcW w:w="3402" w:type="dxa"/>
          </w:tcPr>
          <w:p w14:paraId="24B2C7D6" w14:textId="77777777" w:rsidR="00E6060C" w:rsidRPr="00E6060C" w:rsidRDefault="00E6060C" w:rsidP="00F15DDF">
            <w:pPr>
              <w:numPr>
                <w:ilvl w:val="0"/>
                <w:numId w:val="26"/>
              </w:numPr>
              <w:ind w:left="247" w:hanging="247"/>
              <w:contextualSpacing/>
              <w:rPr>
                <w:b/>
              </w:rPr>
            </w:pPr>
            <w:r w:rsidRPr="00E6060C">
              <w:rPr>
                <w:rFonts w:ascii="Calibri" w:hAnsi="Calibri"/>
                <w:color w:val="000000"/>
              </w:rPr>
              <w:lastRenderedPageBreak/>
              <w:t>No interaction effect of vigour was found across time and group.</w:t>
            </w:r>
          </w:p>
          <w:p w14:paraId="79A92C63" w14:textId="77777777" w:rsidR="00E6060C" w:rsidRPr="00E6060C" w:rsidRDefault="00E6060C" w:rsidP="00E6060C">
            <w:pPr>
              <w:spacing w:after="200" w:line="276" w:lineRule="auto"/>
              <w:ind w:left="247"/>
              <w:contextualSpacing/>
              <w:rPr>
                <w:b/>
              </w:rPr>
            </w:pPr>
          </w:p>
        </w:tc>
        <w:tc>
          <w:tcPr>
            <w:tcW w:w="3402" w:type="dxa"/>
          </w:tcPr>
          <w:p w14:paraId="6A18D563" w14:textId="77777777" w:rsidR="00E6060C" w:rsidRPr="00E6060C" w:rsidRDefault="00E6060C" w:rsidP="00F15DDF">
            <w:pPr>
              <w:numPr>
                <w:ilvl w:val="0"/>
                <w:numId w:val="26"/>
              </w:numPr>
              <w:ind w:left="247" w:hanging="247"/>
              <w:contextualSpacing/>
              <w:rPr>
                <w:b/>
              </w:rPr>
            </w:pPr>
            <w:r w:rsidRPr="00E6060C">
              <w:rPr>
                <w:rFonts w:ascii="Calibri" w:hAnsi="Calibri"/>
                <w:color w:val="000000"/>
              </w:rPr>
              <w:lastRenderedPageBreak/>
              <w:t>Significant increase in ‘means efficacy’ in intervention group</w:t>
            </w:r>
          </w:p>
          <w:p w14:paraId="55BF27E1" w14:textId="77777777" w:rsidR="00E6060C" w:rsidRPr="00E6060C" w:rsidRDefault="00E6060C" w:rsidP="00F15DDF">
            <w:pPr>
              <w:numPr>
                <w:ilvl w:val="0"/>
                <w:numId w:val="26"/>
              </w:numPr>
              <w:ind w:left="247" w:hanging="247"/>
              <w:contextualSpacing/>
              <w:rPr>
                <w:rFonts w:ascii="Calibri" w:hAnsi="Calibri"/>
                <w:color w:val="000000"/>
              </w:rPr>
            </w:pPr>
            <w:r w:rsidRPr="00E6060C">
              <w:rPr>
                <w:rFonts w:ascii="Calibri" w:hAnsi="Calibri"/>
                <w:color w:val="000000"/>
              </w:rPr>
              <w:lastRenderedPageBreak/>
              <w:t>Greater dissatisfaction and exhaustion in the control group</w:t>
            </w:r>
          </w:p>
        </w:tc>
      </w:tr>
      <w:tr w:rsidR="00E6060C" w:rsidRPr="00E6060C" w14:paraId="4F79C0D5" w14:textId="77777777" w:rsidTr="00E6060C">
        <w:tc>
          <w:tcPr>
            <w:tcW w:w="440" w:type="dxa"/>
          </w:tcPr>
          <w:p w14:paraId="74AA3AF0" w14:textId="77777777" w:rsidR="00E6060C" w:rsidRPr="00E6060C" w:rsidRDefault="00E6060C" w:rsidP="00E6060C">
            <w:r w:rsidRPr="00E6060C">
              <w:lastRenderedPageBreak/>
              <w:t>4</w:t>
            </w:r>
          </w:p>
        </w:tc>
        <w:tc>
          <w:tcPr>
            <w:tcW w:w="1403" w:type="dxa"/>
          </w:tcPr>
          <w:p w14:paraId="41A3FE13" w14:textId="77777777" w:rsidR="00E6060C" w:rsidRPr="00E6060C" w:rsidRDefault="00E6060C" w:rsidP="00E6060C">
            <w:r w:rsidRPr="00E6060C">
              <w:t>Iljntema, 2014</w:t>
            </w:r>
          </w:p>
        </w:tc>
        <w:tc>
          <w:tcPr>
            <w:tcW w:w="1560" w:type="dxa"/>
          </w:tcPr>
          <w:p w14:paraId="4B570687" w14:textId="77777777" w:rsidR="00E6060C" w:rsidRPr="00E6060C" w:rsidRDefault="00E6060C" w:rsidP="00E6060C">
            <w:r w:rsidRPr="00E6060C">
              <w:t>Work engagement</w:t>
            </w:r>
          </w:p>
        </w:tc>
        <w:tc>
          <w:tcPr>
            <w:tcW w:w="1275" w:type="dxa"/>
          </w:tcPr>
          <w:p w14:paraId="64A24AE6" w14:textId="77777777" w:rsidR="00E6060C" w:rsidRPr="00E6060C" w:rsidRDefault="00E6060C" w:rsidP="00E6060C">
            <w:pPr>
              <w:rPr>
                <w:bCs/>
              </w:rPr>
            </w:pPr>
            <w:r w:rsidRPr="00E6060C">
              <w:rPr>
                <w:bCs/>
              </w:rPr>
              <w:t>UWES</w:t>
            </w:r>
          </w:p>
        </w:tc>
        <w:tc>
          <w:tcPr>
            <w:tcW w:w="2835" w:type="dxa"/>
          </w:tcPr>
          <w:p w14:paraId="41203BF0" w14:textId="77777777" w:rsidR="00E6060C" w:rsidRPr="00E6060C" w:rsidRDefault="00E6060C" w:rsidP="00F15DDF">
            <w:pPr>
              <w:numPr>
                <w:ilvl w:val="0"/>
                <w:numId w:val="32"/>
              </w:numPr>
              <w:ind w:left="184" w:hanging="184"/>
              <w:contextualSpacing/>
              <w:rPr>
                <w:bCs/>
              </w:rPr>
            </w:pPr>
            <w:r w:rsidRPr="00E6060C">
              <w:rPr>
                <w:bCs/>
              </w:rPr>
              <w:t>Hope</w:t>
            </w:r>
          </w:p>
          <w:p w14:paraId="0CA82CA0" w14:textId="77777777" w:rsidR="00E6060C" w:rsidRPr="00E6060C" w:rsidRDefault="00E6060C" w:rsidP="00F15DDF">
            <w:pPr>
              <w:numPr>
                <w:ilvl w:val="0"/>
                <w:numId w:val="32"/>
              </w:numPr>
              <w:ind w:left="184" w:hanging="184"/>
              <w:contextualSpacing/>
              <w:rPr>
                <w:bCs/>
              </w:rPr>
            </w:pPr>
            <w:r w:rsidRPr="00E6060C">
              <w:rPr>
                <w:bCs/>
              </w:rPr>
              <w:t>Self- Efficacy</w:t>
            </w:r>
          </w:p>
          <w:p w14:paraId="2AC49FB6" w14:textId="77777777" w:rsidR="00E6060C" w:rsidRPr="00E6060C" w:rsidRDefault="00E6060C" w:rsidP="00F15DDF">
            <w:pPr>
              <w:numPr>
                <w:ilvl w:val="0"/>
                <w:numId w:val="32"/>
              </w:numPr>
              <w:ind w:left="184" w:hanging="184"/>
              <w:contextualSpacing/>
              <w:rPr>
                <w:bCs/>
              </w:rPr>
            </w:pPr>
            <w:r w:rsidRPr="00E6060C">
              <w:rPr>
                <w:bCs/>
              </w:rPr>
              <w:t>Resilience</w:t>
            </w:r>
          </w:p>
          <w:p w14:paraId="542FDBB0" w14:textId="77777777" w:rsidR="00E6060C" w:rsidRPr="00E6060C" w:rsidRDefault="00E6060C" w:rsidP="00F15DDF">
            <w:pPr>
              <w:numPr>
                <w:ilvl w:val="0"/>
                <w:numId w:val="32"/>
              </w:numPr>
              <w:ind w:left="184" w:hanging="184"/>
              <w:contextualSpacing/>
              <w:rPr>
                <w:bCs/>
              </w:rPr>
            </w:pPr>
            <w:r w:rsidRPr="00E6060C">
              <w:rPr>
                <w:bCs/>
              </w:rPr>
              <w:t>Autonomy</w:t>
            </w:r>
          </w:p>
          <w:p w14:paraId="4B0BCF38" w14:textId="77777777" w:rsidR="00E6060C" w:rsidRPr="00E6060C" w:rsidRDefault="00E6060C" w:rsidP="00F15DDF">
            <w:pPr>
              <w:numPr>
                <w:ilvl w:val="0"/>
                <w:numId w:val="32"/>
              </w:numPr>
              <w:ind w:left="184" w:hanging="184"/>
              <w:contextualSpacing/>
              <w:rPr>
                <w:bCs/>
              </w:rPr>
            </w:pPr>
            <w:r w:rsidRPr="00E6060C">
              <w:rPr>
                <w:bCs/>
              </w:rPr>
              <w:t>Personal growth</w:t>
            </w:r>
          </w:p>
          <w:p w14:paraId="1F1980D8" w14:textId="77777777" w:rsidR="00E6060C" w:rsidRPr="00E6060C" w:rsidRDefault="00E6060C" w:rsidP="00F15DDF">
            <w:pPr>
              <w:numPr>
                <w:ilvl w:val="0"/>
                <w:numId w:val="32"/>
              </w:numPr>
              <w:ind w:left="184" w:hanging="184"/>
              <w:contextualSpacing/>
              <w:rPr>
                <w:bCs/>
              </w:rPr>
            </w:pPr>
            <w:r w:rsidRPr="00E6060C">
              <w:rPr>
                <w:bCs/>
              </w:rPr>
              <w:t>Task performance</w:t>
            </w:r>
          </w:p>
          <w:p w14:paraId="3070AEB8" w14:textId="77777777" w:rsidR="00E6060C" w:rsidRPr="00E6060C" w:rsidRDefault="00E6060C" w:rsidP="00F15DDF">
            <w:pPr>
              <w:numPr>
                <w:ilvl w:val="0"/>
                <w:numId w:val="32"/>
              </w:numPr>
              <w:ind w:left="184" w:hanging="184"/>
              <w:contextualSpacing/>
              <w:rPr>
                <w:bCs/>
              </w:rPr>
            </w:pPr>
            <w:r w:rsidRPr="00E6060C">
              <w:rPr>
                <w:bCs/>
              </w:rPr>
              <w:t>Environmental mastery</w:t>
            </w:r>
          </w:p>
          <w:p w14:paraId="6DEB90EC" w14:textId="77777777" w:rsidR="00E6060C" w:rsidRPr="00E6060C" w:rsidRDefault="00E6060C" w:rsidP="00F15DDF">
            <w:pPr>
              <w:numPr>
                <w:ilvl w:val="0"/>
                <w:numId w:val="32"/>
              </w:numPr>
              <w:ind w:left="184" w:hanging="184"/>
              <w:contextualSpacing/>
              <w:rPr>
                <w:b/>
              </w:rPr>
            </w:pPr>
            <w:r w:rsidRPr="00E6060C">
              <w:rPr>
                <w:bCs/>
              </w:rPr>
              <w:t>General Health</w:t>
            </w:r>
          </w:p>
        </w:tc>
        <w:tc>
          <w:tcPr>
            <w:tcW w:w="3402" w:type="dxa"/>
          </w:tcPr>
          <w:p w14:paraId="0123A3E7" w14:textId="77777777" w:rsidR="00E6060C" w:rsidRPr="00E6060C" w:rsidRDefault="00E6060C" w:rsidP="00F15DDF">
            <w:pPr>
              <w:numPr>
                <w:ilvl w:val="0"/>
                <w:numId w:val="106"/>
              </w:numPr>
              <w:contextualSpacing/>
              <w:rPr>
                <w:bCs/>
              </w:rPr>
            </w:pPr>
            <w:r w:rsidRPr="00E6060C">
              <w:rPr>
                <w:bCs/>
              </w:rPr>
              <w:t>Results not yet available but preliminary results indicate positive increases in WE</w:t>
            </w:r>
          </w:p>
        </w:tc>
        <w:tc>
          <w:tcPr>
            <w:tcW w:w="3402" w:type="dxa"/>
          </w:tcPr>
          <w:p w14:paraId="4F537343" w14:textId="77777777" w:rsidR="00E6060C" w:rsidRPr="00E6060C" w:rsidRDefault="00E6060C" w:rsidP="00F15DDF">
            <w:pPr>
              <w:numPr>
                <w:ilvl w:val="0"/>
                <w:numId w:val="106"/>
              </w:numPr>
              <w:ind w:left="161" w:hanging="161"/>
              <w:contextualSpacing/>
            </w:pPr>
            <w:r w:rsidRPr="00E6060C">
              <w:rPr>
                <w:bCs/>
              </w:rPr>
              <w:t>Results not yet available but preliminary results indicate positive increases on outcome variables</w:t>
            </w:r>
          </w:p>
        </w:tc>
      </w:tr>
      <w:tr w:rsidR="00E6060C" w:rsidRPr="00E6060C" w14:paraId="5D249400" w14:textId="77777777" w:rsidTr="00E6060C">
        <w:tc>
          <w:tcPr>
            <w:tcW w:w="440" w:type="dxa"/>
          </w:tcPr>
          <w:p w14:paraId="0CE79B7A" w14:textId="77777777" w:rsidR="00E6060C" w:rsidRPr="00E6060C" w:rsidRDefault="00E6060C" w:rsidP="00E6060C">
            <w:r w:rsidRPr="00E6060C">
              <w:t>5</w:t>
            </w:r>
          </w:p>
        </w:tc>
        <w:tc>
          <w:tcPr>
            <w:tcW w:w="1403" w:type="dxa"/>
          </w:tcPr>
          <w:p w14:paraId="2C44409B" w14:textId="77777777" w:rsidR="00E6060C" w:rsidRPr="00E6060C" w:rsidRDefault="00E6060C" w:rsidP="00E6060C">
            <w:r w:rsidRPr="00E6060C">
              <w:t>Maclean, 2013</w:t>
            </w:r>
          </w:p>
        </w:tc>
        <w:tc>
          <w:tcPr>
            <w:tcW w:w="1560" w:type="dxa"/>
          </w:tcPr>
          <w:p w14:paraId="516F575E" w14:textId="77777777" w:rsidR="00E6060C" w:rsidRPr="00E6060C" w:rsidRDefault="00E6060C" w:rsidP="00E6060C">
            <w:r w:rsidRPr="00E6060C">
              <w:t>Work engagement</w:t>
            </w:r>
          </w:p>
          <w:p w14:paraId="3777A1EB" w14:textId="77777777" w:rsidR="00E6060C" w:rsidRPr="00E6060C" w:rsidRDefault="00E6060C" w:rsidP="00E6060C"/>
        </w:tc>
        <w:tc>
          <w:tcPr>
            <w:tcW w:w="1275" w:type="dxa"/>
          </w:tcPr>
          <w:p w14:paraId="038B7603" w14:textId="77777777" w:rsidR="00E6060C" w:rsidRPr="00E6060C" w:rsidRDefault="00E6060C" w:rsidP="00E6060C">
            <w:r w:rsidRPr="00E6060C">
              <w:t>UWES</w:t>
            </w:r>
          </w:p>
        </w:tc>
        <w:tc>
          <w:tcPr>
            <w:tcW w:w="2835" w:type="dxa"/>
          </w:tcPr>
          <w:p w14:paraId="183B0910" w14:textId="77777777" w:rsidR="00E6060C" w:rsidRPr="00E6060C" w:rsidRDefault="00E6060C" w:rsidP="00F15DDF">
            <w:pPr>
              <w:numPr>
                <w:ilvl w:val="0"/>
                <w:numId w:val="106"/>
              </w:numPr>
              <w:ind w:left="161" w:hanging="161"/>
              <w:contextualSpacing/>
            </w:pPr>
            <w:r w:rsidRPr="00E6060C">
              <w:t>Psychological Flexibility</w:t>
            </w:r>
          </w:p>
          <w:p w14:paraId="2BD77897" w14:textId="77777777" w:rsidR="00E6060C" w:rsidRPr="00E6060C" w:rsidRDefault="00E6060C" w:rsidP="00F15DDF">
            <w:pPr>
              <w:numPr>
                <w:ilvl w:val="0"/>
                <w:numId w:val="106"/>
              </w:numPr>
              <w:ind w:left="161" w:hanging="161"/>
              <w:contextualSpacing/>
            </w:pPr>
            <w:r w:rsidRPr="00E6060C">
              <w:t>Value based living</w:t>
            </w:r>
          </w:p>
          <w:p w14:paraId="043A012A" w14:textId="77777777" w:rsidR="00E6060C" w:rsidRPr="00E6060C" w:rsidRDefault="00E6060C" w:rsidP="00F15DDF">
            <w:pPr>
              <w:numPr>
                <w:ilvl w:val="0"/>
                <w:numId w:val="106"/>
              </w:numPr>
              <w:ind w:left="161" w:hanging="161"/>
              <w:contextualSpacing/>
            </w:pPr>
            <w:r w:rsidRPr="00E6060C">
              <w:t>Mental Health</w:t>
            </w:r>
          </w:p>
          <w:p w14:paraId="404B6699" w14:textId="77777777" w:rsidR="00E6060C" w:rsidRPr="00E6060C" w:rsidRDefault="00E6060C" w:rsidP="00F15DDF">
            <w:pPr>
              <w:numPr>
                <w:ilvl w:val="0"/>
                <w:numId w:val="106"/>
              </w:numPr>
              <w:ind w:left="161" w:hanging="161"/>
              <w:contextualSpacing/>
            </w:pPr>
            <w:r w:rsidRPr="00E6060C">
              <w:t>Job satisfaction</w:t>
            </w:r>
          </w:p>
          <w:p w14:paraId="27ABDA38" w14:textId="77777777" w:rsidR="00E6060C" w:rsidRPr="00E6060C" w:rsidRDefault="00E6060C" w:rsidP="00F15DDF">
            <w:pPr>
              <w:numPr>
                <w:ilvl w:val="0"/>
                <w:numId w:val="106"/>
              </w:numPr>
              <w:ind w:left="161" w:hanging="161"/>
              <w:contextualSpacing/>
              <w:rPr>
                <w:b/>
              </w:rPr>
            </w:pPr>
            <w:r w:rsidRPr="00E6060C">
              <w:t>Anxiety and Depression</w:t>
            </w:r>
          </w:p>
          <w:p w14:paraId="06DF59A2" w14:textId="77777777" w:rsidR="00E6060C" w:rsidRPr="00E6060C" w:rsidRDefault="00E6060C" w:rsidP="00F15DDF">
            <w:pPr>
              <w:numPr>
                <w:ilvl w:val="0"/>
                <w:numId w:val="106"/>
              </w:numPr>
              <w:ind w:left="161" w:hanging="161"/>
              <w:contextualSpacing/>
              <w:rPr>
                <w:b/>
              </w:rPr>
            </w:pPr>
            <w:r w:rsidRPr="00E6060C">
              <w:t>Absenteeism</w:t>
            </w:r>
          </w:p>
        </w:tc>
        <w:tc>
          <w:tcPr>
            <w:tcW w:w="3402" w:type="dxa"/>
          </w:tcPr>
          <w:p w14:paraId="417E53AC" w14:textId="77777777" w:rsidR="00E6060C" w:rsidRPr="00E6060C" w:rsidRDefault="00E6060C" w:rsidP="00F15DDF">
            <w:pPr>
              <w:numPr>
                <w:ilvl w:val="0"/>
                <w:numId w:val="106"/>
              </w:numPr>
              <w:contextualSpacing/>
              <w:rPr>
                <w:rFonts w:ascii="Calibri" w:hAnsi="Calibri"/>
                <w:color w:val="000000"/>
              </w:rPr>
            </w:pPr>
            <w:r w:rsidRPr="00E6060C">
              <w:rPr>
                <w:rFonts w:ascii="Calibri" w:hAnsi="Calibri"/>
                <w:color w:val="000000"/>
              </w:rPr>
              <w:t>No difference in outcomes was measured between those who received ACT and those who did not</w:t>
            </w:r>
          </w:p>
          <w:p w14:paraId="265CD3B0" w14:textId="77777777" w:rsidR="00E6060C" w:rsidRPr="00E6060C" w:rsidRDefault="00E6060C" w:rsidP="00E6060C">
            <w:pPr>
              <w:contextualSpacing/>
              <w:rPr>
                <w:b/>
              </w:rPr>
            </w:pPr>
          </w:p>
        </w:tc>
        <w:tc>
          <w:tcPr>
            <w:tcW w:w="3402" w:type="dxa"/>
          </w:tcPr>
          <w:p w14:paraId="5231D77C" w14:textId="77777777" w:rsidR="00E6060C" w:rsidRPr="00E6060C" w:rsidRDefault="00E6060C" w:rsidP="00F15DDF">
            <w:pPr>
              <w:numPr>
                <w:ilvl w:val="0"/>
                <w:numId w:val="106"/>
              </w:numPr>
              <w:ind w:left="161" w:hanging="161"/>
              <w:contextualSpacing/>
              <w:rPr>
                <w:rFonts w:ascii="Calibri" w:hAnsi="Calibri"/>
                <w:color w:val="000000"/>
              </w:rPr>
            </w:pPr>
            <w:r w:rsidRPr="00E6060C">
              <w:rPr>
                <w:rFonts w:ascii="Calibri" w:hAnsi="Calibri"/>
                <w:color w:val="000000"/>
              </w:rPr>
              <w:t xml:space="preserve">No effects observed. </w:t>
            </w:r>
          </w:p>
        </w:tc>
      </w:tr>
      <w:tr w:rsidR="00E6060C" w:rsidRPr="00E6060C" w14:paraId="2E0E0BFE" w14:textId="77777777" w:rsidTr="00E6060C">
        <w:tc>
          <w:tcPr>
            <w:tcW w:w="440" w:type="dxa"/>
          </w:tcPr>
          <w:p w14:paraId="5F4EA9AD" w14:textId="77777777" w:rsidR="00E6060C" w:rsidRPr="00E6060C" w:rsidRDefault="00E6060C" w:rsidP="00E6060C">
            <w:r w:rsidRPr="00E6060C">
              <w:t>6</w:t>
            </w:r>
          </w:p>
        </w:tc>
        <w:tc>
          <w:tcPr>
            <w:tcW w:w="1403" w:type="dxa"/>
          </w:tcPr>
          <w:p w14:paraId="67D03E57" w14:textId="7AD1290D"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Ouweneel, et a.l, 2013</w:t>
            </w:r>
          </w:p>
          <w:p w14:paraId="3AF49068" w14:textId="77777777" w:rsidR="00E6060C" w:rsidRPr="00E6060C" w:rsidRDefault="00E6060C" w:rsidP="00E6060C"/>
        </w:tc>
        <w:tc>
          <w:tcPr>
            <w:tcW w:w="1560" w:type="dxa"/>
          </w:tcPr>
          <w:p w14:paraId="5354C8D6" w14:textId="77777777" w:rsidR="00E6060C" w:rsidRPr="00E6060C" w:rsidRDefault="00E6060C" w:rsidP="00E6060C">
            <w:r w:rsidRPr="00E6060C">
              <w:t>Work engagement</w:t>
            </w:r>
          </w:p>
        </w:tc>
        <w:tc>
          <w:tcPr>
            <w:tcW w:w="1275" w:type="dxa"/>
          </w:tcPr>
          <w:p w14:paraId="76A99886" w14:textId="77777777" w:rsidR="00E6060C" w:rsidRPr="00E6060C" w:rsidRDefault="00E6060C" w:rsidP="00E6060C">
            <w:r w:rsidRPr="00E6060C">
              <w:t>UWES-9</w:t>
            </w:r>
          </w:p>
        </w:tc>
        <w:tc>
          <w:tcPr>
            <w:tcW w:w="2835" w:type="dxa"/>
          </w:tcPr>
          <w:p w14:paraId="634D4443" w14:textId="77777777" w:rsidR="00E6060C" w:rsidRPr="00E6060C" w:rsidRDefault="00E6060C" w:rsidP="00F15DDF">
            <w:pPr>
              <w:numPr>
                <w:ilvl w:val="0"/>
                <w:numId w:val="23"/>
              </w:numPr>
              <w:ind w:left="181" w:hanging="181"/>
              <w:contextualSpacing/>
            </w:pPr>
            <w:r w:rsidRPr="00E6060C">
              <w:t>Positive emotions</w:t>
            </w:r>
          </w:p>
          <w:p w14:paraId="2640BAA6" w14:textId="77777777" w:rsidR="00E6060C" w:rsidRPr="00E6060C" w:rsidRDefault="00E6060C" w:rsidP="00F15DDF">
            <w:pPr>
              <w:numPr>
                <w:ilvl w:val="0"/>
                <w:numId w:val="23"/>
              </w:numPr>
              <w:ind w:left="181" w:hanging="181"/>
              <w:contextualSpacing/>
            </w:pPr>
            <w:r w:rsidRPr="00E6060C">
              <w:t>Self-efficacy</w:t>
            </w:r>
          </w:p>
        </w:tc>
        <w:tc>
          <w:tcPr>
            <w:tcW w:w="3402" w:type="dxa"/>
          </w:tcPr>
          <w:p w14:paraId="1C4532E5" w14:textId="77777777" w:rsidR="00E6060C" w:rsidRPr="00E6060C" w:rsidRDefault="00E6060C" w:rsidP="00F15DDF">
            <w:pPr>
              <w:numPr>
                <w:ilvl w:val="0"/>
                <w:numId w:val="23"/>
              </w:numPr>
              <w:ind w:left="158" w:hanging="158"/>
              <w:contextualSpacing/>
            </w:pPr>
            <w:r w:rsidRPr="00E6060C">
              <w:t xml:space="preserve">Positive effects seen for those initially low in engagement, but not for those medium or high in engagement  </w:t>
            </w:r>
          </w:p>
        </w:tc>
        <w:tc>
          <w:tcPr>
            <w:tcW w:w="3402" w:type="dxa"/>
          </w:tcPr>
          <w:p w14:paraId="25BE44B3" w14:textId="77777777" w:rsidR="00E6060C" w:rsidRPr="00E6060C" w:rsidRDefault="00E6060C" w:rsidP="00F15DDF">
            <w:pPr>
              <w:numPr>
                <w:ilvl w:val="0"/>
                <w:numId w:val="23"/>
              </w:numPr>
              <w:ind w:left="158" w:hanging="158"/>
              <w:contextualSpacing/>
            </w:pPr>
            <w:r w:rsidRPr="00E6060C">
              <w:t>Stronger increase in positive emotions and self-efficacy in intervention group</w:t>
            </w:r>
          </w:p>
          <w:p w14:paraId="0F5E41C6" w14:textId="77777777" w:rsidR="00E6060C" w:rsidRPr="00E6060C" w:rsidRDefault="00E6060C" w:rsidP="00E6060C">
            <w:pPr>
              <w:spacing w:after="200" w:line="276" w:lineRule="auto"/>
              <w:ind w:left="158"/>
              <w:contextualSpacing/>
            </w:pPr>
          </w:p>
        </w:tc>
      </w:tr>
      <w:tr w:rsidR="00E6060C" w:rsidRPr="00E6060C" w14:paraId="5B6A2CE9" w14:textId="77777777" w:rsidTr="00E6060C">
        <w:tc>
          <w:tcPr>
            <w:tcW w:w="440" w:type="dxa"/>
          </w:tcPr>
          <w:p w14:paraId="6BEED88D" w14:textId="77777777" w:rsidR="00E6060C" w:rsidRPr="00E6060C" w:rsidRDefault="00E6060C" w:rsidP="00E6060C">
            <w:r w:rsidRPr="00E6060C">
              <w:t>7</w:t>
            </w:r>
          </w:p>
        </w:tc>
        <w:tc>
          <w:tcPr>
            <w:tcW w:w="1403" w:type="dxa"/>
          </w:tcPr>
          <w:p w14:paraId="44F68BCA" w14:textId="0850EBC4" w:rsidR="00E6060C" w:rsidRPr="00E6060C" w:rsidRDefault="001260A3" w:rsidP="00E6060C">
            <w:pPr>
              <w:rPr>
                <w:rFonts w:ascii="Calibri" w:hAnsi="Calibri"/>
              </w:rPr>
            </w:pPr>
            <w:r>
              <w:rPr>
                <w:rFonts w:ascii="Calibri" w:hAnsi="Calibri"/>
              </w:rPr>
              <w:t>*</w:t>
            </w:r>
            <w:r w:rsidR="00E6060C" w:rsidRPr="00E6060C">
              <w:rPr>
                <w:rFonts w:ascii="Calibri" w:hAnsi="Calibri"/>
              </w:rPr>
              <w:t xml:space="preserve">Sodani et al., 2011 </w:t>
            </w:r>
          </w:p>
        </w:tc>
        <w:tc>
          <w:tcPr>
            <w:tcW w:w="1560" w:type="dxa"/>
          </w:tcPr>
          <w:p w14:paraId="415D93E2" w14:textId="77777777" w:rsidR="00E6060C" w:rsidRPr="00E6060C" w:rsidRDefault="00E6060C" w:rsidP="00E6060C">
            <w:r w:rsidRPr="00E6060C">
              <w:t>Work engagement</w:t>
            </w:r>
          </w:p>
          <w:p w14:paraId="3DFF143A" w14:textId="77777777" w:rsidR="00E6060C" w:rsidRPr="00E6060C" w:rsidRDefault="00E6060C" w:rsidP="00E6060C">
            <w:r w:rsidRPr="00E6060C">
              <w:t>Vigour</w:t>
            </w:r>
          </w:p>
          <w:p w14:paraId="7DB7C7B6" w14:textId="77777777" w:rsidR="00E6060C" w:rsidRPr="00E6060C" w:rsidRDefault="00E6060C" w:rsidP="00E6060C">
            <w:r w:rsidRPr="00E6060C">
              <w:t>Dedication</w:t>
            </w:r>
          </w:p>
          <w:p w14:paraId="0E759EBC" w14:textId="77777777" w:rsidR="00E6060C" w:rsidRPr="00E6060C" w:rsidRDefault="00E6060C" w:rsidP="00E6060C">
            <w:r w:rsidRPr="00E6060C">
              <w:t>Absorption</w:t>
            </w:r>
          </w:p>
        </w:tc>
        <w:tc>
          <w:tcPr>
            <w:tcW w:w="1275" w:type="dxa"/>
          </w:tcPr>
          <w:p w14:paraId="51575176" w14:textId="77777777" w:rsidR="00E6060C" w:rsidRPr="00E6060C" w:rsidRDefault="00E6060C" w:rsidP="00E6060C">
            <w:r w:rsidRPr="00E6060C">
              <w:t>UWES-17</w:t>
            </w:r>
          </w:p>
        </w:tc>
        <w:tc>
          <w:tcPr>
            <w:tcW w:w="2835" w:type="dxa"/>
          </w:tcPr>
          <w:p w14:paraId="1DDCFA6E" w14:textId="77777777" w:rsidR="00E6060C" w:rsidRPr="00E6060C" w:rsidRDefault="00E6060C" w:rsidP="00E6060C">
            <w:r w:rsidRPr="00E6060C">
              <w:t>None</w:t>
            </w:r>
          </w:p>
        </w:tc>
        <w:tc>
          <w:tcPr>
            <w:tcW w:w="3402" w:type="dxa"/>
          </w:tcPr>
          <w:p w14:paraId="41800A47" w14:textId="77777777" w:rsidR="00E6060C" w:rsidRPr="00E6060C" w:rsidRDefault="00E6060C" w:rsidP="00F15DDF">
            <w:pPr>
              <w:numPr>
                <w:ilvl w:val="0"/>
                <w:numId w:val="26"/>
              </w:numPr>
              <w:ind w:left="191" w:hanging="191"/>
              <w:contextualSpacing/>
              <w:rPr>
                <w:b/>
              </w:rPr>
            </w:pPr>
            <w:r w:rsidRPr="00E6060C">
              <w:rPr>
                <w:rFonts w:ascii="Calibri" w:hAnsi="Calibri"/>
                <w:color w:val="000000"/>
              </w:rPr>
              <w:t>Significant positive changes in the experimental group compared to the control group, for WE, vigour, dedication and absorption</w:t>
            </w:r>
          </w:p>
        </w:tc>
        <w:tc>
          <w:tcPr>
            <w:tcW w:w="3402" w:type="dxa"/>
          </w:tcPr>
          <w:p w14:paraId="68172819" w14:textId="77777777" w:rsidR="00E6060C" w:rsidRPr="00E6060C" w:rsidRDefault="00E6060C" w:rsidP="00E6060C">
            <w:pPr>
              <w:rPr>
                <w:rFonts w:ascii="Calibri" w:hAnsi="Calibri"/>
                <w:color w:val="000000"/>
              </w:rPr>
            </w:pPr>
            <w:r w:rsidRPr="00E6060C">
              <w:rPr>
                <w:rFonts w:ascii="Calibri" w:hAnsi="Calibri"/>
                <w:color w:val="000000"/>
              </w:rPr>
              <w:t>NA</w:t>
            </w:r>
          </w:p>
        </w:tc>
      </w:tr>
      <w:tr w:rsidR="00E6060C" w:rsidRPr="00E6060C" w14:paraId="699FA359" w14:textId="77777777" w:rsidTr="00E6060C">
        <w:tc>
          <w:tcPr>
            <w:tcW w:w="440" w:type="dxa"/>
          </w:tcPr>
          <w:p w14:paraId="1349BAB8" w14:textId="77777777" w:rsidR="00E6060C" w:rsidRPr="00E6060C" w:rsidRDefault="00E6060C" w:rsidP="00E6060C">
            <w:r w:rsidRPr="00E6060C">
              <w:lastRenderedPageBreak/>
              <w:t>8</w:t>
            </w:r>
          </w:p>
        </w:tc>
        <w:tc>
          <w:tcPr>
            <w:tcW w:w="1403" w:type="dxa"/>
          </w:tcPr>
          <w:p w14:paraId="0E8CD0AE" w14:textId="68C6B89A" w:rsidR="00E6060C" w:rsidRPr="00E6060C" w:rsidRDefault="001260A3" w:rsidP="00E6060C">
            <w:r>
              <w:t>*</w:t>
            </w:r>
            <w:r w:rsidR="00E6060C" w:rsidRPr="00E6060C">
              <w:t>Vuori et al., 2012</w:t>
            </w:r>
          </w:p>
          <w:p w14:paraId="4B2E60A7" w14:textId="77777777" w:rsidR="00E6060C" w:rsidRPr="00E6060C" w:rsidRDefault="00E6060C" w:rsidP="00E6060C"/>
        </w:tc>
        <w:tc>
          <w:tcPr>
            <w:tcW w:w="1560" w:type="dxa"/>
          </w:tcPr>
          <w:p w14:paraId="4D3EBE69" w14:textId="77777777" w:rsidR="00E6060C" w:rsidRPr="00E6060C" w:rsidRDefault="00E6060C" w:rsidP="00E6060C">
            <w:r w:rsidRPr="00E6060C">
              <w:t xml:space="preserve">Work engagement </w:t>
            </w:r>
          </w:p>
          <w:p w14:paraId="7B1B9084" w14:textId="77777777" w:rsidR="00E6060C" w:rsidRPr="00E6060C" w:rsidRDefault="00E6060C" w:rsidP="00E6060C"/>
        </w:tc>
        <w:tc>
          <w:tcPr>
            <w:tcW w:w="1275" w:type="dxa"/>
          </w:tcPr>
          <w:p w14:paraId="6B841801" w14:textId="77777777" w:rsidR="00E6060C" w:rsidRPr="00E6060C" w:rsidRDefault="00E6060C" w:rsidP="00E6060C">
            <w:r w:rsidRPr="00E6060C">
              <w:t>UWES-9</w:t>
            </w:r>
          </w:p>
          <w:p w14:paraId="4599C889" w14:textId="77777777" w:rsidR="00E6060C" w:rsidRPr="00E6060C" w:rsidRDefault="00E6060C" w:rsidP="00E6060C"/>
        </w:tc>
        <w:tc>
          <w:tcPr>
            <w:tcW w:w="2835" w:type="dxa"/>
          </w:tcPr>
          <w:p w14:paraId="37AF1872" w14:textId="77777777" w:rsidR="00E6060C" w:rsidRPr="00E6060C" w:rsidRDefault="00E6060C" w:rsidP="00F15DDF">
            <w:pPr>
              <w:numPr>
                <w:ilvl w:val="0"/>
                <w:numId w:val="103"/>
              </w:numPr>
              <w:ind w:left="181" w:hanging="181"/>
              <w:contextualSpacing/>
            </w:pPr>
            <w:r w:rsidRPr="00E6060C">
              <w:t xml:space="preserve">Career management preparedness  </w:t>
            </w:r>
          </w:p>
          <w:p w14:paraId="53499DBD" w14:textId="77777777" w:rsidR="00E6060C" w:rsidRPr="00E6060C" w:rsidRDefault="00E6060C" w:rsidP="00F15DDF">
            <w:pPr>
              <w:numPr>
                <w:ilvl w:val="0"/>
                <w:numId w:val="103"/>
              </w:numPr>
              <w:ind w:left="181" w:hanging="181"/>
              <w:contextualSpacing/>
            </w:pPr>
            <w:r w:rsidRPr="00E6060C">
              <w:t xml:space="preserve">Depressive symptoms </w:t>
            </w:r>
          </w:p>
          <w:p w14:paraId="4A352AB6" w14:textId="77777777" w:rsidR="00E6060C" w:rsidRPr="00E6060C" w:rsidRDefault="00E6060C" w:rsidP="00F15DDF">
            <w:pPr>
              <w:numPr>
                <w:ilvl w:val="0"/>
                <w:numId w:val="103"/>
              </w:numPr>
              <w:ind w:left="181" w:hanging="181"/>
              <w:contextualSpacing/>
            </w:pPr>
            <w:r w:rsidRPr="00E6060C">
              <w:t xml:space="preserve">Exhaustion </w:t>
            </w:r>
          </w:p>
          <w:p w14:paraId="74B453CB" w14:textId="77777777" w:rsidR="00E6060C" w:rsidRPr="00E6060C" w:rsidRDefault="00E6060C" w:rsidP="00F15DDF">
            <w:pPr>
              <w:numPr>
                <w:ilvl w:val="0"/>
                <w:numId w:val="103"/>
              </w:numPr>
              <w:ind w:left="181" w:hanging="181"/>
              <w:contextualSpacing/>
            </w:pPr>
            <w:r w:rsidRPr="00E6060C">
              <w:t xml:space="preserve">Mental resources </w:t>
            </w:r>
          </w:p>
          <w:p w14:paraId="44FF7E1E" w14:textId="77777777" w:rsidR="00E6060C" w:rsidRPr="00E6060C" w:rsidRDefault="00E6060C" w:rsidP="00F15DDF">
            <w:pPr>
              <w:numPr>
                <w:ilvl w:val="0"/>
                <w:numId w:val="103"/>
              </w:numPr>
              <w:ind w:left="181" w:hanging="181"/>
              <w:contextualSpacing/>
            </w:pPr>
            <w:r w:rsidRPr="00E6060C">
              <w:t xml:space="preserve">Intention to retire early </w:t>
            </w:r>
          </w:p>
          <w:p w14:paraId="189629FB" w14:textId="77777777" w:rsidR="00E6060C" w:rsidRPr="00E6060C" w:rsidRDefault="00E6060C" w:rsidP="00F15DDF">
            <w:pPr>
              <w:numPr>
                <w:ilvl w:val="0"/>
                <w:numId w:val="103"/>
              </w:numPr>
              <w:ind w:left="181" w:hanging="181"/>
              <w:contextualSpacing/>
            </w:pPr>
            <w:r w:rsidRPr="00E6060C">
              <w:t>Integrity of the intervention</w:t>
            </w:r>
          </w:p>
          <w:p w14:paraId="53D536EF" w14:textId="77777777" w:rsidR="00E6060C" w:rsidRPr="00E6060C" w:rsidRDefault="00E6060C" w:rsidP="00E6060C">
            <w:pPr>
              <w:ind w:left="181"/>
              <w:contextualSpacing/>
            </w:pPr>
          </w:p>
        </w:tc>
        <w:tc>
          <w:tcPr>
            <w:tcW w:w="3402" w:type="dxa"/>
          </w:tcPr>
          <w:p w14:paraId="35A943DE" w14:textId="77777777" w:rsidR="00E6060C" w:rsidRPr="00E6060C" w:rsidRDefault="00E6060C" w:rsidP="00F15DDF">
            <w:pPr>
              <w:numPr>
                <w:ilvl w:val="0"/>
                <w:numId w:val="103"/>
              </w:numPr>
              <w:ind w:left="238" w:hanging="238"/>
              <w:contextualSpacing/>
            </w:pPr>
            <w:r w:rsidRPr="00E6060C">
              <w:t>No effects observed</w:t>
            </w:r>
          </w:p>
        </w:tc>
        <w:tc>
          <w:tcPr>
            <w:tcW w:w="3402" w:type="dxa"/>
          </w:tcPr>
          <w:p w14:paraId="399D7BB5" w14:textId="77777777" w:rsidR="00E6060C" w:rsidRPr="00E6060C" w:rsidRDefault="00E6060C" w:rsidP="00F15DDF">
            <w:pPr>
              <w:numPr>
                <w:ilvl w:val="0"/>
                <w:numId w:val="103"/>
              </w:numPr>
              <w:ind w:left="238" w:hanging="238"/>
              <w:contextualSpacing/>
            </w:pPr>
            <w:r w:rsidRPr="00E6060C">
              <w:t>No effects observed</w:t>
            </w:r>
          </w:p>
        </w:tc>
      </w:tr>
      <w:tr w:rsidR="00E6060C" w:rsidRPr="00E6060C" w14:paraId="506C5860" w14:textId="77777777" w:rsidTr="00E6060C">
        <w:tc>
          <w:tcPr>
            <w:tcW w:w="14317" w:type="dxa"/>
            <w:gridSpan w:val="7"/>
            <w:shd w:val="clear" w:color="auto" w:fill="D9D9D9" w:themeFill="background1" w:themeFillShade="D9"/>
          </w:tcPr>
          <w:p w14:paraId="2C4A69F2" w14:textId="77777777" w:rsidR="00E6060C" w:rsidRPr="00E6060C" w:rsidRDefault="00E6060C" w:rsidP="00E6060C">
            <w:pPr>
              <w:rPr>
                <w:b/>
                <w:bCs/>
              </w:rPr>
            </w:pPr>
            <w:r w:rsidRPr="00E6060C">
              <w:rPr>
                <w:b/>
                <w:bCs/>
              </w:rPr>
              <w:t>ONGOING PERSONAL RESOURCE BUILDING STUDIES</w:t>
            </w:r>
          </w:p>
          <w:p w14:paraId="3DCF2FDF" w14:textId="77777777" w:rsidR="00E6060C" w:rsidRPr="00E6060C" w:rsidRDefault="00E6060C" w:rsidP="00E6060C">
            <w:pPr>
              <w:rPr>
                <w:b/>
                <w:bCs/>
              </w:rPr>
            </w:pPr>
          </w:p>
        </w:tc>
      </w:tr>
      <w:tr w:rsidR="00E6060C" w:rsidRPr="00E6060C" w14:paraId="11B79F54" w14:textId="77777777" w:rsidTr="00C7646B">
        <w:tc>
          <w:tcPr>
            <w:tcW w:w="440" w:type="dxa"/>
            <w:shd w:val="clear" w:color="auto" w:fill="D9D9D9" w:themeFill="background1" w:themeFillShade="D9"/>
          </w:tcPr>
          <w:p w14:paraId="678736F6" w14:textId="77777777" w:rsidR="00E6060C" w:rsidRPr="00E6060C" w:rsidRDefault="00E6060C" w:rsidP="00E6060C">
            <w:r w:rsidRPr="00E6060C">
              <w:t>9</w:t>
            </w:r>
          </w:p>
        </w:tc>
        <w:tc>
          <w:tcPr>
            <w:tcW w:w="1403" w:type="dxa"/>
            <w:shd w:val="clear" w:color="auto" w:fill="D9D9D9" w:themeFill="background1" w:themeFillShade="D9"/>
          </w:tcPr>
          <w:p w14:paraId="49545E46" w14:textId="77777777" w:rsidR="00E6060C" w:rsidRPr="00E6060C" w:rsidRDefault="00E6060C" w:rsidP="00E6060C">
            <w:r w:rsidRPr="00E6060C">
              <w:t>Koolhaas et al., 2010</w:t>
            </w:r>
          </w:p>
        </w:tc>
        <w:tc>
          <w:tcPr>
            <w:tcW w:w="1560" w:type="dxa"/>
            <w:shd w:val="clear" w:color="auto" w:fill="D9D9D9" w:themeFill="background1" w:themeFillShade="D9"/>
          </w:tcPr>
          <w:p w14:paraId="44B17447" w14:textId="77777777" w:rsidR="00E6060C" w:rsidRPr="00E6060C" w:rsidRDefault="00E6060C" w:rsidP="00E6060C">
            <w:r w:rsidRPr="00E6060C">
              <w:t>Work engagement</w:t>
            </w:r>
          </w:p>
        </w:tc>
        <w:tc>
          <w:tcPr>
            <w:tcW w:w="1275" w:type="dxa"/>
            <w:shd w:val="clear" w:color="auto" w:fill="D9D9D9" w:themeFill="background1" w:themeFillShade="D9"/>
          </w:tcPr>
          <w:p w14:paraId="66C6A141" w14:textId="77777777" w:rsidR="00E6060C" w:rsidRPr="00E6060C" w:rsidRDefault="00E6060C" w:rsidP="00E6060C">
            <w:r w:rsidRPr="00E6060C">
              <w:t>UWES-9</w:t>
            </w:r>
          </w:p>
        </w:tc>
        <w:tc>
          <w:tcPr>
            <w:tcW w:w="2835" w:type="dxa"/>
            <w:shd w:val="clear" w:color="auto" w:fill="D9D9D9" w:themeFill="background1" w:themeFillShade="D9"/>
          </w:tcPr>
          <w:p w14:paraId="6D25362B" w14:textId="77777777" w:rsidR="00E6060C" w:rsidRPr="00E6060C" w:rsidRDefault="00E6060C" w:rsidP="00F15DDF">
            <w:pPr>
              <w:numPr>
                <w:ilvl w:val="0"/>
                <w:numId w:val="29"/>
              </w:numPr>
              <w:ind w:left="161" w:hanging="161"/>
              <w:contextualSpacing/>
            </w:pPr>
            <w:r w:rsidRPr="00E6060C">
              <w:t>Work ability</w:t>
            </w:r>
          </w:p>
          <w:p w14:paraId="479BFD9E" w14:textId="77777777" w:rsidR="00E6060C" w:rsidRPr="00E6060C" w:rsidRDefault="00E6060C" w:rsidP="00F15DDF">
            <w:pPr>
              <w:numPr>
                <w:ilvl w:val="0"/>
                <w:numId w:val="29"/>
              </w:numPr>
              <w:ind w:left="161" w:hanging="161"/>
              <w:contextualSpacing/>
            </w:pPr>
            <w:r w:rsidRPr="00E6060C">
              <w:t>Vitality</w:t>
            </w:r>
          </w:p>
          <w:p w14:paraId="465D62C0" w14:textId="77777777" w:rsidR="00E6060C" w:rsidRPr="00E6060C" w:rsidRDefault="00E6060C" w:rsidP="00F15DDF">
            <w:pPr>
              <w:numPr>
                <w:ilvl w:val="0"/>
                <w:numId w:val="29"/>
              </w:numPr>
              <w:ind w:left="161" w:hanging="161"/>
              <w:contextualSpacing/>
            </w:pPr>
            <w:r w:rsidRPr="00E6060C">
              <w:t>Productivity (Quantity &amp; quality of work performed daily)</w:t>
            </w:r>
          </w:p>
          <w:p w14:paraId="07A23D1D" w14:textId="77777777" w:rsidR="00E6060C" w:rsidRPr="00E6060C" w:rsidRDefault="00E6060C" w:rsidP="00F15DDF">
            <w:pPr>
              <w:numPr>
                <w:ilvl w:val="0"/>
                <w:numId w:val="29"/>
              </w:numPr>
              <w:ind w:left="161" w:hanging="161"/>
              <w:contextualSpacing/>
            </w:pPr>
            <w:r w:rsidRPr="00E6060C">
              <w:t>Fatigue</w:t>
            </w:r>
          </w:p>
          <w:p w14:paraId="760F4172" w14:textId="77777777" w:rsidR="00E6060C" w:rsidRPr="00E6060C" w:rsidRDefault="00E6060C" w:rsidP="00F15DDF">
            <w:pPr>
              <w:numPr>
                <w:ilvl w:val="0"/>
                <w:numId w:val="29"/>
              </w:numPr>
              <w:ind w:left="161" w:hanging="161"/>
              <w:contextualSpacing/>
            </w:pPr>
            <w:r w:rsidRPr="00E6060C">
              <w:t>Psychosocial work characteristics (job demands, decision authority, skill discretion, &amp; social support</w:t>
            </w:r>
          </w:p>
          <w:p w14:paraId="424EB04B" w14:textId="77777777" w:rsidR="00E6060C" w:rsidRPr="00E6060C" w:rsidRDefault="00E6060C" w:rsidP="00F15DDF">
            <w:pPr>
              <w:numPr>
                <w:ilvl w:val="0"/>
                <w:numId w:val="29"/>
              </w:numPr>
              <w:ind w:left="161" w:hanging="161"/>
              <w:contextualSpacing/>
            </w:pPr>
            <w:r w:rsidRPr="00E6060C">
              <w:t>Work attitude</w:t>
            </w:r>
          </w:p>
          <w:p w14:paraId="5FCE0D14" w14:textId="77777777" w:rsidR="00E6060C" w:rsidRPr="00E6060C" w:rsidRDefault="00E6060C" w:rsidP="00F15DDF">
            <w:pPr>
              <w:numPr>
                <w:ilvl w:val="0"/>
                <w:numId w:val="29"/>
              </w:numPr>
              <w:ind w:left="161" w:hanging="161"/>
              <w:contextualSpacing/>
            </w:pPr>
            <w:r w:rsidRPr="00E6060C">
              <w:t>Self-efficacy</w:t>
            </w:r>
          </w:p>
        </w:tc>
        <w:tc>
          <w:tcPr>
            <w:tcW w:w="3402" w:type="dxa"/>
            <w:shd w:val="clear" w:color="auto" w:fill="D9D9D9" w:themeFill="background1" w:themeFillShade="D9"/>
          </w:tcPr>
          <w:p w14:paraId="7ED89E50" w14:textId="77777777" w:rsidR="00E6060C" w:rsidRPr="00E6060C" w:rsidRDefault="00E6060C" w:rsidP="00E6060C">
            <w:pPr>
              <w:contextualSpacing/>
            </w:pPr>
            <w:r w:rsidRPr="00E6060C">
              <w:t>NA – ongoing study, protocol only available</w:t>
            </w:r>
          </w:p>
        </w:tc>
        <w:tc>
          <w:tcPr>
            <w:tcW w:w="3402" w:type="dxa"/>
            <w:shd w:val="clear" w:color="auto" w:fill="D9D9D9" w:themeFill="background1" w:themeFillShade="D9"/>
          </w:tcPr>
          <w:p w14:paraId="573E7266" w14:textId="77777777" w:rsidR="00E6060C" w:rsidRPr="00E6060C" w:rsidRDefault="00E6060C" w:rsidP="00E6060C">
            <w:pPr>
              <w:contextualSpacing/>
            </w:pPr>
            <w:r w:rsidRPr="00E6060C">
              <w:t>Data not yet collected</w:t>
            </w:r>
          </w:p>
        </w:tc>
      </w:tr>
      <w:tr w:rsidR="00E6060C" w:rsidRPr="00E6060C" w14:paraId="229BF39C" w14:textId="77777777" w:rsidTr="00C7646B">
        <w:tc>
          <w:tcPr>
            <w:tcW w:w="440" w:type="dxa"/>
            <w:shd w:val="clear" w:color="auto" w:fill="D9D9D9" w:themeFill="background1" w:themeFillShade="D9"/>
          </w:tcPr>
          <w:p w14:paraId="4C681F0C" w14:textId="77777777" w:rsidR="00E6060C" w:rsidRPr="00E6060C" w:rsidRDefault="00E6060C" w:rsidP="00E6060C">
            <w:r w:rsidRPr="00E6060C">
              <w:t>10</w:t>
            </w:r>
          </w:p>
        </w:tc>
        <w:tc>
          <w:tcPr>
            <w:tcW w:w="1403" w:type="dxa"/>
            <w:shd w:val="clear" w:color="auto" w:fill="D9D9D9" w:themeFill="background1" w:themeFillShade="D9"/>
          </w:tcPr>
          <w:p w14:paraId="517BFEC7" w14:textId="77777777" w:rsidR="00E6060C" w:rsidRPr="00E6060C" w:rsidRDefault="00E6060C" w:rsidP="00E6060C">
            <w:r w:rsidRPr="00E6060C">
              <w:t>Schelvis et al., 2013</w:t>
            </w:r>
          </w:p>
        </w:tc>
        <w:tc>
          <w:tcPr>
            <w:tcW w:w="1560" w:type="dxa"/>
            <w:shd w:val="clear" w:color="auto" w:fill="D9D9D9" w:themeFill="background1" w:themeFillShade="D9"/>
          </w:tcPr>
          <w:p w14:paraId="1CE9F5F5" w14:textId="77777777" w:rsidR="00E6060C" w:rsidRPr="00E6060C" w:rsidRDefault="00E6060C" w:rsidP="00E6060C">
            <w:r w:rsidRPr="00E6060C">
              <w:t>Work engagement</w:t>
            </w:r>
          </w:p>
          <w:p w14:paraId="568D6D6D" w14:textId="77777777" w:rsidR="00E6060C" w:rsidRPr="00E6060C" w:rsidRDefault="00E6060C" w:rsidP="00E6060C">
            <w:r w:rsidRPr="00E6060C">
              <w:t>Vigour</w:t>
            </w:r>
          </w:p>
        </w:tc>
        <w:tc>
          <w:tcPr>
            <w:tcW w:w="1275" w:type="dxa"/>
            <w:shd w:val="clear" w:color="auto" w:fill="D9D9D9" w:themeFill="background1" w:themeFillShade="D9"/>
          </w:tcPr>
          <w:p w14:paraId="0AABDBFF" w14:textId="77777777" w:rsidR="00E6060C" w:rsidRPr="00E6060C" w:rsidRDefault="00E6060C" w:rsidP="00E6060C">
            <w:r w:rsidRPr="00E6060C">
              <w:t>UWES-9</w:t>
            </w:r>
          </w:p>
        </w:tc>
        <w:tc>
          <w:tcPr>
            <w:tcW w:w="2835" w:type="dxa"/>
            <w:shd w:val="clear" w:color="auto" w:fill="D9D9D9" w:themeFill="background1" w:themeFillShade="D9"/>
          </w:tcPr>
          <w:p w14:paraId="7E23809A" w14:textId="77777777" w:rsidR="00E6060C" w:rsidRPr="00E6060C" w:rsidRDefault="00E6060C" w:rsidP="00F15DDF">
            <w:pPr>
              <w:numPr>
                <w:ilvl w:val="0"/>
                <w:numId w:val="119"/>
              </w:numPr>
              <w:ind w:left="119" w:hanging="119"/>
              <w:contextualSpacing/>
            </w:pPr>
            <w:r w:rsidRPr="00E6060C">
              <w:t>Need for recovery</w:t>
            </w:r>
          </w:p>
          <w:p w14:paraId="33099247" w14:textId="77777777" w:rsidR="00E6060C" w:rsidRPr="00E6060C" w:rsidRDefault="00E6060C" w:rsidP="00F15DDF">
            <w:pPr>
              <w:numPr>
                <w:ilvl w:val="0"/>
                <w:numId w:val="119"/>
              </w:numPr>
              <w:ind w:left="119" w:hanging="119"/>
              <w:contextualSpacing/>
            </w:pPr>
            <w:r w:rsidRPr="00E6060C">
              <w:t>Job demands and resources</w:t>
            </w:r>
          </w:p>
          <w:p w14:paraId="113D6ADD" w14:textId="77777777" w:rsidR="00E6060C" w:rsidRPr="00E6060C" w:rsidRDefault="00E6060C" w:rsidP="00F15DDF">
            <w:pPr>
              <w:numPr>
                <w:ilvl w:val="0"/>
                <w:numId w:val="119"/>
              </w:numPr>
              <w:ind w:left="119" w:hanging="119"/>
              <w:contextualSpacing/>
            </w:pPr>
            <w:r w:rsidRPr="00E6060C">
              <w:t>Work ability</w:t>
            </w:r>
          </w:p>
          <w:p w14:paraId="7C39552E" w14:textId="77777777" w:rsidR="00E6060C" w:rsidRPr="00E6060C" w:rsidRDefault="00E6060C" w:rsidP="00F15DDF">
            <w:pPr>
              <w:numPr>
                <w:ilvl w:val="0"/>
                <w:numId w:val="119"/>
              </w:numPr>
              <w:ind w:left="119" w:hanging="119"/>
              <w:contextualSpacing/>
            </w:pPr>
            <w:r w:rsidRPr="00E6060C">
              <w:t>Job satisfaction</w:t>
            </w:r>
          </w:p>
          <w:p w14:paraId="3E85CF0E" w14:textId="77777777" w:rsidR="00E6060C" w:rsidRPr="00E6060C" w:rsidRDefault="00E6060C" w:rsidP="00F15DDF">
            <w:pPr>
              <w:numPr>
                <w:ilvl w:val="0"/>
                <w:numId w:val="119"/>
              </w:numPr>
              <w:ind w:left="119" w:hanging="119"/>
              <w:contextualSpacing/>
              <w:rPr>
                <w:b/>
              </w:rPr>
            </w:pPr>
            <w:r w:rsidRPr="00E6060C">
              <w:lastRenderedPageBreak/>
              <w:t>Commitment</w:t>
            </w:r>
          </w:p>
          <w:p w14:paraId="2E6523FA" w14:textId="77777777" w:rsidR="00E6060C" w:rsidRPr="00E6060C" w:rsidRDefault="00E6060C" w:rsidP="00F15DDF">
            <w:pPr>
              <w:numPr>
                <w:ilvl w:val="0"/>
                <w:numId w:val="119"/>
              </w:numPr>
              <w:ind w:left="119" w:hanging="119"/>
              <w:contextualSpacing/>
              <w:rPr>
                <w:b/>
              </w:rPr>
            </w:pPr>
            <w:r w:rsidRPr="00E6060C">
              <w:t>Health</w:t>
            </w:r>
          </w:p>
          <w:p w14:paraId="79220A21" w14:textId="77777777" w:rsidR="00E6060C" w:rsidRPr="00E6060C" w:rsidRDefault="00E6060C" w:rsidP="00F15DDF">
            <w:pPr>
              <w:numPr>
                <w:ilvl w:val="0"/>
                <w:numId w:val="119"/>
              </w:numPr>
              <w:ind w:left="119" w:hanging="119"/>
              <w:contextualSpacing/>
              <w:rPr>
                <w:b/>
              </w:rPr>
            </w:pPr>
            <w:r w:rsidRPr="00E6060C">
              <w:t>Sickness absence</w:t>
            </w:r>
          </w:p>
          <w:p w14:paraId="29EB8BCD" w14:textId="77777777" w:rsidR="00E6060C" w:rsidRPr="00E6060C" w:rsidRDefault="00E6060C" w:rsidP="00F15DDF">
            <w:pPr>
              <w:numPr>
                <w:ilvl w:val="0"/>
                <w:numId w:val="119"/>
              </w:numPr>
              <w:ind w:left="119" w:hanging="119"/>
              <w:contextualSpacing/>
              <w:rPr>
                <w:b/>
              </w:rPr>
            </w:pPr>
            <w:r w:rsidRPr="00E6060C">
              <w:t>Burnout</w:t>
            </w:r>
          </w:p>
          <w:p w14:paraId="4C5EFC08" w14:textId="77777777" w:rsidR="00E6060C" w:rsidRPr="00E6060C" w:rsidRDefault="00E6060C" w:rsidP="00F15DDF">
            <w:pPr>
              <w:numPr>
                <w:ilvl w:val="0"/>
                <w:numId w:val="119"/>
              </w:numPr>
              <w:ind w:left="119" w:hanging="119"/>
              <w:contextualSpacing/>
              <w:rPr>
                <w:b/>
              </w:rPr>
            </w:pPr>
            <w:r w:rsidRPr="00E6060C">
              <w:t>In-role performance and knowledge and skills</w:t>
            </w:r>
          </w:p>
          <w:p w14:paraId="72F7A076" w14:textId="77777777" w:rsidR="00E6060C" w:rsidRPr="00E6060C" w:rsidRDefault="00E6060C" w:rsidP="00F15DDF">
            <w:pPr>
              <w:numPr>
                <w:ilvl w:val="0"/>
                <w:numId w:val="119"/>
              </w:numPr>
              <w:ind w:left="119" w:hanging="119"/>
              <w:contextualSpacing/>
              <w:rPr>
                <w:b/>
              </w:rPr>
            </w:pPr>
            <w:r w:rsidRPr="00E6060C">
              <w:t>Willingness and ability to prolong working life</w:t>
            </w:r>
          </w:p>
          <w:p w14:paraId="20D3BBBD" w14:textId="77777777" w:rsidR="00E6060C" w:rsidRPr="00E6060C" w:rsidRDefault="00E6060C" w:rsidP="00F15DDF">
            <w:pPr>
              <w:numPr>
                <w:ilvl w:val="0"/>
                <w:numId w:val="119"/>
              </w:numPr>
              <w:ind w:left="119" w:hanging="119"/>
              <w:contextualSpacing/>
              <w:rPr>
                <w:b/>
              </w:rPr>
            </w:pPr>
            <w:r w:rsidRPr="00E6060C">
              <w:t>Productivity</w:t>
            </w:r>
          </w:p>
          <w:p w14:paraId="75D618A6" w14:textId="77777777" w:rsidR="00E6060C" w:rsidRPr="00E6060C" w:rsidRDefault="00E6060C" w:rsidP="00F15DDF">
            <w:pPr>
              <w:numPr>
                <w:ilvl w:val="0"/>
                <w:numId w:val="119"/>
              </w:numPr>
              <w:ind w:left="119" w:hanging="119"/>
              <w:contextualSpacing/>
              <w:rPr>
                <w:b/>
              </w:rPr>
            </w:pPr>
            <w:r w:rsidRPr="00E6060C">
              <w:t>Occupational self-efficacy</w:t>
            </w:r>
          </w:p>
          <w:p w14:paraId="317C9416" w14:textId="77777777" w:rsidR="00E6060C" w:rsidRPr="00E6060C" w:rsidRDefault="00E6060C" w:rsidP="00F15DDF">
            <w:pPr>
              <w:numPr>
                <w:ilvl w:val="0"/>
                <w:numId w:val="119"/>
              </w:numPr>
              <w:ind w:left="119" w:hanging="119"/>
              <w:contextualSpacing/>
              <w:rPr>
                <w:b/>
              </w:rPr>
            </w:pPr>
            <w:r w:rsidRPr="00E6060C">
              <w:t>Organisational efficacy</w:t>
            </w:r>
          </w:p>
          <w:p w14:paraId="1349EC88" w14:textId="77777777" w:rsidR="00E6060C" w:rsidRPr="00E6060C" w:rsidRDefault="00E6060C" w:rsidP="00F15DDF">
            <w:pPr>
              <w:numPr>
                <w:ilvl w:val="0"/>
                <w:numId w:val="119"/>
              </w:numPr>
              <w:ind w:left="119" w:hanging="119"/>
              <w:contextualSpacing/>
              <w:rPr>
                <w:b/>
              </w:rPr>
            </w:pPr>
            <w:r w:rsidRPr="00E6060C">
              <w:t>Locus of control</w:t>
            </w:r>
          </w:p>
          <w:p w14:paraId="1603DD66" w14:textId="77777777" w:rsidR="00E6060C" w:rsidRPr="00E6060C" w:rsidRDefault="00E6060C" w:rsidP="00F15DDF">
            <w:pPr>
              <w:numPr>
                <w:ilvl w:val="0"/>
                <w:numId w:val="119"/>
              </w:numPr>
              <w:ind w:left="119" w:hanging="119"/>
              <w:contextualSpacing/>
              <w:rPr>
                <w:b/>
              </w:rPr>
            </w:pPr>
            <w:r w:rsidRPr="00E6060C">
              <w:t>Extent bothered by parent and pupil (mis)behaviour</w:t>
            </w:r>
          </w:p>
          <w:p w14:paraId="2D514A2D" w14:textId="77777777" w:rsidR="00E6060C" w:rsidRPr="00E6060C" w:rsidRDefault="00E6060C" w:rsidP="00F15DDF">
            <w:pPr>
              <w:numPr>
                <w:ilvl w:val="0"/>
                <w:numId w:val="119"/>
              </w:numPr>
              <w:ind w:left="119" w:hanging="119"/>
              <w:contextualSpacing/>
              <w:rPr>
                <w:b/>
              </w:rPr>
            </w:pPr>
            <w:r w:rsidRPr="00E6060C">
              <w:t>Work-life interference</w:t>
            </w:r>
          </w:p>
          <w:p w14:paraId="22977C10" w14:textId="77777777" w:rsidR="00E6060C" w:rsidRPr="00E6060C" w:rsidRDefault="00E6060C" w:rsidP="00F15DDF">
            <w:pPr>
              <w:numPr>
                <w:ilvl w:val="0"/>
                <w:numId w:val="119"/>
              </w:numPr>
              <w:ind w:left="119" w:hanging="119"/>
              <w:contextualSpacing/>
              <w:rPr>
                <w:b/>
              </w:rPr>
            </w:pPr>
            <w:r w:rsidRPr="00E6060C">
              <w:t>Knowledge of institutional policy and perception of educational quality</w:t>
            </w:r>
          </w:p>
        </w:tc>
        <w:tc>
          <w:tcPr>
            <w:tcW w:w="3402" w:type="dxa"/>
            <w:shd w:val="clear" w:color="auto" w:fill="D9D9D9" w:themeFill="background1" w:themeFillShade="D9"/>
          </w:tcPr>
          <w:p w14:paraId="287F31E1" w14:textId="77777777" w:rsidR="00E6060C" w:rsidRPr="00E6060C" w:rsidRDefault="00E6060C" w:rsidP="00E6060C">
            <w:pPr>
              <w:contextualSpacing/>
              <w:rPr>
                <w:b/>
              </w:rPr>
            </w:pPr>
            <w:r w:rsidRPr="00E6060C">
              <w:lastRenderedPageBreak/>
              <w:t>NA – ongoing study, protocol only available</w:t>
            </w:r>
          </w:p>
        </w:tc>
        <w:tc>
          <w:tcPr>
            <w:tcW w:w="3402" w:type="dxa"/>
            <w:shd w:val="clear" w:color="auto" w:fill="D9D9D9" w:themeFill="background1" w:themeFillShade="D9"/>
          </w:tcPr>
          <w:p w14:paraId="32A943D4" w14:textId="77777777" w:rsidR="00E6060C" w:rsidRPr="00E6060C" w:rsidRDefault="00E6060C" w:rsidP="00E6060C">
            <w:pPr>
              <w:contextualSpacing/>
            </w:pPr>
            <w:r w:rsidRPr="00E6060C">
              <w:t xml:space="preserve">Data not yet collected </w:t>
            </w:r>
          </w:p>
        </w:tc>
      </w:tr>
      <w:tr w:rsidR="00E6060C" w:rsidRPr="00E6060C" w14:paraId="6318ABA2" w14:textId="77777777" w:rsidTr="00C7646B">
        <w:tc>
          <w:tcPr>
            <w:tcW w:w="440" w:type="dxa"/>
            <w:shd w:val="clear" w:color="auto" w:fill="D9D9D9" w:themeFill="background1" w:themeFillShade="D9"/>
          </w:tcPr>
          <w:p w14:paraId="53DD681C" w14:textId="77777777" w:rsidR="00E6060C" w:rsidRPr="00E6060C" w:rsidRDefault="00E6060C" w:rsidP="00E6060C">
            <w:r w:rsidRPr="00E6060C">
              <w:t>11</w:t>
            </w:r>
          </w:p>
        </w:tc>
        <w:tc>
          <w:tcPr>
            <w:tcW w:w="1403" w:type="dxa"/>
            <w:shd w:val="clear" w:color="auto" w:fill="D9D9D9" w:themeFill="background1" w:themeFillShade="D9"/>
          </w:tcPr>
          <w:p w14:paraId="6FEFDC1A" w14:textId="77777777" w:rsidR="00E6060C" w:rsidRPr="00E6060C" w:rsidRDefault="00E6060C" w:rsidP="00E6060C">
            <w:r w:rsidRPr="00E6060C">
              <w:t>Shaw et al., 2014</w:t>
            </w:r>
          </w:p>
        </w:tc>
        <w:tc>
          <w:tcPr>
            <w:tcW w:w="1560" w:type="dxa"/>
            <w:shd w:val="clear" w:color="auto" w:fill="D9D9D9" w:themeFill="background1" w:themeFillShade="D9"/>
          </w:tcPr>
          <w:p w14:paraId="5FDBBACB" w14:textId="77777777" w:rsidR="00E6060C" w:rsidRPr="00E6060C" w:rsidRDefault="00E6060C" w:rsidP="00E6060C">
            <w:r w:rsidRPr="00E6060C">
              <w:t>Work engagement</w:t>
            </w:r>
          </w:p>
        </w:tc>
        <w:tc>
          <w:tcPr>
            <w:tcW w:w="1275" w:type="dxa"/>
            <w:shd w:val="clear" w:color="auto" w:fill="D9D9D9" w:themeFill="background1" w:themeFillShade="D9"/>
          </w:tcPr>
          <w:p w14:paraId="0B99E693" w14:textId="77777777" w:rsidR="00E6060C" w:rsidRPr="00E6060C" w:rsidRDefault="00E6060C" w:rsidP="00E6060C">
            <w:r w:rsidRPr="00E6060C">
              <w:t>UWES-17</w:t>
            </w:r>
          </w:p>
        </w:tc>
        <w:tc>
          <w:tcPr>
            <w:tcW w:w="2835" w:type="dxa"/>
            <w:shd w:val="clear" w:color="auto" w:fill="D9D9D9" w:themeFill="background1" w:themeFillShade="D9"/>
          </w:tcPr>
          <w:p w14:paraId="2A2F4D4D" w14:textId="77777777" w:rsidR="00E6060C" w:rsidRPr="00E6060C" w:rsidRDefault="00E6060C" w:rsidP="00F15DDF">
            <w:pPr>
              <w:numPr>
                <w:ilvl w:val="0"/>
                <w:numId w:val="118"/>
              </w:numPr>
              <w:ind w:left="161" w:hanging="161"/>
              <w:contextualSpacing/>
            </w:pPr>
            <w:r w:rsidRPr="00E6060C">
              <w:t>Work limitation</w:t>
            </w:r>
          </w:p>
          <w:p w14:paraId="73B549C7" w14:textId="77777777" w:rsidR="00E6060C" w:rsidRPr="00E6060C" w:rsidRDefault="00E6060C" w:rsidP="00F15DDF">
            <w:pPr>
              <w:numPr>
                <w:ilvl w:val="0"/>
                <w:numId w:val="118"/>
              </w:numPr>
              <w:ind w:left="161" w:hanging="161"/>
              <w:contextualSpacing/>
            </w:pPr>
            <w:r w:rsidRPr="00E6060C">
              <w:t>Work-related fatigue</w:t>
            </w:r>
          </w:p>
          <w:p w14:paraId="0CDC4A16" w14:textId="77777777" w:rsidR="00E6060C" w:rsidRPr="00E6060C" w:rsidRDefault="00E6060C" w:rsidP="00F15DDF">
            <w:pPr>
              <w:numPr>
                <w:ilvl w:val="0"/>
                <w:numId w:val="118"/>
              </w:numPr>
              <w:ind w:left="161" w:hanging="161"/>
              <w:contextualSpacing/>
            </w:pPr>
            <w:r w:rsidRPr="00E6060C">
              <w:t>Job satisfaction</w:t>
            </w:r>
          </w:p>
          <w:p w14:paraId="7A12EBF4" w14:textId="77777777" w:rsidR="00E6060C" w:rsidRPr="00E6060C" w:rsidRDefault="00E6060C" w:rsidP="00F15DDF">
            <w:pPr>
              <w:numPr>
                <w:ilvl w:val="0"/>
                <w:numId w:val="118"/>
              </w:numPr>
              <w:ind w:left="161" w:hanging="161"/>
              <w:contextualSpacing/>
            </w:pPr>
            <w:r w:rsidRPr="00E6060C">
              <w:t>Self-efficacy</w:t>
            </w:r>
          </w:p>
          <w:p w14:paraId="42F2F829" w14:textId="77777777" w:rsidR="00E6060C" w:rsidRPr="00E6060C" w:rsidRDefault="00E6060C" w:rsidP="00F15DDF">
            <w:pPr>
              <w:numPr>
                <w:ilvl w:val="0"/>
                <w:numId w:val="118"/>
              </w:numPr>
              <w:ind w:left="161" w:hanging="161"/>
              <w:contextualSpacing/>
            </w:pPr>
            <w:r w:rsidRPr="00E6060C">
              <w:t>Turnover intention</w:t>
            </w:r>
          </w:p>
          <w:p w14:paraId="7E2714EF" w14:textId="77777777" w:rsidR="00E6060C" w:rsidRPr="00E6060C" w:rsidRDefault="00E6060C" w:rsidP="00F15DDF">
            <w:pPr>
              <w:numPr>
                <w:ilvl w:val="0"/>
                <w:numId w:val="118"/>
              </w:numPr>
              <w:ind w:left="161" w:hanging="161"/>
              <w:contextualSpacing/>
            </w:pPr>
            <w:r w:rsidRPr="00E6060C">
              <w:t>Sickness absence</w:t>
            </w:r>
          </w:p>
          <w:p w14:paraId="3C5AFF13" w14:textId="77777777" w:rsidR="00E6060C" w:rsidRPr="00E6060C" w:rsidRDefault="00E6060C" w:rsidP="00F15DDF">
            <w:pPr>
              <w:numPr>
                <w:ilvl w:val="0"/>
                <w:numId w:val="118"/>
              </w:numPr>
              <w:ind w:left="161" w:hanging="161"/>
              <w:contextualSpacing/>
            </w:pPr>
            <w:r w:rsidRPr="00E6060C">
              <w:t>Healthcare utilisation</w:t>
            </w:r>
          </w:p>
          <w:p w14:paraId="09F84543" w14:textId="77777777" w:rsidR="00E6060C" w:rsidRPr="00E6060C" w:rsidRDefault="00E6060C" w:rsidP="00F15DDF">
            <w:pPr>
              <w:numPr>
                <w:ilvl w:val="0"/>
                <w:numId w:val="118"/>
              </w:numPr>
              <w:ind w:left="161" w:hanging="161"/>
              <w:contextualSpacing/>
            </w:pPr>
            <w:r w:rsidRPr="00E6060C">
              <w:t>Perception of work environment</w:t>
            </w:r>
          </w:p>
          <w:p w14:paraId="1485C826" w14:textId="77777777" w:rsidR="00E6060C" w:rsidRPr="00E6060C" w:rsidRDefault="00E6060C" w:rsidP="00E6060C"/>
        </w:tc>
        <w:tc>
          <w:tcPr>
            <w:tcW w:w="3402" w:type="dxa"/>
            <w:shd w:val="clear" w:color="auto" w:fill="D9D9D9" w:themeFill="background1" w:themeFillShade="D9"/>
          </w:tcPr>
          <w:p w14:paraId="6B5C251B" w14:textId="77777777" w:rsidR="00E6060C" w:rsidRPr="00E6060C" w:rsidRDefault="00E6060C" w:rsidP="00E6060C">
            <w:pPr>
              <w:contextualSpacing/>
            </w:pPr>
            <w:r w:rsidRPr="00E6060C">
              <w:lastRenderedPageBreak/>
              <w:t xml:space="preserve">NA – ongoing study, protocol only available </w:t>
            </w:r>
          </w:p>
        </w:tc>
        <w:tc>
          <w:tcPr>
            <w:tcW w:w="3402" w:type="dxa"/>
            <w:shd w:val="clear" w:color="auto" w:fill="D9D9D9" w:themeFill="background1" w:themeFillShade="D9"/>
          </w:tcPr>
          <w:p w14:paraId="49086BB4" w14:textId="77777777" w:rsidR="00E6060C" w:rsidRPr="00E6060C" w:rsidRDefault="00E6060C" w:rsidP="00E6060C">
            <w:pPr>
              <w:contextualSpacing/>
            </w:pPr>
            <w:r w:rsidRPr="00E6060C">
              <w:t>Data not yet collected</w:t>
            </w:r>
          </w:p>
        </w:tc>
      </w:tr>
      <w:tr w:rsidR="00E6060C" w:rsidRPr="00E6060C" w14:paraId="7CBBE399" w14:textId="77777777" w:rsidTr="00C7646B">
        <w:tc>
          <w:tcPr>
            <w:tcW w:w="440" w:type="dxa"/>
            <w:tcBorders>
              <w:bottom w:val="single" w:sz="4" w:space="0" w:color="auto"/>
            </w:tcBorders>
            <w:shd w:val="clear" w:color="auto" w:fill="D9D9D9" w:themeFill="background1" w:themeFillShade="D9"/>
          </w:tcPr>
          <w:p w14:paraId="447D5E7C" w14:textId="77777777" w:rsidR="00E6060C" w:rsidRPr="00E6060C" w:rsidRDefault="00E6060C" w:rsidP="00E6060C">
            <w:r w:rsidRPr="00E6060C">
              <w:t>12</w:t>
            </w:r>
          </w:p>
        </w:tc>
        <w:tc>
          <w:tcPr>
            <w:tcW w:w="1403" w:type="dxa"/>
            <w:tcBorders>
              <w:bottom w:val="single" w:sz="4" w:space="0" w:color="auto"/>
            </w:tcBorders>
            <w:shd w:val="clear" w:color="auto" w:fill="D9D9D9" w:themeFill="background1" w:themeFillShade="D9"/>
          </w:tcPr>
          <w:p w14:paraId="189EA5D3" w14:textId="5D4B7736" w:rsidR="00E6060C" w:rsidRPr="00E6060C" w:rsidRDefault="00E6060C" w:rsidP="00E6060C">
            <w:r w:rsidRPr="00E6060C">
              <w:t>Yuan</w:t>
            </w:r>
            <w:r w:rsidR="00004C6F">
              <w:t xml:space="preserve"> et al.</w:t>
            </w:r>
            <w:r w:rsidRPr="00E6060C">
              <w:t>, 2014</w:t>
            </w:r>
          </w:p>
          <w:p w14:paraId="194C3CE9" w14:textId="77777777" w:rsidR="00E6060C" w:rsidRPr="00E6060C" w:rsidRDefault="00E6060C" w:rsidP="00E6060C">
            <w:pPr>
              <w:jc w:val="center"/>
            </w:pPr>
          </w:p>
        </w:tc>
        <w:tc>
          <w:tcPr>
            <w:tcW w:w="1560" w:type="dxa"/>
            <w:tcBorders>
              <w:bottom w:val="single" w:sz="4" w:space="0" w:color="auto"/>
            </w:tcBorders>
            <w:shd w:val="clear" w:color="auto" w:fill="D9D9D9" w:themeFill="background1" w:themeFillShade="D9"/>
          </w:tcPr>
          <w:p w14:paraId="1CC98566" w14:textId="77777777" w:rsidR="00E6060C" w:rsidRPr="00E6060C" w:rsidRDefault="00E6060C" w:rsidP="00E6060C">
            <w:r w:rsidRPr="00E6060C">
              <w:t>Work engagement</w:t>
            </w:r>
          </w:p>
        </w:tc>
        <w:tc>
          <w:tcPr>
            <w:tcW w:w="1275" w:type="dxa"/>
            <w:tcBorders>
              <w:bottom w:val="single" w:sz="4" w:space="0" w:color="auto"/>
            </w:tcBorders>
            <w:shd w:val="clear" w:color="auto" w:fill="D9D9D9" w:themeFill="background1" w:themeFillShade="D9"/>
          </w:tcPr>
          <w:p w14:paraId="7A0F49DB" w14:textId="77777777" w:rsidR="00E6060C" w:rsidRPr="00E6060C" w:rsidRDefault="00E6060C" w:rsidP="00E6060C">
            <w:r w:rsidRPr="00E6060C">
              <w:t>UWES-9</w:t>
            </w:r>
          </w:p>
        </w:tc>
        <w:tc>
          <w:tcPr>
            <w:tcW w:w="2835" w:type="dxa"/>
            <w:tcBorders>
              <w:bottom w:val="single" w:sz="4" w:space="0" w:color="auto"/>
            </w:tcBorders>
            <w:shd w:val="clear" w:color="auto" w:fill="D9D9D9" w:themeFill="background1" w:themeFillShade="D9"/>
          </w:tcPr>
          <w:p w14:paraId="3791526A" w14:textId="77777777" w:rsidR="00E6060C" w:rsidRPr="00E6060C" w:rsidRDefault="00E6060C" w:rsidP="00F15DDF">
            <w:pPr>
              <w:numPr>
                <w:ilvl w:val="0"/>
                <w:numId w:val="31"/>
              </w:numPr>
              <w:ind w:left="161" w:hanging="161"/>
              <w:contextualSpacing/>
            </w:pPr>
            <w:r w:rsidRPr="00E6060C">
              <w:t>PsyCAP</w:t>
            </w:r>
          </w:p>
          <w:p w14:paraId="5D139016" w14:textId="59C49F76" w:rsidR="00E6060C" w:rsidRPr="00E6060C" w:rsidRDefault="001D6140" w:rsidP="00F15DDF">
            <w:pPr>
              <w:numPr>
                <w:ilvl w:val="0"/>
                <w:numId w:val="31"/>
              </w:numPr>
              <w:ind w:left="161" w:hanging="161"/>
              <w:contextualSpacing/>
            </w:pPr>
            <w:r>
              <w:t>Well-being</w:t>
            </w:r>
          </w:p>
          <w:p w14:paraId="528B8531" w14:textId="77777777" w:rsidR="00E6060C" w:rsidRPr="00E6060C" w:rsidRDefault="00E6060C" w:rsidP="00F15DDF">
            <w:pPr>
              <w:numPr>
                <w:ilvl w:val="0"/>
                <w:numId w:val="31"/>
              </w:numPr>
              <w:ind w:left="161" w:hanging="161"/>
              <w:contextualSpacing/>
            </w:pPr>
            <w:r w:rsidRPr="00E6060C">
              <w:t>Depressive symptoms</w:t>
            </w:r>
          </w:p>
          <w:p w14:paraId="4D81838A" w14:textId="77777777" w:rsidR="00E6060C" w:rsidRPr="00E6060C" w:rsidRDefault="00E6060C" w:rsidP="00F15DDF">
            <w:pPr>
              <w:numPr>
                <w:ilvl w:val="0"/>
                <w:numId w:val="31"/>
              </w:numPr>
              <w:ind w:left="161" w:hanging="161"/>
              <w:contextualSpacing/>
            </w:pPr>
            <w:r w:rsidRPr="00E6060C">
              <w:t>Work productivity</w:t>
            </w:r>
          </w:p>
          <w:p w14:paraId="7CA01DB2" w14:textId="77777777" w:rsidR="00E6060C" w:rsidRPr="00E6060C" w:rsidRDefault="00E6060C" w:rsidP="00F15DDF">
            <w:pPr>
              <w:numPr>
                <w:ilvl w:val="0"/>
                <w:numId w:val="31"/>
              </w:numPr>
              <w:ind w:left="161" w:hanging="161"/>
              <w:contextualSpacing/>
              <w:rPr>
                <w:b/>
              </w:rPr>
            </w:pPr>
            <w:r w:rsidRPr="00E6060C">
              <w:t>Medical costs (self-report of amount spent in past month)</w:t>
            </w:r>
          </w:p>
          <w:p w14:paraId="25A02A54" w14:textId="77777777" w:rsidR="00E6060C" w:rsidRPr="00E6060C" w:rsidRDefault="00E6060C" w:rsidP="00F15DDF">
            <w:pPr>
              <w:numPr>
                <w:ilvl w:val="0"/>
                <w:numId w:val="31"/>
              </w:numPr>
              <w:ind w:left="161" w:hanging="161"/>
              <w:contextualSpacing/>
              <w:rPr>
                <w:b/>
              </w:rPr>
            </w:pPr>
            <w:r w:rsidRPr="00E6060C">
              <w:t>Time costs (self-report of time spent on the website training)</w:t>
            </w:r>
          </w:p>
        </w:tc>
        <w:tc>
          <w:tcPr>
            <w:tcW w:w="3402" w:type="dxa"/>
            <w:tcBorders>
              <w:bottom w:val="single" w:sz="4" w:space="0" w:color="auto"/>
            </w:tcBorders>
            <w:shd w:val="clear" w:color="auto" w:fill="D9D9D9" w:themeFill="background1" w:themeFillShade="D9"/>
          </w:tcPr>
          <w:p w14:paraId="0C84AB51" w14:textId="77777777" w:rsidR="00E6060C" w:rsidRPr="00E6060C" w:rsidRDefault="00E6060C" w:rsidP="00E6060C">
            <w:pPr>
              <w:contextualSpacing/>
            </w:pPr>
            <w:r w:rsidRPr="00E6060C">
              <w:t>NA – ongoing study, protocol only available</w:t>
            </w:r>
          </w:p>
        </w:tc>
        <w:tc>
          <w:tcPr>
            <w:tcW w:w="3402" w:type="dxa"/>
            <w:tcBorders>
              <w:bottom w:val="single" w:sz="4" w:space="0" w:color="auto"/>
            </w:tcBorders>
            <w:shd w:val="clear" w:color="auto" w:fill="D9D9D9" w:themeFill="background1" w:themeFillShade="D9"/>
          </w:tcPr>
          <w:p w14:paraId="58ACEAE3" w14:textId="77777777" w:rsidR="00E6060C" w:rsidRPr="00E6060C" w:rsidRDefault="00E6060C" w:rsidP="00E6060C">
            <w:pPr>
              <w:contextualSpacing/>
            </w:pPr>
            <w:r w:rsidRPr="00E6060C">
              <w:t>Data not yet collected</w:t>
            </w:r>
          </w:p>
        </w:tc>
      </w:tr>
      <w:tr w:rsidR="00E6060C" w:rsidRPr="00E6060C" w14:paraId="4E3D7374" w14:textId="77777777" w:rsidTr="00E6060C">
        <w:tc>
          <w:tcPr>
            <w:tcW w:w="14317" w:type="dxa"/>
            <w:gridSpan w:val="7"/>
            <w:tcBorders>
              <w:top w:val="single" w:sz="4" w:space="0" w:color="auto"/>
              <w:bottom w:val="single" w:sz="4" w:space="0" w:color="auto"/>
            </w:tcBorders>
          </w:tcPr>
          <w:p w14:paraId="4F175C51" w14:textId="77777777" w:rsidR="00E6060C" w:rsidRPr="00E6060C" w:rsidRDefault="00E6060C" w:rsidP="00E6060C">
            <w:pPr>
              <w:contextualSpacing/>
              <w:rPr>
                <w:b/>
                <w:sz w:val="28"/>
                <w:szCs w:val="28"/>
              </w:rPr>
            </w:pPr>
            <w:r w:rsidRPr="00E6060C">
              <w:rPr>
                <w:b/>
                <w:sz w:val="28"/>
                <w:szCs w:val="28"/>
              </w:rPr>
              <w:t>JOB RESOURCE BUILDING INTERVENTIONS</w:t>
            </w:r>
          </w:p>
        </w:tc>
      </w:tr>
      <w:tr w:rsidR="00E6060C" w:rsidRPr="00E6060C" w14:paraId="7EEEC080" w14:textId="77777777" w:rsidTr="00E6060C">
        <w:tc>
          <w:tcPr>
            <w:tcW w:w="440" w:type="dxa"/>
            <w:tcBorders>
              <w:top w:val="single" w:sz="4" w:space="0" w:color="auto"/>
            </w:tcBorders>
          </w:tcPr>
          <w:p w14:paraId="268315CA" w14:textId="77777777" w:rsidR="00E6060C" w:rsidRPr="00E6060C" w:rsidRDefault="00E6060C" w:rsidP="00E6060C">
            <w:r w:rsidRPr="00E6060C">
              <w:t>13</w:t>
            </w:r>
          </w:p>
        </w:tc>
        <w:tc>
          <w:tcPr>
            <w:tcW w:w="1403" w:type="dxa"/>
            <w:tcBorders>
              <w:top w:val="single" w:sz="4" w:space="0" w:color="auto"/>
            </w:tcBorders>
          </w:tcPr>
          <w:p w14:paraId="0DE7A866" w14:textId="5FDD06C6"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 xml:space="preserve">Cifre et al., 2011 </w:t>
            </w:r>
          </w:p>
        </w:tc>
        <w:tc>
          <w:tcPr>
            <w:tcW w:w="1560" w:type="dxa"/>
            <w:tcBorders>
              <w:top w:val="single" w:sz="4" w:space="0" w:color="auto"/>
            </w:tcBorders>
          </w:tcPr>
          <w:p w14:paraId="0B340582" w14:textId="77777777" w:rsidR="00E6060C" w:rsidRPr="00E6060C" w:rsidRDefault="00E6060C" w:rsidP="00E6060C">
            <w:r w:rsidRPr="00E6060C">
              <w:t>Vigour</w:t>
            </w:r>
          </w:p>
          <w:p w14:paraId="65C40565" w14:textId="77777777" w:rsidR="00E6060C" w:rsidRPr="00E6060C" w:rsidRDefault="00E6060C" w:rsidP="00E6060C">
            <w:r w:rsidRPr="00E6060C">
              <w:t>Dedication</w:t>
            </w:r>
          </w:p>
        </w:tc>
        <w:tc>
          <w:tcPr>
            <w:tcW w:w="1275" w:type="dxa"/>
            <w:tcBorders>
              <w:top w:val="single" w:sz="4" w:space="0" w:color="auto"/>
            </w:tcBorders>
          </w:tcPr>
          <w:p w14:paraId="2C0FE43C" w14:textId="77777777" w:rsidR="00E6060C" w:rsidRPr="00E6060C" w:rsidRDefault="00E6060C" w:rsidP="00E6060C">
            <w:r w:rsidRPr="00E6060C">
              <w:t>UWES-17</w:t>
            </w:r>
          </w:p>
          <w:p w14:paraId="78B3A4E4" w14:textId="77777777" w:rsidR="00E6060C" w:rsidRPr="00E6060C" w:rsidRDefault="00E6060C" w:rsidP="00E6060C"/>
        </w:tc>
        <w:tc>
          <w:tcPr>
            <w:tcW w:w="2835" w:type="dxa"/>
            <w:tcBorders>
              <w:top w:val="single" w:sz="4" w:space="0" w:color="auto"/>
            </w:tcBorders>
          </w:tcPr>
          <w:p w14:paraId="1EC9A987" w14:textId="77777777" w:rsidR="00E6060C" w:rsidRPr="00E6060C" w:rsidRDefault="00E6060C" w:rsidP="00E6060C">
            <w:r w:rsidRPr="00E6060C">
              <w:t>Job demands:</w:t>
            </w:r>
          </w:p>
          <w:p w14:paraId="39796CB2" w14:textId="77777777" w:rsidR="00E6060C" w:rsidRPr="00E6060C" w:rsidRDefault="00E6060C" w:rsidP="00F15DDF">
            <w:pPr>
              <w:numPr>
                <w:ilvl w:val="0"/>
                <w:numId w:val="112"/>
              </w:numPr>
              <w:ind w:left="138" w:hanging="138"/>
              <w:contextualSpacing/>
            </w:pPr>
            <w:r w:rsidRPr="00E6060C">
              <w:t>Overload</w:t>
            </w:r>
          </w:p>
          <w:p w14:paraId="024BBB8A" w14:textId="77777777" w:rsidR="00E6060C" w:rsidRPr="00E6060C" w:rsidRDefault="00E6060C" w:rsidP="00F15DDF">
            <w:pPr>
              <w:numPr>
                <w:ilvl w:val="0"/>
                <w:numId w:val="112"/>
              </w:numPr>
              <w:ind w:left="138" w:hanging="138"/>
              <w:contextualSpacing/>
            </w:pPr>
            <w:r w:rsidRPr="00E6060C">
              <w:t>Low role clarity</w:t>
            </w:r>
          </w:p>
          <w:p w14:paraId="2E664C90" w14:textId="77777777" w:rsidR="00E6060C" w:rsidRPr="00E6060C" w:rsidRDefault="00E6060C" w:rsidP="00F15DDF">
            <w:pPr>
              <w:numPr>
                <w:ilvl w:val="0"/>
                <w:numId w:val="112"/>
              </w:numPr>
              <w:ind w:left="138" w:hanging="138"/>
              <w:contextualSpacing/>
            </w:pPr>
            <w:r w:rsidRPr="00E6060C">
              <w:t>Role conflict</w:t>
            </w:r>
          </w:p>
          <w:p w14:paraId="25940955" w14:textId="77777777" w:rsidR="00E6060C" w:rsidRPr="00E6060C" w:rsidRDefault="00E6060C" w:rsidP="00E6060C">
            <w:r w:rsidRPr="00E6060C">
              <w:t>Job resources:</w:t>
            </w:r>
          </w:p>
          <w:p w14:paraId="3B36C444" w14:textId="77777777" w:rsidR="00E6060C" w:rsidRPr="00E6060C" w:rsidRDefault="00E6060C" w:rsidP="00F15DDF">
            <w:pPr>
              <w:numPr>
                <w:ilvl w:val="0"/>
                <w:numId w:val="112"/>
              </w:numPr>
              <w:ind w:left="138" w:hanging="138"/>
              <w:contextualSpacing/>
            </w:pPr>
            <w:r w:rsidRPr="00E6060C">
              <w:t>Autonomy</w:t>
            </w:r>
          </w:p>
          <w:p w14:paraId="3F143BFF" w14:textId="77777777" w:rsidR="00E6060C" w:rsidRPr="00E6060C" w:rsidRDefault="00E6060C" w:rsidP="00F15DDF">
            <w:pPr>
              <w:numPr>
                <w:ilvl w:val="0"/>
                <w:numId w:val="112"/>
              </w:numPr>
              <w:ind w:left="138" w:hanging="138"/>
              <w:contextualSpacing/>
            </w:pPr>
            <w:r w:rsidRPr="00E6060C">
              <w:t>Organisational support climate</w:t>
            </w:r>
          </w:p>
          <w:p w14:paraId="064E7092" w14:textId="77777777" w:rsidR="00E6060C" w:rsidRPr="00E6060C" w:rsidRDefault="00E6060C" w:rsidP="00F15DDF">
            <w:pPr>
              <w:numPr>
                <w:ilvl w:val="0"/>
                <w:numId w:val="112"/>
              </w:numPr>
              <w:ind w:left="138" w:hanging="138"/>
              <w:contextualSpacing/>
            </w:pPr>
            <w:r w:rsidRPr="00E6060C">
              <w:t>Organisational innovation climate</w:t>
            </w:r>
          </w:p>
          <w:p w14:paraId="0A4136BB" w14:textId="77777777" w:rsidR="00E6060C" w:rsidRPr="00E6060C" w:rsidRDefault="00E6060C" w:rsidP="00F15DDF">
            <w:pPr>
              <w:numPr>
                <w:ilvl w:val="0"/>
                <w:numId w:val="112"/>
              </w:numPr>
              <w:ind w:left="138" w:hanging="138"/>
              <w:contextualSpacing/>
            </w:pPr>
            <w:r w:rsidRPr="00E6060C">
              <w:t>Organisational training</w:t>
            </w:r>
          </w:p>
          <w:p w14:paraId="02DD656D" w14:textId="77777777" w:rsidR="00E6060C" w:rsidRPr="00E6060C" w:rsidRDefault="00E6060C" w:rsidP="00E6060C">
            <w:r w:rsidRPr="00E6060C">
              <w:t xml:space="preserve">Personal resources: </w:t>
            </w:r>
          </w:p>
          <w:p w14:paraId="0288B0A3" w14:textId="77777777" w:rsidR="00E6060C" w:rsidRPr="00E6060C" w:rsidRDefault="00E6060C" w:rsidP="00F15DDF">
            <w:pPr>
              <w:numPr>
                <w:ilvl w:val="0"/>
                <w:numId w:val="113"/>
              </w:numPr>
              <w:ind w:left="210" w:hanging="210"/>
              <w:contextualSpacing/>
            </w:pPr>
            <w:r w:rsidRPr="00E6060C">
              <w:t>Professional self-efficacy</w:t>
            </w:r>
          </w:p>
          <w:p w14:paraId="50ED0CDF" w14:textId="77777777" w:rsidR="00E6060C" w:rsidRPr="00E6060C" w:rsidRDefault="00E6060C" w:rsidP="00F15DDF">
            <w:pPr>
              <w:numPr>
                <w:ilvl w:val="0"/>
                <w:numId w:val="113"/>
              </w:numPr>
              <w:ind w:left="210" w:hanging="210"/>
              <w:contextualSpacing/>
            </w:pPr>
            <w:r w:rsidRPr="00E6060C">
              <w:t>Perceived competence</w:t>
            </w:r>
          </w:p>
          <w:p w14:paraId="3113A591" w14:textId="4267199C" w:rsidR="00E6060C" w:rsidRPr="00E6060C" w:rsidRDefault="00E6060C" w:rsidP="00E6060C">
            <w:r w:rsidRPr="00E6060C">
              <w:t xml:space="preserve">Psychosocial </w:t>
            </w:r>
            <w:r w:rsidR="001D6140">
              <w:t>well-being</w:t>
            </w:r>
            <w:r w:rsidRPr="00E6060C">
              <w:t>:</w:t>
            </w:r>
          </w:p>
          <w:p w14:paraId="59C386B6" w14:textId="77777777" w:rsidR="00E6060C" w:rsidRPr="00E6060C" w:rsidRDefault="00E6060C" w:rsidP="00F15DDF">
            <w:pPr>
              <w:numPr>
                <w:ilvl w:val="0"/>
                <w:numId w:val="114"/>
              </w:numPr>
              <w:ind w:left="210" w:hanging="210"/>
              <w:contextualSpacing/>
            </w:pPr>
            <w:r w:rsidRPr="00E6060C">
              <w:lastRenderedPageBreak/>
              <w:t>Work satisfaction</w:t>
            </w:r>
          </w:p>
          <w:p w14:paraId="3D13E88E" w14:textId="77777777" w:rsidR="00E6060C" w:rsidRPr="00E6060C" w:rsidRDefault="00E6060C" w:rsidP="00F15DDF">
            <w:pPr>
              <w:numPr>
                <w:ilvl w:val="0"/>
                <w:numId w:val="114"/>
              </w:numPr>
              <w:ind w:left="210" w:hanging="210"/>
              <w:contextualSpacing/>
            </w:pPr>
            <w:r w:rsidRPr="00E6060C">
              <w:t>Flow at work</w:t>
            </w:r>
          </w:p>
          <w:p w14:paraId="3FCD73C4" w14:textId="77777777" w:rsidR="00E6060C" w:rsidRPr="00E6060C" w:rsidRDefault="00E6060C" w:rsidP="00E6060C">
            <w:r w:rsidRPr="00E6060C">
              <w:t>Burnout:</w:t>
            </w:r>
          </w:p>
          <w:p w14:paraId="47DEFA6C" w14:textId="77777777" w:rsidR="00E6060C" w:rsidRPr="00E6060C" w:rsidRDefault="00E6060C" w:rsidP="00F15DDF">
            <w:pPr>
              <w:numPr>
                <w:ilvl w:val="0"/>
                <w:numId w:val="110"/>
              </w:numPr>
              <w:ind w:left="138" w:hanging="142"/>
              <w:contextualSpacing/>
            </w:pPr>
            <w:r w:rsidRPr="00E6060C">
              <w:t>Burnout</w:t>
            </w:r>
          </w:p>
          <w:p w14:paraId="5039E15E" w14:textId="77777777" w:rsidR="00E6060C" w:rsidRPr="00E6060C" w:rsidRDefault="00E6060C" w:rsidP="00F15DDF">
            <w:pPr>
              <w:numPr>
                <w:ilvl w:val="0"/>
                <w:numId w:val="23"/>
              </w:numPr>
              <w:ind w:left="158" w:hanging="158"/>
              <w:contextualSpacing/>
            </w:pPr>
            <w:r w:rsidRPr="00E6060C">
              <w:t>Emotional exhaustion</w:t>
            </w:r>
          </w:p>
          <w:p w14:paraId="5787AEB6" w14:textId="77777777" w:rsidR="00E6060C" w:rsidRPr="00E6060C" w:rsidRDefault="00E6060C" w:rsidP="00F15DDF">
            <w:pPr>
              <w:numPr>
                <w:ilvl w:val="0"/>
                <w:numId w:val="23"/>
              </w:numPr>
              <w:ind w:left="158" w:hanging="158"/>
              <w:contextualSpacing/>
            </w:pPr>
            <w:r w:rsidRPr="00E6060C">
              <w:t>Cynicism</w:t>
            </w:r>
          </w:p>
          <w:p w14:paraId="0B46549C" w14:textId="77777777" w:rsidR="00E6060C" w:rsidRPr="00E6060C" w:rsidRDefault="00E6060C" w:rsidP="00E6060C">
            <w:r w:rsidRPr="00E6060C">
              <w:t>Other:</w:t>
            </w:r>
          </w:p>
          <w:p w14:paraId="2428AC01" w14:textId="77777777" w:rsidR="00E6060C" w:rsidRPr="00E6060C" w:rsidRDefault="00E6060C" w:rsidP="00F15DDF">
            <w:pPr>
              <w:numPr>
                <w:ilvl w:val="0"/>
                <w:numId w:val="111"/>
              </w:numPr>
              <w:ind w:left="138" w:hanging="138"/>
              <w:contextualSpacing/>
            </w:pPr>
            <w:r w:rsidRPr="00E6060C">
              <w:t>Job-related anxiety and depression</w:t>
            </w:r>
          </w:p>
        </w:tc>
        <w:tc>
          <w:tcPr>
            <w:tcW w:w="3402" w:type="dxa"/>
            <w:tcBorders>
              <w:top w:val="single" w:sz="4" w:space="0" w:color="auto"/>
            </w:tcBorders>
          </w:tcPr>
          <w:p w14:paraId="475B7934" w14:textId="77777777" w:rsidR="00E6060C" w:rsidRPr="00E6060C" w:rsidRDefault="00E6060C" w:rsidP="00F15DDF">
            <w:pPr>
              <w:numPr>
                <w:ilvl w:val="0"/>
                <w:numId w:val="23"/>
              </w:numPr>
              <w:ind w:left="158" w:hanging="158"/>
              <w:contextualSpacing/>
            </w:pPr>
            <w:r w:rsidRPr="00E6060C">
              <w:rPr>
                <w:rFonts w:ascii="Calibri" w:hAnsi="Calibri"/>
                <w:color w:val="000000"/>
              </w:rPr>
              <w:lastRenderedPageBreak/>
              <w:t>Positive, non-statistically significant, incremental effects on vigour and dedication compared to the control group</w:t>
            </w:r>
          </w:p>
          <w:p w14:paraId="1B45ADBD" w14:textId="77777777" w:rsidR="00E6060C" w:rsidRPr="00E6060C" w:rsidRDefault="00E6060C" w:rsidP="00E6060C">
            <w:pPr>
              <w:spacing w:after="200" w:line="276" w:lineRule="auto"/>
              <w:ind w:left="158"/>
              <w:contextualSpacing/>
            </w:pPr>
          </w:p>
        </w:tc>
        <w:tc>
          <w:tcPr>
            <w:tcW w:w="3402" w:type="dxa"/>
            <w:tcBorders>
              <w:top w:val="single" w:sz="4" w:space="0" w:color="auto"/>
            </w:tcBorders>
          </w:tcPr>
          <w:p w14:paraId="5B26EA13" w14:textId="77777777" w:rsidR="00E6060C" w:rsidRPr="00E6060C" w:rsidRDefault="00E6060C" w:rsidP="00F15DDF">
            <w:pPr>
              <w:numPr>
                <w:ilvl w:val="0"/>
                <w:numId w:val="23"/>
              </w:numPr>
              <w:ind w:left="158" w:hanging="158"/>
              <w:contextualSpacing/>
              <w:rPr>
                <w:rFonts w:ascii="Calibri" w:hAnsi="Calibri"/>
                <w:color w:val="000000"/>
              </w:rPr>
            </w:pPr>
            <w:r w:rsidRPr="00E6060C">
              <w:rPr>
                <w:rFonts w:ascii="Calibri" w:hAnsi="Calibri"/>
                <w:color w:val="000000"/>
              </w:rPr>
              <w:t>Positive, incremental effects on innovation climate (a job resource), and personal self-efficacy and perceived competence (personal resources), when compared to a control group</w:t>
            </w:r>
          </w:p>
        </w:tc>
      </w:tr>
      <w:tr w:rsidR="00E6060C" w:rsidRPr="00E6060C" w14:paraId="3B560BD1" w14:textId="77777777" w:rsidTr="00E6060C">
        <w:tc>
          <w:tcPr>
            <w:tcW w:w="440" w:type="dxa"/>
          </w:tcPr>
          <w:p w14:paraId="285BFA65" w14:textId="77777777" w:rsidR="00E6060C" w:rsidRPr="00E6060C" w:rsidRDefault="00E6060C" w:rsidP="00E6060C">
            <w:r w:rsidRPr="00E6060C">
              <w:t>14</w:t>
            </w:r>
          </w:p>
        </w:tc>
        <w:tc>
          <w:tcPr>
            <w:tcW w:w="1403" w:type="dxa"/>
          </w:tcPr>
          <w:p w14:paraId="6BA1ACF6" w14:textId="26EB2AAE"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 xml:space="preserve">Coffeng et al., 2014 </w:t>
            </w:r>
          </w:p>
        </w:tc>
        <w:tc>
          <w:tcPr>
            <w:tcW w:w="1560" w:type="dxa"/>
          </w:tcPr>
          <w:p w14:paraId="34754304" w14:textId="77777777" w:rsidR="00E6060C" w:rsidRPr="00E6060C" w:rsidRDefault="00E6060C" w:rsidP="00E6060C">
            <w:r w:rsidRPr="00E6060C">
              <w:t>Work engagement</w:t>
            </w:r>
          </w:p>
          <w:p w14:paraId="1198CECA" w14:textId="77777777" w:rsidR="00E6060C" w:rsidRPr="00E6060C" w:rsidRDefault="00E6060C" w:rsidP="00E6060C">
            <w:r w:rsidRPr="00E6060C">
              <w:t>Vigour</w:t>
            </w:r>
          </w:p>
          <w:p w14:paraId="2E41E929" w14:textId="77777777" w:rsidR="00E6060C" w:rsidRPr="00E6060C" w:rsidRDefault="00E6060C" w:rsidP="00E6060C">
            <w:r w:rsidRPr="00E6060C">
              <w:t>Dedication</w:t>
            </w:r>
          </w:p>
          <w:p w14:paraId="319A9234" w14:textId="77777777" w:rsidR="00E6060C" w:rsidRPr="00E6060C" w:rsidRDefault="00E6060C" w:rsidP="00E6060C">
            <w:r w:rsidRPr="00E6060C">
              <w:t>Absorption</w:t>
            </w:r>
          </w:p>
        </w:tc>
        <w:tc>
          <w:tcPr>
            <w:tcW w:w="1275" w:type="dxa"/>
          </w:tcPr>
          <w:p w14:paraId="11E7933C" w14:textId="77777777" w:rsidR="00E6060C" w:rsidRPr="00E6060C" w:rsidRDefault="00E6060C" w:rsidP="00E6060C">
            <w:r w:rsidRPr="00E6060C">
              <w:t>UWES-17</w:t>
            </w:r>
          </w:p>
        </w:tc>
        <w:tc>
          <w:tcPr>
            <w:tcW w:w="2835" w:type="dxa"/>
          </w:tcPr>
          <w:p w14:paraId="7C081D11" w14:textId="77777777" w:rsidR="00E6060C" w:rsidRPr="00E6060C" w:rsidRDefault="00E6060C" w:rsidP="00F15DDF">
            <w:pPr>
              <w:numPr>
                <w:ilvl w:val="0"/>
                <w:numId w:val="115"/>
              </w:numPr>
              <w:ind w:left="214" w:hanging="214"/>
              <w:contextualSpacing/>
            </w:pPr>
            <w:r w:rsidRPr="00E6060C">
              <w:t>Presenteeism</w:t>
            </w:r>
          </w:p>
          <w:p w14:paraId="5E4FFED3" w14:textId="77777777" w:rsidR="00E6060C" w:rsidRPr="00E6060C" w:rsidRDefault="00E6060C" w:rsidP="00F15DDF">
            <w:pPr>
              <w:numPr>
                <w:ilvl w:val="0"/>
                <w:numId w:val="115"/>
              </w:numPr>
              <w:ind w:left="214" w:hanging="214"/>
              <w:contextualSpacing/>
            </w:pPr>
            <w:r w:rsidRPr="00E6060C">
              <w:t>Absenteeism</w:t>
            </w:r>
          </w:p>
          <w:p w14:paraId="3DEFC2FD" w14:textId="77777777" w:rsidR="00E6060C" w:rsidRPr="00E6060C" w:rsidRDefault="00E6060C" w:rsidP="00F15DDF">
            <w:pPr>
              <w:numPr>
                <w:ilvl w:val="0"/>
                <w:numId w:val="115"/>
              </w:numPr>
              <w:ind w:left="214" w:hanging="214"/>
              <w:contextualSpacing/>
            </w:pPr>
            <w:r w:rsidRPr="00E6060C">
              <w:t>Work performance</w:t>
            </w:r>
          </w:p>
        </w:tc>
        <w:tc>
          <w:tcPr>
            <w:tcW w:w="3402" w:type="dxa"/>
          </w:tcPr>
          <w:p w14:paraId="321831B0" w14:textId="77777777" w:rsidR="00E6060C" w:rsidRPr="00E6060C" w:rsidRDefault="00E6060C" w:rsidP="00F15DDF">
            <w:pPr>
              <w:numPr>
                <w:ilvl w:val="0"/>
                <w:numId w:val="104"/>
              </w:numPr>
              <w:ind w:left="179" w:hanging="179"/>
              <w:contextualSpacing/>
            </w:pPr>
            <w:r w:rsidRPr="00E6060C">
              <w:t xml:space="preserve">Combined intervention demonstrated a non-statistical decrease in dedication </w:t>
            </w:r>
          </w:p>
          <w:p w14:paraId="6536F53E" w14:textId="77777777" w:rsidR="00E6060C" w:rsidRPr="00E6060C" w:rsidRDefault="00E6060C" w:rsidP="00F15DDF">
            <w:pPr>
              <w:numPr>
                <w:ilvl w:val="0"/>
                <w:numId w:val="104"/>
              </w:numPr>
              <w:ind w:left="179" w:hanging="179"/>
              <w:contextualSpacing/>
            </w:pPr>
            <w:r w:rsidRPr="00E6060C">
              <w:t>Physical environmental intervention demonstrated a non-statistical increase in absorption</w:t>
            </w:r>
          </w:p>
        </w:tc>
        <w:tc>
          <w:tcPr>
            <w:tcW w:w="3402" w:type="dxa"/>
          </w:tcPr>
          <w:p w14:paraId="086B303B" w14:textId="77777777" w:rsidR="00E6060C" w:rsidRPr="00E6060C" w:rsidRDefault="00E6060C" w:rsidP="00F15DDF">
            <w:pPr>
              <w:numPr>
                <w:ilvl w:val="0"/>
                <w:numId w:val="104"/>
              </w:numPr>
              <w:ind w:left="179" w:hanging="179"/>
              <w:contextualSpacing/>
            </w:pPr>
            <w:r w:rsidRPr="00E6060C">
              <w:t>Decrease in contextual performance in the combined intervention</w:t>
            </w:r>
          </w:p>
          <w:p w14:paraId="1325FFB5" w14:textId="77777777" w:rsidR="00E6060C" w:rsidRPr="00E6060C" w:rsidRDefault="00E6060C" w:rsidP="00F15DDF">
            <w:pPr>
              <w:numPr>
                <w:ilvl w:val="0"/>
                <w:numId w:val="104"/>
              </w:numPr>
              <w:ind w:left="179" w:hanging="179"/>
              <w:contextualSpacing/>
            </w:pPr>
            <w:r w:rsidRPr="00E6060C">
              <w:t>The social environment intervention indicated an increase in task performance</w:t>
            </w:r>
          </w:p>
          <w:p w14:paraId="33CF860A" w14:textId="77777777" w:rsidR="00E6060C" w:rsidRPr="00E6060C" w:rsidRDefault="00E6060C" w:rsidP="00F15DDF">
            <w:pPr>
              <w:numPr>
                <w:ilvl w:val="0"/>
                <w:numId w:val="104"/>
              </w:numPr>
              <w:ind w:left="179" w:hanging="179"/>
              <w:contextualSpacing/>
            </w:pPr>
            <w:r w:rsidRPr="00E6060C">
              <w:t>The authors do not recommend implementing the interventions</w:t>
            </w:r>
          </w:p>
        </w:tc>
      </w:tr>
      <w:tr w:rsidR="00E6060C" w:rsidRPr="00E6060C" w14:paraId="7382CCEF" w14:textId="77777777" w:rsidTr="00E6060C">
        <w:tc>
          <w:tcPr>
            <w:tcW w:w="440" w:type="dxa"/>
          </w:tcPr>
          <w:p w14:paraId="6F103720" w14:textId="77777777" w:rsidR="00E6060C" w:rsidRPr="00E6060C" w:rsidRDefault="00E6060C" w:rsidP="00E6060C">
            <w:r w:rsidRPr="00E6060C">
              <w:t>15</w:t>
            </w:r>
          </w:p>
        </w:tc>
        <w:tc>
          <w:tcPr>
            <w:tcW w:w="1403" w:type="dxa"/>
          </w:tcPr>
          <w:p w14:paraId="5C1FBD89" w14:textId="77777777" w:rsidR="00E6060C" w:rsidRPr="00E6060C" w:rsidRDefault="00E6060C" w:rsidP="00E6060C">
            <w:r w:rsidRPr="00E6060C">
              <w:t>Kawakami et al., 2012</w:t>
            </w:r>
          </w:p>
        </w:tc>
        <w:tc>
          <w:tcPr>
            <w:tcW w:w="1560" w:type="dxa"/>
          </w:tcPr>
          <w:p w14:paraId="48B714CC" w14:textId="77777777" w:rsidR="00E6060C" w:rsidRPr="00E6060C" w:rsidRDefault="00E6060C" w:rsidP="00E6060C">
            <w:r w:rsidRPr="00E6060C">
              <w:t>Work engagement</w:t>
            </w:r>
          </w:p>
          <w:p w14:paraId="32A5C2C2" w14:textId="77777777" w:rsidR="00E6060C" w:rsidRPr="00E6060C" w:rsidRDefault="00E6060C" w:rsidP="00E6060C"/>
        </w:tc>
        <w:tc>
          <w:tcPr>
            <w:tcW w:w="1275" w:type="dxa"/>
          </w:tcPr>
          <w:p w14:paraId="1C2D4E7E" w14:textId="77777777" w:rsidR="00E6060C" w:rsidRPr="00E6060C" w:rsidRDefault="00E6060C" w:rsidP="00E6060C">
            <w:r w:rsidRPr="00E6060C">
              <w:t>UWES-9</w:t>
            </w:r>
          </w:p>
        </w:tc>
        <w:tc>
          <w:tcPr>
            <w:tcW w:w="2835" w:type="dxa"/>
          </w:tcPr>
          <w:p w14:paraId="1128EC3A" w14:textId="77777777" w:rsidR="00E6060C" w:rsidRPr="00E6060C" w:rsidRDefault="00E6060C" w:rsidP="00E6060C">
            <w:pPr>
              <w:rPr>
                <w:rFonts w:ascii="Calibri" w:hAnsi="Calibri"/>
                <w:color w:val="000000"/>
              </w:rPr>
            </w:pPr>
            <w:r w:rsidRPr="00E6060C">
              <w:rPr>
                <w:rFonts w:ascii="Calibri" w:hAnsi="Calibri"/>
                <w:color w:val="000000"/>
              </w:rPr>
              <w:t>None</w:t>
            </w:r>
          </w:p>
        </w:tc>
        <w:tc>
          <w:tcPr>
            <w:tcW w:w="3402" w:type="dxa"/>
          </w:tcPr>
          <w:p w14:paraId="69FB263D" w14:textId="77777777" w:rsidR="00E6060C" w:rsidRPr="00E6060C" w:rsidRDefault="00E6060C" w:rsidP="00F15DDF">
            <w:pPr>
              <w:numPr>
                <w:ilvl w:val="0"/>
                <w:numId w:val="26"/>
              </w:numPr>
              <w:ind w:left="210" w:hanging="210"/>
              <w:contextualSpacing/>
            </w:pPr>
            <w:r w:rsidRPr="00E6060C">
              <w:t xml:space="preserve">Statistically significant increase in WE at four month follow-up </w:t>
            </w:r>
          </w:p>
          <w:p w14:paraId="62F6E2B3" w14:textId="77777777" w:rsidR="00E6060C" w:rsidRPr="00E6060C" w:rsidRDefault="00E6060C" w:rsidP="00E6060C">
            <w:pPr>
              <w:ind w:left="209"/>
            </w:pPr>
            <w:r w:rsidRPr="00E6060C">
              <w:t xml:space="preserve">amongst those who had </w:t>
            </w:r>
          </w:p>
          <w:p w14:paraId="3463E67D" w14:textId="77777777" w:rsidR="00E6060C" w:rsidRPr="00E6060C" w:rsidRDefault="00E6060C" w:rsidP="00E6060C">
            <w:pPr>
              <w:ind w:left="209"/>
            </w:pPr>
            <w:r w:rsidRPr="00E6060C">
              <w:t xml:space="preserve">low work engagement at </w:t>
            </w:r>
          </w:p>
          <w:p w14:paraId="778E0DBE" w14:textId="77777777" w:rsidR="00E6060C" w:rsidRPr="00E6060C" w:rsidRDefault="00E6060C" w:rsidP="00E6060C">
            <w:pPr>
              <w:ind w:left="209"/>
            </w:pPr>
            <w:r w:rsidRPr="00E6060C">
              <w:t>baseline (small effect size)</w:t>
            </w:r>
          </w:p>
          <w:p w14:paraId="1FB2250A" w14:textId="77777777" w:rsidR="00E6060C" w:rsidRPr="00E6060C" w:rsidRDefault="00E6060C" w:rsidP="00F15DDF">
            <w:pPr>
              <w:numPr>
                <w:ilvl w:val="0"/>
                <w:numId w:val="21"/>
              </w:numPr>
              <w:ind w:left="209" w:hanging="210"/>
              <w:contextualSpacing/>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For those with low WE, information on cognitive-behavioural techniques may have been the most</w:t>
            </w:r>
          </w:p>
          <w:p w14:paraId="1043C395" w14:textId="77777777" w:rsidR="00E6060C" w:rsidRPr="00E6060C" w:rsidRDefault="00E6060C" w:rsidP="00E6060C">
            <w:pPr>
              <w:ind w:left="209"/>
              <w:rPr>
                <w:rFonts w:ascii="Calibri" w:eastAsia="Times New Roman" w:hAnsi="Calibri" w:cs="Times New Roman"/>
                <w:color w:val="000000"/>
                <w:lang w:eastAsia="en-GB"/>
              </w:rPr>
            </w:pPr>
            <w:r w:rsidRPr="00E6060C">
              <w:rPr>
                <w:rFonts w:ascii="Calibri" w:eastAsia="Times New Roman" w:hAnsi="Calibri" w:cs="Times New Roman"/>
                <w:color w:val="000000"/>
                <w:lang w:eastAsia="en-GB"/>
              </w:rPr>
              <w:t xml:space="preserve">useful </w:t>
            </w:r>
          </w:p>
        </w:tc>
        <w:tc>
          <w:tcPr>
            <w:tcW w:w="3402" w:type="dxa"/>
          </w:tcPr>
          <w:p w14:paraId="12B2E188" w14:textId="77777777" w:rsidR="00E6060C" w:rsidRPr="00E6060C" w:rsidRDefault="00E6060C" w:rsidP="00E6060C">
            <w:r w:rsidRPr="00E6060C">
              <w:t>NA</w:t>
            </w:r>
          </w:p>
        </w:tc>
      </w:tr>
      <w:tr w:rsidR="00E6060C" w:rsidRPr="00E6060C" w14:paraId="3133EBC6" w14:textId="77777777" w:rsidTr="00E6060C">
        <w:tc>
          <w:tcPr>
            <w:tcW w:w="440" w:type="dxa"/>
          </w:tcPr>
          <w:p w14:paraId="7BFCE54E" w14:textId="77777777" w:rsidR="00E6060C" w:rsidRPr="00E6060C" w:rsidRDefault="00E6060C" w:rsidP="00E6060C">
            <w:r w:rsidRPr="00E6060C">
              <w:lastRenderedPageBreak/>
              <w:t>16</w:t>
            </w:r>
          </w:p>
        </w:tc>
        <w:tc>
          <w:tcPr>
            <w:tcW w:w="1403" w:type="dxa"/>
          </w:tcPr>
          <w:p w14:paraId="2FF5E489" w14:textId="77777777" w:rsidR="00E6060C" w:rsidRPr="00E6060C" w:rsidRDefault="00E6060C" w:rsidP="00E6060C">
            <w:r w:rsidRPr="00E6060C">
              <w:t>Martinussen et al., 2012</w:t>
            </w:r>
          </w:p>
        </w:tc>
        <w:tc>
          <w:tcPr>
            <w:tcW w:w="1560" w:type="dxa"/>
          </w:tcPr>
          <w:p w14:paraId="074D37B6" w14:textId="77777777" w:rsidR="00E6060C" w:rsidRPr="00E6060C" w:rsidRDefault="00E6060C" w:rsidP="00E6060C">
            <w:r w:rsidRPr="00E6060C">
              <w:t>Work engagement</w:t>
            </w:r>
          </w:p>
        </w:tc>
        <w:tc>
          <w:tcPr>
            <w:tcW w:w="1275" w:type="dxa"/>
          </w:tcPr>
          <w:p w14:paraId="385EEFB9" w14:textId="77777777" w:rsidR="00E6060C" w:rsidRPr="00E6060C" w:rsidRDefault="00E6060C" w:rsidP="00E6060C">
            <w:r w:rsidRPr="00E6060C">
              <w:t>UWES-9</w:t>
            </w:r>
          </w:p>
        </w:tc>
        <w:tc>
          <w:tcPr>
            <w:tcW w:w="2835" w:type="dxa"/>
          </w:tcPr>
          <w:p w14:paraId="2D1F654C" w14:textId="77777777" w:rsidR="00E6060C" w:rsidRPr="00E6060C" w:rsidRDefault="00E6060C" w:rsidP="00E6060C">
            <w:r w:rsidRPr="00E6060C">
              <w:t>Job demands:</w:t>
            </w:r>
          </w:p>
          <w:p w14:paraId="287DED54" w14:textId="77777777" w:rsidR="00E6060C" w:rsidRPr="00E6060C" w:rsidRDefault="00E6060C" w:rsidP="00F15DDF">
            <w:pPr>
              <w:numPr>
                <w:ilvl w:val="0"/>
                <w:numId w:val="107"/>
              </w:numPr>
              <w:contextualSpacing/>
            </w:pPr>
            <w:r w:rsidRPr="00E6060C">
              <w:t>Workload</w:t>
            </w:r>
          </w:p>
          <w:p w14:paraId="02066565" w14:textId="77777777" w:rsidR="00E6060C" w:rsidRPr="00E6060C" w:rsidRDefault="00E6060C" w:rsidP="00F15DDF">
            <w:pPr>
              <w:numPr>
                <w:ilvl w:val="0"/>
                <w:numId w:val="107"/>
              </w:numPr>
              <w:contextualSpacing/>
            </w:pPr>
            <w:r w:rsidRPr="00E6060C">
              <w:t>Work conflict</w:t>
            </w:r>
          </w:p>
          <w:p w14:paraId="4A6C77CE" w14:textId="77777777" w:rsidR="00E6060C" w:rsidRPr="00E6060C" w:rsidRDefault="00E6060C" w:rsidP="00F15DDF">
            <w:pPr>
              <w:numPr>
                <w:ilvl w:val="0"/>
                <w:numId w:val="107"/>
              </w:numPr>
              <w:contextualSpacing/>
            </w:pPr>
            <w:r w:rsidRPr="00E6060C">
              <w:t>Work-family pressures</w:t>
            </w:r>
          </w:p>
          <w:p w14:paraId="3E3D08CF" w14:textId="77777777" w:rsidR="00E6060C" w:rsidRPr="00E6060C" w:rsidRDefault="00E6060C" w:rsidP="00E6060C">
            <w:r w:rsidRPr="00E6060C">
              <w:t>Job resources:</w:t>
            </w:r>
          </w:p>
          <w:p w14:paraId="4687B80D" w14:textId="77777777" w:rsidR="00E6060C" w:rsidRPr="00E6060C" w:rsidRDefault="00E6060C" w:rsidP="00F15DDF">
            <w:pPr>
              <w:numPr>
                <w:ilvl w:val="0"/>
                <w:numId w:val="108"/>
              </w:numPr>
              <w:contextualSpacing/>
            </w:pPr>
            <w:r w:rsidRPr="00E6060C">
              <w:t>Autonomy</w:t>
            </w:r>
          </w:p>
          <w:p w14:paraId="5FACB62B" w14:textId="77777777" w:rsidR="00E6060C" w:rsidRPr="00E6060C" w:rsidRDefault="00E6060C" w:rsidP="00F15DDF">
            <w:pPr>
              <w:numPr>
                <w:ilvl w:val="0"/>
                <w:numId w:val="108"/>
              </w:numPr>
              <w:contextualSpacing/>
            </w:pPr>
            <w:r w:rsidRPr="00E6060C">
              <w:t>Social support</w:t>
            </w:r>
          </w:p>
          <w:p w14:paraId="7FD57B97" w14:textId="77777777" w:rsidR="00E6060C" w:rsidRPr="00E6060C" w:rsidRDefault="00E6060C" w:rsidP="00F15DDF">
            <w:pPr>
              <w:numPr>
                <w:ilvl w:val="0"/>
                <w:numId w:val="108"/>
              </w:numPr>
              <w:contextualSpacing/>
            </w:pPr>
            <w:r w:rsidRPr="00E6060C">
              <w:t>Collaboration</w:t>
            </w:r>
          </w:p>
          <w:p w14:paraId="3BF3463E" w14:textId="77777777" w:rsidR="00E6060C" w:rsidRPr="00E6060C" w:rsidRDefault="00E6060C" w:rsidP="00E6060C">
            <w:r w:rsidRPr="00E6060C">
              <w:t>Others:</w:t>
            </w:r>
          </w:p>
          <w:p w14:paraId="7EDA920F" w14:textId="77777777" w:rsidR="00E6060C" w:rsidRPr="00E6060C" w:rsidRDefault="00E6060C" w:rsidP="00F15DDF">
            <w:pPr>
              <w:numPr>
                <w:ilvl w:val="0"/>
                <w:numId w:val="109"/>
              </w:numPr>
              <w:contextualSpacing/>
            </w:pPr>
            <w:r w:rsidRPr="00E6060C">
              <w:t>Exhaustion</w:t>
            </w:r>
          </w:p>
          <w:p w14:paraId="22224BFA" w14:textId="77777777" w:rsidR="00E6060C" w:rsidRPr="00E6060C" w:rsidRDefault="00E6060C" w:rsidP="00F15DDF">
            <w:pPr>
              <w:numPr>
                <w:ilvl w:val="0"/>
                <w:numId w:val="109"/>
              </w:numPr>
              <w:contextualSpacing/>
            </w:pPr>
            <w:r w:rsidRPr="00E6060C">
              <w:t>Perceived service quality</w:t>
            </w:r>
          </w:p>
        </w:tc>
        <w:tc>
          <w:tcPr>
            <w:tcW w:w="3402" w:type="dxa"/>
          </w:tcPr>
          <w:p w14:paraId="18C9797C" w14:textId="77777777" w:rsidR="00E6060C" w:rsidRPr="00E6060C" w:rsidRDefault="00E6060C" w:rsidP="00F15DDF">
            <w:pPr>
              <w:numPr>
                <w:ilvl w:val="0"/>
                <w:numId w:val="109"/>
              </w:numPr>
              <w:ind w:left="263"/>
              <w:contextualSpacing/>
              <w:rPr>
                <w:b/>
              </w:rPr>
            </w:pPr>
            <w:r w:rsidRPr="00E6060C">
              <w:t xml:space="preserve">Burnout and WE were predicted by job demands and resources, after controlling for demographic variables and participation in the intervention </w:t>
            </w:r>
          </w:p>
          <w:p w14:paraId="04463E5A" w14:textId="77777777" w:rsidR="00E6060C" w:rsidRPr="00E6060C" w:rsidRDefault="00E6060C" w:rsidP="00E6060C">
            <w:pPr>
              <w:ind w:left="-97"/>
              <w:rPr>
                <w:b/>
              </w:rPr>
            </w:pPr>
          </w:p>
        </w:tc>
        <w:tc>
          <w:tcPr>
            <w:tcW w:w="3402" w:type="dxa"/>
          </w:tcPr>
          <w:p w14:paraId="15D2ADEF" w14:textId="77777777" w:rsidR="00E6060C" w:rsidRPr="00E6060C" w:rsidRDefault="00E6060C" w:rsidP="00F15DDF">
            <w:pPr>
              <w:numPr>
                <w:ilvl w:val="0"/>
                <w:numId w:val="109"/>
              </w:numPr>
              <w:ind w:left="126" w:hanging="223"/>
              <w:contextualSpacing/>
              <w:rPr>
                <w:b/>
              </w:rPr>
            </w:pPr>
            <w:r w:rsidRPr="00E6060C">
              <w:t>Collaboration increased significantly in the intervention group compared to the comparison group, but did not increase the perceived level of service quality</w:t>
            </w:r>
          </w:p>
          <w:p w14:paraId="4E6755E2" w14:textId="77777777" w:rsidR="00E6060C" w:rsidRPr="00E6060C" w:rsidRDefault="00E6060C" w:rsidP="00F15DDF">
            <w:pPr>
              <w:numPr>
                <w:ilvl w:val="0"/>
                <w:numId w:val="109"/>
              </w:numPr>
              <w:ind w:left="126" w:hanging="223"/>
              <w:contextualSpacing/>
              <w:rPr>
                <w:b/>
              </w:rPr>
            </w:pPr>
            <w:r w:rsidRPr="00E6060C">
              <w:t>Collaboration possibly increased due to practice-based changes</w:t>
            </w:r>
          </w:p>
          <w:p w14:paraId="6D569172" w14:textId="77777777" w:rsidR="00E6060C" w:rsidRPr="00E6060C" w:rsidRDefault="00E6060C" w:rsidP="00F15DDF">
            <w:pPr>
              <w:numPr>
                <w:ilvl w:val="0"/>
                <w:numId w:val="109"/>
              </w:numPr>
              <w:ind w:left="126" w:hanging="223"/>
              <w:contextualSpacing/>
              <w:rPr>
                <w:b/>
              </w:rPr>
            </w:pPr>
            <w:r w:rsidRPr="00E6060C">
              <w:t>Lack of effect on perceived service quality</w:t>
            </w:r>
          </w:p>
          <w:p w14:paraId="2D16B428" w14:textId="77777777" w:rsidR="00E6060C" w:rsidRPr="00E6060C" w:rsidRDefault="00E6060C" w:rsidP="00F15DDF">
            <w:pPr>
              <w:numPr>
                <w:ilvl w:val="0"/>
                <w:numId w:val="109"/>
              </w:numPr>
              <w:ind w:left="126" w:hanging="223"/>
              <w:contextualSpacing/>
              <w:rPr>
                <w:b/>
              </w:rPr>
            </w:pPr>
            <w:r w:rsidRPr="00E6060C">
              <w:t>Service quality was predicted by collaboration</w:t>
            </w:r>
          </w:p>
          <w:p w14:paraId="5B0A322E" w14:textId="77777777" w:rsidR="00E6060C" w:rsidRPr="00E6060C" w:rsidRDefault="00E6060C" w:rsidP="00E6060C"/>
        </w:tc>
      </w:tr>
      <w:tr w:rsidR="00E6060C" w:rsidRPr="00E6060C" w14:paraId="2F869669" w14:textId="77777777" w:rsidTr="00E6060C">
        <w:tc>
          <w:tcPr>
            <w:tcW w:w="440" w:type="dxa"/>
          </w:tcPr>
          <w:p w14:paraId="2FE8D556" w14:textId="77777777" w:rsidR="00E6060C" w:rsidRPr="00E6060C" w:rsidRDefault="00E6060C" w:rsidP="00E6060C">
            <w:r w:rsidRPr="00E6060C">
              <w:t>17</w:t>
            </w:r>
          </w:p>
        </w:tc>
        <w:tc>
          <w:tcPr>
            <w:tcW w:w="1403" w:type="dxa"/>
          </w:tcPr>
          <w:p w14:paraId="124D05E2" w14:textId="65140E65"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Naruse et al., 2014</w:t>
            </w:r>
          </w:p>
        </w:tc>
        <w:tc>
          <w:tcPr>
            <w:tcW w:w="1560" w:type="dxa"/>
          </w:tcPr>
          <w:p w14:paraId="2FE76713" w14:textId="77777777" w:rsidR="00E6060C" w:rsidRPr="00E6060C" w:rsidRDefault="00E6060C" w:rsidP="00E6060C">
            <w:r w:rsidRPr="00E6060C">
              <w:t>Work engagement</w:t>
            </w:r>
          </w:p>
        </w:tc>
        <w:tc>
          <w:tcPr>
            <w:tcW w:w="1275" w:type="dxa"/>
          </w:tcPr>
          <w:p w14:paraId="5B6A11AD" w14:textId="77777777" w:rsidR="00E6060C" w:rsidRPr="00E6060C" w:rsidRDefault="00E6060C" w:rsidP="00E6060C">
            <w:r w:rsidRPr="00E6060C">
              <w:t>UWES-9</w:t>
            </w:r>
          </w:p>
        </w:tc>
        <w:tc>
          <w:tcPr>
            <w:tcW w:w="2835" w:type="dxa"/>
          </w:tcPr>
          <w:p w14:paraId="0F350885" w14:textId="77777777" w:rsidR="00E6060C" w:rsidRPr="00E6060C" w:rsidRDefault="00E6060C" w:rsidP="00E6060C">
            <w:r w:rsidRPr="00E6060C">
              <w:t>None</w:t>
            </w:r>
          </w:p>
        </w:tc>
        <w:tc>
          <w:tcPr>
            <w:tcW w:w="3402" w:type="dxa"/>
          </w:tcPr>
          <w:p w14:paraId="009494A9" w14:textId="77777777" w:rsidR="00E6060C" w:rsidRPr="00E6060C" w:rsidRDefault="00E6060C" w:rsidP="00F15DDF">
            <w:pPr>
              <w:numPr>
                <w:ilvl w:val="0"/>
                <w:numId w:val="103"/>
              </w:numPr>
              <w:ind w:left="238" w:hanging="238"/>
              <w:contextualSpacing/>
            </w:pPr>
            <w:r w:rsidRPr="00E6060C">
              <w:rPr>
                <w:rFonts w:cs="AdvPSSAB-R"/>
              </w:rPr>
              <w:t>Non-statistically significant increase in WE observed which suggests the intervention might improve the WE of home visiting nurses</w:t>
            </w:r>
          </w:p>
        </w:tc>
        <w:tc>
          <w:tcPr>
            <w:tcW w:w="3402" w:type="dxa"/>
          </w:tcPr>
          <w:p w14:paraId="5F17CFAA" w14:textId="77777777" w:rsidR="00E6060C" w:rsidRPr="00E6060C" w:rsidRDefault="00E6060C" w:rsidP="00E6060C">
            <w:pPr>
              <w:rPr>
                <w:rFonts w:cs="AdvPSSAB-R"/>
              </w:rPr>
            </w:pPr>
            <w:r w:rsidRPr="00E6060C">
              <w:rPr>
                <w:rFonts w:cs="AdvPSSAB-R"/>
              </w:rPr>
              <w:t>NA</w:t>
            </w:r>
          </w:p>
        </w:tc>
      </w:tr>
      <w:tr w:rsidR="00E6060C" w:rsidRPr="00E6060C" w14:paraId="0368ED6A" w14:textId="77777777" w:rsidTr="00E6060C">
        <w:tc>
          <w:tcPr>
            <w:tcW w:w="440" w:type="dxa"/>
            <w:tcBorders>
              <w:bottom w:val="single" w:sz="4" w:space="0" w:color="auto"/>
            </w:tcBorders>
          </w:tcPr>
          <w:p w14:paraId="5944FD6E" w14:textId="77777777" w:rsidR="00E6060C" w:rsidRPr="00E6060C" w:rsidRDefault="00E6060C" w:rsidP="00E6060C">
            <w:r w:rsidRPr="00E6060C">
              <w:t>18</w:t>
            </w:r>
          </w:p>
        </w:tc>
        <w:tc>
          <w:tcPr>
            <w:tcW w:w="1403" w:type="dxa"/>
            <w:tcBorders>
              <w:bottom w:val="single" w:sz="4" w:space="0" w:color="auto"/>
            </w:tcBorders>
          </w:tcPr>
          <w:p w14:paraId="46BB4325" w14:textId="77777777" w:rsidR="00E6060C" w:rsidRPr="00E6060C" w:rsidRDefault="00E6060C" w:rsidP="00E6060C">
            <w:r w:rsidRPr="00E6060C">
              <w:t>Rickard et al., 2012</w:t>
            </w:r>
          </w:p>
        </w:tc>
        <w:tc>
          <w:tcPr>
            <w:tcW w:w="1560" w:type="dxa"/>
            <w:tcBorders>
              <w:bottom w:val="single" w:sz="4" w:space="0" w:color="auto"/>
            </w:tcBorders>
          </w:tcPr>
          <w:p w14:paraId="190BC8A5" w14:textId="77777777" w:rsidR="00E6060C" w:rsidRPr="00E6060C" w:rsidRDefault="00E6060C" w:rsidP="00E6060C">
            <w:r w:rsidRPr="00E6060C">
              <w:t>Work engagement</w:t>
            </w:r>
          </w:p>
        </w:tc>
        <w:tc>
          <w:tcPr>
            <w:tcW w:w="1275" w:type="dxa"/>
            <w:tcBorders>
              <w:bottom w:val="single" w:sz="4" w:space="0" w:color="auto"/>
            </w:tcBorders>
          </w:tcPr>
          <w:p w14:paraId="741D327D" w14:textId="77777777" w:rsidR="00E6060C" w:rsidRPr="00E6060C" w:rsidRDefault="00E6060C" w:rsidP="00E6060C">
            <w:r w:rsidRPr="00E6060C">
              <w:t>UWES-9</w:t>
            </w:r>
          </w:p>
        </w:tc>
        <w:tc>
          <w:tcPr>
            <w:tcW w:w="2835" w:type="dxa"/>
            <w:tcBorders>
              <w:bottom w:val="single" w:sz="4" w:space="0" w:color="auto"/>
            </w:tcBorders>
          </w:tcPr>
          <w:p w14:paraId="1F26C95E" w14:textId="77777777" w:rsidR="00E6060C" w:rsidRPr="00E6060C" w:rsidRDefault="00E6060C" w:rsidP="00E6060C">
            <w:r w:rsidRPr="00E6060C">
              <w:t>Psychological health:</w:t>
            </w:r>
          </w:p>
          <w:p w14:paraId="2E07DA9D" w14:textId="77777777" w:rsidR="00E6060C" w:rsidRPr="00E6060C" w:rsidRDefault="00E6060C" w:rsidP="00F15DDF">
            <w:pPr>
              <w:numPr>
                <w:ilvl w:val="0"/>
                <w:numId w:val="122"/>
              </w:numPr>
              <w:ind w:left="270" w:hanging="270"/>
              <w:contextualSpacing/>
            </w:pPr>
            <w:r w:rsidRPr="00E6060C">
              <w:t>Occupational distress</w:t>
            </w:r>
          </w:p>
          <w:p w14:paraId="7E5A8D1A" w14:textId="77777777" w:rsidR="00E6060C" w:rsidRPr="00E6060C" w:rsidRDefault="00E6060C" w:rsidP="00F15DDF">
            <w:pPr>
              <w:numPr>
                <w:ilvl w:val="0"/>
                <w:numId w:val="122"/>
              </w:numPr>
              <w:ind w:left="270" w:hanging="270"/>
              <w:contextualSpacing/>
            </w:pPr>
            <w:r w:rsidRPr="00E6060C">
              <w:t>Emotional exhaustion</w:t>
            </w:r>
          </w:p>
          <w:p w14:paraId="72E41701" w14:textId="77777777" w:rsidR="00E6060C" w:rsidRPr="00E6060C" w:rsidRDefault="00E6060C" w:rsidP="00E6060C">
            <w:r w:rsidRPr="00E6060C">
              <w:t>Work outcomes:</w:t>
            </w:r>
          </w:p>
          <w:p w14:paraId="3353653E" w14:textId="77777777" w:rsidR="00E6060C" w:rsidRPr="00E6060C" w:rsidRDefault="00E6060C" w:rsidP="00F15DDF">
            <w:pPr>
              <w:numPr>
                <w:ilvl w:val="0"/>
                <w:numId w:val="122"/>
              </w:numPr>
              <w:ind w:left="270" w:hanging="270"/>
              <w:contextualSpacing/>
            </w:pPr>
            <w:r w:rsidRPr="00E6060C">
              <w:t>job satisfaction</w:t>
            </w:r>
          </w:p>
          <w:p w14:paraId="215FDA4F" w14:textId="77777777" w:rsidR="00E6060C" w:rsidRPr="00E6060C" w:rsidRDefault="00E6060C" w:rsidP="00E6060C">
            <w:r w:rsidRPr="00E6060C">
              <w:t>Job resources:</w:t>
            </w:r>
          </w:p>
          <w:p w14:paraId="7546D9EB" w14:textId="77777777" w:rsidR="00E6060C" w:rsidRPr="00E6060C" w:rsidRDefault="00E6060C" w:rsidP="00F15DDF">
            <w:pPr>
              <w:numPr>
                <w:ilvl w:val="0"/>
                <w:numId w:val="122"/>
              </w:numPr>
              <w:ind w:left="270" w:hanging="270"/>
              <w:contextualSpacing/>
            </w:pPr>
            <w:r w:rsidRPr="00E6060C">
              <w:t>supervisor support</w:t>
            </w:r>
          </w:p>
          <w:p w14:paraId="3A2308AE" w14:textId="77777777" w:rsidR="00E6060C" w:rsidRPr="00E6060C" w:rsidRDefault="00E6060C" w:rsidP="00F15DDF">
            <w:pPr>
              <w:numPr>
                <w:ilvl w:val="0"/>
                <w:numId w:val="122"/>
              </w:numPr>
              <w:ind w:left="270" w:hanging="270"/>
              <w:contextualSpacing/>
            </w:pPr>
            <w:r w:rsidRPr="00E6060C">
              <w:t>co-worker support</w:t>
            </w:r>
          </w:p>
          <w:p w14:paraId="6D10BBDF" w14:textId="77777777" w:rsidR="00E6060C" w:rsidRPr="00E6060C" w:rsidRDefault="00E6060C" w:rsidP="00F15DDF">
            <w:pPr>
              <w:numPr>
                <w:ilvl w:val="0"/>
                <w:numId w:val="122"/>
              </w:numPr>
              <w:ind w:left="270" w:hanging="270"/>
              <w:contextualSpacing/>
              <w:rPr>
                <w:b/>
              </w:rPr>
            </w:pPr>
            <w:r w:rsidRPr="00E6060C">
              <w:t>job control</w:t>
            </w:r>
          </w:p>
          <w:p w14:paraId="360450D9" w14:textId="77777777" w:rsidR="00E6060C" w:rsidRPr="00E6060C" w:rsidRDefault="00E6060C" w:rsidP="00F15DDF">
            <w:pPr>
              <w:numPr>
                <w:ilvl w:val="0"/>
                <w:numId w:val="122"/>
              </w:numPr>
              <w:ind w:left="270" w:hanging="270"/>
              <w:contextualSpacing/>
              <w:rPr>
                <w:b/>
              </w:rPr>
            </w:pPr>
            <w:r w:rsidRPr="00E6060C">
              <w:lastRenderedPageBreak/>
              <w:t>opportunity for professional development</w:t>
            </w:r>
          </w:p>
          <w:p w14:paraId="5E9E71F7" w14:textId="77777777" w:rsidR="00E6060C" w:rsidRPr="00E6060C" w:rsidRDefault="00E6060C" w:rsidP="00E6060C">
            <w:r w:rsidRPr="00E6060C">
              <w:t>Job demands included:</w:t>
            </w:r>
          </w:p>
          <w:p w14:paraId="7F870876" w14:textId="77777777" w:rsidR="00E6060C" w:rsidRPr="00E6060C" w:rsidRDefault="00E6060C" w:rsidP="00F15DDF">
            <w:pPr>
              <w:numPr>
                <w:ilvl w:val="0"/>
                <w:numId w:val="122"/>
              </w:numPr>
              <w:ind w:left="270" w:hanging="270"/>
              <w:contextualSpacing/>
            </w:pPr>
            <w:r w:rsidRPr="00E6060C">
              <w:t>workload</w:t>
            </w:r>
          </w:p>
          <w:p w14:paraId="7A5CA11B" w14:textId="77777777" w:rsidR="00E6060C" w:rsidRPr="00E6060C" w:rsidRDefault="00E6060C" w:rsidP="00F15DDF">
            <w:pPr>
              <w:numPr>
                <w:ilvl w:val="0"/>
                <w:numId w:val="122"/>
              </w:numPr>
              <w:ind w:left="270" w:hanging="270"/>
              <w:contextualSpacing/>
            </w:pPr>
            <w:r w:rsidRPr="00E6060C">
              <w:t>conflict with colleagues</w:t>
            </w:r>
          </w:p>
          <w:p w14:paraId="4E9D8DF5" w14:textId="77777777" w:rsidR="00E6060C" w:rsidRPr="00E6060C" w:rsidRDefault="00E6060C" w:rsidP="00F15DDF">
            <w:pPr>
              <w:numPr>
                <w:ilvl w:val="0"/>
                <w:numId w:val="122"/>
              </w:numPr>
              <w:ind w:left="270" w:hanging="270"/>
              <w:contextualSpacing/>
            </w:pPr>
            <w:r w:rsidRPr="00E6060C">
              <w:t>lack of staff support</w:t>
            </w:r>
          </w:p>
          <w:p w14:paraId="0D5BC14E" w14:textId="77777777" w:rsidR="00E6060C" w:rsidRPr="00E6060C" w:rsidRDefault="00E6060C" w:rsidP="00F15DDF">
            <w:pPr>
              <w:numPr>
                <w:ilvl w:val="0"/>
                <w:numId w:val="122"/>
              </w:numPr>
              <w:ind w:left="270" w:hanging="270"/>
              <w:contextualSpacing/>
            </w:pPr>
            <w:r w:rsidRPr="00E6060C">
              <w:t>inadequate emotional preparation to deal with patients and their families</w:t>
            </w:r>
          </w:p>
          <w:p w14:paraId="141383E3" w14:textId="77777777" w:rsidR="00E6060C" w:rsidRPr="00E6060C" w:rsidRDefault="00E6060C" w:rsidP="00F15DDF">
            <w:pPr>
              <w:numPr>
                <w:ilvl w:val="0"/>
                <w:numId w:val="122"/>
              </w:numPr>
              <w:ind w:left="270" w:hanging="270"/>
              <w:contextualSpacing/>
              <w:rPr>
                <w:b/>
              </w:rPr>
            </w:pPr>
            <w:r w:rsidRPr="00E6060C">
              <w:t>death &amp; dying</w:t>
            </w:r>
          </w:p>
          <w:p w14:paraId="4BB757EE" w14:textId="77777777" w:rsidR="00E6060C" w:rsidRPr="00E6060C" w:rsidRDefault="00E6060C" w:rsidP="00E6060C">
            <w:r w:rsidRPr="00E6060C">
              <w:t>System capacity</w:t>
            </w:r>
          </w:p>
          <w:p w14:paraId="53B535B4" w14:textId="77777777" w:rsidR="00E6060C" w:rsidRPr="00E6060C" w:rsidRDefault="00E6060C" w:rsidP="00F15DDF">
            <w:pPr>
              <w:numPr>
                <w:ilvl w:val="0"/>
                <w:numId w:val="123"/>
              </w:numPr>
              <w:ind w:left="308"/>
              <w:contextualSpacing/>
            </w:pPr>
            <w:r w:rsidRPr="00E6060C">
              <w:t>flexible culture</w:t>
            </w:r>
          </w:p>
          <w:p w14:paraId="69DA17F9" w14:textId="77777777" w:rsidR="00E6060C" w:rsidRPr="00E6060C" w:rsidRDefault="00E6060C" w:rsidP="00F15DDF">
            <w:pPr>
              <w:numPr>
                <w:ilvl w:val="0"/>
                <w:numId w:val="123"/>
              </w:numPr>
              <w:ind w:left="308"/>
              <w:contextualSpacing/>
            </w:pPr>
            <w:r w:rsidRPr="00E6060C">
              <w:t>Consultation and preparation (involving participants in change)</w:t>
            </w:r>
          </w:p>
          <w:p w14:paraId="6ED6A6A3" w14:textId="77777777" w:rsidR="00E6060C" w:rsidRPr="00E6060C" w:rsidRDefault="00E6060C" w:rsidP="00F15DDF">
            <w:pPr>
              <w:numPr>
                <w:ilvl w:val="0"/>
                <w:numId w:val="123"/>
              </w:numPr>
              <w:ind w:left="308"/>
              <w:contextualSpacing/>
            </w:pPr>
            <w:r w:rsidRPr="00E6060C">
              <w:t>Psychosocial safety climate</w:t>
            </w:r>
          </w:p>
          <w:p w14:paraId="3BC3ACBB" w14:textId="77777777" w:rsidR="00E6060C" w:rsidRPr="00E6060C" w:rsidRDefault="00E6060C" w:rsidP="00F15DDF">
            <w:pPr>
              <w:numPr>
                <w:ilvl w:val="0"/>
                <w:numId w:val="123"/>
              </w:numPr>
              <w:ind w:left="308"/>
              <w:contextualSpacing/>
              <w:rPr>
                <w:b/>
              </w:rPr>
            </w:pPr>
            <w:r w:rsidRPr="00E6060C">
              <w:t>communication</w:t>
            </w:r>
          </w:p>
        </w:tc>
        <w:tc>
          <w:tcPr>
            <w:tcW w:w="3402" w:type="dxa"/>
            <w:tcBorders>
              <w:bottom w:val="single" w:sz="4" w:space="0" w:color="auto"/>
            </w:tcBorders>
          </w:tcPr>
          <w:p w14:paraId="5CC662F7" w14:textId="77777777" w:rsidR="00E6060C" w:rsidRPr="00E6060C" w:rsidRDefault="00E6060C" w:rsidP="00F15DDF">
            <w:pPr>
              <w:numPr>
                <w:ilvl w:val="0"/>
                <w:numId w:val="35"/>
              </w:numPr>
              <w:contextualSpacing/>
              <w:rPr>
                <w:b/>
              </w:rPr>
            </w:pPr>
            <w:r w:rsidRPr="00E6060C">
              <w:rPr>
                <w:rFonts w:ascii="Calibri" w:hAnsi="Calibri"/>
              </w:rPr>
              <w:lastRenderedPageBreak/>
              <w:t>There were no significant changes in WE</w:t>
            </w:r>
          </w:p>
          <w:p w14:paraId="41CF8030" w14:textId="77777777" w:rsidR="00E6060C" w:rsidRPr="00E6060C" w:rsidRDefault="00E6060C" w:rsidP="00E6060C">
            <w:pPr>
              <w:spacing w:after="200" w:line="276" w:lineRule="auto"/>
              <w:ind w:left="360"/>
              <w:contextualSpacing/>
              <w:rPr>
                <w:b/>
              </w:rPr>
            </w:pPr>
            <w:r w:rsidRPr="00E6060C">
              <w:rPr>
                <w:rFonts w:ascii="Calibri" w:hAnsi="Calibri"/>
                <w:color w:val="FFFFFF" w:themeColor="background1"/>
              </w:rPr>
              <w:t xml:space="preserve">t changes in </w:t>
            </w:r>
          </w:p>
        </w:tc>
        <w:tc>
          <w:tcPr>
            <w:tcW w:w="3402" w:type="dxa"/>
            <w:tcBorders>
              <w:bottom w:val="single" w:sz="4" w:space="0" w:color="auto"/>
            </w:tcBorders>
          </w:tcPr>
          <w:p w14:paraId="50757ED6" w14:textId="77777777" w:rsidR="00E6060C" w:rsidRPr="00E6060C" w:rsidRDefault="00E6060C" w:rsidP="00F15DDF">
            <w:pPr>
              <w:numPr>
                <w:ilvl w:val="0"/>
                <w:numId w:val="35"/>
              </w:numPr>
              <w:ind w:left="113" w:hanging="113"/>
              <w:contextualSpacing/>
              <w:rPr>
                <w:b/>
              </w:rPr>
            </w:pPr>
            <w:r w:rsidRPr="00E6060C">
              <w:rPr>
                <w:rFonts w:ascii="Calibri" w:hAnsi="Calibri"/>
              </w:rPr>
              <w:t>Significant reduction in psychological distress, emotional exhaustion and job demands</w:t>
            </w:r>
          </w:p>
          <w:p w14:paraId="468FC9EF" w14:textId="77777777" w:rsidR="00E6060C" w:rsidRPr="00E6060C" w:rsidRDefault="00E6060C" w:rsidP="00F15DDF">
            <w:pPr>
              <w:numPr>
                <w:ilvl w:val="0"/>
                <w:numId w:val="35"/>
              </w:numPr>
              <w:ind w:left="144" w:hanging="144"/>
              <w:contextualSpacing/>
              <w:rPr>
                <w:rFonts w:ascii="Calibri" w:hAnsi="Calibri"/>
              </w:rPr>
            </w:pPr>
            <w:r w:rsidRPr="00E6060C">
              <w:rPr>
                <w:rFonts w:ascii="Calibri" w:hAnsi="Calibri"/>
              </w:rPr>
              <w:t>Significant improvement in job satisfaction and job resources</w:t>
            </w:r>
            <w:r w:rsidRPr="00E6060C">
              <w:rPr>
                <w:rFonts w:ascii="Calibri" w:hAnsi="Calibri"/>
                <w:color w:val="FFFFFF" w:themeColor="background1"/>
              </w:rPr>
              <w:t xml:space="preserve"> no</w:t>
            </w:r>
          </w:p>
          <w:p w14:paraId="1542A8C6" w14:textId="77777777" w:rsidR="00E6060C" w:rsidRPr="00E6060C" w:rsidRDefault="00E6060C" w:rsidP="00F15DDF">
            <w:pPr>
              <w:numPr>
                <w:ilvl w:val="0"/>
                <w:numId w:val="35"/>
              </w:numPr>
              <w:ind w:left="144" w:hanging="144"/>
              <w:contextualSpacing/>
              <w:rPr>
                <w:rFonts w:ascii="Calibri" w:hAnsi="Calibri"/>
              </w:rPr>
            </w:pPr>
            <w:r w:rsidRPr="00E6060C">
              <w:rPr>
                <w:rFonts w:ascii="Calibri" w:hAnsi="Calibri"/>
              </w:rPr>
              <w:t>Significant improvement in system capacity (flexibility, communication)</w:t>
            </w:r>
          </w:p>
          <w:p w14:paraId="39516A54" w14:textId="77777777" w:rsidR="00E6060C" w:rsidRPr="00E6060C" w:rsidRDefault="00E6060C" w:rsidP="00E6060C">
            <w:pPr>
              <w:rPr>
                <w:rFonts w:ascii="Calibri" w:hAnsi="Calibri"/>
              </w:rPr>
            </w:pPr>
            <w:r w:rsidRPr="00E6060C">
              <w:rPr>
                <w:rFonts w:ascii="Calibri" w:hAnsi="Calibri"/>
              </w:rPr>
              <w:t xml:space="preserve"> </w:t>
            </w:r>
          </w:p>
        </w:tc>
      </w:tr>
      <w:tr w:rsidR="00E6060C" w:rsidRPr="00E6060C" w14:paraId="28E5B88B" w14:textId="77777777" w:rsidTr="00E6060C">
        <w:tc>
          <w:tcPr>
            <w:tcW w:w="14317" w:type="dxa"/>
            <w:gridSpan w:val="7"/>
            <w:tcBorders>
              <w:top w:val="single" w:sz="4" w:space="0" w:color="auto"/>
              <w:bottom w:val="single" w:sz="4" w:space="0" w:color="auto"/>
            </w:tcBorders>
          </w:tcPr>
          <w:p w14:paraId="6B68A743" w14:textId="77777777" w:rsidR="00E6060C" w:rsidRPr="00E6060C" w:rsidRDefault="00E6060C" w:rsidP="00E6060C">
            <w:pPr>
              <w:contextualSpacing/>
              <w:rPr>
                <w:b/>
                <w:sz w:val="28"/>
                <w:szCs w:val="28"/>
              </w:rPr>
            </w:pPr>
            <w:r w:rsidRPr="00E6060C">
              <w:rPr>
                <w:b/>
                <w:sz w:val="28"/>
                <w:szCs w:val="28"/>
              </w:rPr>
              <w:t>LEADERSHIP TRAINING INTERVENTIONS</w:t>
            </w:r>
          </w:p>
        </w:tc>
      </w:tr>
      <w:tr w:rsidR="00E6060C" w:rsidRPr="00E6060C" w14:paraId="168066F2" w14:textId="77777777" w:rsidTr="00E6060C">
        <w:tc>
          <w:tcPr>
            <w:tcW w:w="440" w:type="dxa"/>
            <w:tcBorders>
              <w:top w:val="single" w:sz="4" w:space="0" w:color="auto"/>
            </w:tcBorders>
          </w:tcPr>
          <w:p w14:paraId="0FE56213" w14:textId="77777777" w:rsidR="00E6060C" w:rsidRPr="00E6060C" w:rsidRDefault="00E6060C" w:rsidP="00E6060C">
            <w:r w:rsidRPr="00E6060C">
              <w:t>19</w:t>
            </w:r>
          </w:p>
        </w:tc>
        <w:tc>
          <w:tcPr>
            <w:tcW w:w="1403" w:type="dxa"/>
            <w:tcBorders>
              <w:top w:val="single" w:sz="4" w:space="0" w:color="auto"/>
            </w:tcBorders>
          </w:tcPr>
          <w:p w14:paraId="6DF02181" w14:textId="2E265F22" w:rsidR="00E6060C" w:rsidRPr="00E6060C" w:rsidRDefault="001260A3" w:rsidP="005726FB">
            <w:pPr>
              <w:rPr>
                <w:rFonts w:ascii="Calibri" w:hAnsi="Calibri"/>
                <w:color w:val="000000"/>
              </w:rPr>
            </w:pPr>
            <w:r>
              <w:rPr>
                <w:rFonts w:ascii="Calibri" w:hAnsi="Calibri"/>
                <w:color w:val="000000"/>
              </w:rPr>
              <w:t>*</w:t>
            </w:r>
            <w:r w:rsidR="00E6060C" w:rsidRPr="00E6060C">
              <w:rPr>
                <w:rFonts w:ascii="Calibri" w:hAnsi="Calibri"/>
                <w:color w:val="000000"/>
              </w:rPr>
              <w:t xml:space="preserve">Angelo </w:t>
            </w:r>
            <w:r w:rsidR="005726FB">
              <w:rPr>
                <w:rFonts w:ascii="Calibri" w:hAnsi="Calibri"/>
                <w:color w:val="000000"/>
              </w:rPr>
              <w:t>&amp; Chambel</w:t>
            </w:r>
            <w:r w:rsidR="00E6060C" w:rsidRPr="00E6060C">
              <w:rPr>
                <w:rFonts w:ascii="Calibri" w:hAnsi="Calibri"/>
                <w:color w:val="000000"/>
              </w:rPr>
              <w:t xml:space="preserve">, 2013 </w:t>
            </w:r>
          </w:p>
        </w:tc>
        <w:tc>
          <w:tcPr>
            <w:tcW w:w="1560" w:type="dxa"/>
            <w:tcBorders>
              <w:top w:val="single" w:sz="4" w:space="0" w:color="auto"/>
            </w:tcBorders>
          </w:tcPr>
          <w:p w14:paraId="30425151" w14:textId="77777777" w:rsidR="00E6060C" w:rsidRPr="00E6060C" w:rsidRDefault="00E6060C" w:rsidP="00E6060C">
            <w:r w:rsidRPr="00E6060C">
              <w:t>Vigour</w:t>
            </w:r>
          </w:p>
          <w:p w14:paraId="7B366936" w14:textId="77777777" w:rsidR="00E6060C" w:rsidRPr="00E6060C" w:rsidRDefault="00E6060C" w:rsidP="00E6060C">
            <w:r w:rsidRPr="00E6060C">
              <w:t>Dedication</w:t>
            </w:r>
          </w:p>
        </w:tc>
        <w:tc>
          <w:tcPr>
            <w:tcW w:w="1275" w:type="dxa"/>
            <w:tcBorders>
              <w:top w:val="single" w:sz="4" w:space="0" w:color="auto"/>
            </w:tcBorders>
          </w:tcPr>
          <w:p w14:paraId="716F462F" w14:textId="77777777" w:rsidR="00E6060C" w:rsidRPr="00E6060C" w:rsidRDefault="00E6060C" w:rsidP="00E6060C">
            <w:r w:rsidRPr="00E6060C">
              <w:t>UWES-17</w:t>
            </w:r>
          </w:p>
        </w:tc>
        <w:tc>
          <w:tcPr>
            <w:tcW w:w="2835" w:type="dxa"/>
            <w:tcBorders>
              <w:top w:val="single" w:sz="4" w:space="0" w:color="auto"/>
            </w:tcBorders>
          </w:tcPr>
          <w:p w14:paraId="54E465CB" w14:textId="77777777" w:rsidR="00E6060C" w:rsidRPr="00E6060C" w:rsidRDefault="00E6060C" w:rsidP="00E6060C">
            <w:r w:rsidRPr="00E6060C">
              <w:t>Job demands:</w:t>
            </w:r>
          </w:p>
          <w:p w14:paraId="59220C2A" w14:textId="77777777" w:rsidR="00E6060C" w:rsidRPr="00E6060C" w:rsidRDefault="00E6060C" w:rsidP="00F15DDF">
            <w:pPr>
              <w:numPr>
                <w:ilvl w:val="0"/>
                <w:numId w:val="117"/>
              </w:numPr>
              <w:ind w:left="230" w:hanging="230"/>
              <w:contextualSpacing/>
            </w:pPr>
            <w:r w:rsidRPr="00E6060C">
              <w:t>Chronic demands</w:t>
            </w:r>
          </w:p>
          <w:p w14:paraId="0A3984EC" w14:textId="77777777" w:rsidR="00E6060C" w:rsidRPr="00E6060C" w:rsidRDefault="00E6060C" w:rsidP="00F15DDF">
            <w:pPr>
              <w:numPr>
                <w:ilvl w:val="0"/>
                <w:numId w:val="117"/>
              </w:numPr>
              <w:ind w:left="230" w:hanging="230"/>
              <w:contextualSpacing/>
            </w:pPr>
            <w:r w:rsidRPr="00E6060C">
              <w:t>Acute demands</w:t>
            </w:r>
          </w:p>
          <w:p w14:paraId="5BAD0728" w14:textId="77777777" w:rsidR="00E6060C" w:rsidRPr="00E6060C" w:rsidRDefault="00E6060C" w:rsidP="00E6060C">
            <w:r w:rsidRPr="00E6060C">
              <w:t>Job resources:</w:t>
            </w:r>
          </w:p>
          <w:p w14:paraId="17F876EE" w14:textId="77777777" w:rsidR="00E6060C" w:rsidRPr="00E6060C" w:rsidRDefault="00E6060C" w:rsidP="00F15DDF">
            <w:pPr>
              <w:numPr>
                <w:ilvl w:val="0"/>
                <w:numId w:val="23"/>
              </w:numPr>
              <w:ind w:left="158" w:hanging="158"/>
              <w:contextualSpacing/>
            </w:pPr>
            <w:r w:rsidRPr="00E6060C">
              <w:t>Social support of colleagues &amp; supervisors</w:t>
            </w:r>
          </w:p>
          <w:p w14:paraId="31F7436E" w14:textId="77777777" w:rsidR="00E6060C" w:rsidRPr="00E6060C" w:rsidRDefault="00E6060C" w:rsidP="00E6060C">
            <w:r w:rsidRPr="00E6060C">
              <w:t>Burnout:</w:t>
            </w:r>
          </w:p>
          <w:p w14:paraId="75E2AAEC" w14:textId="77777777" w:rsidR="00E6060C" w:rsidRPr="00E6060C" w:rsidRDefault="00E6060C" w:rsidP="00F15DDF">
            <w:pPr>
              <w:numPr>
                <w:ilvl w:val="0"/>
                <w:numId w:val="116"/>
              </w:numPr>
              <w:ind w:left="241" w:hanging="241"/>
              <w:contextualSpacing/>
            </w:pPr>
            <w:r w:rsidRPr="00E6060C">
              <w:t>Emotional support</w:t>
            </w:r>
          </w:p>
          <w:p w14:paraId="13C42961" w14:textId="77777777" w:rsidR="00E6060C" w:rsidRPr="00E6060C" w:rsidRDefault="00E6060C" w:rsidP="00F15DDF">
            <w:pPr>
              <w:numPr>
                <w:ilvl w:val="0"/>
                <w:numId w:val="116"/>
              </w:numPr>
              <w:ind w:left="241" w:hanging="241"/>
              <w:contextualSpacing/>
            </w:pPr>
            <w:r w:rsidRPr="00E6060C">
              <w:lastRenderedPageBreak/>
              <w:t>Cynicism</w:t>
            </w:r>
          </w:p>
        </w:tc>
        <w:tc>
          <w:tcPr>
            <w:tcW w:w="3402" w:type="dxa"/>
            <w:tcBorders>
              <w:top w:val="single" w:sz="4" w:space="0" w:color="auto"/>
            </w:tcBorders>
          </w:tcPr>
          <w:p w14:paraId="67743BA3" w14:textId="77777777" w:rsidR="00E6060C" w:rsidRPr="00E6060C" w:rsidRDefault="00E6060C" w:rsidP="00F15DDF">
            <w:pPr>
              <w:numPr>
                <w:ilvl w:val="0"/>
                <w:numId w:val="23"/>
              </w:numPr>
              <w:contextualSpacing/>
            </w:pPr>
            <w:r w:rsidRPr="00E6060C">
              <w:lastRenderedPageBreak/>
              <w:t>Vigour increased marginally</w:t>
            </w:r>
          </w:p>
          <w:p w14:paraId="7120CE67" w14:textId="77777777" w:rsidR="00E6060C" w:rsidRPr="00E6060C" w:rsidRDefault="00E6060C" w:rsidP="00E6060C"/>
        </w:tc>
        <w:tc>
          <w:tcPr>
            <w:tcW w:w="3402" w:type="dxa"/>
            <w:tcBorders>
              <w:top w:val="single" w:sz="4" w:space="0" w:color="auto"/>
            </w:tcBorders>
          </w:tcPr>
          <w:p w14:paraId="129B3EBB" w14:textId="77777777" w:rsidR="00E6060C" w:rsidRPr="00E6060C" w:rsidRDefault="00E6060C" w:rsidP="00F15DDF">
            <w:pPr>
              <w:numPr>
                <w:ilvl w:val="0"/>
                <w:numId w:val="23"/>
              </w:numPr>
              <w:contextualSpacing/>
            </w:pPr>
            <w:r w:rsidRPr="00E6060C">
              <w:t xml:space="preserve">Significant increase in social support </w:t>
            </w:r>
          </w:p>
          <w:p w14:paraId="68C24268" w14:textId="77777777" w:rsidR="00E6060C" w:rsidRPr="00E6060C" w:rsidRDefault="00E6060C" w:rsidP="00F15DDF">
            <w:pPr>
              <w:numPr>
                <w:ilvl w:val="0"/>
                <w:numId w:val="23"/>
              </w:numPr>
              <w:contextualSpacing/>
            </w:pPr>
            <w:r w:rsidRPr="00E6060C">
              <w:t xml:space="preserve">Marginally significant increase in chronic demands </w:t>
            </w:r>
          </w:p>
          <w:p w14:paraId="7F7A6BA4" w14:textId="77777777" w:rsidR="00E6060C" w:rsidRPr="00E6060C" w:rsidRDefault="00E6060C" w:rsidP="00F15DDF">
            <w:pPr>
              <w:numPr>
                <w:ilvl w:val="0"/>
                <w:numId w:val="23"/>
              </w:numPr>
              <w:contextualSpacing/>
            </w:pPr>
            <w:r w:rsidRPr="00E6060C">
              <w:t>No significant effect on burnout</w:t>
            </w:r>
          </w:p>
        </w:tc>
      </w:tr>
      <w:tr w:rsidR="00E6060C" w:rsidRPr="00E6060C" w14:paraId="0A5E1E2F" w14:textId="77777777" w:rsidTr="00E6060C">
        <w:tc>
          <w:tcPr>
            <w:tcW w:w="440" w:type="dxa"/>
          </w:tcPr>
          <w:p w14:paraId="56FA08D6" w14:textId="77777777" w:rsidR="00E6060C" w:rsidRPr="00E6060C" w:rsidRDefault="00E6060C" w:rsidP="00E6060C">
            <w:r w:rsidRPr="00E6060C">
              <w:t>20</w:t>
            </w:r>
          </w:p>
        </w:tc>
        <w:tc>
          <w:tcPr>
            <w:tcW w:w="1403" w:type="dxa"/>
          </w:tcPr>
          <w:p w14:paraId="5131D90D" w14:textId="7AD7A2B8" w:rsidR="00E6060C" w:rsidRPr="00E6060C" w:rsidRDefault="001260A3" w:rsidP="00E6060C">
            <w:pPr>
              <w:rPr>
                <w:rFonts w:ascii="Calibri" w:hAnsi="Calibri"/>
                <w:color w:val="000000"/>
              </w:rPr>
            </w:pPr>
            <w:r>
              <w:rPr>
                <w:rFonts w:ascii="Calibri" w:hAnsi="Calibri"/>
                <w:color w:val="000000"/>
              </w:rPr>
              <w:t>*</w:t>
            </w:r>
            <w:r w:rsidR="00A54063">
              <w:rPr>
                <w:rFonts w:ascii="Calibri" w:hAnsi="Calibri"/>
                <w:color w:val="000000"/>
              </w:rPr>
              <w:t>Biggs et al., 2014</w:t>
            </w:r>
            <w:r w:rsidR="00E6060C" w:rsidRPr="00E6060C">
              <w:rPr>
                <w:rFonts w:ascii="Calibri" w:hAnsi="Calibri"/>
                <w:color w:val="000000"/>
              </w:rPr>
              <w:t xml:space="preserve"> </w:t>
            </w:r>
          </w:p>
        </w:tc>
        <w:tc>
          <w:tcPr>
            <w:tcW w:w="1560" w:type="dxa"/>
          </w:tcPr>
          <w:p w14:paraId="0060A35D" w14:textId="77777777" w:rsidR="00E6060C" w:rsidRPr="00E6060C" w:rsidRDefault="00E6060C" w:rsidP="00E6060C">
            <w:r w:rsidRPr="00E6060C">
              <w:t>Vigour</w:t>
            </w:r>
          </w:p>
          <w:p w14:paraId="1667DFE2" w14:textId="77777777" w:rsidR="00E6060C" w:rsidRPr="00E6060C" w:rsidRDefault="00E6060C" w:rsidP="00E6060C">
            <w:r w:rsidRPr="00E6060C">
              <w:t>Dedication</w:t>
            </w:r>
          </w:p>
          <w:p w14:paraId="2A04A451" w14:textId="77777777" w:rsidR="00E6060C" w:rsidRPr="00E6060C" w:rsidRDefault="00E6060C" w:rsidP="00E6060C">
            <w:r w:rsidRPr="00E6060C">
              <w:t>Absorption</w:t>
            </w:r>
          </w:p>
        </w:tc>
        <w:tc>
          <w:tcPr>
            <w:tcW w:w="1275" w:type="dxa"/>
          </w:tcPr>
          <w:p w14:paraId="0F2076A6" w14:textId="77777777" w:rsidR="00E6060C" w:rsidRPr="00E6060C" w:rsidRDefault="00E6060C" w:rsidP="00E6060C">
            <w:r w:rsidRPr="00E6060C">
              <w:t>UWES-9</w:t>
            </w:r>
          </w:p>
        </w:tc>
        <w:tc>
          <w:tcPr>
            <w:tcW w:w="2835" w:type="dxa"/>
          </w:tcPr>
          <w:p w14:paraId="6B748556" w14:textId="77777777" w:rsidR="00E6060C" w:rsidRPr="00E6060C" w:rsidRDefault="00E6060C" w:rsidP="00F15DDF">
            <w:pPr>
              <w:numPr>
                <w:ilvl w:val="0"/>
                <w:numId w:val="35"/>
              </w:numPr>
              <w:ind w:left="206" w:hanging="206"/>
              <w:contextualSpacing/>
            </w:pPr>
            <w:r w:rsidRPr="00E6060C">
              <w:t>Job demands</w:t>
            </w:r>
          </w:p>
          <w:p w14:paraId="702C1592" w14:textId="77777777" w:rsidR="00E6060C" w:rsidRPr="00E6060C" w:rsidRDefault="00E6060C" w:rsidP="00F15DDF">
            <w:pPr>
              <w:numPr>
                <w:ilvl w:val="0"/>
                <w:numId w:val="35"/>
              </w:numPr>
              <w:ind w:left="206" w:hanging="206"/>
              <w:contextualSpacing/>
            </w:pPr>
            <w:r w:rsidRPr="00E6060C">
              <w:t>Strategic alignment (perceived awareness, importance of organisations’ strategic priorities &amp; how job aligns with them)</w:t>
            </w:r>
          </w:p>
          <w:p w14:paraId="66448071" w14:textId="77777777" w:rsidR="00E6060C" w:rsidRPr="00E6060C" w:rsidRDefault="00E6060C" w:rsidP="00F15DDF">
            <w:pPr>
              <w:numPr>
                <w:ilvl w:val="0"/>
                <w:numId w:val="35"/>
              </w:numPr>
              <w:ind w:left="206" w:hanging="206"/>
              <w:contextualSpacing/>
            </w:pPr>
            <w:r w:rsidRPr="00E6060C">
              <w:t>Perceived work-culture support</w:t>
            </w:r>
          </w:p>
          <w:p w14:paraId="6D00595F" w14:textId="77777777" w:rsidR="00E6060C" w:rsidRPr="00E6060C" w:rsidRDefault="00E6060C" w:rsidP="00F15DDF">
            <w:pPr>
              <w:numPr>
                <w:ilvl w:val="0"/>
                <w:numId w:val="35"/>
              </w:numPr>
              <w:ind w:left="206" w:hanging="206"/>
              <w:contextualSpacing/>
            </w:pPr>
            <w:r w:rsidRPr="00E6060C">
              <w:t>Perceived organisational leadership (support and effectiveness)</w:t>
            </w:r>
          </w:p>
          <w:p w14:paraId="4171880C" w14:textId="77777777" w:rsidR="00E6060C" w:rsidRPr="00E6060C" w:rsidRDefault="00E6060C" w:rsidP="00F15DDF">
            <w:pPr>
              <w:numPr>
                <w:ilvl w:val="0"/>
                <w:numId w:val="35"/>
              </w:numPr>
              <w:ind w:left="206" w:hanging="206"/>
              <w:contextualSpacing/>
            </w:pPr>
            <w:r w:rsidRPr="00E6060C">
              <w:t>Job satisfaction</w:t>
            </w:r>
          </w:p>
          <w:p w14:paraId="3B7D1BFC" w14:textId="77777777" w:rsidR="00E6060C" w:rsidRPr="00E6060C" w:rsidRDefault="00E6060C" w:rsidP="00F15DDF">
            <w:pPr>
              <w:numPr>
                <w:ilvl w:val="0"/>
                <w:numId w:val="35"/>
              </w:numPr>
              <w:ind w:left="206" w:hanging="206"/>
              <w:contextualSpacing/>
            </w:pPr>
            <w:r w:rsidRPr="00E6060C">
              <w:t>Turnover intentions</w:t>
            </w:r>
          </w:p>
          <w:p w14:paraId="49A77467" w14:textId="77777777" w:rsidR="00E6060C" w:rsidRPr="00E6060C" w:rsidRDefault="00E6060C" w:rsidP="00F15DDF">
            <w:pPr>
              <w:numPr>
                <w:ilvl w:val="0"/>
                <w:numId w:val="35"/>
              </w:numPr>
              <w:ind w:left="206" w:hanging="206"/>
              <w:contextualSpacing/>
            </w:pPr>
            <w:r w:rsidRPr="00E6060C">
              <w:t>Psychological strain</w:t>
            </w:r>
          </w:p>
        </w:tc>
        <w:tc>
          <w:tcPr>
            <w:tcW w:w="3402" w:type="dxa"/>
          </w:tcPr>
          <w:p w14:paraId="382975CD" w14:textId="1F2D064F" w:rsidR="00E6060C" w:rsidRPr="00E6060C" w:rsidRDefault="00E6060C" w:rsidP="00E14F8F">
            <w:pPr>
              <w:numPr>
                <w:ilvl w:val="0"/>
                <w:numId w:val="35"/>
              </w:numPr>
              <w:ind w:left="209" w:hanging="209"/>
              <w:contextualSpacing/>
              <w:rPr>
                <w:rFonts w:ascii="Calibri" w:hAnsi="Calibri"/>
                <w:color w:val="000000"/>
              </w:rPr>
            </w:pPr>
            <w:r w:rsidRPr="00E6060C">
              <w:rPr>
                <w:rFonts w:ascii="Calibri" w:hAnsi="Calibri"/>
                <w:color w:val="000000"/>
              </w:rPr>
              <w:t>Positive effect on subordinates perceptions of work-culture support and strategic alignment which had a positive effect on WE</w:t>
            </w:r>
          </w:p>
        </w:tc>
        <w:tc>
          <w:tcPr>
            <w:tcW w:w="3402" w:type="dxa"/>
          </w:tcPr>
          <w:p w14:paraId="2998FFE8"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 xml:space="preserve">Positive effect on subordinates perceptions of work-culture support and strategic alignment had a positive effect on job satisfaction </w:t>
            </w:r>
          </w:p>
          <w:p w14:paraId="6D9E373A"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Work-culture support increased</w:t>
            </w:r>
          </w:p>
          <w:p w14:paraId="69B9A501"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Chronic demands increased</w:t>
            </w:r>
          </w:p>
          <w:p w14:paraId="11FBF7CD" w14:textId="77777777" w:rsidR="00E6060C" w:rsidRPr="00E6060C" w:rsidRDefault="00E6060C" w:rsidP="00E6060C">
            <w:pPr>
              <w:spacing w:after="200" w:line="276" w:lineRule="auto"/>
              <w:ind w:left="209"/>
              <w:contextualSpacing/>
              <w:rPr>
                <w:rFonts w:ascii="Calibri" w:hAnsi="Calibri"/>
                <w:color w:val="000000"/>
              </w:rPr>
            </w:pPr>
          </w:p>
        </w:tc>
      </w:tr>
      <w:tr w:rsidR="00E6060C" w:rsidRPr="00E6060C" w14:paraId="0F3DE35B" w14:textId="77777777" w:rsidTr="00E6060C">
        <w:tc>
          <w:tcPr>
            <w:tcW w:w="440" w:type="dxa"/>
          </w:tcPr>
          <w:p w14:paraId="57B8B914" w14:textId="77777777" w:rsidR="00E6060C" w:rsidRPr="00E6060C" w:rsidRDefault="00E6060C" w:rsidP="00E6060C">
            <w:r w:rsidRPr="00E6060C">
              <w:t>21</w:t>
            </w:r>
          </w:p>
        </w:tc>
        <w:tc>
          <w:tcPr>
            <w:tcW w:w="1403" w:type="dxa"/>
          </w:tcPr>
          <w:p w14:paraId="64A12375" w14:textId="3DBCE7CD"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 xml:space="preserve">Kmiec, 2010 </w:t>
            </w:r>
          </w:p>
        </w:tc>
        <w:tc>
          <w:tcPr>
            <w:tcW w:w="1560" w:type="dxa"/>
          </w:tcPr>
          <w:p w14:paraId="14DA2EA0" w14:textId="77777777" w:rsidR="00E6060C" w:rsidRPr="00E6060C" w:rsidRDefault="00E6060C" w:rsidP="00E6060C">
            <w:r w:rsidRPr="00E6060C">
              <w:t>Work engagement</w:t>
            </w:r>
          </w:p>
          <w:p w14:paraId="113B71EA" w14:textId="77777777" w:rsidR="00E6060C" w:rsidRPr="00E6060C" w:rsidRDefault="00E6060C" w:rsidP="00E6060C">
            <w:r w:rsidRPr="00E6060C">
              <w:t>Dedication</w:t>
            </w:r>
          </w:p>
        </w:tc>
        <w:tc>
          <w:tcPr>
            <w:tcW w:w="1275" w:type="dxa"/>
          </w:tcPr>
          <w:p w14:paraId="308DE3EB" w14:textId="77777777" w:rsidR="00E6060C" w:rsidRPr="00E6060C" w:rsidRDefault="00E6060C" w:rsidP="00E6060C">
            <w:r w:rsidRPr="00E6060C">
              <w:t>UWES-17</w:t>
            </w:r>
          </w:p>
        </w:tc>
        <w:tc>
          <w:tcPr>
            <w:tcW w:w="2835" w:type="dxa"/>
          </w:tcPr>
          <w:p w14:paraId="4E6D73E7" w14:textId="77777777" w:rsidR="00E6060C" w:rsidRPr="00E6060C" w:rsidRDefault="00E6060C" w:rsidP="00E6060C">
            <w:r w:rsidRPr="00E6060C">
              <w:t>None</w:t>
            </w:r>
          </w:p>
        </w:tc>
        <w:tc>
          <w:tcPr>
            <w:tcW w:w="3402" w:type="dxa"/>
          </w:tcPr>
          <w:p w14:paraId="58045456"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 xml:space="preserve">Both WE and dedication were higher in the intervention group compared to the control and the differences between the groups increased over time.  </w:t>
            </w:r>
          </w:p>
          <w:p w14:paraId="392444E7"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No significant differences were observed across time within each group.</w:t>
            </w:r>
          </w:p>
          <w:p w14:paraId="3F742DB5" w14:textId="77777777" w:rsidR="00E6060C" w:rsidRPr="00E6060C" w:rsidRDefault="00E6060C" w:rsidP="00E6060C"/>
        </w:tc>
        <w:tc>
          <w:tcPr>
            <w:tcW w:w="3402" w:type="dxa"/>
          </w:tcPr>
          <w:p w14:paraId="670A3FC9" w14:textId="77777777" w:rsidR="00E6060C" w:rsidRPr="00E6060C" w:rsidRDefault="00E6060C" w:rsidP="00E6060C">
            <w:pPr>
              <w:rPr>
                <w:rFonts w:ascii="Calibri" w:hAnsi="Calibri"/>
                <w:color w:val="000000"/>
              </w:rPr>
            </w:pPr>
            <w:r w:rsidRPr="00E6060C">
              <w:rPr>
                <w:rFonts w:ascii="Calibri" w:hAnsi="Calibri"/>
                <w:color w:val="000000"/>
              </w:rPr>
              <w:t>NA</w:t>
            </w:r>
          </w:p>
        </w:tc>
      </w:tr>
      <w:tr w:rsidR="00E6060C" w:rsidRPr="00E6060C" w14:paraId="7657FE0C" w14:textId="77777777" w:rsidTr="00E6060C">
        <w:tc>
          <w:tcPr>
            <w:tcW w:w="440" w:type="dxa"/>
          </w:tcPr>
          <w:p w14:paraId="5447CBA9" w14:textId="77777777" w:rsidR="00E6060C" w:rsidRPr="00E6060C" w:rsidRDefault="00E6060C" w:rsidP="00E6060C">
            <w:r w:rsidRPr="00E6060C">
              <w:t>22</w:t>
            </w:r>
          </w:p>
        </w:tc>
        <w:tc>
          <w:tcPr>
            <w:tcW w:w="1403" w:type="dxa"/>
          </w:tcPr>
          <w:p w14:paraId="615CF5AC" w14:textId="44EBCB48" w:rsidR="00E6060C" w:rsidRPr="00E6060C" w:rsidRDefault="001260A3" w:rsidP="00E6060C">
            <w:pPr>
              <w:rPr>
                <w:rFonts w:ascii="Calibri" w:hAnsi="Calibri"/>
              </w:rPr>
            </w:pPr>
            <w:r>
              <w:rPr>
                <w:rFonts w:ascii="Calibri" w:hAnsi="Calibri"/>
              </w:rPr>
              <w:t>*</w:t>
            </w:r>
            <w:r w:rsidR="00E6060C" w:rsidRPr="00E6060C">
              <w:rPr>
                <w:rFonts w:ascii="Calibri" w:hAnsi="Calibri"/>
              </w:rPr>
              <w:t xml:space="preserve">Rigotti et al., 2014 </w:t>
            </w:r>
          </w:p>
        </w:tc>
        <w:tc>
          <w:tcPr>
            <w:tcW w:w="1560" w:type="dxa"/>
          </w:tcPr>
          <w:p w14:paraId="4649BB2C" w14:textId="77777777" w:rsidR="00E6060C" w:rsidRPr="00E6060C" w:rsidRDefault="00E6060C" w:rsidP="00E6060C">
            <w:r w:rsidRPr="00E6060C">
              <w:t>Work engagement</w:t>
            </w:r>
          </w:p>
        </w:tc>
        <w:tc>
          <w:tcPr>
            <w:tcW w:w="1275" w:type="dxa"/>
          </w:tcPr>
          <w:p w14:paraId="159E7236" w14:textId="77777777" w:rsidR="00E6060C" w:rsidRPr="00E6060C" w:rsidRDefault="00E6060C" w:rsidP="00E6060C">
            <w:r w:rsidRPr="00E6060C">
              <w:t>UWES-6 items</w:t>
            </w:r>
          </w:p>
        </w:tc>
        <w:tc>
          <w:tcPr>
            <w:tcW w:w="2835" w:type="dxa"/>
          </w:tcPr>
          <w:p w14:paraId="7A903251" w14:textId="77777777" w:rsidR="00E6060C" w:rsidRPr="00E6060C" w:rsidRDefault="00E6060C" w:rsidP="00E6060C">
            <w:r w:rsidRPr="00E6060C">
              <w:t>Job stressors:</w:t>
            </w:r>
          </w:p>
          <w:p w14:paraId="08E7502E" w14:textId="77777777" w:rsidR="00E6060C" w:rsidRPr="00E6060C" w:rsidRDefault="00E6060C" w:rsidP="00F15DDF">
            <w:pPr>
              <w:numPr>
                <w:ilvl w:val="0"/>
                <w:numId w:val="26"/>
              </w:numPr>
              <w:contextualSpacing/>
            </w:pPr>
            <w:r w:rsidRPr="00E6060C">
              <w:t>Workload</w:t>
            </w:r>
          </w:p>
          <w:p w14:paraId="2CFBA6D7" w14:textId="77777777" w:rsidR="00E6060C" w:rsidRPr="00E6060C" w:rsidRDefault="00E6060C" w:rsidP="00F15DDF">
            <w:pPr>
              <w:numPr>
                <w:ilvl w:val="0"/>
                <w:numId w:val="26"/>
              </w:numPr>
              <w:contextualSpacing/>
            </w:pPr>
            <w:r w:rsidRPr="00E6060C">
              <w:t>Cognitive demands</w:t>
            </w:r>
          </w:p>
          <w:p w14:paraId="4D3C4D70" w14:textId="77777777" w:rsidR="00E6060C" w:rsidRPr="00E6060C" w:rsidRDefault="00E6060C" w:rsidP="00F15DDF">
            <w:pPr>
              <w:numPr>
                <w:ilvl w:val="0"/>
                <w:numId w:val="26"/>
              </w:numPr>
              <w:contextualSpacing/>
            </w:pPr>
            <w:r w:rsidRPr="00E6060C">
              <w:lastRenderedPageBreak/>
              <w:t>Emotional demands</w:t>
            </w:r>
          </w:p>
          <w:p w14:paraId="1D739888" w14:textId="77777777" w:rsidR="00E6060C" w:rsidRPr="00E6060C" w:rsidRDefault="00E6060C" w:rsidP="00E6060C">
            <w:r w:rsidRPr="00E6060C">
              <w:t>Job resources:</w:t>
            </w:r>
          </w:p>
          <w:p w14:paraId="76AF60E3" w14:textId="77777777" w:rsidR="00E6060C" w:rsidRPr="00E6060C" w:rsidRDefault="00E6060C" w:rsidP="00F15DDF">
            <w:pPr>
              <w:numPr>
                <w:ilvl w:val="0"/>
                <w:numId w:val="26"/>
              </w:numPr>
              <w:contextualSpacing/>
            </w:pPr>
            <w:r w:rsidRPr="00E6060C">
              <w:t>Role clarity</w:t>
            </w:r>
          </w:p>
          <w:p w14:paraId="4124C93E" w14:textId="77777777" w:rsidR="00E6060C" w:rsidRPr="00E6060C" w:rsidRDefault="00E6060C" w:rsidP="00F15DDF">
            <w:pPr>
              <w:numPr>
                <w:ilvl w:val="0"/>
                <w:numId w:val="26"/>
              </w:numPr>
              <w:contextualSpacing/>
            </w:pPr>
            <w:r w:rsidRPr="00E6060C">
              <w:t>Autonomy</w:t>
            </w:r>
          </w:p>
          <w:p w14:paraId="3B493534" w14:textId="77777777" w:rsidR="00E6060C" w:rsidRPr="00E6060C" w:rsidRDefault="00E6060C" w:rsidP="00F15DDF">
            <w:pPr>
              <w:numPr>
                <w:ilvl w:val="0"/>
                <w:numId w:val="26"/>
              </w:numPr>
              <w:contextualSpacing/>
            </w:pPr>
            <w:r w:rsidRPr="00E6060C">
              <w:t>Meaning of work</w:t>
            </w:r>
          </w:p>
          <w:p w14:paraId="028AD207" w14:textId="77777777" w:rsidR="00E6060C" w:rsidRPr="00E6060C" w:rsidRDefault="00E6060C" w:rsidP="00E6060C">
            <w:r w:rsidRPr="00E6060C">
              <w:t>Leadership:</w:t>
            </w:r>
          </w:p>
          <w:p w14:paraId="22A80A9F" w14:textId="77777777" w:rsidR="00E6060C" w:rsidRPr="00E6060C" w:rsidRDefault="00E6060C" w:rsidP="00F15DDF">
            <w:pPr>
              <w:numPr>
                <w:ilvl w:val="0"/>
                <w:numId w:val="26"/>
              </w:numPr>
              <w:contextualSpacing/>
            </w:pPr>
            <w:r w:rsidRPr="00E6060C">
              <w:t>Transformational leadership</w:t>
            </w:r>
          </w:p>
          <w:p w14:paraId="23AC3275" w14:textId="77777777" w:rsidR="00E6060C" w:rsidRPr="00E6060C" w:rsidRDefault="00E6060C" w:rsidP="00F15DDF">
            <w:pPr>
              <w:numPr>
                <w:ilvl w:val="0"/>
                <w:numId w:val="26"/>
              </w:numPr>
              <w:contextualSpacing/>
            </w:pPr>
            <w:r w:rsidRPr="00E6060C">
              <w:t>Authentic leadership</w:t>
            </w:r>
          </w:p>
          <w:p w14:paraId="201881EE" w14:textId="77777777" w:rsidR="00E6060C" w:rsidRPr="00E6060C" w:rsidRDefault="00E6060C" w:rsidP="00F15DDF">
            <w:pPr>
              <w:numPr>
                <w:ilvl w:val="0"/>
                <w:numId w:val="26"/>
              </w:numPr>
              <w:contextualSpacing/>
            </w:pPr>
            <w:r w:rsidRPr="00E6060C">
              <w:t>Fair leadership</w:t>
            </w:r>
          </w:p>
          <w:p w14:paraId="673D4F9D" w14:textId="77777777" w:rsidR="00E6060C" w:rsidRPr="00E6060C" w:rsidRDefault="00E6060C" w:rsidP="00F15DDF">
            <w:pPr>
              <w:numPr>
                <w:ilvl w:val="0"/>
                <w:numId w:val="26"/>
              </w:numPr>
              <w:contextualSpacing/>
            </w:pPr>
            <w:r w:rsidRPr="00E6060C">
              <w:t>Health promoting leadership</w:t>
            </w:r>
          </w:p>
          <w:p w14:paraId="3624372B" w14:textId="3D16DFBD" w:rsidR="00E6060C" w:rsidRPr="00E6060C" w:rsidRDefault="001D6140" w:rsidP="00E6060C">
            <w:r>
              <w:t>Well-being</w:t>
            </w:r>
            <w:r w:rsidR="00E6060C" w:rsidRPr="00E6060C">
              <w:t>:</w:t>
            </w:r>
          </w:p>
          <w:p w14:paraId="26652D23" w14:textId="77777777" w:rsidR="00E6060C" w:rsidRPr="00E6060C" w:rsidRDefault="00E6060C" w:rsidP="00F15DDF">
            <w:pPr>
              <w:numPr>
                <w:ilvl w:val="0"/>
                <w:numId w:val="26"/>
              </w:numPr>
              <w:contextualSpacing/>
            </w:pPr>
            <w:r w:rsidRPr="00E6060C">
              <w:t>Irritation</w:t>
            </w:r>
          </w:p>
          <w:p w14:paraId="12815A41" w14:textId="77777777" w:rsidR="00E6060C" w:rsidRPr="00E6060C" w:rsidRDefault="00E6060C" w:rsidP="00F15DDF">
            <w:pPr>
              <w:numPr>
                <w:ilvl w:val="0"/>
                <w:numId w:val="26"/>
              </w:numPr>
              <w:contextualSpacing/>
            </w:pPr>
            <w:r w:rsidRPr="00E6060C">
              <w:t>Job exhaustion</w:t>
            </w:r>
          </w:p>
          <w:p w14:paraId="07702E7B" w14:textId="77777777" w:rsidR="00E6060C" w:rsidRPr="00E6060C" w:rsidRDefault="00E6060C" w:rsidP="00F15DDF">
            <w:pPr>
              <w:numPr>
                <w:ilvl w:val="0"/>
                <w:numId w:val="26"/>
              </w:numPr>
              <w:contextualSpacing/>
            </w:pPr>
            <w:r w:rsidRPr="00E6060C">
              <w:t>Somatic stress</w:t>
            </w:r>
          </w:p>
          <w:p w14:paraId="75B3E75E" w14:textId="77777777" w:rsidR="00E6060C" w:rsidRPr="00E6060C" w:rsidRDefault="00E6060C" w:rsidP="00F15DDF">
            <w:pPr>
              <w:numPr>
                <w:ilvl w:val="0"/>
                <w:numId w:val="26"/>
              </w:numPr>
              <w:contextualSpacing/>
            </w:pPr>
            <w:r w:rsidRPr="00E6060C">
              <w:t>Sickness absence</w:t>
            </w:r>
          </w:p>
          <w:p w14:paraId="11BFF451" w14:textId="77777777" w:rsidR="00E6060C" w:rsidRPr="00E6060C" w:rsidRDefault="00E6060C" w:rsidP="00F15DDF">
            <w:pPr>
              <w:numPr>
                <w:ilvl w:val="0"/>
                <w:numId w:val="26"/>
              </w:numPr>
              <w:contextualSpacing/>
            </w:pPr>
            <w:r w:rsidRPr="00E6060C">
              <w:t xml:space="preserve">Sickness presence </w:t>
            </w:r>
          </w:p>
          <w:p w14:paraId="0C0C81F3" w14:textId="77777777" w:rsidR="00E6060C" w:rsidRPr="00E6060C" w:rsidRDefault="00E6060C" w:rsidP="00F15DDF">
            <w:pPr>
              <w:numPr>
                <w:ilvl w:val="0"/>
                <w:numId w:val="26"/>
              </w:numPr>
              <w:contextualSpacing/>
            </w:pPr>
            <w:r w:rsidRPr="00E6060C">
              <w:t>Occupational self-efficacy</w:t>
            </w:r>
          </w:p>
          <w:p w14:paraId="56E1F56F" w14:textId="77777777" w:rsidR="00E6060C" w:rsidRPr="00E6060C" w:rsidRDefault="00E6060C" w:rsidP="00F15DDF">
            <w:pPr>
              <w:numPr>
                <w:ilvl w:val="0"/>
                <w:numId w:val="26"/>
              </w:numPr>
              <w:contextualSpacing/>
            </w:pPr>
            <w:r w:rsidRPr="00E6060C">
              <w:t>Team climate</w:t>
            </w:r>
          </w:p>
        </w:tc>
        <w:tc>
          <w:tcPr>
            <w:tcW w:w="3402" w:type="dxa"/>
          </w:tcPr>
          <w:p w14:paraId="359178F8"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lastRenderedPageBreak/>
              <w:t>Borderline significant results between group and time for WE</w:t>
            </w:r>
          </w:p>
          <w:p w14:paraId="28DA8D2C" w14:textId="77777777" w:rsidR="00E6060C" w:rsidRPr="00E6060C" w:rsidRDefault="00E6060C" w:rsidP="00E6060C">
            <w:pPr>
              <w:rPr>
                <w:rFonts w:ascii="Calibri" w:hAnsi="Calibri"/>
                <w:color w:val="000000"/>
              </w:rPr>
            </w:pPr>
          </w:p>
        </w:tc>
        <w:tc>
          <w:tcPr>
            <w:tcW w:w="3402" w:type="dxa"/>
          </w:tcPr>
          <w:p w14:paraId="6366AAF9" w14:textId="77777777" w:rsidR="00E6060C" w:rsidRPr="00E6060C" w:rsidRDefault="00E6060C" w:rsidP="00F15DDF">
            <w:pPr>
              <w:numPr>
                <w:ilvl w:val="0"/>
                <w:numId w:val="121"/>
              </w:numPr>
              <w:ind w:left="240" w:hanging="240"/>
              <w:contextualSpacing/>
              <w:rPr>
                <w:rFonts w:ascii="Calibri" w:hAnsi="Calibri"/>
                <w:color w:val="000000"/>
              </w:rPr>
            </w:pPr>
            <w:r w:rsidRPr="00E6060C">
              <w:rPr>
                <w:rFonts w:ascii="Calibri" w:hAnsi="Calibri"/>
                <w:color w:val="000000"/>
              </w:rPr>
              <w:t xml:space="preserve">On-the-job training led to positive changes in leadership </w:t>
            </w:r>
            <w:r w:rsidRPr="00E6060C">
              <w:rPr>
                <w:rFonts w:ascii="Calibri" w:hAnsi="Calibri"/>
                <w:color w:val="000000"/>
              </w:rPr>
              <w:lastRenderedPageBreak/>
              <w:t>behaviour, but no sustainable effects were observed</w:t>
            </w:r>
          </w:p>
          <w:p w14:paraId="74B9F210" w14:textId="77777777" w:rsidR="00E6060C" w:rsidRPr="00E6060C" w:rsidRDefault="00E6060C" w:rsidP="00F15DDF">
            <w:pPr>
              <w:numPr>
                <w:ilvl w:val="0"/>
                <w:numId w:val="121"/>
              </w:numPr>
              <w:ind w:left="240" w:hanging="240"/>
              <w:contextualSpacing/>
              <w:rPr>
                <w:rFonts w:ascii="Calibri" w:hAnsi="Calibri"/>
                <w:color w:val="000000"/>
              </w:rPr>
            </w:pPr>
            <w:r w:rsidRPr="00E6060C">
              <w:rPr>
                <w:rFonts w:ascii="Calibri" w:hAnsi="Calibri"/>
                <w:color w:val="000000"/>
              </w:rPr>
              <w:t>Self-efficacy and team climate improved</w:t>
            </w:r>
          </w:p>
          <w:p w14:paraId="1C884753" w14:textId="77777777" w:rsidR="00E6060C" w:rsidRPr="00E6060C" w:rsidRDefault="00E6060C" w:rsidP="00F15DDF">
            <w:pPr>
              <w:numPr>
                <w:ilvl w:val="0"/>
                <w:numId w:val="121"/>
              </w:numPr>
              <w:ind w:left="240" w:hanging="240"/>
              <w:contextualSpacing/>
              <w:rPr>
                <w:rFonts w:ascii="Calibri" w:hAnsi="Calibri"/>
                <w:color w:val="000000"/>
              </w:rPr>
            </w:pPr>
            <w:r w:rsidRPr="00E6060C">
              <w:rPr>
                <w:rFonts w:ascii="Calibri" w:hAnsi="Calibri"/>
                <w:color w:val="000000"/>
              </w:rPr>
              <w:t>Self-efficacy remained higher at follow up</w:t>
            </w:r>
          </w:p>
          <w:p w14:paraId="33250A34" w14:textId="51126937" w:rsidR="00E6060C" w:rsidRPr="00E6060C" w:rsidRDefault="00E6060C" w:rsidP="00F15DDF">
            <w:pPr>
              <w:numPr>
                <w:ilvl w:val="0"/>
                <w:numId w:val="121"/>
              </w:numPr>
              <w:ind w:left="240" w:hanging="240"/>
              <w:contextualSpacing/>
              <w:rPr>
                <w:rFonts w:ascii="Calibri" w:hAnsi="Calibri"/>
                <w:color w:val="000000"/>
              </w:rPr>
            </w:pPr>
            <w:r w:rsidRPr="00E6060C">
              <w:rPr>
                <w:rFonts w:ascii="Calibri" w:hAnsi="Calibri"/>
                <w:color w:val="000000"/>
              </w:rPr>
              <w:t xml:space="preserve">Leadership behaviour explained additional variance in employee </w:t>
            </w:r>
            <w:r w:rsidR="001D6140">
              <w:rPr>
                <w:rFonts w:ascii="Calibri" w:hAnsi="Calibri"/>
                <w:color w:val="000000"/>
              </w:rPr>
              <w:t>well-being</w:t>
            </w:r>
            <w:r w:rsidRPr="00E6060C">
              <w:rPr>
                <w:rFonts w:ascii="Calibri" w:hAnsi="Calibri"/>
                <w:color w:val="000000"/>
              </w:rPr>
              <w:t xml:space="preserve"> (WE &amp; job exhaustion) beyond individual perceived leadership </w:t>
            </w:r>
          </w:p>
          <w:p w14:paraId="2F053892" w14:textId="77777777" w:rsidR="00E6060C" w:rsidRPr="00E6060C" w:rsidRDefault="00E6060C" w:rsidP="00E6060C">
            <w:pPr>
              <w:spacing w:after="200" w:line="276" w:lineRule="auto"/>
              <w:ind w:left="175"/>
              <w:contextualSpacing/>
              <w:rPr>
                <w:rFonts w:ascii="Calibri" w:hAnsi="Calibri"/>
                <w:color w:val="000000"/>
              </w:rPr>
            </w:pPr>
          </w:p>
        </w:tc>
      </w:tr>
      <w:tr w:rsidR="00E6060C" w:rsidRPr="00E6060C" w14:paraId="346CFD4C" w14:textId="77777777" w:rsidTr="00E6060C">
        <w:tc>
          <w:tcPr>
            <w:tcW w:w="440" w:type="dxa"/>
          </w:tcPr>
          <w:p w14:paraId="28B9F75D" w14:textId="77777777" w:rsidR="00E6060C" w:rsidRPr="00E6060C" w:rsidRDefault="00E6060C" w:rsidP="00E6060C">
            <w:r w:rsidRPr="00E6060C">
              <w:lastRenderedPageBreak/>
              <w:t>23</w:t>
            </w:r>
          </w:p>
        </w:tc>
        <w:tc>
          <w:tcPr>
            <w:tcW w:w="1403" w:type="dxa"/>
          </w:tcPr>
          <w:p w14:paraId="01537EEF" w14:textId="5761B714" w:rsidR="00E6060C" w:rsidRPr="00E6060C" w:rsidRDefault="001260A3" w:rsidP="00E6060C">
            <w:pPr>
              <w:rPr>
                <w:rFonts w:ascii="Calibri" w:hAnsi="Calibri"/>
              </w:rPr>
            </w:pPr>
            <w:r>
              <w:rPr>
                <w:rFonts w:ascii="Calibri" w:hAnsi="Calibri"/>
              </w:rPr>
              <w:t>*</w:t>
            </w:r>
            <w:r w:rsidR="00E6060C" w:rsidRPr="00E6060C">
              <w:rPr>
                <w:rFonts w:ascii="Calibri" w:hAnsi="Calibri"/>
              </w:rPr>
              <w:t>Rigotti et al., 2014</w:t>
            </w:r>
          </w:p>
        </w:tc>
        <w:tc>
          <w:tcPr>
            <w:tcW w:w="1560" w:type="dxa"/>
          </w:tcPr>
          <w:p w14:paraId="7B39499F" w14:textId="77777777" w:rsidR="00E6060C" w:rsidRPr="00E6060C" w:rsidRDefault="00E6060C" w:rsidP="00E6060C">
            <w:r w:rsidRPr="00E6060C">
              <w:t>As above</w:t>
            </w:r>
          </w:p>
        </w:tc>
        <w:tc>
          <w:tcPr>
            <w:tcW w:w="1275" w:type="dxa"/>
          </w:tcPr>
          <w:p w14:paraId="5FCA5ECF" w14:textId="77777777" w:rsidR="00E6060C" w:rsidRPr="00E6060C" w:rsidRDefault="00E6060C" w:rsidP="00E6060C">
            <w:r w:rsidRPr="00E6060C">
              <w:t>As above</w:t>
            </w:r>
          </w:p>
        </w:tc>
        <w:tc>
          <w:tcPr>
            <w:tcW w:w="2835" w:type="dxa"/>
          </w:tcPr>
          <w:p w14:paraId="71A40EED" w14:textId="77777777" w:rsidR="00E6060C" w:rsidRPr="00E6060C" w:rsidRDefault="00E6060C" w:rsidP="00E6060C">
            <w:r w:rsidRPr="00E6060C">
              <w:t>As above</w:t>
            </w:r>
          </w:p>
        </w:tc>
        <w:tc>
          <w:tcPr>
            <w:tcW w:w="3402" w:type="dxa"/>
          </w:tcPr>
          <w:p w14:paraId="3DDD913C"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No significant effects on WE observed</w:t>
            </w:r>
          </w:p>
          <w:p w14:paraId="78197D71" w14:textId="77777777" w:rsidR="00E6060C" w:rsidRPr="00E6060C" w:rsidRDefault="00E6060C" w:rsidP="00E6060C">
            <w:pPr>
              <w:spacing w:after="200" w:line="276" w:lineRule="auto"/>
              <w:ind w:left="209"/>
              <w:contextualSpacing/>
              <w:rPr>
                <w:rFonts w:ascii="Calibri" w:hAnsi="Calibri"/>
                <w:color w:val="000000"/>
              </w:rPr>
            </w:pPr>
          </w:p>
        </w:tc>
        <w:tc>
          <w:tcPr>
            <w:tcW w:w="3402" w:type="dxa"/>
          </w:tcPr>
          <w:p w14:paraId="04EE3F4E" w14:textId="77777777" w:rsidR="00E6060C" w:rsidRPr="00E6060C" w:rsidRDefault="00E6060C" w:rsidP="00E6060C">
            <w:pPr>
              <w:rPr>
                <w:rFonts w:ascii="Calibri" w:hAnsi="Calibri"/>
                <w:color w:val="000000"/>
              </w:rPr>
            </w:pPr>
            <w:r w:rsidRPr="00E6060C">
              <w:rPr>
                <w:rFonts w:ascii="Calibri" w:hAnsi="Calibri"/>
                <w:color w:val="000000"/>
              </w:rPr>
              <w:t>Other results as above, plus:</w:t>
            </w:r>
          </w:p>
          <w:p w14:paraId="42FF5280"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Increases in role clarity and autonomy were observed</w:t>
            </w:r>
          </w:p>
          <w:p w14:paraId="580CD70F"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 xml:space="preserve">Managers perceived ‘team collaborative’ and ‘team integration’ to be ideal </w:t>
            </w:r>
            <w:r w:rsidRPr="00E6060C">
              <w:rPr>
                <w:rFonts w:ascii="Calibri" w:hAnsi="Calibri"/>
                <w:color w:val="000000"/>
              </w:rPr>
              <w:lastRenderedPageBreak/>
              <w:t>outstanding leadership behaviours</w:t>
            </w:r>
          </w:p>
          <w:p w14:paraId="7FA33D20" w14:textId="77777777" w:rsidR="00E6060C" w:rsidRPr="00E6060C" w:rsidRDefault="00E6060C" w:rsidP="00E6060C">
            <w:pPr>
              <w:ind w:left="209"/>
              <w:contextualSpacing/>
              <w:rPr>
                <w:rFonts w:ascii="Calibri" w:hAnsi="Calibri"/>
                <w:color w:val="000000"/>
              </w:rPr>
            </w:pPr>
          </w:p>
        </w:tc>
      </w:tr>
      <w:tr w:rsidR="00E6060C" w:rsidRPr="00E6060C" w14:paraId="2AFF0AA8" w14:textId="77777777" w:rsidTr="00E6060C">
        <w:tc>
          <w:tcPr>
            <w:tcW w:w="14317" w:type="dxa"/>
            <w:gridSpan w:val="7"/>
            <w:shd w:val="clear" w:color="auto" w:fill="D9D9D9" w:themeFill="background1" w:themeFillShade="D9"/>
          </w:tcPr>
          <w:p w14:paraId="543E0C13" w14:textId="77777777" w:rsidR="00E6060C" w:rsidRPr="00E6060C" w:rsidRDefault="00E6060C" w:rsidP="00E6060C">
            <w:pPr>
              <w:rPr>
                <w:rFonts w:ascii="Calibri" w:hAnsi="Calibri"/>
                <w:b/>
                <w:color w:val="000000"/>
              </w:rPr>
            </w:pPr>
            <w:r w:rsidRPr="00E6060C">
              <w:rPr>
                <w:rFonts w:ascii="Calibri" w:hAnsi="Calibri"/>
                <w:b/>
                <w:color w:val="000000"/>
              </w:rPr>
              <w:lastRenderedPageBreak/>
              <w:t>ONGOING LEADERSHIP TRAINING INTERVENTIONS</w:t>
            </w:r>
          </w:p>
          <w:p w14:paraId="6B6208F8" w14:textId="77777777" w:rsidR="00E6060C" w:rsidRPr="00E6060C" w:rsidRDefault="00E6060C" w:rsidP="00E6060C">
            <w:pPr>
              <w:rPr>
                <w:rFonts w:ascii="Calibri" w:hAnsi="Calibri"/>
                <w:b/>
                <w:color w:val="000000"/>
              </w:rPr>
            </w:pPr>
          </w:p>
        </w:tc>
      </w:tr>
      <w:tr w:rsidR="00E6060C" w:rsidRPr="00E6060C" w14:paraId="47754EF0" w14:textId="77777777" w:rsidTr="00E6060C">
        <w:tc>
          <w:tcPr>
            <w:tcW w:w="440" w:type="dxa"/>
            <w:tcBorders>
              <w:bottom w:val="single" w:sz="4" w:space="0" w:color="auto"/>
            </w:tcBorders>
            <w:shd w:val="clear" w:color="auto" w:fill="D9D9D9" w:themeFill="background1" w:themeFillShade="D9"/>
          </w:tcPr>
          <w:p w14:paraId="15488C8D" w14:textId="77777777" w:rsidR="00E6060C" w:rsidRPr="00E6060C" w:rsidRDefault="00E6060C" w:rsidP="00E6060C">
            <w:r w:rsidRPr="00E6060C">
              <w:t>24</w:t>
            </w:r>
          </w:p>
        </w:tc>
        <w:tc>
          <w:tcPr>
            <w:tcW w:w="1403" w:type="dxa"/>
            <w:tcBorders>
              <w:bottom w:val="single" w:sz="4" w:space="0" w:color="auto"/>
            </w:tcBorders>
            <w:shd w:val="clear" w:color="auto" w:fill="D9D9D9" w:themeFill="background1" w:themeFillShade="D9"/>
          </w:tcPr>
          <w:p w14:paraId="1B44B592" w14:textId="77777777" w:rsidR="00E6060C" w:rsidRPr="00E6060C" w:rsidRDefault="00E6060C" w:rsidP="00E6060C">
            <w:pPr>
              <w:rPr>
                <w:rFonts w:ascii="Calibri" w:hAnsi="Calibri"/>
                <w:color w:val="000000"/>
              </w:rPr>
            </w:pPr>
            <w:r w:rsidRPr="00E6060C">
              <w:rPr>
                <w:rFonts w:ascii="Calibri" w:hAnsi="Calibri"/>
                <w:color w:val="000000"/>
              </w:rPr>
              <w:t>White et al., 2014</w:t>
            </w:r>
          </w:p>
        </w:tc>
        <w:tc>
          <w:tcPr>
            <w:tcW w:w="1560" w:type="dxa"/>
            <w:tcBorders>
              <w:bottom w:val="single" w:sz="4" w:space="0" w:color="auto"/>
            </w:tcBorders>
            <w:shd w:val="clear" w:color="auto" w:fill="D9D9D9" w:themeFill="background1" w:themeFillShade="D9"/>
          </w:tcPr>
          <w:p w14:paraId="35F66C4B" w14:textId="77777777" w:rsidR="00E6060C" w:rsidRPr="00E6060C" w:rsidRDefault="00E6060C" w:rsidP="00E6060C">
            <w:r w:rsidRPr="00E6060C">
              <w:t>Work engagement</w:t>
            </w:r>
          </w:p>
          <w:p w14:paraId="49A5534F" w14:textId="77777777" w:rsidR="00E6060C" w:rsidRPr="00E6060C" w:rsidRDefault="00E6060C" w:rsidP="00E6060C">
            <w:r w:rsidRPr="00E6060C">
              <w:t>Vigour</w:t>
            </w:r>
          </w:p>
          <w:p w14:paraId="6679E446" w14:textId="77777777" w:rsidR="00E6060C" w:rsidRPr="00E6060C" w:rsidRDefault="00E6060C" w:rsidP="00E6060C">
            <w:r w:rsidRPr="00E6060C">
              <w:t>Dedication</w:t>
            </w:r>
          </w:p>
          <w:p w14:paraId="6D3744D1" w14:textId="77777777" w:rsidR="00E6060C" w:rsidRPr="00E6060C" w:rsidRDefault="00E6060C" w:rsidP="00E6060C">
            <w:r w:rsidRPr="00E6060C">
              <w:t>Absorption</w:t>
            </w:r>
          </w:p>
          <w:p w14:paraId="7C57FBA3" w14:textId="77777777" w:rsidR="00E6060C" w:rsidRPr="00E6060C" w:rsidRDefault="00E6060C" w:rsidP="00E6060C"/>
        </w:tc>
        <w:tc>
          <w:tcPr>
            <w:tcW w:w="1275" w:type="dxa"/>
            <w:tcBorders>
              <w:bottom w:val="single" w:sz="4" w:space="0" w:color="auto"/>
            </w:tcBorders>
            <w:shd w:val="clear" w:color="auto" w:fill="D9D9D9" w:themeFill="background1" w:themeFillShade="D9"/>
          </w:tcPr>
          <w:p w14:paraId="565D83D7" w14:textId="77777777" w:rsidR="00E6060C" w:rsidRPr="00E6060C" w:rsidRDefault="00E6060C" w:rsidP="00E6060C">
            <w:r w:rsidRPr="00E6060C">
              <w:t>UWES-17</w:t>
            </w:r>
          </w:p>
        </w:tc>
        <w:tc>
          <w:tcPr>
            <w:tcW w:w="2835" w:type="dxa"/>
            <w:tcBorders>
              <w:bottom w:val="single" w:sz="4" w:space="0" w:color="auto"/>
            </w:tcBorders>
            <w:shd w:val="clear" w:color="auto" w:fill="D9D9D9" w:themeFill="background1" w:themeFillShade="D9"/>
          </w:tcPr>
          <w:p w14:paraId="5C97B109" w14:textId="77777777" w:rsidR="00E6060C" w:rsidRPr="00E6060C" w:rsidRDefault="00E6060C" w:rsidP="00E6060C">
            <w:r w:rsidRPr="00E6060C">
              <w:t>Not reported</w:t>
            </w:r>
          </w:p>
        </w:tc>
        <w:tc>
          <w:tcPr>
            <w:tcW w:w="3402" w:type="dxa"/>
            <w:tcBorders>
              <w:bottom w:val="single" w:sz="4" w:space="0" w:color="auto"/>
            </w:tcBorders>
            <w:shd w:val="clear" w:color="auto" w:fill="D9D9D9" w:themeFill="background1" w:themeFillShade="D9"/>
          </w:tcPr>
          <w:p w14:paraId="426F8F9E"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Modest but significant difference in WE between groups.</w:t>
            </w:r>
          </w:p>
          <w:p w14:paraId="4CE58913"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 xml:space="preserve">Modest, but significant differences observed in vigour, dedication and absorption </w:t>
            </w:r>
          </w:p>
          <w:p w14:paraId="1CC86E3A"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 xml:space="preserve">Employment grade and clinical speciality were significantly related to WE and its components, with clerical and nursing staff, and those in elderly specialties, demonstrating higher scores. </w:t>
            </w:r>
          </w:p>
        </w:tc>
        <w:tc>
          <w:tcPr>
            <w:tcW w:w="3402" w:type="dxa"/>
            <w:tcBorders>
              <w:bottom w:val="single" w:sz="4" w:space="0" w:color="auto"/>
            </w:tcBorders>
            <w:shd w:val="clear" w:color="auto" w:fill="D9D9D9" w:themeFill="background1" w:themeFillShade="D9"/>
          </w:tcPr>
          <w:p w14:paraId="5039761E" w14:textId="77777777" w:rsidR="00E6060C" w:rsidRPr="00E6060C" w:rsidRDefault="00E6060C" w:rsidP="00E6060C">
            <w:pPr>
              <w:rPr>
                <w:rFonts w:ascii="Calibri" w:hAnsi="Calibri"/>
                <w:color w:val="000000"/>
              </w:rPr>
            </w:pPr>
            <w:r w:rsidRPr="00E6060C">
              <w:rPr>
                <w:rFonts w:ascii="Calibri" w:hAnsi="Calibri"/>
                <w:color w:val="000000"/>
              </w:rPr>
              <w:t>NA</w:t>
            </w:r>
          </w:p>
        </w:tc>
      </w:tr>
      <w:tr w:rsidR="00E6060C" w:rsidRPr="00E6060C" w14:paraId="2520AAF4" w14:textId="77777777" w:rsidTr="00E6060C">
        <w:tc>
          <w:tcPr>
            <w:tcW w:w="14317" w:type="dxa"/>
            <w:gridSpan w:val="7"/>
            <w:tcBorders>
              <w:top w:val="single" w:sz="4" w:space="0" w:color="auto"/>
              <w:bottom w:val="single" w:sz="4" w:space="0" w:color="auto"/>
            </w:tcBorders>
          </w:tcPr>
          <w:p w14:paraId="7A62388E" w14:textId="77777777" w:rsidR="00E6060C" w:rsidRPr="00E6060C" w:rsidRDefault="00E6060C" w:rsidP="00E6060C">
            <w:pPr>
              <w:contextualSpacing/>
              <w:rPr>
                <w:b/>
                <w:sz w:val="28"/>
                <w:szCs w:val="28"/>
              </w:rPr>
            </w:pPr>
            <w:r w:rsidRPr="00E6060C">
              <w:rPr>
                <w:b/>
                <w:sz w:val="28"/>
                <w:szCs w:val="28"/>
              </w:rPr>
              <w:t>HEALTH PROMOTION INTERVENTIONS</w:t>
            </w:r>
          </w:p>
        </w:tc>
      </w:tr>
      <w:tr w:rsidR="00E6060C" w:rsidRPr="00E6060C" w14:paraId="2DBBB2E0" w14:textId="77777777" w:rsidTr="00E6060C">
        <w:tc>
          <w:tcPr>
            <w:tcW w:w="440" w:type="dxa"/>
            <w:tcBorders>
              <w:top w:val="single" w:sz="4" w:space="0" w:color="auto"/>
            </w:tcBorders>
          </w:tcPr>
          <w:p w14:paraId="714B26C8" w14:textId="77777777" w:rsidR="00E6060C" w:rsidRPr="00E6060C" w:rsidRDefault="00E6060C" w:rsidP="00E6060C">
            <w:r w:rsidRPr="00E6060C">
              <w:t>25</w:t>
            </w:r>
          </w:p>
        </w:tc>
        <w:tc>
          <w:tcPr>
            <w:tcW w:w="1403" w:type="dxa"/>
            <w:tcBorders>
              <w:top w:val="single" w:sz="4" w:space="0" w:color="auto"/>
            </w:tcBorders>
          </w:tcPr>
          <w:p w14:paraId="6B1BC62F" w14:textId="06F977DF" w:rsidR="00E6060C" w:rsidRPr="00E6060C" w:rsidRDefault="001260A3" w:rsidP="00E6060C">
            <w:r>
              <w:t>*</w:t>
            </w:r>
            <w:r w:rsidR="00E6060C" w:rsidRPr="00E6060C">
              <w:t xml:space="preserve">Aikens </w:t>
            </w:r>
            <w:r w:rsidR="00B64DD5">
              <w:t>et al.,</w:t>
            </w:r>
            <w:r w:rsidR="00E6060C" w:rsidRPr="00E6060C">
              <w:t xml:space="preserve"> 2014</w:t>
            </w:r>
          </w:p>
        </w:tc>
        <w:tc>
          <w:tcPr>
            <w:tcW w:w="1560" w:type="dxa"/>
            <w:tcBorders>
              <w:top w:val="single" w:sz="4" w:space="0" w:color="auto"/>
            </w:tcBorders>
          </w:tcPr>
          <w:p w14:paraId="238ED8E9" w14:textId="77777777" w:rsidR="00E6060C" w:rsidRPr="00E6060C" w:rsidRDefault="00E6060C" w:rsidP="00E6060C">
            <w:r w:rsidRPr="00E6060C">
              <w:t>Physical strength</w:t>
            </w:r>
          </w:p>
          <w:p w14:paraId="3A242269" w14:textId="77777777" w:rsidR="00E6060C" w:rsidRPr="00E6060C" w:rsidRDefault="00E6060C" w:rsidP="00E6060C">
            <w:r w:rsidRPr="00E6060C">
              <w:t>Cognitive liveliness</w:t>
            </w:r>
          </w:p>
          <w:p w14:paraId="1748DFBA" w14:textId="77777777" w:rsidR="00E6060C" w:rsidRPr="00E6060C" w:rsidRDefault="00E6060C" w:rsidP="00E6060C">
            <w:r w:rsidRPr="00E6060C">
              <w:t>Emotional energy</w:t>
            </w:r>
          </w:p>
        </w:tc>
        <w:tc>
          <w:tcPr>
            <w:tcW w:w="1275" w:type="dxa"/>
            <w:tcBorders>
              <w:top w:val="single" w:sz="4" w:space="0" w:color="auto"/>
            </w:tcBorders>
          </w:tcPr>
          <w:p w14:paraId="61BBA448" w14:textId="77777777" w:rsidR="00E6060C" w:rsidRPr="00E6060C" w:rsidRDefault="00E6060C" w:rsidP="00E6060C">
            <w:r w:rsidRPr="00E6060C">
              <w:t>Shirom Vigour Scale</w:t>
            </w:r>
          </w:p>
        </w:tc>
        <w:tc>
          <w:tcPr>
            <w:tcW w:w="2835" w:type="dxa"/>
            <w:tcBorders>
              <w:top w:val="single" w:sz="4" w:space="0" w:color="auto"/>
            </w:tcBorders>
          </w:tcPr>
          <w:p w14:paraId="769A4375" w14:textId="77777777" w:rsidR="00E6060C" w:rsidRPr="00E6060C" w:rsidRDefault="00E6060C" w:rsidP="00F15DDF">
            <w:pPr>
              <w:numPr>
                <w:ilvl w:val="0"/>
                <w:numId w:val="104"/>
              </w:numPr>
              <w:spacing w:after="200"/>
              <w:ind w:left="357" w:hanging="357"/>
              <w:contextualSpacing/>
            </w:pPr>
            <w:r w:rsidRPr="00E6060C">
              <w:t>Perceived stress</w:t>
            </w:r>
          </w:p>
          <w:p w14:paraId="171ACF86" w14:textId="77777777" w:rsidR="00E6060C" w:rsidRPr="00E6060C" w:rsidRDefault="00E6060C" w:rsidP="00F15DDF">
            <w:pPr>
              <w:numPr>
                <w:ilvl w:val="0"/>
                <w:numId w:val="104"/>
              </w:numPr>
              <w:spacing w:after="200"/>
              <w:ind w:left="357" w:hanging="357"/>
              <w:contextualSpacing/>
            </w:pPr>
            <w:r w:rsidRPr="00E6060C">
              <w:t>Resiliency</w:t>
            </w:r>
          </w:p>
          <w:p w14:paraId="7A98106F" w14:textId="77777777" w:rsidR="00E6060C" w:rsidRPr="00E6060C" w:rsidRDefault="00E6060C" w:rsidP="00F15DDF">
            <w:pPr>
              <w:numPr>
                <w:ilvl w:val="0"/>
                <w:numId w:val="104"/>
              </w:numPr>
              <w:spacing w:after="200"/>
              <w:ind w:left="357" w:hanging="357"/>
              <w:contextualSpacing/>
            </w:pPr>
            <w:r w:rsidRPr="00E6060C">
              <w:t>Mindfulness</w:t>
            </w:r>
          </w:p>
          <w:p w14:paraId="36BB5A7A" w14:textId="77777777" w:rsidR="00E6060C" w:rsidRPr="00E6060C" w:rsidRDefault="00E6060C" w:rsidP="00E6060C">
            <w:pPr>
              <w:spacing w:after="200" w:line="276" w:lineRule="auto"/>
              <w:ind w:left="360"/>
              <w:contextualSpacing/>
            </w:pPr>
          </w:p>
        </w:tc>
        <w:tc>
          <w:tcPr>
            <w:tcW w:w="3402" w:type="dxa"/>
            <w:tcBorders>
              <w:top w:val="single" w:sz="4" w:space="0" w:color="auto"/>
            </w:tcBorders>
          </w:tcPr>
          <w:p w14:paraId="4C8AC061" w14:textId="77777777" w:rsidR="00E6060C" w:rsidRPr="00E6060C" w:rsidRDefault="00E6060C" w:rsidP="00F15DDF">
            <w:pPr>
              <w:numPr>
                <w:ilvl w:val="0"/>
                <w:numId w:val="104"/>
              </w:numPr>
              <w:spacing w:after="200" w:line="276" w:lineRule="auto"/>
              <w:ind w:left="317" w:hanging="317"/>
              <w:contextualSpacing/>
            </w:pPr>
            <w:r w:rsidRPr="00E6060C">
              <w:t>Non-statistical increase in vigour observed.</w:t>
            </w:r>
          </w:p>
        </w:tc>
        <w:tc>
          <w:tcPr>
            <w:tcW w:w="3402" w:type="dxa"/>
            <w:tcBorders>
              <w:top w:val="single" w:sz="4" w:space="0" w:color="auto"/>
            </w:tcBorders>
          </w:tcPr>
          <w:p w14:paraId="02031CB6" w14:textId="77777777" w:rsidR="00E6060C" w:rsidRPr="00E6060C" w:rsidRDefault="00E6060C" w:rsidP="00F15DDF">
            <w:pPr>
              <w:numPr>
                <w:ilvl w:val="0"/>
                <w:numId w:val="104"/>
              </w:numPr>
              <w:contextualSpacing/>
            </w:pPr>
            <w:r w:rsidRPr="00E6060C">
              <w:t>Significant decreases in perceived stress</w:t>
            </w:r>
          </w:p>
          <w:p w14:paraId="4C7132EE" w14:textId="77777777" w:rsidR="00E6060C" w:rsidRPr="00E6060C" w:rsidRDefault="00E6060C" w:rsidP="00F15DDF">
            <w:pPr>
              <w:numPr>
                <w:ilvl w:val="0"/>
                <w:numId w:val="104"/>
              </w:numPr>
              <w:contextualSpacing/>
            </w:pPr>
            <w:r w:rsidRPr="00E6060C">
              <w:t>Increases in perceived mindfulness and resiliency</w:t>
            </w:r>
          </w:p>
        </w:tc>
      </w:tr>
      <w:tr w:rsidR="00E6060C" w:rsidRPr="00E6060C" w14:paraId="324D64A4" w14:textId="77777777" w:rsidTr="00E6060C">
        <w:tc>
          <w:tcPr>
            <w:tcW w:w="440" w:type="dxa"/>
          </w:tcPr>
          <w:p w14:paraId="14CA00C3" w14:textId="77777777" w:rsidR="00E6060C" w:rsidRPr="00E6060C" w:rsidRDefault="00E6060C" w:rsidP="00E6060C">
            <w:r w:rsidRPr="00E6060C">
              <w:t>26</w:t>
            </w:r>
          </w:p>
        </w:tc>
        <w:tc>
          <w:tcPr>
            <w:tcW w:w="1403" w:type="dxa"/>
          </w:tcPr>
          <w:p w14:paraId="248BF3F6" w14:textId="4D6FCBB0"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 xml:space="preserve">Biggs., 2011 </w:t>
            </w:r>
          </w:p>
          <w:p w14:paraId="281AE3E8" w14:textId="77777777" w:rsidR="00E6060C" w:rsidRPr="00E6060C" w:rsidRDefault="00E6060C" w:rsidP="00E6060C">
            <w:pPr>
              <w:rPr>
                <w:rFonts w:ascii="Calibri" w:hAnsi="Calibri"/>
                <w:b/>
                <w:color w:val="000000"/>
              </w:rPr>
            </w:pPr>
          </w:p>
        </w:tc>
        <w:tc>
          <w:tcPr>
            <w:tcW w:w="1560" w:type="dxa"/>
          </w:tcPr>
          <w:p w14:paraId="2AA61652" w14:textId="77777777" w:rsidR="00E6060C" w:rsidRPr="00E6060C" w:rsidRDefault="00E6060C" w:rsidP="00E6060C">
            <w:r w:rsidRPr="00E6060C">
              <w:t>Vigour</w:t>
            </w:r>
          </w:p>
          <w:p w14:paraId="40B315DD" w14:textId="77777777" w:rsidR="00E6060C" w:rsidRPr="00E6060C" w:rsidRDefault="00E6060C" w:rsidP="00E6060C">
            <w:r w:rsidRPr="00E6060C">
              <w:t>Dedication</w:t>
            </w:r>
          </w:p>
          <w:p w14:paraId="315AA377" w14:textId="77777777" w:rsidR="00E6060C" w:rsidRPr="00E6060C" w:rsidRDefault="00E6060C" w:rsidP="00E6060C">
            <w:r w:rsidRPr="00E6060C">
              <w:t>Absorption</w:t>
            </w:r>
          </w:p>
        </w:tc>
        <w:tc>
          <w:tcPr>
            <w:tcW w:w="1275" w:type="dxa"/>
          </w:tcPr>
          <w:p w14:paraId="7D3DE072" w14:textId="77777777" w:rsidR="00E6060C" w:rsidRPr="00E6060C" w:rsidRDefault="00E6060C" w:rsidP="00E6060C">
            <w:r w:rsidRPr="00E6060C">
              <w:t>UWES-17</w:t>
            </w:r>
          </w:p>
        </w:tc>
        <w:tc>
          <w:tcPr>
            <w:tcW w:w="2835" w:type="dxa"/>
          </w:tcPr>
          <w:p w14:paraId="49D87BE9" w14:textId="77777777" w:rsidR="00E6060C" w:rsidRPr="00E6060C" w:rsidRDefault="00E6060C" w:rsidP="00E6060C">
            <w:r w:rsidRPr="00E6060C">
              <w:t>Job resources:</w:t>
            </w:r>
          </w:p>
          <w:p w14:paraId="11167549" w14:textId="77777777" w:rsidR="00E6060C" w:rsidRPr="00E6060C" w:rsidRDefault="00E6060C" w:rsidP="00F15DDF">
            <w:pPr>
              <w:numPr>
                <w:ilvl w:val="0"/>
                <w:numId w:val="104"/>
              </w:numPr>
              <w:ind w:left="211" w:hanging="211"/>
              <w:contextualSpacing/>
            </w:pPr>
            <w:r w:rsidRPr="00E6060C">
              <w:t>Supervisor support</w:t>
            </w:r>
          </w:p>
          <w:p w14:paraId="259E2A9E" w14:textId="77777777" w:rsidR="00E6060C" w:rsidRPr="00E6060C" w:rsidRDefault="00E6060C" w:rsidP="00F15DDF">
            <w:pPr>
              <w:numPr>
                <w:ilvl w:val="0"/>
                <w:numId w:val="104"/>
              </w:numPr>
              <w:ind w:left="211" w:hanging="211"/>
              <w:contextualSpacing/>
            </w:pPr>
            <w:r w:rsidRPr="00E6060C">
              <w:t>Colleague support</w:t>
            </w:r>
          </w:p>
          <w:p w14:paraId="3FD5B29C" w14:textId="77777777" w:rsidR="00E6060C" w:rsidRPr="00E6060C" w:rsidRDefault="00E6060C" w:rsidP="00F15DDF">
            <w:pPr>
              <w:numPr>
                <w:ilvl w:val="0"/>
                <w:numId w:val="104"/>
              </w:numPr>
              <w:ind w:left="211" w:hanging="211"/>
              <w:contextualSpacing/>
            </w:pPr>
            <w:r w:rsidRPr="00E6060C">
              <w:t>Job control</w:t>
            </w:r>
          </w:p>
          <w:p w14:paraId="0431E1E4" w14:textId="77777777" w:rsidR="00E6060C" w:rsidRPr="00E6060C" w:rsidRDefault="00E6060C" w:rsidP="00E6060C">
            <w:r w:rsidRPr="00E6060C">
              <w:lastRenderedPageBreak/>
              <w:t>Work demands:</w:t>
            </w:r>
          </w:p>
          <w:p w14:paraId="08B3ABCB" w14:textId="77777777" w:rsidR="00E6060C" w:rsidRPr="00E6060C" w:rsidRDefault="00E6060C" w:rsidP="00F15DDF">
            <w:pPr>
              <w:numPr>
                <w:ilvl w:val="0"/>
                <w:numId w:val="120"/>
              </w:numPr>
              <w:ind w:left="206" w:hanging="206"/>
              <w:contextualSpacing/>
            </w:pPr>
            <w:r w:rsidRPr="00E6060C">
              <w:t>Organisational stressors</w:t>
            </w:r>
          </w:p>
          <w:p w14:paraId="6FD2348E" w14:textId="77777777" w:rsidR="00E6060C" w:rsidRPr="00E6060C" w:rsidRDefault="00E6060C" w:rsidP="00F15DDF">
            <w:pPr>
              <w:numPr>
                <w:ilvl w:val="0"/>
                <w:numId w:val="104"/>
              </w:numPr>
              <w:ind w:left="211" w:hanging="211"/>
              <w:contextualSpacing/>
            </w:pPr>
            <w:r w:rsidRPr="00E6060C">
              <w:t>Operational stressors</w:t>
            </w:r>
          </w:p>
          <w:p w14:paraId="6E37130F" w14:textId="77777777" w:rsidR="00E6060C" w:rsidRPr="00E6060C" w:rsidRDefault="00E6060C" w:rsidP="00F15DDF">
            <w:pPr>
              <w:numPr>
                <w:ilvl w:val="0"/>
                <w:numId w:val="104"/>
              </w:numPr>
              <w:ind w:left="211" w:hanging="211"/>
              <w:contextualSpacing/>
            </w:pPr>
            <w:r w:rsidRPr="00E6060C">
              <w:t>Demands</w:t>
            </w:r>
          </w:p>
          <w:p w14:paraId="51E320CE" w14:textId="279848B7" w:rsidR="00E6060C" w:rsidRPr="00E6060C" w:rsidRDefault="001D6140" w:rsidP="00E6060C">
            <w:r>
              <w:t>Well-being</w:t>
            </w:r>
            <w:r w:rsidR="00E6060C" w:rsidRPr="00E6060C">
              <w:t>:</w:t>
            </w:r>
          </w:p>
          <w:p w14:paraId="116E7081" w14:textId="77777777" w:rsidR="00E6060C" w:rsidRPr="00E6060C" w:rsidRDefault="00E6060C" w:rsidP="00F15DDF">
            <w:pPr>
              <w:numPr>
                <w:ilvl w:val="0"/>
                <w:numId w:val="104"/>
              </w:numPr>
              <w:ind w:left="211" w:hanging="211"/>
              <w:contextualSpacing/>
            </w:pPr>
            <w:r w:rsidRPr="00E6060C">
              <w:t>Anxiety / depression</w:t>
            </w:r>
          </w:p>
          <w:p w14:paraId="54DECD65" w14:textId="77777777" w:rsidR="00E6060C" w:rsidRPr="00E6060C" w:rsidRDefault="00E6060C" w:rsidP="00F15DDF">
            <w:pPr>
              <w:numPr>
                <w:ilvl w:val="0"/>
                <w:numId w:val="104"/>
              </w:numPr>
              <w:ind w:left="211" w:hanging="211"/>
              <w:contextualSpacing/>
            </w:pPr>
            <w:r w:rsidRPr="00E6060C">
              <w:t>Work-related burnout</w:t>
            </w:r>
          </w:p>
          <w:p w14:paraId="027A6EF1" w14:textId="77777777" w:rsidR="00E6060C" w:rsidRPr="00E6060C" w:rsidRDefault="00E6060C" w:rsidP="00F15DDF">
            <w:pPr>
              <w:numPr>
                <w:ilvl w:val="0"/>
                <w:numId w:val="104"/>
              </w:numPr>
              <w:ind w:left="211" w:hanging="211"/>
              <w:contextualSpacing/>
            </w:pPr>
            <w:r w:rsidRPr="00E6060C">
              <w:t>Social dysfunction</w:t>
            </w:r>
          </w:p>
          <w:p w14:paraId="2DFEBF76" w14:textId="77777777" w:rsidR="00E6060C" w:rsidRPr="00E6060C" w:rsidRDefault="00E6060C" w:rsidP="00E6060C">
            <w:r w:rsidRPr="00E6060C">
              <w:t>Coping strategies:</w:t>
            </w:r>
          </w:p>
          <w:p w14:paraId="2103D648" w14:textId="77777777" w:rsidR="00E6060C" w:rsidRPr="00E6060C" w:rsidRDefault="00E6060C" w:rsidP="00F15DDF">
            <w:pPr>
              <w:numPr>
                <w:ilvl w:val="0"/>
                <w:numId w:val="104"/>
              </w:numPr>
              <w:ind w:left="211" w:hanging="211"/>
              <w:contextualSpacing/>
            </w:pPr>
            <w:r w:rsidRPr="00E6060C">
              <w:t>Change situation coping</w:t>
            </w:r>
          </w:p>
          <w:p w14:paraId="2B404C6B" w14:textId="77777777" w:rsidR="00E6060C" w:rsidRPr="00E6060C" w:rsidRDefault="00E6060C" w:rsidP="00F15DDF">
            <w:pPr>
              <w:numPr>
                <w:ilvl w:val="0"/>
                <w:numId w:val="104"/>
              </w:numPr>
              <w:ind w:left="211" w:hanging="211"/>
              <w:contextualSpacing/>
            </w:pPr>
            <w:r w:rsidRPr="00E6060C">
              <w:t>Accommodation coping</w:t>
            </w:r>
          </w:p>
          <w:p w14:paraId="5CC06A8E" w14:textId="77777777" w:rsidR="00E6060C" w:rsidRPr="00E6060C" w:rsidRDefault="00E6060C" w:rsidP="00F15DDF">
            <w:pPr>
              <w:numPr>
                <w:ilvl w:val="0"/>
                <w:numId w:val="104"/>
              </w:numPr>
              <w:ind w:left="211" w:hanging="211"/>
              <w:contextualSpacing/>
            </w:pPr>
            <w:r w:rsidRPr="00E6060C">
              <w:t>Avoidance coping</w:t>
            </w:r>
          </w:p>
          <w:p w14:paraId="5CC4A094" w14:textId="77777777" w:rsidR="00E6060C" w:rsidRPr="00E6060C" w:rsidRDefault="00E6060C" w:rsidP="00F15DDF">
            <w:pPr>
              <w:numPr>
                <w:ilvl w:val="0"/>
                <w:numId w:val="104"/>
              </w:numPr>
              <w:ind w:left="211" w:hanging="211"/>
              <w:contextualSpacing/>
            </w:pPr>
            <w:r w:rsidRPr="00E6060C">
              <w:t>Symptom reduction coping</w:t>
            </w:r>
          </w:p>
          <w:p w14:paraId="7E51232E" w14:textId="77777777" w:rsidR="00E6060C" w:rsidRPr="00E6060C" w:rsidRDefault="00E6060C" w:rsidP="00E6060C">
            <w:r w:rsidRPr="00E6060C">
              <w:t>Others:</w:t>
            </w:r>
          </w:p>
          <w:p w14:paraId="09BF9E9D" w14:textId="77777777" w:rsidR="00E6060C" w:rsidRPr="00E6060C" w:rsidRDefault="00E6060C" w:rsidP="00F15DDF">
            <w:pPr>
              <w:numPr>
                <w:ilvl w:val="0"/>
                <w:numId w:val="104"/>
              </w:numPr>
              <w:ind w:left="211" w:hanging="211"/>
              <w:contextualSpacing/>
            </w:pPr>
            <w:r w:rsidRPr="00E6060C">
              <w:t>Equal opportunities</w:t>
            </w:r>
          </w:p>
          <w:p w14:paraId="1734AD1A" w14:textId="77777777" w:rsidR="00E6060C" w:rsidRPr="00E6060C" w:rsidRDefault="00E6060C" w:rsidP="00F15DDF">
            <w:pPr>
              <w:numPr>
                <w:ilvl w:val="0"/>
                <w:numId w:val="104"/>
              </w:numPr>
              <w:ind w:left="211" w:hanging="211"/>
              <w:contextualSpacing/>
            </w:pPr>
            <w:r w:rsidRPr="00E6060C">
              <w:t>Mentoring</w:t>
            </w:r>
          </w:p>
          <w:p w14:paraId="5AE17D89" w14:textId="77777777" w:rsidR="00E6060C" w:rsidRPr="00E6060C" w:rsidRDefault="00E6060C" w:rsidP="00F15DDF">
            <w:pPr>
              <w:numPr>
                <w:ilvl w:val="0"/>
                <w:numId w:val="104"/>
              </w:numPr>
              <w:ind w:left="206" w:hanging="206"/>
              <w:contextualSpacing/>
            </w:pPr>
            <w:r w:rsidRPr="00E6060C">
              <w:t>Perceived gender culture</w:t>
            </w:r>
          </w:p>
        </w:tc>
        <w:tc>
          <w:tcPr>
            <w:tcW w:w="3402" w:type="dxa"/>
          </w:tcPr>
          <w:p w14:paraId="1799C85D" w14:textId="77777777" w:rsidR="00E6060C" w:rsidRPr="00E6060C" w:rsidRDefault="00E6060C" w:rsidP="00F15DDF">
            <w:pPr>
              <w:numPr>
                <w:ilvl w:val="0"/>
                <w:numId w:val="35"/>
              </w:numPr>
              <w:ind w:left="209" w:hanging="209"/>
              <w:contextualSpacing/>
              <w:rPr>
                <w:rFonts w:ascii="Calibri" w:hAnsi="Calibri"/>
              </w:rPr>
            </w:pPr>
            <w:r w:rsidRPr="00E6060C">
              <w:rPr>
                <w:rFonts w:ascii="Calibri" w:hAnsi="Calibri"/>
                <w:color w:val="000000"/>
              </w:rPr>
              <w:lastRenderedPageBreak/>
              <w:t xml:space="preserve">No significant effects of the intervention were observed in relation to WE </w:t>
            </w:r>
          </w:p>
        </w:tc>
        <w:tc>
          <w:tcPr>
            <w:tcW w:w="3402" w:type="dxa"/>
          </w:tcPr>
          <w:p w14:paraId="01A8583A"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 xml:space="preserve">No significant differences were observed between groups on burnout, psychological strain, </w:t>
            </w:r>
            <w:r w:rsidRPr="00E6060C">
              <w:rPr>
                <w:rFonts w:ascii="Calibri" w:hAnsi="Calibri"/>
                <w:color w:val="000000"/>
              </w:rPr>
              <w:lastRenderedPageBreak/>
              <w:t>job-related resources, equity, demands or stressors.</w:t>
            </w:r>
          </w:p>
        </w:tc>
      </w:tr>
      <w:tr w:rsidR="00E6060C" w:rsidRPr="00E6060C" w14:paraId="5F65D74E" w14:textId="77777777" w:rsidTr="00E6060C">
        <w:tc>
          <w:tcPr>
            <w:tcW w:w="440" w:type="dxa"/>
          </w:tcPr>
          <w:p w14:paraId="5E1AAA90" w14:textId="77777777" w:rsidR="00E6060C" w:rsidRPr="00E6060C" w:rsidRDefault="00E6060C" w:rsidP="00E6060C">
            <w:r w:rsidRPr="00E6060C">
              <w:lastRenderedPageBreak/>
              <w:t>27</w:t>
            </w:r>
          </w:p>
        </w:tc>
        <w:tc>
          <w:tcPr>
            <w:tcW w:w="1403" w:type="dxa"/>
          </w:tcPr>
          <w:p w14:paraId="400E4A7D" w14:textId="4578A625"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Calitz 2013</w:t>
            </w:r>
          </w:p>
          <w:p w14:paraId="7F4C7C6A" w14:textId="77777777" w:rsidR="00E6060C" w:rsidRPr="00E6060C" w:rsidRDefault="00E6060C" w:rsidP="00E6060C">
            <w:pPr>
              <w:rPr>
                <w:rFonts w:ascii="Calibri" w:hAnsi="Calibri"/>
              </w:rPr>
            </w:pPr>
          </w:p>
        </w:tc>
        <w:tc>
          <w:tcPr>
            <w:tcW w:w="1560" w:type="dxa"/>
          </w:tcPr>
          <w:p w14:paraId="344DFB00" w14:textId="77777777" w:rsidR="00E6060C" w:rsidRPr="00E6060C" w:rsidRDefault="00E6060C" w:rsidP="00E6060C">
            <w:r w:rsidRPr="00E6060C">
              <w:t>Work engagement</w:t>
            </w:r>
          </w:p>
          <w:p w14:paraId="2EA2F8A8" w14:textId="77777777" w:rsidR="00E6060C" w:rsidRPr="00E6060C" w:rsidRDefault="00E6060C" w:rsidP="00E6060C">
            <w:r w:rsidRPr="00E6060C">
              <w:t>Vigour</w:t>
            </w:r>
          </w:p>
          <w:p w14:paraId="3D2A0DB6" w14:textId="77777777" w:rsidR="00E6060C" w:rsidRPr="00E6060C" w:rsidRDefault="00E6060C" w:rsidP="00E6060C">
            <w:r w:rsidRPr="00E6060C">
              <w:t>Dedication</w:t>
            </w:r>
          </w:p>
          <w:p w14:paraId="115CE04D" w14:textId="77777777" w:rsidR="00E6060C" w:rsidRPr="00E6060C" w:rsidRDefault="00E6060C" w:rsidP="00E6060C">
            <w:r w:rsidRPr="00E6060C">
              <w:t>Absorption</w:t>
            </w:r>
          </w:p>
        </w:tc>
        <w:tc>
          <w:tcPr>
            <w:tcW w:w="1275" w:type="dxa"/>
          </w:tcPr>
          <w:p w14:paraId="3315B401" w14:textId="77777777" w:rsidR="00E6060C" w:rsidRPr="00E6060C" w:rsidRDefault="00E6060C" w:rsidP="00E6060C">
            <w:r w:rsidRPr="00E6060C">
              <w:t>UWES-17</w:t>
            </w:r>
          </w:p>
        </w:tc>
        <w:tc>
          <w:tcPr>
            <w:tcW w:w="2835" w:type="dxa"/>
          </w:tcPr>
          <w:p w14:paraId="62A74F85" w14:textId="77777777" w:rsidR="00E6060C" w:rsidRPr="00E6060C" w:rsidRDefault="00E6060C" w:rsidP="00E6060C">
            <w:r w:rsidRPr="00E6060C">
              <w:t>None</w:t>
            </w:r>
          </w:p>
        </w:tc>
        <w:tc>
          <w:tcPr>
            <w:tcW w:w="3402" w:type="dxa"/>
          </w:tcPr>
          <w:p w14:paraId="47A29442" w14:textId="77777777" w:rsidR="00E6060C" w:rsidRPr="00E6060C" w:rsidRDefault="00E6060C" w:rsidP="00F15DDF">
            <w:pPr>
              <w:numPr>
                <w:ilvl w:val="0"/>
                <w:numId w:val="25"/>
              </w:numPr>
              <w:ind w:left="191" w:hanging="191"/>
              <w:contextualSpacing/>
              <w:rPr>
                <w:b/>
              </w:rPr>
            </w:pPr>
            <w:r w:rsidRPr="00E6060C">
              <w:rPr>
                <w:rFonts w:ascii="Calibri" w:hAnsi="Calibri"/>
                <w:color w:val="000000"/>
              </w:rPr>
              <w:t>Significant differences were observed for dedication and vigour across time</w:t>
            </w:r>
          </w:p>
          <w:p w14:paraId="431E73E1" w14:textId="77777777" w:rsidR="00E6060C" w:rsidRPr="00E6060C" w:rsidRDefault="00E6060C" w:rsidP="00F15DDF">
            <w:pPr>
              <w:numPr>
                <w:ilvl w:val="0"/>
                <w:numId w:val="25"/>
              </w:numPr>
              <w:ind w:left="191" w:hanging="191"/>
              <w:contextualSpacing/>
              <w:rPr>
                <w:b/>
              </w:rPr>
            </w:pPr>
            <w:r w:rsidRPr="00E6060C">
              <w:rPr>
                <w:rFonts w:ascii="Calibri" w:hAnsi="Calibri"/>
                <w:color w:val="000000"/>
              </w:rPr>
              <w:t>Improvement was greater after 4 weeks</w:t>
            </w:r>
          </w:p>
        </w:tc>
        <w:tc>
          <w:tcPr>
            <w:tcW w:w="3402" w:type="dxa"/>
          </w:tcPr>
          <w:p w14:paraId="025058A8" w14:textId="77777777" w:rsidR="00E6060C" w:rsidRPr="00E6060C" w:rsidRDefault="00E6060C" w:rsidP="00E6060C">
            <w:pPr>
              <w:rPr>
                <w:rFonts w:ascii="Calibri" w:hAnsi="Calibri"/>
                <w:color w:val="000000"/>
              </w:rPr>
            </w:pPr>
            <w:r w:rsidRPr="00E6060C">
              <w:rPr>
                <w:rFonts w:ascii="Calibri" w:hAnsi="Calibri"/>
                <w:color w:val="000000"/>
              </w:rPr>
              <w:t>NA</w:t>
            </w:r>
          </w:p>
        </w:tc>
      </w:tr>
      <w:tr w:rsidR="00E6060C" w:rsidRPr="00E6060C" w14:paraId="324D1FCD" w14:textId="77777777" w:rsidTr="00E6060C">
        <w:tc>
          <w:tcPr>
            <w:tcW w:w="440" w:type="dxa"/>
          </w:tcPr>
          <w:p w14:paraId="6101C6F8" w14:textId="77777777" w:rsidR="00E6060C" w:rsidRPr="00E6060C" w:rsidRDefault="00E6060C" w:rsidP="00E6060C">
            <w:r w:rsidRPr="00E6060C">
              <w:t>28</w:t>
            </w:r>
          </w:p>
        </w:tc>
        <w:tc>
          <w:tcPr>
            <w:tcW w:w="1403" w:type="dxa"/>
          </w:tcPr>
          <w:p w14:paraId="1C3AFDB3" w14:textId="5F20A53F" w:rsidR="00E6060C" w:rsidRPr="00E6060C" w:rsidRDefault="001260A3" w:rsidP="00E6060C">
            <w:r>
              <w:t>*</w:t>
            </w:r>
            <w:r w:rsidR="00E6060C" w:rsidRPr="00E6060C">
              <w:t>Hengel, et al., 2012</w:t>
            </w:r>
          </w:p>
          <w:p w14:paraId="1E237B32" w14:textId="77777777" w:rsidR="00E6060C" w:rsidRPr="00E6060C" w:rsidRDefault="00E6060C" w:rsidP="00E6060C"/>
        </w:tc>
        <w:tc>
          <w:tcPr>
            <w:tcW w:w="1560" w:type="dxa"/>
          </w:tcPr>
          <w:p w14:paraId="5239E55C" w14:textId="77777777" w:rsidR="00E6060C" w:rsidRPr="00E6060C" w:rsidRDefault="00E6060C" w:rsidP="00E6060C">
            <w:r w:rsidRPr="00E6060C">
              <w:t>Work engagement</w:t>
            </w:r>
          </w:p>
          <w:p w14:paraId="1220DD1B" w14:textId="77777777" w:rsidR="00E6060C" w:rsidRPr="00E6060C" w:rsidRDefault="00E6060C" w:rsidP="00E6060C">
            <w:r w:rsidRPr="00E6060C">
              <w:t>Vigour</w:t>
            </w:r>
          </w:p>
          <w:p w14:paraId="11CF10C1" w14:textId="77777777" w:rsidR="00E6060C" w:rsidRPr="00E6060C" w:rsidRDefault="00E6060C" w:rsidP="00E6060C">
            <w:r w:rsidRPr="00E6060C">
              <w:t>Dedication</w:t>
            </w:r>
          </w:p>
          <w:p w14:paraId="4FC27B94" w14:textId="77777777" w:rsidR="00E6060C" w:rsidRPr="00E6060C" w:rsidRDefault="00E6060C" w:rsidP="00E6060C">
            <w:r w:rsidRPr="00E6060C">
              <w:t>Absorption</w:t>
            </w:r>
          </w:p>
          <w:p w14:paraId="730BB0D5" w14:textId="77777777" w:rsidR="00E6060C" w:rsidRPr="00E6060C" w:rsidRDefault="00E6060C" w:rsidP="00E6060C"/>
          <w:p w14:paraId="228BD3F1" w14:textId="77777777" w:rsidR="00E6060C" w:rsidRPr="00E6060C" w:rsidRDefault="00E6060C" w:rsidP="00E6060C">
            <w:pPr>
              <w:spacing w:after="200" w:line="276" w:lineRule="auto"/>
              <w:contextualSpacing/>
            </w:pPr>
          </w:p>
        </w:tc>
        <w:tc>
          <w:tcPr>
            <w:tcW w:w="1275" w:type="dxa"/>
          </w:tcPr>
          <w:p w14:paraId="694E8211" w14:textId="77777777" w:rsidR="00E6060C" w:rsidRPr="00E6060C" w:rsidRDefault="00E6060C" w:rsidP="00E6060C">
            <w:r w:rsidRPr="00E6060C">
              <w:lastRenderedPageBreak/>
              <w:t>UWES-9</w:t>
            </w:r>
          </w:p>
          <w:p w14:paraId="03E0A4E4" w14:textId="77777777" w:rsidR="00E6060C" w:rsidRPr="00E6060C" w:rsidRDefault="00E6060C" w:rsidP="00E6060C">
            <w:pPr>
              <w:spacing w:after="200" w:line="276" w:lineRule="auto"/>
              <w:ind w:left="360"/>
              <w:contextualSpacing/>
            </w:pPr>
          </w:p>
        </w:tc>
        <w:tc>
          <w:tcPr>
            <w:tcW w:w="2835" w:type="dxa"/>
          </w:tcPr>
          <w:p w14:paraId="5C2262B8" w14:textId="77777777" w:rsidR="00E6060C" w:rsidRPr="00E6060C" w:rsidRDefault="00E6060C" w:rsidP="00F15DDF">
            <w:pPr>
              <w:numPr>
                <w:ilvl w:val="0"/>
                <w:numId w:val="23"/>
              </w:numPr>
              <w:spacing w:after="200" w:line="276" w:lineRule="auto"/>
              <w:contextualSpacing/>
            </w:pPr>
            <w:r w:rsidRPr="00E6060C">
              <w:t>Social support at work</w:t>
            </w:r>
          </w:p>
          <w:p w14:paraId="2E3206E9" w14:textId="77777777" w:rsidR="00E6060C" w:rsidRPr="00E6060C" w:rsidRDefault="00E6060C" w:rsidP="00F15DDF">
            <w:pPr>
              <w:numPr>
                <w:ilvl w:val="0"/>
                <w:numId w:val="23"/>
              </w:numPr>
              <w:spacing w:after="200" w:line="276" w:lineRule="auto"/>
              <w:contextualSpacing/>
            </w:pPr>
            <w:r w:rsidRPr="00E6060C">
              <w:t>Physical workload</w:t>
            </w:r>
          </w:p>
          <w:p w14:paraId="503FD8DB" w14:textId="77777777" w:rsidR="00E6060C" w:rsidRPr="00E6060C" w:rsidRDefault="00E6060C" w:rsidP="00F15DDF">
            <w:pPr>
              <w:numPr>
                <w:ilvl w:val="0"/>
                <w:numId w:val="23"/>
              </w:numPr>
              <w:contextualSpacing/>
            </w:pPr>
            <w:r w:rsidRPr="00E6060C">
              <w:t>Need for recovery</w:t>
            </w:r>
          </w:p>
        </w:tc>
        <w:tc>
          <w:tcPr>
            <w:tcW w:w="3402" w:type="dxa"/>
          </w:tcPr>
          <w:p w14:paraId="3C6F3CF3" w14:textId="77777777" w:rsidR="00E6060C" w:rsidRPr="00E6060C" w:rsidRDefault="00E6060C" w:rsidP="00F15DDF">
            <w:pPr>
              <w:numPr>
                <w:ilvl w:val="0"/>
                <w:numId w:val="23"/>
              </w:numPr>
              <w:contextualSpacing/>
            </w:pPr>
            <w:r w:rsidRPr="00E6060C">
              <w:t>No effects observed</w:t>
            </w:r>
          </w:p>
          <w:p w14:paraId="128205A1" w14:textId="77777777" w:rsidR="00E6060C" w:rsidRPr="00E6060C" w:rsidRDefault="00E6060C" w:rsidP="00E6060C">
            <w:pPr>
              <w:spacing w:after="200" w:line="276" w:lineRule="auto"/>
              <w:ind w:left="158"/>
              <w:contextualSpacing/>
            </w:pPr>
          </w:p>
        </w:tc>
        <w:tc>
          <w:tcPr>
            <w:tcW w:w="3402" w:type="dxa"/>
          </w:tcPr>
          <w:p w14:paraId="211EB2AE" w14:textId="77777777" w:rsidR="00E6060C" w:rsidRPr="00E6060C" w:rsidRDefault="00E6060C" w:rsidP="00F15DDF">
            <w:pPr>
              <w:numPr>
                <w:ilvl w:val="0"/>
                <w:numId w:val="23"/>
              </w:numPr>
              <w:contextualSpacing/>
            </w:pPr>
            <w:r w:rsidRPr="00E6060C">
              <w:t>An adverse effect on physical workload at 6 months was noted (it was statistically higher)</w:t>
            </w:r>
          </w:p>
          <w:p w14:paraId="31B971BD" w14:textId="77777777" w:rsidR="00E6060C" w:rsidRPr="00E6060C" w:rsidRDefault="00E6060C" w:rsidP="00F15DDF">
            <w:pPr>
              <w:numPr>
                <w:ilvl w:val="0"/>
                <w:numId w:val="23"/>
              </w:numPr>
              <w:contextualSpacing/>
            </w:pPr>
            <w:r w:rsidRPr="00E6060C">
              <w:lastRenderedPageBreak/>
              <w:t>No effects observed on social support or decreasing the elevated need for recovery</w:t>
            </w:r>
          </w:p>
        </w:tc>
      </w:tr>
      <w:tr w:rsidR="00E6060C" w:rsidRPr="00E6060C" w14:paraId="17E42A75" w14:textId="77777777" w:rsidTr="00E6060C">
        <w:tc>
          <w:tcPr>
            <w:tcW w:w="440" w:type="dxa"/>
          </w:tcPr>
          <w:p w14:paraId="53C9C188" w14:textId="77777777" w:rsidR="00E6060C" w:rsidRPr="00E6060C" w:rsidRDefault="00E6060C" w:rsidP="00E6060C">
            <w:r w:rsidRPr="00E6060C">
              <w:lastRenderedPageBreak/>
              <w:t>29</w:t>
            </w:r>
          </w:p>
        </w:tc>
        <w:tc>
          <w:tcPr>
            <w:tcW w:w="1403" w:type="dxa"/>
          </w:tcPr>
          <w:p w14:paraId="7E1251DF" w14:textId="16457F10" w:rsidR="00E6060C" w:rsidRPr="00E6060C" w:rsidRDefault="001260A3" w:rsidP="00E6060C">
            <w:pPr>
              <w:rPr>
                <w:rFonts w:ascii="Calibri" w:hAnsi="Calibri"/>
                <w:color w:val="000000"/>
              </w:rPr>
            </w:pPr>
            <w:r>
              <w:rPr>
                <w:rFonts w:ascii="Calibri" w:hAnsi="Calibri"/>
                <w:color w:val="000000"/>
              </w:rPr>
              <w:t>*</w:t>
            </w:r>
            <w:r w:rsidR="00E6060C" w:rsidRPr="00E6060C">
              <w:rPr>
                <w:rFonts w:ascii="Calibri" w:hAnsi="Calibri"/>
                <w:color w:val="000000"/>
              </w:rPr>
              <w:t>Imamura et al., 2015</w:t>
            </w:r>
          </w:p>
        </w:tc>
        <w:tc>
          <w:tcPr>
            <w:tcW w:w="1560" w:type="dxa"/>
          </w:tcPr>
          <w:p w14:paraId="1FDBE58E" w14:textId="77777777" w:rsidR="00E6060C" w:rsidRPr="00E6060C" w:rsidRDefault="00E6060C" w:rsidP="00E6060C">
            <w:r w:rsidRPr="00E6060C">
              <w:t>Work engagement</w:t>
            </w:r>
          </w:p>
        </w:tc>
        <w:tc>
          <w:tcPr>
            <w:tcW w:w="1275" w:type="dxa"/>
          </w:tcPr>
          <w:p w14:paraId="520230B5" w14:textId="77777777" w:rsidR="00E6060C" w:rsidRPr="00E6060C" w:rsidRDefault="00E6060C" w:rsidP="00E6060C">
            <w:r w:rsidRPr="00E6060C">
              <w:t>UWES-9</w:t>
            </w:r>
          </w:p>
        </w:tc>
        <w:tc>
          <w:tcPr>
            <w:tcW w:w="2835" w:type="dxa"/>
          </w:tcPr>
          <w:p w14:paraId="39136B78" w14:textId="77777777" w:rsidR="00E6060C" w:rsidRPr="00E6060C" w:rsidRDefault="00E6060C" w:rsidP="00F15DDF">
            <w:pPr>
              <w:numPr>
                <w:ilvl w:val="0"/>
                <w:numId w:val="124"/>
              </w:numPr>
              <w:ind w:left="314" w:hanging="314"/>
              <w:contextualSpacing/>
            </w:pPr>
            <w:r w:rsidRPr="00E6060C">
              <w:t>Work performance</w:t>
            </w:r>
          </w:p>
          <w:p w14:paraId="390E9AA8" w14:textId="77777777" w:rsidR="00E6060C" w:rsidRPr="00E6060C" w:rsidRDefault="00E6060C" w:rsidP="00F15DDF">
            <w:pPr>
              <w:numPr>
                <w:ilvl w:val="0"/>
                <w:numId w:val="124"/>
              </w:numPr>
              <w:ind w:left="314" w:hanging="314"/>
              <w:contextualSpacing/>
            </w:pPr>
            <w:r w:rsidRPr="00E6060C">
              <w:t>Sick leave days during the past 3 months</w:t>
            </w:r>
          </w:p>
          <w:p w14:paraId="0050047D" w14:textId="77777777" w:rsidR="00E6060C" w:rsidRPr="00E6060C" w:rsidRDefault="00E6060C" w:rsidP="00F15DDF">
            <w:pPr>
              <w:numPr>
                <w:ilvl w:val="0"/>
                <w:numId w:val="124"/>
              </w:numPr>
              <w:ind w:left="314" w:hanging="314"/>
              <w:contextualSpacing/>
            </w:pPr>
            <w:r w:rsidRPr="00E6060C">
              <w:t>Depression</w:t>
            </w:r>
          </w:p>
        </w:tc>
        <w:tc>
          <w:tcPr>
            <w:tcW w:w="3402" w:type="dxa"/>
          </w:tcPr>
          <w:p w14:paraId="18C8E0A4"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Small, significant effects at 3 and 6 months</w:t>
            </w:r>
          </w:p>
        </w:tc>
        <w:tc>
          <w:tcPr>
            <w:tcW w:w="3402" w:type="dxa"/>
          </w:tcPr>
          <w:p w14:paraId="6D5EB404"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Borderline statistically significant effect on sick leave days during the past 3 months</w:t>
            </w:r>
          </w:p>
          <w:p w14:paraId="652CEDC0"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No significant effect on work performance</w:t>
            </w:r>
          </w:p>
          <w:p w14:paraId="07A9CB2D" w14:textId="77777777" w:rsidR="00E6060C" w:rsidRPr="00E6060C" w:rsidRDefault="00E6060C" w:rsidP="00F15DDF">
            <w:pPr>
              <w:numPr>
                <w:ilvl w:val="0"/>
                <w:numId w:val="35"/>
              </w:numPr>
              <w:ind w:left="209" w:hanging="209"/>
              <w:contextualSpacing/>
              <w:rPr>
                <w:rFonts w:ascii="Calibri" w:hAnsi="Calibri"/>
                <w:color w:val="000000"/>
              </w:rPr>
            </w:pPr>
            <w:r w:rsidRPr="00E6060C">
              <w:rPr>
                <w:rFonts w:ascii="Calibri" w:hAnsi="Calibri"/>
                <w:color w:val="000000"/>
              </w:rPr>
              <w:t>Change in depression partly mediated the effect of the intervention on WE, but not sick leave days</w:t>
            </w:r>
          </w:p>
        </w:tc>
      </w:tr>
      <w:tr w:rsidR="00E6060C" w:rsidRPr="00E6060C" w14:paraId="46E6E342" w14:textId="77777777" w:rsidTr="00E6060C">
        <w:tc>
          <w:tcPr>
            <w:tcW w:w="440" w:type="dxa"/>
          </w:tcPr>
          <w:p w14:paraId="273D8B52" w14:textId="77777777" w:rsidR="00E6060C" w:rsidRPr="00E6060C" w:rsidRDefault="00E6060C" w:rsidP="00E6060C">
            <w:r w:rsidRPr="00E6060C">
              <w:t>30</w:t>
            </w:r>
          </w:p>
        </w:tc>
        <w:tc>
          <w:tcPr>
            <w:tcW w:w="1403" w:type="dxa"/>
          </w:tcPr>
          <w:p w14:paraId="7F1680D5" w14:textId="0C851A02" w:rsidR="00E6060C" w:rsidRPr="00E6060C" w:rsidRDefault="001260A3" w:rsidP="00E6060C">
            <w:r>
              <w:t>*</w:t>
            </w:r>
            <w:r w:rsidR="00E6060C" w:rsidRPr="00E6060C">
              <w:t>Strijk, et al., 2013</w:t>
            </w:r>
          </w:p>
        </w:tc>
        <w:tc>
          <w:tcPr>
            <w:tcW w:w="1560" w:type="dxa"/>
          </w:tcPr>
          <w:p w14:paraId="1D59667D" w14:textId="77777777" w:rsidR="00E6060C" w:rsidRPr="00E6060C" w:rsidRDefault="00E6060C" w:rsidP="00E6060C">
            <w:r w:rsidRPr="00E6060C">
              <w:t>Work engagement</w:t>
            </w:r>
          </w:p>
          <w:p w14:paraId="09BD8DAC" w14:textId="77777777" w:rsidR="00E6060C" w:rsidRPr="00E6060C" w:rsidRDefault="00E6060C" w:rsidP="00E6060C">
            <w:r w:rsidRPr="00E6060C">
              <w:t>Vigour</w:t>
            </w:r>
          </w:p>
          <w:p w14:paraId="47F0C52B" w14:textId="77777777" w:rsidR="00E6060C" w:rsidRPr="00E6060C" w:rsidRDefault="00E6060C" w:rsidP="00E6060C">
            <w:pPr>
              <w:spacing w:after="200" w:line="276" w:lineRule="auto"/>
              <w:contextualSpacing/>
            </w:pPr>
          </w:p>
        </w:tc>
        <w:tc>
          <w:tcPr>
            <w:tcW w:w="1275" w:type="dxa"/>
          </w:tcPr>
          <w:p w14:paraId="7AC8D99C" w14:textId="77777777" w:rsidR="00E6060C" w:rsidRPr="00E6060C" w:rsidRDefault="00E6060C" w:rsidP="00E6060C">
            <w:r w:rsidRPr="00E6060C">
              <w:t>UWES-17</w:t>
            </w:r>
          </w:p>
          <w:p w14:paraId="06513175" w14:textId="77777777" w:rsidR="00E6060C" w:rsidRPr="00E6060C" w:rsidRDefault="00E6060C" w:rsidP="00E6060C">
            <w:pPr>
              <w:spacing w:after="200" w:line="276" w:lineRule="auto"/>
              <w:ind w:left="280"/>
              <w:contextualSpacing/>
            </w:pPr>
          </w:p>
        </w:tc>
        <w:tc>
          <w:tcPr>
            <w:tcW w:w="2835" w:type="dxa"/>
          </w:tcPr>
          <w:p w14:paraId="73E30BAD" w14:textId="77777777" w:rsidR="00E6060C" w:rsidRPr="00E6060C" w:rsidRDefault="00E6060C" w:rsidP="00F15DDF">
            <w:pPr>
              <w:numPr>
                <w:ilvl w:val="0"/>
                <w:numId w:val="23"/>
              </w:numPr>
              <w:contextualSpacing/>
            </w:pPr>
            <w:r w:rsidRPr="00E6060C">
              <w:t>General vitality</w:t>
            </w:r>
          </w:p>
          <w:p w14:paraId="6843D233" w14:textId="77777777" w:rsidR="00E6060C" w:rsidRPr="00E6060C" w:rsidRDefault="00E6060C" w:rsidP="00F15DDF">
            <w:pPr>
              <w:numPr>
                <w:ilvl w:val="0"/>
                <w:numId w:val="23"/>
              </w:numPr>
              <w:contextualSpacing/>
            </w:pPr>
            <w:r w:rsidRPr="00E6060C">
              <w:t>Productivity</w:t>
            </w:r>
          </w:p>
          <w:p w14:paraId="0CE3CD2A" w14:textId="77777777" w:rsidR="00E6060C" w:rsidRPr="00E6060C" w:rsidRDefault="00E6060C" w:rsidP="00F15DDF">
            <w:pPr>
              <w:numPr>
                <w:ilvl w:val="0"/>
                <w:numId w:val="23"/>
              </w:numPr>
              <w:contextualSpacing/>
            </w:pPr>
            <w:r w:rsidRPr="00E6060C">
              <w:t>Sick leave</w:t>
            </w:r>
          </w:p>
        </w:tc>
        <w:tc>
          <w:tcPr>
            <w:tcW w:w="3402" w:type="dxa"/>
          </w:tcPr>
          <w:p w14:paraId="1A42878C" w14:textId="77777777" w:rsidR="00E6060C" w:rsidRPr="00E6060C" w:rsidRDefault="00E6060C" w:rsidP="00F15DDF">
            <w:pPr>
              <w:numPr>
                <w:ilvl w:val="0"/>
                <w:numId w:val="23"/>
              </w:numPr>
              <w:contextualSpacing/>
            </w:pPr>
            <w:r w:rsidRPr="00E6060C">
              <w:t>No significant differences in vigour or WE between groups at either 6 or 12 months.</w:t>
            </w:r>
          </w:p>
          <w:p w14:paraId="0556BDAF" w14:textId="77777777" w:rsidR="00E6060C" w:rsidRPr="00E6060C" w:rsidRDefault="00E6060C" w:rsidP="00F15DDF">
            <w:pPr>
              <w:numPr>
                <w:ilvl w:val="0"/>
                <w:numId w:val="23"/>
              </w:numPr>
              <w:contextualSpacing/>
            </w:pPr>
            <w:r w:rsidRPr="00E6060C">
              <w:t>12 month favourable effect of yoga and workout subgroups on vigour, but this wasn’t statistically significant.</w:t>
            </w:r>
          </w:p>
          <w:p w14:paraId="6BB7A269" w14:textId="77777777" w:rsidR="00E6060C" w:rsidRPr="00E6060C" w:rsidRDefault="00E6060C" w:rsidP="00F15DDF">
            <w:pPr>
              <w:numPr>
                <w:ilvl w:val="0"/>
                <w:numId w:val="23"/>
              </w:numPr>
              <w:contextualSpacing/>
            </w:pPr>
            <w:r w:rsidRPr="00E6060C">
              <w:t>Significant relationship for the high compliance yoga group, on work-related vitality</w:t>
            </w:r>
          </w:p>
        </w:tc>
        <w:tc>
          <w:tcPr>
            <w:tcW w:w="3402" w:type="dxa"/>
          </w:tcPr>
          <w:p w14:paraId="7EDE8D0D" w14:textId="77777777" w:rsidR="00E6060C" w:rsidRPr="00E6060C" w:rsidRDefault="00E6060C" w:rsidP="00F15DDF">
            <w:pPr>
              <w:numPr>
                <w:ilvl w:val="0"/>
                <w:numId w:val="23"/>
              </w:numPr>
              <w:contextualSpacing/>
            </w:pPr>
            <w:r w:rsidRPr="00E6060C">
              <w:t>Significant, positive relationship for the high compliance yoga group on general vitality</w:t>
            </w:r>
          </w:p>
          <w:p w14:paraId="3AD6361E" w14:textId="77777777" w:rsidR="00E6060C" w:rsidRPr="00E6060C" w:rsidRDefault="00E6060C" w:rsidP="00F15DDF">
            <w:pPr>
              <w:numPr>
                <w:ilvl w:val="0"/>
                <w:numId w:val="23"/>
              </w:numPr>
              <w:contextualSpacing/>
            </w:pPr>
            <w:r w:rsidRPr="00E6060C">
              <w:t>The positive effect on general vitality was higher for those who complied highly with both the yoga and workout sessions</w:t>
            </w:r>
          </w:p>
        </w:tc>
      </w:tr>
      <w:tr w:rsidR="00E6060C" w:rsidRPr="00E6060C" w14:paraId="06FBE640" w14:textId="77777777" w:rsidTr="00E6060C">
        <w:tc>
          <w:tcPr>
            <w:tcW w:w="440" w:type="dxa"/>
          </w:tcPr>
          <w:p w14:paraId="22A923F5" w14:textId="77777777" w:rsidR="00E6060C" w:rsidRPr="00E6060C" w:rsidRDefault="00E6060C" w:rsidP="00E6060C">
            <w:r w:rsidRPr="00E6060C">
              <w:t>31</w:t>
            </w:r>
          </w:p>
        </w:tc>
        <w:tc>
          <w:tcPr>
            <w:tcW w:w="1403" w:type="dxa"/>
          </w:tcPr>
          <w:p w14:paraId="4DD544B2" w14:textId="7ECF618E" w:rsidR="00E6060C" w:rsidRPr="00E6060C" w:rsidRDefault="001260A3" w:rsidP="00E6060C">
            <w:r>
              <w:t>*</w:t>
            </w:r>
            <w:r w:rsidR="00E6060C" w:rsidRPr="00E6060C">
              <w:t>Van Berkel, et al., 2014</w:t>
            </w:r>
          </w:p>
        </w:tc>
        <w:tc>
          <w:tcPr>
            <w:tcW w:w="1560" w:type="dxa"/>
          </w:tcPr>
          <w:p w14:paraId="09B94093" w14:textId="77777777" w:rsidR="00E6060C" w:rsidRPr="00E6060C" w:rsidRDefault="00E6060C" w:rsidP="00E6060C">
            <w:r w:rsidRPr="00E6060C">
              <w:t>Work engagement</w:t>
            </w:r>
          </w:p>
          <w:p w14:paraId="22EF0E10" w14:textId="77777777" w:rsidR="00E6060C" w:rsidRPr="00E6060C" w:rsidRDefault="00E6060C" w:rsidP="00E6060C">
            <w:pPr>
              <w:spacing w:after="200" w:line="276" w:lineRule="auto"/>
              <w:contextualSpacing/>
            </w:pPr>
          </w:p>
        </w:tc>
        <w:tc>
          <w:tcPr>
            <w:tcW w:w="1275" w:type="dxa"/>
          </w:tcPr>
          <w:p w14:paraId="47FB3A4D" w14:textId="77777777" w:rsidR="00E6060C" w:rsidRPr="00E6060C" w:rsidRDefault="00E6060C" w:rsidP="00E6060C">
            <w:r w:rsidRPr="00E6060C">
              <w:t>UWES-17</w:t>
            </w:r>
          </w:p>
          <w:p w14:paraId="0BF8888C" w14:textId="77777777" w:rsidR="00E6060C" w:rsidRPr="00E6060C" w:rsidRDefault="00E6060C" w:rsidP="00E6060C">
            <w:r w:rsidRPr="00E6060C">
              <w:t xml:space="preserve"> </w:t>
            </w:r>
          </w:p>
        </w:tc>
        <w:tc>
          <w:tcPr>
            <w:tcW w:w="2835" w:type="dxa"/>
          </w:tcPr>
          <w:p w14:paraId="589B1DE7" w14:textId="77777777" w:rsidR="00E6060C" w:rsidRPr="00E6060C" w:rsidRDefault="00E6060C" w:rsidP="00F15DDF">
            <w:pPr>
              <w:numPr>
                <w:ilvl w:val="0"/>
                <w:numId w:val="103"/>
              </w:numPr>
              <w:contextualSpacing/>
            </w:pPr>
            <w:r w:rsidRPr="00E6060C">
              <w:t>Mental health</w:t>
            </w:r>
          </w:p>
          <w:p w14:paraId="51D705DA" w14:textId="77777777" w:rsidR="00E6060C" w:rsidRPr="00E6060C" w:rsidRDefault="00E6060C" w:rsidP="00F15DDF">
            <w:pPr>
              <w:numPr>
                <w:ilvl w:val="0"/>
                <w:numId w:val="103"/>
              </w:numPr>
              <w:contextualSpacing/>
            </w:pPr>
            <w:r w:rsidRPr="00E6060C">
              <w:t>Need for recovery</w:t>
            </w:r>
          </w:p>
          <w:p w14:paraId="41085B5B" w14:textId="77777777" w:rsidR="00E6060C" w:rsidRPr="00E6060C" w:rsidRDefault="00E6060C" w:rsidP="00F15DDF">
            <w:pPr>
              <w:numPr>
                <w:ilvl w:val="0"/>
                <w:numId w:val="103"/>
              </w:numPr>
              <w:contextualSpacing/>
            </w:pPr>
            <w:r w:rsidRPr="00E6060C">
              <w:t>Mindfulness</w:t>
            </w:r>
          </w:p>
        </w:tc>
        <w:tc>
          <w:tcPr>
            <w:tcW w:w="3402" w:type="dxa"/>
          </w:tcPr>
          <w:p w14:paraId="78A57FC2" w14:textId="77777777" w:rsidR="00E6060C" w:rsidRPr="00E6060C" w:rsidRDefault="00E6060C" w:rsidP="00F15DDF">
            <w:pPr>
              <w:numPr>
                <w:ilvl w:val="0"/>
                <w:numId w:val="103"/>
              </w:numPr>
              <w:ind w:left="238" w:hanging="238"/>
              <w:contextualSpacing/>
            </w:pPr>
            <w:r w:rsidRPr="00E6060C">
              <w:t>No significant effects observed for WE at either 6 or 12 months</w:t>
            </w:r>
          </w:p>
        </w:tc>
        <w:tc>
          <w:tcPr>
            <w:tcW w:w="3402" w:type="dxa"/>
          </w:tcPr>
          <w:p w14:paraId="00231D2E" w14:textId="77777777" w:rsidR="00E6060C" w:rsidRPr="00E6060C" w:rsidRDefault="00E6060C" w:rsidP="00F15DDF">
            <w:pPr>
              <w:numPr>
                <w:ilvl w:val="0"/>
                <w:numId w:val="103"/>
              </w:numPr>
              <w:ind w:left="238" w:hanging="238"/>
              <w:contextualSpacing/>
            </w:pPr>
            <w:r w:rsidRPr="00E6060C">
              <w:t>No significant differences in mental health, need for recovery or mindfulness at either 6 or 12 months</w:t>
            </w:r>
          </w:p>
          <w:p w14:paraId="5E23302C" w14:textId="77777777" w:rsidR="00E6060C" w:rsidRPr="00E6060C" w:rsidRDefault="00E6060C" w:rsidP="00E6060C">
            <w:pPr>
              <w:ind w:left="238"/>
              <w:contextualSpacing/>
            </w:pPr>
          </w:p>
        </w:tc>
      </w:tr>
      <w:tr w:rsidR="00E6060C" w:rsidRPr="00E6060C" w14:paraId="3DD463B1" w14:textId="77777777" w:rsidTr="00E6060C">
        <w:tc>
          <w:tcPr>
            <w:tcW w:w="14317" w:type="dxa"/>
            <w:gridSpan w:val="7"/>
            <w:shd w:val="clear" w:color="auto" w:fill="D9D9D9" w:themeFill="background1" w:themeFillShade="D9"/>
          </w:tcPr>
          <w:p w14:paraId="08BCD415" w14:textId="77777777" w:rsidR="00E6060C" w:rsidRPr="00E6060C" w:rsidRDefault="00E6060C" w:rsidP="00E6060C">
            <w:pPr>
              <w:rPr>
                <w:b/>
              </w:rPr>
            </w:pPr>
            <w:r w:rsidRPr="00E6060C">
              <w:rPr>
                <w:b/>
              </w:rPr>
              <w:t>ONGOING HEALTH PROMOTION INTERVENTIONS</w:t>
            </w:r>
          </w:p>
          <w:p w14:paraId="4F20F142" w14:textId="77777777" w:rsidR="00E6060C" w:rsidRPr="00E6060C" w:rsidRDefault="00E6060C" w:rsidP="00E6060C">
            <w:pPr>
              <w:rPr>
                <w:b/>
              </w:rPr>
            </w:pPr>
          </w:p>
        </w:tc>
      </w:tr>
      <w:tr w:rsidR="00E6060C" w:rsidRPr="00E6060C" w14:paraId="5F1C46AE" w14:textId="77777777" w:rsidTr="00E6060C">
        <w:tc>
          <w:tcPr>
            <w:tcW w:w="440" w:type="dxa"/>
            <w:shd w:val="clear" w:color="auto" w:fill="D9D9D9" w:themeFill="background1" w:themeFillShade="D9"/>
          </w:tcPr>
          <w:p w14:paraId="18015AAA" w14:textId="77777777" w:rsidR="00E6060C" w:rsidRPr="00E6060C" w:rsidRDefault="00E6060C" w:rsidP="00E6060C">
            <w:r w:rsidRPr="00E6060C">
              <w:lastRenderedPageBreak/>
              <w:t>32</w:t>
            </w:r>
          </w:p>
        </w:tc>
        <w:tc>
          <w:tcPr>
            <w:tcW w:w="1403" w:type="dxa"/>
            <w:shd w:val="clear" w:color="auto" w:fill="D9D9D9" w:themeFill="background1" w:themeFillShade="D9"/>
          </w:tcPr>
          <w:p w14:paraId="06FFEBAD" w14:textId="77777777" w:rsidR="00E6060C" w:rsidRPr="00E6060C" w:rsidRDefault="00E6060C" w:rsidP="00E6060C">
            <w:r w:rsidRPr="00E6060C">
              <w:t>Ebert et al., 2014</w:t>
            </w:r>
          </w:p>
        </w:tc>
        <w:tc>
          <w:tcPr>
            <w:tcW w:w="1560" w:type="dxa"/>
            <w:shd w:val="clear" w:color="auto" w:fill="D9D9D9" w:themeFill="background1" w:themeFillShade="D9"/>
          </w:tcPr>
          <w:p w14:paraId="2300FD01" w14:textId="77777777" w:rsidR="00E6060C" w:rsidRPr="00E6060C" w:rsidRDefault="00E6060C" w:rsidP="00E6060C">
            <w:r w:rsidRPr="00E6060C">
              <w:t>Work engagement</w:t>
            </w:r>
          </w:p>
        </w:tc>
        <w:tc>
          <w:tcPr>
            <w:tcW w:w="1275" w:type="dxa"/>
            <w:shd w:val="clear" w:color="auto" w:fill="D9D9D9" w:themeFill="background1" w:themeFillShade="D9"/>
          </w:tcPr>
          <w:p w14:paraId="77F6C8D5" w14:textId="77777777" w:rsidR="00E6060C" w:rsidRPr="00E6060C" w:rsidRDefault="00E6060C" w:rsidP="00E6060C">
            <w:r w:rsidRPr="00E6060C">
              <w:t>UWES-9</w:t>
            </w:r>
          </w:p>
        </w:tc>
        <w:tc>
          <w:tcPr>
            <w:tcW w:w="2835" w:type="dxa"/>
            <w:shd w:val="clear" w:color="auto" w:fill="D9D9D9" w:themeFill="background1" w:themeFillShade="D9"/>
          </w:tcPr>
          <w:p w14:paraId="5183796E" w14:textId="77777777" w:rsidR="00E6060C" w:rsidRPr="00E6060C" w:rsidRDefault="00E6060C" w:rsidP="00F15DDF">
            <w:pPr>
              <w:numPr>
                <w:ilvl w:val="0"/>
                <w:numId w:val="26"/>
              </w:numPr>
              <w:ind w:left="217" w:hanging="217"/>
              <w:contextualSpacing/>
            </w:pPr>
            <w:r w:rsidRPr="00E6060C">
              <w:t>Perceived stress</w:t>
            </w:r>
          </w:p>
          <w:p w14:paraId="3BD65A16" w14:textId="77777777" w:rsidR="00E6060C" w:rsidRPr="00E6060C" w:rsidRDefault="00E6060C" w:rsidP="00F15DDF">
            <w:pPr>
              <w:numPr>
                <w:ilvl w:val="0"/>
                <w:numId w:val="26"/>
              </w:numPr>
              <w:ind w:left="217" w:hanging="217"/>
              <w:contextualSpacing/>
            </w:pPr>
            <w:r w:rsidRPr="00E6060C">
              <w:t>Depression</w:t>
            </w:r>
          </w:p>
          <w:p w14:paraId="294AD1C4" w14:textId="77777777" w:rsidR="00E6060C" w:rsidRPr="00E6060C" w:rsidRDefault="00E6060C" w:rsidP="00F15DDF">
            <w:pPr>
              <w:numPr>
                <w:ilvl w:val="0"/>
                <w:numId w:val="26"/>
              </w:numPr>
              <w:ind w:left="217" w:hanging="217"/>
              <w:contextualSpacing/>
            </w:pPr>
            <w:r w:rsidRPr="00E6060C">
              <w:t>Presenteeism</w:t>
            </w:r>
          </w:p>
          <w:p w14:paraId="365E0287" w14:textId="77777777" w:rsidR="00E6060C" w:rsidRPr="00E6060C" w:rsidRDefault="00E6060C" w:rsidP="00F15DDF">
            <w:pPr>
              <w:numPr>
                <w:ilvl w:val="0"/>
                <w:numId w:val="26"/>
              </w:numPr>
              <w:ind w:left="217" w:hanging="217"/>
              <w:contextualSpacing/>
            </w:pPr>
            <w:r w:rsidRPr="00E6060C">
              <w:t>Absenteeism</w:t>
            </w:r>
          </w:p>
          <w:p w14:paraId="4F93C2F8" w14:textId="77777777" w:rsidR="00E6060C" w:rsidRPr="00E6060C" w:rsidRDefault="00E6060C" w:rsidP="00F15DDF">
            <w:pPr>
              <w:numPr>
                <w:ilvl w:val="0"/>
                <w:numId w:val="26"/>
              </w:numPr>
              <w:ind w:left="217" w:hanging="217"/>
              <w:contextualSpacing/>
            </w:pPr>
            <w:r w:rsidRPr="00E6060C">
              <w:t>Effort-Reward Imbalance</w:t>
            </w:r>
          </w:p>
          <w:p w14:paraId="72AB7A55" w14:textId="77777777" w:rsidR="00E6060C" w:rsidRPr="00E6060C" w:rsidRDefault="00E6060C" w:rsidP="00F15DDF">
            <w:pPr>
              <w:numPr>
                <w:ilvl w:val="0"/>
                <w:numId w:val="26"/>
              </w:numPr>
              <w:ind w:left="217" w:hanging="217"/>
              <w:contextualSpacing/>
            </w:pPr>
            <w:r w:rsidRPr="00E6060C">
              <w:t>Emotional exhaustion (burnout component)</w:t>
            </w:r>
          </w:p>
          <w:p w14:paraId="378111B4" w14:textId="77777777" w:rsidR="00E6060C" w:rsidRPr="00E6060C" w:rsidRDefault="00E6060C" w:rsidP="00F15DDF">
            <w:pPr>
              <w:numPr>
                <w:ilvl w:val="0"/>
                <w:numId w:val="26"/>
              </w:numPr>
              <w:ind w:left="217" w:hanging="217"/>
              <w:contextualSpacing/>
            </w:pPr>
            <w:r w:rsidRPr="00E6060C">
              <w:t>Work limitations</w:t>
            </w:r>
          </w:p>
          <w:p w14:paraId="6D9105EC" w14:textId="77777777" w:rsidR="00E6060C" w:rsidRPr="00E6060C" w:rsidRDefault="00E6060C" w:rsidP="00F15DDF">
            <w:pPr>
              <w:numPr>
                <w:ilvl w:val="0"/>
                <w:numId w:val="26"/>
              </w:numPr>
              <w:ind w:left="217" w:hanging="217"/>
              <w:contextualSpacing/>
            </w:pPr>
            <w:r w:rsidRPr="00E6060C">
              <w:t>Work ability</w:t>
            </w:r>
          </w:p>
          <w:p w14:paraId="6F9D1F46" w14:textId="77777777" w:rsidR="00E6060C" w:rsidRPr="00E6060C" w:rsidRDefault="00E6060C" w:rsidP="00F15DDF">
            <w:pPr>
              <w:numPr>
                <w:ilvl w:val="0"/>
                <w:numId w:val="26"/>
              </w:numPr>
              <w:ind w:left="217" w:hanging="217"/>
              <w:contextualSpacing/>
            </w:pPr>
            <w:r w:rsidRPr="00E6060C">
              <w:t>Resilience</w:t>
            </w:r>
          </w:p>
          <w:p w14:paraId="79C5BA09" w14:textId="77777777" w:rsidR="00E6060C" w:rsidRPr="00E6060C" w:rsidRDefault="00E6060C" w:rsidP="00F15DDF">
            <w:pPr>
              <w:numPr>
                <w:ilvl w:val="0"/>
                <w:numId w:val="26"/>
              </w:numPr>
              <w:ind w:left="217" w:hanging="217"/>
              <w:contextualSpacing/>
            </w:pPr>
            <w:r w:rsidRPr="00E6060C">
              <w:t xml:space="preserve">Cost-effectiveness </w:t>
            </w:r>
          </w:p>
        </w:tc>
        <w:tc>
          <w:tcPr>
            <w:tcW w:w="3402" w:type="dxa"/>
            <w:shd w:val="clear" w:color="auto" w:fill="D9D9D9" w:themeFill="background1" w:themeFillShade="D9"/>
          </w:tcPr>
          <w:p w14:paraId="317EE3FB" w14:textId="77777777" w:rsidR="00E6060C" w:rsidRPr="00E6060C" w:rsidRDefault="00E6060C" w:rsidP="00E6060C">
            <w:r w:rsidRPr="00E6060C">
              <w:t>Ongoing study</w:t>
            </w:r>
          </w:p>
        </w:tc>
        <w:tc>
          <w:tcPr>
            <w:tcW w:w="3402" w:type="dxa"/>
            <w:shd w:val="clear" w:color="auto" w:fill="D9D9D9" w:themeFill="background1" w:themeFillShade="D9"/>
          </w:tcPr>
          <w:p w14:paraId="6BFCDFA2" w14:textId="77777777" w:rsidR="00E6060C" w:rsidRPr="00E6060C" w:rsidRDefault="00E6060C" w:rsidP="00E6060C">
            <w:r w:rsidRPr="00E6060C">
              <w:t>NA</w:t>
            </w:r>
          </w:p>
        </w:tc>
      </w:tr>
      <w:tr w:rsidR="00E6060C" w:rsidRPr="00E6060C" w14:paraId="5BFA1C2C" w14:textId="77777777" w:rsidTr="00E6060C">
        <w:tc>
          <w:tcPr>
            <w:tcW w:w="440" w:type="dxa"/>
            <w:tcBorders>
              <w:bottom w:val="single" w:sz="4" w:space="0" w:color="auto"/>
            </w:tcBorders>
            <w:shd w:val="clear" w:color="auto" w:fill="D9D9D9" w:themeFill="background1" w:themeFillShade="D9"/>
          </w:tcPr>
          <w:p w14:paraId="5AD072BA" w14:textId="77777777" w:rsidR="00E6060C" w:rsidRPr="00E6060C" w:rsidRDefault="00E6060C" w:rsidP="00E6060C">
            <w:r w:rsidRPr="00E6060C">
              <w:t>33</w:t>
            </w:r>
          </w:p>
        </w:tc>
        <w:tc>
          <w:tcPr>
            <w:tcW w:w="1403" w:type="dxa"/>
            <w:tcBorders>
              <w:bottom w:val="single" w:sz="4" w:space="0" w:color="auto"/>
            </w:tcBorders>
            <w:shd w:val="clear" w:color="auto" w:fill="D9D9D9" w:themeFill="background1" w:themeFillShade="D9"/>
          </w:tcPr>
          <w:p w14:paraId="09CE2A88" w14:textId="77777777" w:rsidR="00E6060C" w:rsidRPr="00E6060C" w:rsidRDefault="00E6060C" w:rsidP="00E6060C">
            <w:r w:rsidRPr="00E6060C">
              <w:t>Wiezer et al., 2013</w:t>
            </w:r>
          </w:p>
        </w:tc>
        <w:tc>
          <w:tcPr>
            <w:tcW w:w="1560" w:type="dxa"/>
            <w:tcBorders>
              <w:bottom w:val="single" w:sz="4" w:space="0" w:color="auto"/>
            </w:tcBorders>
            <w:shd w:val="clear" w:color="auto" w:fill="D9D9D9" w:themeFill="background1" w:themeFillShade="D9"/>
          </w:tcPr>
          <w:p w14:paraId="45425888" w14:textId="77777777" w:rsidR="00E6060C" w:rsidRPr="00E6060C" w:rsidRDefault="00E6060C" w:rsidP="00E6060C">
            <w:r w:rsidRPr="00E6060C">
              <w:t>Work engagement</w:t>
            </w:r>
          </w:p>
        </w:tc>
        <w:tc>
          <w:tcPr>
            <w:tcW w:w="1275" w:type="dxa"/>
            <w:tcBorders>
              <w:bottom w:val="single" w:sz="4" w:space="0" w:color="auto"/>
            </w:tcBorders>
            <w:shd w:val="clear" w:color="auto" w:fill="D9D9D9" w:themeFill="background1" w:themeFillShade="D9"/>
          </w:tcPr>
          <w:p w14:paraId="1D4B2AEE" w14:textId="77777777" w:rsidR="00E6060C" w:rsidRPr="00E6060C" w:rsidRDefault="00E6060C" w:rsidP="00E6060C">
            <w:r w:rsidRPr="00E6060C">
              <w:t>UWES – version not reported</w:t>
            </w:r>
          </w:p>
        </w:tc>
        <w:tc>
          <w:tcPr>
            <w:tcW w:w="2835" w:type="dxa"/>
            <w:tcBorders>
              <w:bottom w:val="single" w:sz="4" w:space="0" w:color="auto"/>
            </w:tcBorders>
            <w:shd w:val="clear" w:color="auto" w:fill="D9D9D9" w:themeFill="background1" w:themeFillShade="D9"/>
          </w:tcPr>
          <w:p w14:paraId="67BAB7E9" w14:textId="77777777" w:rsidR="00E6060C" w:rsidRPr="00E6060C" w:rsidRDefault="00E6060C" w:rsidP="00E6060C">
            <w:pPr>
              <w:rPr>
                <w:rFonts w:ascii="Calibri" w:hAnsi="Calibri"/>
                <w:color w:val="000000"/>
              </w:rPr>
            </w:pPr>
            <w:r w:rsidRPr="00E6060C">
              <w:rPr>
                <w:rFonts w:ascii="Calibri" w:hAnsi="Calibri"/>
                <w:color w:val="000000"/>
              </w:rPr>
              <w:t>Not reported</w:t>
            </w:r>
          </w:p>
        </w:tc>
        <w:tc>
          <w:tcPr>
            <w:tcW w:w="3402" w:type="dxa"/>
            <w:tcBorders>
              <w:bottom w:val="single" w:sz="4" w:space="0" w:color="auto"/>
            </w:tcBorders>
            <w:shd w:val="clear" w:color="auto" w:fill="D9D9D9" w:themeFill="background1" w:themeFillShade="D9"/>
          </w:tcPr>
          <w:p w14:paraId="012E627B" w14:textId="77777777" w:rsidR="00E6060C" w:rsidRPr="00E6060C" w:rsidRDefault="00E6060C" w:rsidP="00E6060C">
            <w:r w:rsidRPr="00E6060C">
              <w:t>Ongoing study</w:t>
            </w:r>
          </w:p>
        </w:tc>
        <w:tc>
          <w:tcPr>
            <w:tcW w:w="3402" w:type="dxa"/>
            <w:tcBorders>
              <w:bottom w:val="single" w:sz="4" w:space="0" w:color="auto"/>
            </w:tcBorders>
            <w:shd w:val="clear" w:color="auto" w:fill="D9D9D9" w:themeFill="background1" w:themeFillShade="D9"/>
          </w:tcPr>
          <w:p w14:paraId="6B84AD52" w14:textId="77777777" w:rsidR="00E6060C" w:rsidRPr="00E6060C" w:rsidRDefault="00E6060C" w:rsidP="00E6060C">
            <w:r w:rsidRPr="00E6060C">
              <w:t>NA</w:t>
            </w:r>
          </w:p>
        </w:tc>
      </w:tr>
    </w:tbl>
    <w:p w14:paraId="73BB0CEC" w14:textId="77777777" w:rsidR="004A1B90" w:rsidRPr="00E6060C" w:rsidRDefault="004A1B90" w:rsidP="004A1B90">
      <w:pPr>
        <w:spacing w:line="240" w:lineRule="auto"/>
        <w:contextualSpacing/>
        <w:rPr>
          <w:sz w:val="20"/>
          <w:szCs w:val="20"/>
        </w:rPr>
      </w:pPr>
      <w:r w:rsidRPr="00E6060C">
        <w:rPr>
          <w:vertAlign w:val="superscript"/>
        </w:rPr>
        <w:t>*</w:t>
      </w:r>
      <w:r w:rsidRPr="00E6060C">
        <w:rPr>
          <w:sz w:val="20"/>
          <w:szCs w:val="20"/>
        </w:rPr>
        <w:t>Studies included in meta-analyses (</w:t>
      </w:r>
      <w:r w:rsidRPr="00E6060C">
        <w:rPr>
          <w:i/>
          <w:sz w:val="20"/>
          <w:szCs w:val="20"/>
        </w:rPr>
        <w:t>K</w:t>
      </w:r>
      <w:r w:rsidRPr="00E6060C">
        <w:rPr>
          <w:sz w:val="20"/>
          <w:szCs w:val="20"/>
        </w:rPr>
        <w:t>=20)</w:t>
      </w:r>
    </w:p>
    <w:p w14:paraId="19449457" w14:textId="77777777" w:rsidR="00E6060C" w:rsidRPr="00430633" w:rsidRDefault="00E6060C" w:rsidP="00E6060C">
      <w:pPr>
        <w:rPr>
          <w:i/>
          <w:sz w:val="20"/>
          <w:szCs w:val="20"/>
        </w:rPr>
      </w:pPr>
      <w:r w:rsidRPr="00430633">
        <w:rPr>
          <w:i/>
          <w:sz w:val="20"/>
          <w:szCs w:val="20"/>
        </w:rPr>
        <w:t xml:space="preserve">NOTES: NA=Not applicable; UWES=Utrecht Work Engagement Scale; WE=Work engagement </w:t>
      </w:r>
    </w:p>
    <w:p w14:paraId="76FB8B45" w14:textId="77777777" w:rsidR="00E6060C" w:rsidRPr="00E6060C" w:rsidRDefault="00E6060C" w:rsidP="00E6060C"/>
    <w:p w14:paraId="0202C65B" w14:textId="77777777" w:rsidR="00430633" w:rsidRDefault="00430633">
      <w:pPr>
        <w:spacing w:after="160"/>
        <w:rPr>
          <w:rFonts w:asciiTheme="majorHAnsi" w:eastAsia="SimSun" w:hAnsiTheme="majorHAnsi" w:cstheme="majorBidi"/>
          <w:b/>
          <w:color w:val="000000" w:themeColor="text1"/>
          <w:sz w:val="28"/>
          <w:szCs w:val="26"/>
          <w:lang w:eastAsia="zh-CN"/>
        </w:rPr>
      </w:pPr>
      <w:r>
        <w:br w:type="page"/>
      </w:r>
    </w:p>
    <w:p w14:paraId="2B1AC2B7" w14:textId="2A25AA4B" w:rsidR="00E6060C" w:rsidRPr="00E6060C" w:rsidRDefault="00E6060C" w:rsidP="007B44F8">
      <w:pPr>
        <w:pStyle w:val="Heading2nonumbers"/>
      </w:pPr>
      <w:bookmarkStart w:id="559" w:name="_Toc468286059"/>
      <w:r w:rsidRPr="00E6060C">
        <w:lastRenderedPageBreak/>
        <w:t>Appendix 4d: Study quality characteristics for all studies included in the systematic review and meta-analyses (</w:t>
      </w:r>
      <w:r w:rsidRPr="00E6060C">
        <w:rPr>
          <w:i/>
        </w:rPr>
        <w:t>K</w:t>
      </w:r>
      <w:r w:rsidRPr="00E6060C">
        <w:t>=33)</w:t>
      </w:r>
      <w:bookmarkEnd w:id="559"/>
    </w:p>
    <w:p w14:paraId="3CACA8A5" w14:textId="77777777" w:rsidR="00E6060C" w:rsidRPr="00E6060C" w:rsidRDefault="00E6060C" w:rsidP="00D6240B"/>
    <w:tbl>
      <w:tblPr>
        <w:tblStyle w:val="TableGrid8"/>
        <w:tblW w:w="1449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19"/>
        <w:gridCol w:w="1451"/>
        <w:gridCol w:w="1559"/>
        <w:gridCol w:w="1560"/>
        <w:gridCol w:w="1842"/>
        <w:gridCol w:w="1978"/>
        <w:gridCol w:w="6"/>
        <w:gridCol w:w="1412"/>
        <w:gridCol w:w="6"/>
        <w:gridCol w:w="1553"/>
        <w:gridCol w:w="6"/>
        <w:gridCol w:w="1129"/>
        <w:gridCol w:w="6"/>
      </w:tblGrid>
      <w:tr w:rsidR="00E6060C" w:rsidRPr="00E6060C" w14:paraId="471BCE6E" w14:textId="77777777" w:rsidTr="00E6060C">
        <w:trPr>
          <w:gridAfter w:val="1"/>
          <w:wAfter w:w="6" w:type="dxa"/>
          <w:cantSplit/>
          <w:trHeight w:val="1073"/>
          <w:tblHeader/>
        </w:trPr>
        <w:tc>
          <w:tcPr>
            <w:tcW w:w="567" w:type="dxa"/>
            <w:tcBorders>
              <w:top w:val="single" w:sz="4" w:space="0" w:color="auto"/>
              <w:bottom w:val="single" w:sz="4" w:space="0" w:color="auto"/>
            </w:tcBorders>
          </w:tcPr>
          <w:p w14:paraId="46CE8454" w14:textId="77777777" w:rsidR="00E6060C" w:rsidRPr="00E6060C" w:rsidRDefault="00E6060C" w:rsidP="00E6060C">
            <w:pPr>
              <w:contextualSpacing/>
              <w:rPr>
                <w:b/>
              </w:rPr>
            </w:pPr>
          </w:p>
        </w:tc>
        <w:tc>
          <w:tcPr>
            <w:tcW w:w="1419" w:type="dxa"/>
            <w:tcBorders>
              <w:top w:val="single" w:sz="4" w:space="0" w:color="auto"/>
              <w:bottom w:val="single" w:sz="4" w:space="0" w:color="auto"/>
            </w:tcBorders>
          </w:tcPr>
          <w:p w14:paraId="7BB761CE" w14:textId="77777777" w:rsidR="00E6060C" w:rsidRPr="00E6060C" w:rsidRDefault="00E6060C" w:rsidP="00E6060C">
            <w:pPr>
              <w:contextualSpacing/>
              <w:rPr>
                <w:b/>
              </w:rPr>
            </w:pPr>
          </w:p>
        </w:tc>
        <w:tc>
          <w:tcPr>
            <w:tcW w:w="8390" w:type="dxa"/>
            <w:gridSpan w:val="5"/>
            <w:tcBorders>
              <w:top w:val="single" w:sz="4" w:space="0" w:color="auto"/>
              <w:bottom w:val="single" w:sz="4" w:space="0" w:color="auto"/>
            </w:tcBorders>
          </w:tcPr>
          <w:p w14:paraId="45300D21" w14:textId="77777777" w:rsidR="00E6060C" w:rsidRPr="00E6060C" w:rsidRDefault="00E6060C" w:rsidP="00E6060C">
            <w:pPr>
              <w:contextualSpacing/>
              <w:jc w:val="center"/>
              <w:rPr>
                <w:b/>
              </w:rPr>
            </w:pPr>
            <w:r w:rsidRPr="00E6060C">
              <w:rPr>
                <w:b/>
              </w:rPr>
              <w:t>Selection bias</w:t>
            </w:r>
          </w:p>
        </w:tc>
        <w:tc>
          <w:tcPr>
            <w:tcW w:w="1418" w:type="dxa"/>
            <w:gridSpan w:val="2"/>
            <w:tcBorders>
              <w:top w:val="single" w:sz="4" w:space="0" w:color="auto"/>
              <w:bottom w:val="single" w:sz="4" w:space="0" w:color="auto"/>
            </w:tcBorders>
          </w:tcPr>
          <w:p w14:paraId="5F74770A" w14:textId="77777777" w:rsidR="00E6060C" w:rsidRPr="00E6060C" w:rsidRDefault="00E6060C" w:rsidP="00E6060C">
            <w:pPr>
              <w:contextualSpacing/>
              <w:rPr>
                <w:b/>
              </w:rPr>
            </w:pPr>
            <w:r w:rsidRPr="00E6060C">
              <w:rPr>
                <w:b/>
              </w:rPr>
              <w:t>Performance bias</w:t>
            </w:r>
          </w:p>
        </w:tc>
        <w:tc>
          <w:tcPr>
            <w:tcW w:w="1559" w:type="dxa"/>
            <w:gridSpan w:val="2"/>
            <w:tcBorders>
              <w:top w:val="single" w:sz="4" w:space="0" w:color="auto"/>
              <w:bottom w:val="single" w:sz="4" w:space="0" w:color="auto"/>
            </w:tcBorders>
          </w:tcPr>
          <w:p w14:paraId="1207A27D" w14:textId="77777777" w:rsidR="00E6060C" w:rsidRPr="00E6060C" w:rsidRDefault="00E6060C" w:rsidP="00E6060C">
            <w:pPr>
              <w:contextualSpacing/>
              <w:rPr>
                <w:b/>
              </w:rPr>
            </w:pPr>
            <w:r w:rsidRPr="00E6060C">
              <w:rPr>
                <w:b/>
              </w:rPr>
              <w:t>Detection bias</w:t>
            </w:r>
          </w:p>
        </w:tc>
        <w:tc>
          <w:tcPr>
            <w:tcW w:w="1135" w:type="dxa"/>
            <w:gridSpan w:val="2"/>
            <w:tcBorders>
              <w:top w:val="single" w:sz="4" w:space="0" w:color="auto"/>
              <w:bottom w:val="single" w:sz="4" w:space="0" w:color="auto"/>
            </w:tcBorders>
          </w:tcPr>
          <w:p w14:paraId="49F13F72" w14:textId="77777777" w:rsidR="00E6060C" w:rsidRPr="00E6060C" w:rsidRDefault="00E6060C" w:rsidP="00E6060C">
            <w:pPr>
              <w:contextualSpacing/>
              <w:rPr>
                <w:b/>
              </w:rPr>
            </w:pPr>
            <w:r w:rsidRPr="00E6060C">
              <w:rPr>
                <w:b/>
              </w:rPr>
              <w:t>Reporting bias</w:t>
            </w:r>
          </w:p>
        </w:tc>
      </w:tr>
      <w:tr w:rsidR="00E6060C" w:rsidRPr="00E6060C" w14:paraId="6DFD7F2E" w14:textId="77777777" w:rsidTr="00E6060C">
        <w:trPr>
          <w:cantSplit/>
          <w:trHeight w:val="1073"/>
          <w:tblHeader/>
        </w:trPr>
        <w:tc>
          <w:tcPr>
            <w:tcW w:w="567" w:type="dxa"/>
            <w:vMerge w:val="restart"/>
            <w:tcBorders>
              <w:top w:val="single" w:sz="4" w:space="0" w:color="auto"/>
              <w:bottom w:val="single" w:sz="4" w:space="0" w:color="auto"/>
            </w:tcBorders>
          </w:tcPr>
          <w:p w14:paraId="10CB3FE2" w14:textId="77777777" w:rsidR="00E6060C" w:rsidRPr="00E6060C" w:rsidRDefault="00E6060C" w:rsidP="00E6060C">
            <w:pPr>
              <w:contextualSpacing/>
              <w:rPr>
                <w:b/>
              </w:rPr>
            </w:pPr>
          </w:p>
        </w:tc>
        <w:tc>
          <w:tcPr>
            <w:tcW w:w="1419" w:type="dxa"/>
            <w:vMerge w:val="restart"/>
            <w:tcBorders>
              <w:top w:val="single" w:sz="4" w:space="0" w:color="auto"/>
              <w:bottom w:val="single" w:sz="4" w:space="0" w:color="auto"/>
            </w:tcBorders>
          </w:tcPr>
          <w:p w14:paraId="605E867C" w14:textId="77777777" w:rsidR="00E6060C" w:rsidRPr="00E6060C" w:rsidRDefault="00E6060C" w:rsidP="00E6060C">
            <w:pPr>
              <w:contextualSpacing/>
              <w:rPr>
                <w:b/>
              </w:rPr>
            </w:pPr>
            <w:r w:rsidRPr="00E6060C">
              <w:rPr>
                <w:b/>
              </w:rPr>
              <w:t>Ref</w:t>
            </w:r>
          </w:p>
        </w:tc>
        <w:tc>
          <w:tcPr>
            <w:tcW w:w="1451" w:type="dxa"/>
            <w:vMerge w:val="restart"/>
            <w:tcBorders>
              <w:top w:val="single" w:sz="4" w:space="0" w:color="auto"/>
              <w:bottom w:val="single" w:sz="4" w:space="0" w:color="auto"/>
            </w:tcBorders>
          </w:tcPr>
          <w:p w14:paraId="255A2488" w14:textId="77777777" w:rsidR="00E6060C" w:rsidRPr="00E6060C" w:rsidRDefault="00E6060C" w:rsidP="00E6060C">
            <w:pPr>
              <w:contextualSpacing/>
              <w:rPr>
                <w:b/>
              </w:rPr>
            </w:pPr>
            <w:r w:rsidRPr="00E6060C">
              <w:rPr>
                <w:b/>
              </w:rPr>
              <w:t xml:space="preserve">Random assignment? </w:t>
            </w:r>
          </w:p>
        </w:tc>
        <w:tc>
          <w:tcPr>
            <w:tcW w:w="1559" w:type="dxa"/>
            <w:vMerge w:val="restart"/>
            <w:tcBorders>
              <w:top w:val="single" w:sz="4" w:space="0" w:color="auto"/>
              <w:bottom w:val="single" w:sz="4" w:space="0" w:color="auto"/>
            </w:tcBorders>
          </w:tcPr>
          <w:p w14:paraId="0E3834F3" w14:textId="77777777" w:rsidR="00E6060C" w:rsidRPr="00E6060C" w:rsidRDefault="00E6060C" w:rsidP="00E6060C">
            <w:pPr>
              <w:contextualSpacing/>
              <w:rPr>
                <w:b/>
              </w:rPr>
            </w:pPr>
            <w:r w:rsidRPr="00E6060C">
              <w:rPr>
                <w:b/>
              </w:rPr>
              <w:t>Clear method of random sequence generation?</w:t>
            </w:r>
          </w:p>
        </w:tc>
        <w:tc>
          <w:tcPr>
            <w:tcW w:w="1560" w:type="dxa"/>
            <w:tcBorders>
              <w:top w:val="single" w:sz="4" w:space="0" w:color="auto"/>
              <w:bottom w:val="single" w:sz="4" w:space="0" w:color="auto"/>
            </w:tcBorders>
          </w:tcPr>
          <w:p w14:paraId="1D5402F4" w14:textId="77777777" w:rsidR="00E6060C" w:rsidRPr="00E6060C" w:rsidRDefault="00E6060C" w:rsidP="00E6060C">
            <w:pPr>
              <w:contextualSpacing/>
              <w:rPr>
                <w:b/>
              </w:rPr>
            </w:pPr>
            <w:r w:rsidRPr="00E6060C">
              <w:rPr>
                <w:b/>
              </w:rPr>
              <w:t>Allocation concealment?</w:t>
            </w:r>
          </w:p>
        </w:tc>
        <w:tc>
          <w:tcPr>
            <w:tcW w:w="3826" w:type="dxa"/>
            <w:gridSpan w:val="3"/>
            <w:tcBorders>
              <w:top w:val="single" w:sz="4" w:space="0" w:color="auto"/>
              <w:bottom w:val="single" w:sz="4" w:space="0" w:color="auto"/>
            </w:tcBorders>
          </w:tcPr>
          <w:p w14:paraId="3B0218B7" w14:textId="77777777" w:rsidR="00E6060C" w:rsidRPr="00E6060C" w:rsidRDefault="00E6060C" w:rsidP="00E6060C">
            <w:pPr>
              <w:contextualSpacing/>
              <w:jc w:val="center"/>
              <w:rPr>
                <w:b/>
              </w:rPr>
            </w:pPr>
            <w:r w:rsidRPr="00E6060C">
              <w:rPr>
                <w:b/>
              </w:rPr>
              <w:t>Nature of control group</w:t>
            </w:r>
          </w:p>
        </w:tc>
        <w:tc>
          <w:tcPr>
            <w:tcW w:w="1418" w:type="dxa"/>
            <w:gridSpan w:val="2"/>
            <w:vMerge w:val="restart"/>
            <w:tcBorders>
              <w:top w:val="single" w:sz="4" w:space="0" w:color="auto"/>
              <w:bottom w:val="single" w:sz="4" w:space="0" w:color="auto"/>
            </w:tcBorders>
          </w:tcPr>
          <w:p w14:paraId="5A7B08A9" w14:textId="77777777" w:rsidR="00E6060C" w:rsidRPr="00E6060C" w:rsidRDefault="00E6060C" w:rsidP="00E6060C">
            <w:pPr>
              <w:contextualSpacing/>
              <w:rPr>
                <w:b/>
              </w:rPr>
            </w:pPr>
            <w:r w:rsidRPr="00E6060C">
              <w:rPr>
                <w:b/>
              </w:rPr>
              <w:t>Blinding of participants and personnel?</w:t>
            </w:r>
          </w:p>
        </w:tc>
        <w:tc>
          <w:tcPr>
            <w:tcW w:w="1559" w:type="dxa"/>
            <w:gridSpan w:val="2"/>
            <w:vMerge w:val="restart"/>
            <w:tcBorders>
              <w:top w:val="single" w:sz="4" w:space="0" w:color="auto"/>
              <w:bottom w:val="single" w:sz="4" w:space="0" w:color="auto"/>
            </w:tcBorders>
          </w:tcPr>
          <w:p w14:paraId="3D080F9D" w14:textId="77777777" w:rsidR="00E6060C" w:rsidRPr="00E6060C" w:rsidRDefault="00E6060C" w:rsidP="00E6060C">
            <w:pPr>
              <w:contextualSpacing/>
              <w:rPr>
                <w:b/>
              </w:rPr>
            </w:pPr>
            <w:r w:rsidRPr="00E6060C">
              <w:rPr>
                <w:b/>
              </w:rPr>
              <w:t>Blinding of outcome assessment?</w:t>
            </w:r>
          </w:p>
        </w:tc>
        <w:tc>
          <w:tcPr>
            <w:tcW w:w="1135" w:type="dxa"/>
            <w:gridSpan w:val="2"/>
            <w:vMerge w:val="restart"/>
            <w:tcBorders>
              <w:top w:val="single" w:sz="4" w:space="0" w:color="auto"/>
              <w:bottom w:val="single" w:sz="4" w:space="0" w:color="auto"/>
            </w:tcBorders>
          </w:tcPr>
          <w:p w14:paraId="794BDA2A" w14:textId="77777777" w:rsidR="00E6060C" w:rsidRPr="00E6060C" w:rsidRDefault="00E6060C" w:rsidP="00E6060C">
            <w:pPr>
              <w:contextualSpacing/>
              <w:rPr>
                <w:b/>
              </w:rPr>
            </w:pPr>
            <w:r w:rsidRPr="00E6060C">
              <w:rPr>
                <w:b/>
              </w:rPr>
              <w:t>Are all outcomes reported?</w:t>
            </w:r>
          </w:p>
        </w:tc>
      </w:tr>
      <w:tr w:rsidR="00E6060C" w:rsidRPr="00E6060C" w14:paraId="67CCE430" w14:textId="77777777" w:rsidTr="00E6060C">
        <w:trPr>
          <w:trHeight w:val="575"/>
        </w:trPr>
        <w:tc>
          <w:tcPr>
            <w:tcW w:w="567" w:type="dxa"/>
            <w:vMerge/>
            <w:tcBorders>
              <w:top w:val="single" w:sz="4" w:space="0" w:color="auto"/>
              <w:bottom w:val="single" w:sz="4" w:space="0" w:color="auto"/>
            </w:tcBorders>
          </w:tcPr>
          <w:p w14:paraId="310506B7" w14:textId="77777777" w:rsidR="00E6060C" w:rsidRPr="00E6060C" w:rsidRDefault="00E6060C" w:rsidP="00E6060C">
            <w:pPr>
              <w:contextualSpacing/>
              <w:rPr>
                <w:b/>
              </w:rPr>
            </w:pPr>
          </w:p>
        </w:tc>
        <w:tc>
          <w:tcPr>
            <w:tcW w:w="1419" w:type="dxa"/>
            <w:vMerge/>
            <w:tcBorders>
              <w:top w:val="single" w:sz="4" w:space="0" w:color="auto"/>
              <w:bottom w:val="single" w:sz="4" w:space="0" w:color="auto"/>
            </w:tcBorders>
          </w:tcPr>
          <w:p w14:paraId="28DF6FD3" w14:textId="77777777" w:rsidR="00E6060C" w:rsidRPr="00E6060C" w:rsidRDefault="00E6060C" w:rsidP="00E6060C">
            <w:pPr>
              <w:contextualSpacing/>
              <w:rPr>
                <w:b/>
              </w:rPr>
            </w:pPr>
          </w:p>
        </w:tc>
        <w:tc>
          <w:tcPr>
            <w:tcW w:w="1451" w:type="dxa"/>
            <w:vMerge/>
            <w:tcBorders>
              <w:top w:val="single" w:sz="4" w:space="0" w:color="auto"/>
              <w:bottom w:val="single" w:sz="4" w:space="0" w:color="auto"/>
            </w:tcBorders>
          </w:tcPr>
          <w:p w14:paraId="1ED1C739" w14:textId="77777777" w:rsidR="00E6060C" w:rsidRPr="00E6060C" w:rsidRDefault="00E6060C" w:rsidP="00E6060C">
            <w:pPr>
              <w:contextualSpacing/>
              <w:rPr>
                <w:b/>
              </w:rPr>
            </w:pPr>
          </w:p>
        </w:tc>
        <w:tc>
          <w:tcPr>
            <w:tcW w:w="1559" w:type="dxa"/>
            <w:vMerge/>
            <w:tcBorders>
              <w:top w:val="single" w:sz="4" w:space="0" w:color="auto"/>
              <w:bottom w:val="single" w:sz="4" w:space="0" w:color="auto"/>
            </w:tcBorders>
          </w:tcPr>
          <w:p w14:paraId="70D499D0" w14:textId="77777777" w:rsidR="00E6060C" w:rsidRPr="00E6060C" w:rsidRDefault="00E6060C" w:rsidP="00E6060C">
            <w:pPr>
              <w:contextualSpacing/>
              <w:rPr>
                <w:b/>
              </w:rPr>
            </w:pPr>
          </w:p>
        </w:tc>
        <w:tc>
          <w:tcPr>
            <w:tcW w:w="1560" w:type="dxa"/>
            <w:tcBorders>
              <w:top w:val="single" w:sz="4" w:space="0" w:color="auto"/>
              <w:bottom w:val="single" w:sz="4" w:space="0" w:color="auto"/>
            </w:tcBorders>
          </w:tcPr>
          <w:p w14:paraId="271DC50A" w14:textId="77777777" w:rsidR="00E6060C" w:rsidRPr="00E6060C" w:rsidRDefault="00E6060C" w:rsidP="00E6060C">
            <w:pPr>
              <w:contextualSpacing/>
              <w:rPr>
                <w:b/>
              </w:rPr>
            </w:pPr>
          </w:p>
        </w:tc>
        <w:tc>
          <w:tcPr>
            <w:tcW w:w="1842" w:type="dxa"/>
            <w:tcBorders>
              <w:top w:val="single" w:sz="4" w:space="0" w:color="auto"/>
              <w:bottom w:val="single" w:sz="4" w:space="0" w:color="auto"/>
            </w:tcBorders>
          </w:tcPr>
          <w:p w14:paraId="3C1CC981" w14:textId="77777777" w:rsidR="00E6060C" w:rsidRPr="00E6060C" w:rsidRDefault="00E6060C" w:rsidP="00E6060C">
            <w:pPr>
              <w:contextualSpacing/>
              <w:rPr>
                <w:b/>
              </w:rPr>
            </w:pPr>
            <w:r w:rsidRPr="00E6060C">
              <w:rPr>
                <w:b/>
              </w:rPr>
              <w:t xml:space="preserve">Type of control / comparison group </w:t>
            </w:r>
          </w:p>
        </w:tc>
        <w:tc>
          <w:tcPr>
            <w:tcW w:w="1984" w:type="dxa"/>
            <w:gridSpan w:val="2"/>
            <w:tcBorders>
              <w:top w:val="single" w:sz="4" w:space="0" w:color="auto"/>
              <w:bottom w:val="single" w:sz="4" w:space="0" w:color="auto"/>
            </w:tcBorders>
          </w:tcPr>
          <w:p w14:paraId="376B2E88" w14:textId="77777777" w:rsidR="00E6060C" w:rsidRPr="00E6060C" w:rsidRDefault="00E6060C" w:rsidP="00E6060C">
            <w:pPr>
              <w:contextualSpacing/>
              <w:rPr>
                <w:b/>
              </w:rPr>
            </w:pPr>
            <w:r w:rsidRPr="00E6060C">
              <w:rPr>
                <w:b/>
              </w:rPr>
              <w:t>Ways the control group differs</w:t>
            </w:r>
          </w:p>
        </w:tc>
        <w:tc>
          <w:tcPr>
            <w:tcW w:w="1418" w:type="dxa"/>
            <w:gridSpan w:val="2"/>
            <w:vMerge/>
            <w:tcBorders>
              <w:top w:val="single" w:sz="4" w:space="0" w:color="auto"/>
              <w:bottom w:val="single" w:sz="4" w:space="0" w:color="auto"/>
            </w:tcBorders>
          </w:tcPr>
          <w:p w14:paraId="25E4FAFD" w14:textId="77777777" w:rsidR="00E6060C" w:rsidRPr="00E6060C" w:rsidRDefault="00E6060C" w:rsidP="00E6060C">
            <w:pPr>
              <w:contextualSpacing/>
              <w:rPr>
                <w:b/>
              </w:rPr>
            </w:pPr>
          </w:p>
        </w:tc>
        <w:tc>
          <w:tcPr>
            <w:tcW w:w="1559" w:type="dxa"/>
            <w:gridSpan w:val="2"/>
            <w:vMerge/>
            <w:tcBorders>
              <w:top w:val="single" w:sz="4" w:space="0" w:color="auto"/>
              <w:bottom w:val="single" w:sz="4" w:space="0" w:color="auto"/>
            </w:tcBorders>
          </w:tcPr>
          <w:p w14:paraId="5C7D7EBF" w14:textId="77777777" w:rsidR="00E6060C" w:rsidRPr="00E6060C" w:rsidRDefault="00E6060C" w:rsidP="00E6060C">
            <w:pPr>
              <w:contextualSpacing/>
              <w:rPr>
                <w:b/>
              </w:rPr>
            </w:pPr>
          </w:p>
        </w:tc>
        <w:tc>
          <w:tcPr>
            <w:tcW w:w="1135" w:type="dxa"/>
            <w:gridSpan w:val="2"/>
            <w:vMerge/>
            <w:tcBorders>
              <w:top w:val="single" w:sz="4" w:space="0" w:color="auto"/>
              <w:bottom w:val="single" w:sz="4" w:space="0" w:color="auto"/>
            </w:tcBorders>
          </w:tcPr>
          <w:p w14:paraId="55744020" w14:textId="77777777" w:rsidR="00E6060C" w:rsidRPr="00E6060C" w:rsidRDefault="00E6060C" w:rsidP="00E6060C">
            <w:pPr>
              <w:contextualSpacing/>
              <w:rPr>
                <w:b/>
              </w:rPr>
            </w:pPr>
          </w:p>
        </w:tc>
      </w:tr>
      <w:tr w:rsidR="00E6060C" w:rsidRPr="00E6060C" w14:paraId="4F398A2A" w14:textId="77777777" w:rsidTr="00E6060C">
        <w:trPr>
          <w:gridAfter w:val="1"/>
          <w:wAfter w:w="6" w:type="dxa"/>
        </w:trPr>
        <w:tc>
          <w:tcPr>
            <w:tcW w:w="14488" w:type="dxa"/>
            <w:gridSpan w:val="13"/>
            <w:tcBorders>
              <w:top w:val="single" w:sz="4" w:space="0" w:color="auto"/>
              <w:bottom w:val="single" w:sz="4" w:space="0" w:color="auto"/>
            </w:tcBorders>
          </w:tcPr>
          <w:p w14:paraId="3A5AFA1A" w14:textId="77777777" w:rsidR="00E6060C" w:rsidRPr="00E6060C" w:rsidRDefault="00E6060C" w:rsidP="00E6060C">
            <w:pPr>
              <w:contextualSpacing/>
              <w:rPr>
                <w:b/>
                <w:sz w:val="28"/>
                <w:szCs w:val="28"/>
              </w:rPr>
            </w:pPr>
            <w:r w:rsidRPr="00E6060C">
              <w:rPr>
                <w:b/>
                <w:sz w:val="28"/>
                <w:szCs w:val="28"/>
              </w:rPr>
              <w:t>PERSONAL RESOURCE BUILDING INTERVENTIONS</w:t>
            </w:r>
          </w:p>
        </w:tc>
      </w:tr>
      <w:tr w:rsidR="00E6060C" w:rsidRPr="00E6060C" w14:paraId="3FD3395B" w14:textId="77777777" w:rsidTr="00E6060C">
        <w:tc>
          <w:tcPr>
            <w:tcW w:w="567" w:type="dxa"/>
            <w:tcBorders>
              <w:top w:val="single" w:sz="4" w:space="0" w:color="auto"/>
            </w:tcBorders>
          </w:tcPr>
          <w:p w14:paraId="6D765B7A" w14:textId="77777777" w:rsidR="00E6060C" w:rsidRPr="00E6060C" w:rsidRDefault="00E6060C" w:rsidP="00E6060C">
            <w:pPr>
              <w:contextualSpacing/>
            </w:pPr>
            <w:r w:rsidRPr="00E6060C">
              <w:t>1</w:t>
            </w:r>
          </w:p>
        </w:tc>
        <w:tc>
          <w:tcPr>
            <w:tcW w:w="1419" w:type="dxa"/>
            <w:tcBorders>
              <w:top w:val="single" w:sz="4" w:space="0" w:color="auto"/>
            </w:tcBorders>
          </w:tcPr>
          <w:p w14:paraId="70A03893" w14:textId="77777777" w:rsidR="00E6060C" w:rsidRPr="00E6060C" w:rsidRDefault="00E6060C" w:rsidP="00E6060C">
            <w:pPr>
              <w:contextualSpacing/>
            </w:pPr>
            <w:r w:rsidRPr="00E6060C">
              <w:t>Bishop, 2013</w:t>
            </w:r>
          </w:p>
        </w:tc>
        <w:tc>
          <w:tcPr>
            <w:tcW w:w="1451" w:type="dxa"/>
            <w:tcBorders>
              <w:top w:val="single" w:sz="4" w:space="0" w:color="auto"/>
            </w:tcBorders>
          </w:tcPr>
          <w:p w14:paraId="4DA756EA" w14:textId="77777777" w:rsidR="00E6060C" w:rsidRPr="00E6060C" w:rsidRDefault="00E6060C" w:rsidP="00E6060C">
            <w:pPr>
              <w:contextualSpacing/>
            </w:pPr>
            <w:r w:rsidRPr="00E6060C">
              <w:t>N</w:t>
            </w:r>
          </w:p>
        </w:tc>
        <w:tc>
          <w:tcPr>
            <w:tcW w:w="1559" w:type="dxa"/>
            <w:tcBorders>
              <w:top w:val="single" w:sz="4" w:space="0" w:color="auto"/>
            </w:tcBorders>
          </w:tcPr>
          <w:p w14:paraId="27BE1E0F" w14:textId="77777777" w:rsidR="00E6060C" w:rsidRPr="00E6060C" w:rsidRDefault="00E6060C" w:rsidP="00E6060C">
            <w:r w:rsidRPr="00E6060C">
              <w:t>NA</w:t>
            </w:r>
          </w:p>
        </w:tc>
        <w:tc>
          <w:tcPr>
            <w:tcW w:w="1560" w:type="dxa"/>
            <w:tcBorders>
              <w:top w:val="single" w:sz="4" w:space="0" w:color="auto"/>
            </w:tcBorders>
          </w:tcPr>
          <w:p w14:paraId="4393F120" w14:textId="77777777" w:rsidR="00E6060C" w:rsidRPr="00E6060C" w:rsidRDefault="00E6060C" w:rsidP="00E6060C">
            <w:pPr>
              <w:contextualSpacing/>
            </w:pPr>
            <w:r w:rsidRPr="00E6060C">
              <w:t>N</w:t>
            </w:r>
          </w:p>
        </w:tc>
        <w:tc>
          <w:tcPr>
            <w:tcW w:w="1842" w:type="dxa"/>
            <w:tcBorders>
              <w:top w:val="single" w:sz="4" w:space="0" w:color="auto"/>
            </w:tcBorders>
          </w:tcPr>
          <w:p w14:paraId="1D964400" w14:textId="77777777" w:rsidR="00E6060C" w:rsidRPr="00E6060C" w:rsidRDefault="00E6060C" w:rsidP="00E6060C">
            <w:pPr>
              <w:contextualSpacing/>
            </w:pPr>
            <w:r w:rsidRPr="00E6060C">
              <w:t>No comparison group present</w:t>
            </w:r>
          </w:p>
        </w:tc>
        <w:tc>
          <w:tcPr>
            <w:tcW w:w="1984" w:type="dxa"/>
            <w:gridSpan w:val="2"/>
            <w:tcBorders>
              <w:top w:val="single" w:sz="4" w:space="0" w:color="auto"/>
            </w:tcBorders>
          </w:tcPr>
          <w:p w14:paraId="28BB72A4" w14:textId="77777777" w:rsidR="00E6060C" w:rsidRPr="00E6060C" w:rsidRDefault="00E6060C" w:rsidP="00E6060C">
            <w:pPr>
              <w:contextualSpacing/>
            </w:pPr>
            <w:r w:rsidRPr="00E6060C">
              <w:t>N/A</w:t>
            </w:r>
          </w:p>
        </w:tc>
        <w:tc>
          <w:tcPr>
            <w:tcW w:w="1418" w:type="dxa"/>
            <w:gridSpan w:val="2"/>
            <w:tcBorders>
              <w:top w:val="single" w:sz="4" w:space="0" w:color="auto"/>
            </w:tcBorders>
          </w:tcPr>
          <w:p w14:paraId="3A29D1B9" w14:textId="77777777" w:rsidR="00E6060C" w:rsidRPr="00E6060C" w:rsidRDefault="00E6060C" w:rsidP="00E6060C">
            <w:pPr>
              <w:contextualSpacing/>
            </w:pPr>
            <w:r w:rsidRPr="00E6060C">
              <w:t>N</w:t>
            </w:r>
          </w:p>
        </w:tc>
        <w:tc>
          <w:tcPr>
            <w:tcW w:w="1559" w:type="dxa"/>
            <w:gridSpan w:val="2"/>
            <w:tcBorders>
              <w:top w:val="single" w:sz="4" w:space="0" w:color="auto"/>
            </w:tcBorders>
          </w:tcPr>
          <w:p w14:paraId="715F7F5E" w14:textId="77777777" w:rsidR="00E6060C" w:rsidRPr="00E6060C" w:rsidRDefault="00E6060C" w:rsidP="00E6060C">
            <w:pPr>
              <w:contextualSpacing/>
            </w:pPr>
            <w:r w:rsidRPr="00E6060C">
              <w:t>N</w:t>
            </w:r>
          </w:p>
        </w:tc>
        <w:tc>
          <w:tcPr>
            <w:tcW w:w="1135" w:type="dxa"/>
            <w:gridSpan w:val="2"/>
            <w:tcBorders>
              <w:top w:val="single" w:sz="4" w:space="0" w:color="auto"/>
            </w:tcBorders>
          </w:tcPr>
          <w:p w14:paraId="77A63F31" w14:textId="77777777" w:rsidR="00E6060C" w:rsidRPr="00E6060C" w:rsidRDefault="00E6060C" w:rsidP="00E6060C">
            <w:pPr>
              <w:contextualSpacing/>
            </w:pPr>
            <w:r w:rsidRPr="00E6060C">
              <w:t>Y</w:t>
            </w:r>
          </w:p>
        </w:tc>
      </w:tr>
      <w:tr w:rsidR="00E6060C" w:rsidRPr="00E6060C" w14:paraId="11B2A69A" w14:textId="77777777" w:rsidTr="00E6060C">
        <w:tc>
          <w:tcPr>
            <w:tcW w:w="567" w:type="dxa"/>
          </w:tcPr>
          <w:p w14:paraId="254C29F5" w14:textId="77777777" w:rsidR="00E6060C" w:rsidRPr="00E6060C" w:rsidRDefault="00E6060C" w:rsidP="00E6060C">
            <w:pPr>
              <w:contextualSpacing/>
            </w:pPr>
            <w:r w:rsidRPr="00E6060C">
              <w:t>2</w:t>
            </w:r>
          </w:p>
        </w:tc>
        <w:tc>
          <w:tcPr>
            <w:tcW w:w="1419" w:type="dxa"/>
          </w:tcPr>
          <w:p w14:paraId="75F263EF" w14:textId="4E7E621A" w:rsidR="00E6060C" w:rsidRPr="00E6060C" w:rsidRDefault="001260A3" w:rsidP="00E6060C">
            <w:pPr>
              <w:contextualSpacing/>
            </w:pPr>
            <w:r>
              <w:t>*</w:t>
            </w:r>
            <w:r w:rsidR="00E6060C" w:rsidRPr="00E6060C">
              <w:t>Carter, 2010</w:t>
            </w:r>
          </w:p>
        </w:tc>
        <w:tc>
          <w:tcPr>
            <w:tcW w:w="1451" w:type="dxa"/>
          </w:tcPr>
          <w:p w14:paraId="6EF0B00C" w14:textId="77777777" w:rsidR="00E6060C" w:rsidRPr="00E6060C" w:rsidRDefault="00E6060C" w:rsidP="00E6060C">
            <w:pPr>
              <w:contextualSpacing/>
            </w:pPr>
            <w:r w:rsidRPr="00E6060C">
              <w:t>Y</w:t>
            </w:r>
          </w:p>
        </w:tc>
        <w:tc>
          <w:tcPr>
            <w:tcW w:w="1559" w:type="dxa"/>
          </w:tcPr>
          <w:p w14:paraId="229EAFAD" w14:textId="77777777" w:rsidR="00E6060C" w:rsidRPr="00E6060C" w:rsidRDefault="00E6060C" w:rsidP="00E6060C">
            <w:pPr>
              <w:contextualSpacing/>
            </w:pPr>
            <w:r w:rsidRPr="00E6060C">
              <w:t>N</w:t>
            </w:r>
          </w:p>
        </w:tc>
        <w:tc>
          <w:tcPr>
            <w:tcW w:w="1560" w:type="dxa"/>
          </w:tcPr>
          <w:p w14:paraId="3CC6484E" w14:textId="77777777" w:rsidR="00E6060C" w:rsidRPr="00E6060C" w:rsidRDefault="00E6060C" w:rsidP="00E6060C">
            <w:pPr>
              <w:contextualSpacing/>
            </w:pPr>
            <w:r w:rsidRPr="00E6060C">
              <w:t>Unclear</w:t>
            </w:r>
          </w:p>
        </w:tc>
        <w:tc>
          <w:tcPr>
            <w:tcW w:w="1842" w:type="dxa"/>
          </w:tcPr>
          <w:p w14:paraId="1DD0A49E" w14:textId="77777777" w:rsidR="00E6060C" w:rsidRPr="00E6060C" w:rsidRDefault="00E6060C" w:rsidP="00E6060C">
            <w:pPr>
              <w:contextualSpacing/>
            </w:pPr>
            <w:r w:rsidRPr="00E6060C">
              <w:t>Matched comparison group</w:t>
            </w:r>
          </w:p>
        </w:tc>
        <w:tc>
          <w:tcPr>
            <w:tcW w:w="1984" w:type="dxa"/>
            <w:gridSpan w:val="2"/>
          </w:tcPr>
          <w:p w14:paraId="6847F16D" w14:textId="77777777" w:rsidR="00E6060C" w:rsidRPr="00E6060C" w:rsidRDefault="00E6060C" w:rsidP="00E6060C">
            <w:pPr>
              <w:contextualSpacing/>
            </w:pPr>
            <w:r w:rsidRPr="00E6060C">
              <w:t>Not reported.</w:t>
            </w:r>
          </w:p>
        </w:tc>
        <w:tc>
          <w:tcPr>
            <w:tcW w:w="1418" w:type="dxa"/>
            <w:gridSpan w:val="2"/>
          </w:tcPr>
          <w:p w14:paraId="2B05CCFF" w14:textId="77777777" w:rsidR="00E6060C" w:rsidRPr="00E6060C" w:rsidRDefault="00E6060C" w:rsidP="00E6060C">
            <w:pPr>
              <w:contextualSpacing/>
            </w:pPr>
            <w:r w:rsidRPr="00E6060C">
              <w:t>N</w:t>
            </w:r>
          </w:p>
        </w:tc>
        <w:tc>
          <w:tcPr>
            <w:tcW w:w="1559" w:type="dxa"/>
            <w:gridSpan w:val="2"/>
          </w:tcPr>
          <w:p w14:paraId="189629C8" w14:textId="77777777" w:rsidR="00E6060C" w:rsidRPr="00E6060C" w:rsidRDefault="00E6060C" w:rsidP="00E6060C">
            <w:pPr>
              <w:contextualSpacing/>
            </w:pPr>
            <w:r w:rsidRPr="00E6060C">
              <w:t>N</w:t>
            </w:r>
          </w:p>
        </w:tc>
        <w:tc>
          <w:tcPr>
            <w:tcW w:w="1135" w:type="dxa"/>
            <w:gridSpan w:val="2"/>
          </w:tcPr>
          <w:p w14:paraId="53CD9AA6" w14:textId="77777777" w:rsidR="00E6060C" w:rsidRPr="00E6060C" w:rsidRDefault="00E6060C" w:rsidP="00E6060C">
            <w:pPr>
              <w:contextualSpacing/>
            </w:pPr>
            <w:r w:rsidRPr="00E6060C">
              <w:t>Y</w:t>
            </w:r>
          </w:p>
        </w:tc>
      </w:tr>
      <w:tr w:rsidR="00E6060C" w:rsidRPr="00E6060C" w14:paraId="5C75EAF5" w14:textId="77777777" w:rsidTr="00E6060C">
        <w:tc>
          <w:tcPr>
            <w:tcW w:w="567" w:type="dxa"/>
          </w:tcPr>
          <w:p w14:paraId="0DAE22B0" w14:textId="77777777" w:rsidR="00E6060C" w:rsidRPr="00E6060C" w:rsidRDefault="00E6060C" w:rsidP="00E6060C">
            <w:pPr>
              <w:contextualSpacing/>
            </w:pPr>
            <w:r w:rsidRPr="00E6060C">
              <w:t>3</w:t>
            </w:r>
          </w:p>
        </w:tc>
        <w:tc>
          <w:tcPr>
            <w:tcW w:w="1419" w:type="dxa"/>
          </w:tcPr>
          <w:p w14:paraId="6C756B03" w14:textId="06BFFC6C" w:rsidR="00E6060C" w:rsidRPr="00E6060C" w:rsidRDefault="001260A3"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Chen et al., 2009 </w:t>
            </w:r>
          </w:p>
        </w:tc>
        <w:tc>
          <w:tcPr>
            <w:tcW w:w="1451" w:type="dxa"/>
          </w:tcPr>
          <w:p w14:paraId="6F975151" w14:textId="77777777" w:rsidR="00E6060C" w:rsidRPr="00E6060C" w:rsidRDefault="00E6060C" w:rsidP="00E6060C">
            <w:pPr>
              <w:contextualSpacing/>
            </w:pPr>
            <w:r w:rsidRPr="00E6060C">
              <w:t>Y</w:t>
            </w:r>
          </w:p>
        </w:tc>
        <w:tc>
          <w:tcPr>
            <w:tcW w:w="1559" w:type="dxa"/>
          </w:tcPr>
          <w:p w14:paraId="1B177AC0" w14:textId="77777777" w:rsidR="00E6060C" w:rsidRPr="00E6060C" w:rsidRDefault="00E6060C" w:rsidP="00E6060C">
            <w:pPr>
              <w:contextualSpacing/>
            </w:pPr>
            <w:r w:rsidRPr="00E6060C">
              <w:t>N</w:t>
            </w:r>
          </w:p>
        </w:tc>
        <w:tc>
          <w:tcPr>
            <w:tcW w:w="1560" w:type="dxa"/>
          </w:tcPr>
          <w:p w14:paraId="6ECCE7FF" w14:textId="77777777" w:rsidR="00E6060C" w:rsidRPr="00E6060C" w:rsidRDefault="00E6060C" w:rsidP="00E6060C">
            <w:pPr>
              <w:contextualSpacing/>
            </w:pPr>
            <w:r w:rsidRPr="00E6060C">
              <w:t>Unclear</w:t>
            </w:r>
          </w:p>
        </w:tc>
        <w:tc>
          <w:tcPr>
            <w:tcW w:w="1842" w:type="dxa"/>
          </w:tcPr>
          <w:p w14:paraId="45ED1015" w14:textId="77777777" w:rsidR="00E6060C" w:rsidRPr="00E6060C" w:rsidRDefault="00E6060C" w:rsidP="00E6060C">
            <w:pPr>
              <w:contextualSpacing/>
            </w:pPr>
          </w:p>
        </w:tc>
        <w:tc>
          <w:tcPr>
            <w:tcW w:w="1984" w:type="dxa"/>
            <w:gridSpan w:val="2"/>
          </w:tcPr>
          <w:p w14:paraId="328EC594" w14:textId="77777777" w:rsidR="00E6060C" w:rsidRPr="00E6060C" w:rsidRDefault="00E6060C" w:rsidP="00E6060C">
            <w:pPr>
              <w:contextualSpacing/>
            </w:pPr>
            <w:r w:rsidRPr="00E6060C">
              <w:t>No significant differences between groups</w:t>
            </w:r>
          </w:p>
        </w:tc>
        <w:tc>
          <w:tcPr>
            <w:tcW w:w="1418" w:type="dxa"/>
            <w:gridSpan w:val="2"/>
          </w:tcPr>
          <w:p w14:paraId="2A3E9157" w14:textId="77777777" w:rsidR="00E6060C" w:rsidRPr="00E6060C" w:rsidRDefault="00E6060C" w:rsidP="00E6060C">
            <w:pPr>
              <w:contextualSpacing/>
            </w:pPr>
            <w:r w:rsidRPr="00E6060C">
              <w:t>N</w:t>
            </w:r>
          </w:p>
        </w:tc>
        <w:tc>
          <w:tcPr>
            <w:tcW w:w="1559" w:type="dxa"/>
            <w:gridSpan w:val="2"/>
          </w:tcPr>
          <w:p w14:paraId="3D5A7087" w14:textId="77777777" w:rsidR="00E6060C" w:rsidRPr="00E6060C" w:rsidRDefault="00E6060C" w:rsidP="00E6060C">
            <w:pPr>
              <w:contextualSpacing/>
            </w:pPr>
            <w:r w:rsidRPr="00E6060C">
              <w:t>N</w:t>
            </w:r>
          </w:p>
        </w:tc>
        <w:tc>
          <w:tcPr>
            <w:tcW w:w="1135" w:type="dxa"/>
            <w:gridSpan w:val="2"/>
          </w:tcPr>
          <w:p w14:paraId="519BAE2E" w14:textId="77777777" w:rsidR="00E6060C" w:rsidRPr="00E6060C" w:rsidRDefault="00E6060C" w:rsidP="00E6060C">
            <w:pPr>
              <w:contextualSpacing/>
            </w:pPr>
            <w:r w:rsidRPr="00E6060C">
              <w:t>Y</w:t>
            </w:r>
          </w:p>
        </w:tc>
      </w:tr>
      <w:tr w:rsidR="00E6060C" w:rsidRPr="00E6060C" w14:paraId="07A62A1F" w14:textId="77777777" w:rsidTr="00E6060C">
        <w:tc>
          <w:tcPr>
            <w:tcW w:w="567" w:type="dxa"/>
          </w:tcPr>
          <w:p w14:paraId="32C3A773" w14:textId="77777777" w:rsidR="00E6060C" w:rsidRPr="00E6060C" w:rsidRDefault="00E6060C" w:rsidP="00E6060C">
            <w:pPr>
              <w:contextualSpacing/>
            </w:pPr>
            <w:r w:rsidRPr="00E6060C">
              <w:t>4</w:t>
            </w:r>
          </w:p>
        </w:tc>
        <w:tc>
          <w:tcPr>
            <w:tcW w:w="1419" w:type="dxa"/>
          </w:tcPr>
          <w:p w14:paraId="16FBB694" w14:textId="0BD448B0" w:rsidR="00E6060C" w:rsidRPr="00E6060C" w:rsidRDefault="00AD462A" w:rsidP="00E6060C">
            <w:pPr>
              <w:contextualSpacing/>
            </w:pPr>
            <w:r>
              <w:t>Iljntema, 2014</w:t>
            </w:r>
          </w:p>
        </w:tc>
        <w:tc>
          <w:tcPr>
            <w:tcW w:w="1451" w:type="dxa"/>
          </w:tcPr>
          <w:p w14:paraId="51981066" w14:textId="77777777" w:rsidR="00E6060C" w:rsidRPr="00E6060C" w:rsidRDefault="00E6060C" w:rsidP="00E6060C">
            <w:pPr>
              <w:contextualSpacing/>
            </w:pPr>
            <w:r w:rsidRPr="00E6060C">
              <w:t>Y</w:t>
            </w:r>
          </w:p>
        </w:tc>
        <w:tc>
          <w:tcPr>
            <w:tcW w:w="1559" w:type="dxa"/>
          </w:tcPr>
          <w:p w14:paraId="51BA0194" w14:textId="77777777" w:rsidR="00E6060C" w:rsidRPr="00E6060C" w:rsidRDefault="00E6060C" w:rsidP="00E6060C">
            <w:pPr>
              <w:contextualSpacing/>
            </w:pPr>
            <w:r w:rsidRPr="00E6060C">
              <w:t>N</w:t>
            </w:r>
          </w:p>
        </w:tc>
        <w:tc>
          <w:tcPr>
            <w:tcW w:w="1560" w:type="dxa"/>
          </w:tcPr>
          <w:p w14:paraId="67DB7383" w14:textId="77777777" w:rsidR="00E6060C" w:rsidRPr="00E6060C" w:rsidRDefault="00E6060C" w:rsidP="00E6060C">
            <w:pPr>
              <w:contextualSpacing/>
            </w:pPr>
            <w:r w:rsidRPr="00E6060C">
              <w:t>Unclear</w:t>
            </w:r>
          </w:p>
        </w:tc>
        <w:tc>
          <w:tcPr>
            <w:tcW w:w="1842" w:type="dxa"/>
          </w:tcPr>
          <w:p w14:paraId="68EB663E" w14:textId="77777777" w:rsidR="00E6060C" w:rsidRPr="00E6060C" w:rsidRDefault="00E6060C" w:rsidP="00E6060C">
            <w:pPr>
              <w:contextualSpacing/>
            </w:pPr>
            <w:r w:rsidRPr="00E6060C">
              <w:t xml:space="preserve">Info not available </w:t>
            </w:r>
          </w:p>
        </w:tc>
        <w:tc>
          <w:tcPr>
            <w:tcW w:w="1984" w:type="dxa"/>
            <w:gridSpan w:val="2"/>
          </w:tcPr>
          <w:p w14:paraId="29BE49D1" w14:textId="77777777" w:rsidR="00E6060C" w:rsidRPr="00E6060C" w:rsidRDefault="00E6060C" w:rsidP="00E6060C">
            <w:pPr>
              <w:contextualSpacing/>
            </w:pPr>
            <w:r w:rsidRPr="00E6060C">
              <w:t>Info not available</w:t>
            </w:r>
          </w:p>
        </w:tc>
        <w:tc>
          <w:tcPr>
            <w:tcW w:w="1418" w:type="dxa"/>
            <w:gridSpan w:val="2"/>
          </w:tcPr>
          <w:p w14:paraId="0422A2FB" w14:textId="77777777" w:rsidR="00E6060C" w:rsidRPr="00E6060C" w:rsidRDefault="00E6060C" w:rsidP="00E6060C">
            <w:pPr>
              <w:contextualSpacing/>
            </w:pPr>
            <w:r w:rsidRPr="00E6060C">
              <w:t>N</w:t>
            </w:r>
          </w:p>
        </w:tc>
        <w:tc>
          <w:tcPr>
            <w:tcW w:w="1559" w:type="dxa"/>
            <w:gridSpan w:val="2"/>
          </w:tcPr>
          <w:p w14:paraId="3FD338AC" w14:textId="77777777" w:rsidR="00E6060C" w:rsidRPr="00E6060C" w:rsidRDefault="00E6060C" w:rsidP="00E6060C">
            <w:pPr>
              <w:contextualSpacing/>
            </w:pPr>
            <w:r w:rsidRPr="00E6060C">
              <w:t>N</w:t>
            </w:r>
          </w:p>
        </w:tc>
        <w:tc>
          <w:tcPr>
            <w:tcW w:w="1135" w:type="dxa"/>
            <w:gridSpan w:val="2"/>
          </w:tcPr>
          <w:p w14:paraId="2531EEE2" w14:textId="77777777" w:rsidR="00E6060C" w:rsidRPr="00E6060C" w:rsidRDefault="00E6060C" w:rsidP="00E6060C">
            <w:pPr>
              <w:contextualSpacing/>
            </w:pPr>
            <w:r w:rsidRPr="00E6060C">
              <w:t>Y</w:t>
            </w:r>
          </w:p>
        </w:tc>
      </w:tr>
      <w:tr w:rsidR="00E6060C" w:rsidRPr="00E6060C" w14:paraId="11EA73DB" w14:textId="77777777" w:rsidTr="00E6060C">
        <w:tc>
          <w:tcPr>
            <w:tcW w:w="567" w:type="dxa"/>
          </w:tcPr>
          <w:p w14:paraId="0CAAAED2" w14:textId="77777777" w:rsidR="00E6060C" w:rsidRPr="00E6060C" w:rsidRDefault="00E6060C" w:rsidP="00E6060C">
            <w:pPr>
              <w:contextualSpacing/>
            </w:pPr>
            <w:r w:rsidRPr="00E6060C">
              <w:t>5</w:t>
            </w:r>
          </w:p>
        </w:tc>
        <w:tc>
          <w:tcPr>
            <w:tcW w:w="1419" w:type="dxa"/>
          </w:tcPr>
          <w:p w14:paraId="0B0173AD" w14:textId="77777777" w:rsidR="00E6060C" w:rsidRPr="00E6060C" w:rsidRDefault="00E6060C" w:rsidP="00E6060C">
            <w:pPr>
              <w:contextualSpacing/>
            </w:pPr>
            <w:r w:rsidRPr="00E6060C">
              <w:t>Maclean, 2013</w:t>
            </w:r>
          </w:p>
        </w:tc>
        <w:tc>
          <w:tcPr>
            <w:tcW w:w="1451" w:type="dxa"/>
          </w:tcPr>
          <w:p w14:paraId="51BF6EF7" w14:textId="77777777" w:rsidR="00E6060C" w:rsidRPr="00E6060C" w:rsidRDefault="00E6060C" w:rsidP="00E6060C">
            <w:pPr>
              <w:contextualSpacing/>
            </w:pPr>
            <w:r w:rsidRPr="00E6060C">
              <w:t>N</w:t>
            </w:r>
          </w:p>
        </w:tc>
        <w:tc>
          <w:tcPr>
            <w:tcW w:w="1559" w:type="dxa"/>
          </w:tcPr>
          <w:p w14:paraId="3810DFA2" w14:textId="77777777" w:rsidR="00E6060C" w:rsidRPr="00E6060C" w:rsidRDefault="00E6060C" w:rsidP="00E6060C">
            <w:r w:rsidRPr="00E6060C">
              <w:t>NA</w:t>
            </w:r>
          </w:p>
        </w:tc>
        <w:tc>
          <w:tcPr>
            <w:tcW w:w="1560" w:type="dxa"/>
          </w:tcPr>
          <w:p w14:paraId="7A6024E3" w14:textId="77777777" w:rsidR="00E6060C" w:rsidRPr="00E6060C" w:rsidRDefault="00E6060C" w:rsidP="00E6060C">
            <w:pPr>
              <w:contextualSpacing/>
            </w:pPr>
            <w:r w:rsidRPr="00E6060C">
              <w:t>N</w:t>
            </w:r>
          </w:p>
        </w:tc>
        <w:tc>
          <w:tcPr>
            <w:tcW w:w="1842" w:type="dxa"/>
          </w:tcPr>
          <w:p w14:paraId="55740CE7" w14:textId="77777777" w:rsidR="00E6060C" w:rsidRPr="00E6060C" w:rsidRDefault="00E6060C" w:rsidP="00E6060C">
            <w:pPr>
              <w:contextualSpacing/>
            </w:pPr>
            <w:r w:rsidRPr="00E6060C">
              <w:t>Comparison group</w:t>
            </w:r>
          </w:p>
        </w:tc>
        <w:tc>
          <w:tcPr>
            <w:tcW w:w="1984" w:type="dxa"/>
            <w:gridSpan w:val="2"/>
          </w:tcPr>
          <w:p w14:paraId="601FDE3F" w14:textId="77777777" w:rsidR="00E6060C" w:rsidRPr="00E6060C" w:rsidRDefault="00E6060C" w:rsidP="00F15DDF">
            <w:pPr>
              <w:numPr>
                <w:ilvl w:val="0"/>
                <w:numId w:val="44"/>
              </w:numPr>
              <w:ind w:left="175" w:hanging="175"/>
              <w:contextualSpacing/>
            </w:pPr>
            <w:r w:rsidRPr="00E6060C">
              <w:t>No signif. diffs in terms of age or gender</w:t>
            </w:r>
          </w:p>
          <w:p w14:paraId="419DF90B" w14:textId="77777777" w:rsidR="00E6060C" w:rsidRPr="00E6060C" w:rsidRDefault="00E6060C" w:rsidP="00F15DDF">
            <w:pPr>
              <w:numPr>
                <w:ilvl w:val="0"/>
                <w:numId w:val="44"/>
              </w:numPr>
              <w:ind w:left="175" w:hanging="175"/>
              <w:contextualSpacing/>
            </w:pPr>
            <w:r w:rsidRPr="00E6060C">
              <w:t xml:space="preserve">Job satisfaction was signif. higher in the </w:t>
            </w:r>
            <w:r w:rsidRPr="00E6060C">
              <w:lastRenderedPageBreak/>
              <w:t>intervention group</w:t>
            </w:r>
          </w:p>
          <w:p w14:paraId="6467F2E3" w14:textId="77777777" w:rsidR="00E6060C" w:rsidRPr="00E6060C" w:rsidRDefault="00E6060C" w:rsidP="00F15DDF">
            <w:pPr>
              <w:numPr>
                <w:ilvl w:val="0"/>
                <w:numId w:val="44"/>
              </w:numPr>
              <w:ind w:left="175" w:hanging="175"/>
              <w:contextualSpacing/>
            </w:pPr>
            <w:r w:rsidRPr="00E6060C">
              <w:t xml:space="preserve">Median number of days absent higher in control group </w:t>
            </w:r>
          </w:p>
          <w:p w14:paraId="02DDCAC8" w14:textId="77777777" w:rsidR="00E6060C" w:rsidRPr="00E6060C" w:rsidRDefault="00E6060C" w:rsidP="00E6060C">
            <w:pPr>
              <w:contextualSpacing/>
            </w:pPr>
          </w:p>
        </w:tc>
        <w:tc>
          <w:tcPr>
            <w:tcW w:w="1418" w:type="dxa"/>
            <w:gridSpan w:val="2"/>
          </w:tcPr>
          <w:p w14:paraId="11B905BE" w14:textId="77777777" w:rsidR="00E6060C" w:rsidRPr="00E6060C" w:rsidRDefault="00E6060C" w:rsidP="00E6060C">
            <w:pPr>
              <w:contextualSpacing/>
            </w:pPr>
            <w:r w:rsidRPr="00E6060C">
              <w:lastRenderedPageBreak/>
              <w:t>N</w:t>
            </w:r>
          </w:p>
        </w:tc>
        <w:tc>
          <w:tcPr>
            <w:tcW w:w="1559" w:type="dxa"/>
            <w:gridSpan w:val="2"/>
          </w:tcPr>
          <w:p w14:paraId="021E0E84" w14:textId="77777777" w:rsidR="00E6060C" w:rsidRPr="00E6060C" w:rsidRDefault="00E6060C" w:rsidP="00E6060C">
            <w:pPr>
              <w:contextualSpacing/>
            </w:pPr>
            <w:r w:rsidRPr="00E6060C">
              <w:t>N</w:t>
            </w:r>
          </w:p>
        </w:tc>
        <w:tc>
          <w:tcPr>
            <w:tcW w:w="1135" w:type="dxa"/>
            <w:gridSpan w:val="2"/>
          </w:tcPr>
          <w:p w14:paraId="561F82D1" w14:textId="77777777" w:rsidR="00E6060C" w:rsidRPr="00E6060C" w:rsidRDefault="00E6060C" w:rsidP="00E6060C">
            <w:pPr>
              <w:contextualSpacing/>
            </w:pPr>
            <w:r w:rsidRPr="00E6060C">
              <w:t>Y</w:t>
            </w:r>
          </w:p>
        </w:tc>
      </w:tr>
      <w:tr w:rsidR="00E6060C" w:rsidRPr="00E6060C" w14:paraId="74401580" w14:textId="77777777" w:rsidTr="00E6060C">
        <w:tc>
          <w:tcPr>
            <w:tcW w:w="567" w:type="dxa"/>
          </w:tcPr>
          <w:p w14:paraId="6A6B6090" w14:textId="77777777" w:rsidR="00E6060C" w:rsidRPr="00E6060C" w:rsidRDefault="00E6060C" w:rsidP="00E6060C">
            <w:pPr>
              <w:contextualSpacing/>
            </w:pPr>
            <w:r w:rsidRPr="00E6060C">
              <w:t>6</w:t>
            </w:r>
          </w:p>
        </w:tc>
        <w:tc>
          <w:tcPr>
            <w:tcW w:w="1419" w:type="dxa"/>
          </w:tcPr>
          <w:p w14:paraId="34646382" w14:textId="18CE7BD5" w:rsidR="00E6060C" w:rsidRPr="00E6060C" w:rsidRDefault="001260A3"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Ouweneel, et al., 2013</w:t>
            </w:r>
          </w:p>
          <w:p w14:paraId="0A4A3AFC" w14:textId="77777777" w:rsidR="00E6060C" w:rsidRPr="00E6060C" w:rsidRDefault="00E6060C" w:rsidP="00E6060C">
            <w:pPr>
              <w:contextualSpacing/>
            </w:pPr>
          </w:p>
        </w:tc>
        <w:tc>
          <w:tcPr>
            <w:tcW w:w="1451" w:type="dxa"/>
          </w:tcPr>
          <w:p w14:paraId="5CC59755" w14:textId="77777777" w:rsidR="00E6060C" w:rsidRPr="00E6060C" w:rsidRDefault="00E6060C" w:rsidP="00E6060C">
            <w:pPr>
              <w:contextualSpacing/>
            </w:pPr>
            <w:r w:rsidRPr="00E6060C">
              <w:t>N</w:t>
            </w:r>
          </w:p>
        </w:tc>
        <w:tc>
          <w:tcPr>
            <w:tcW w:w="1559" w:type="dxa"/>
          </w:tcPr>
          <w:p w14:paraId="234B8427" w14:textId="77777777" w:rsidR="00E6060C" w:rsidRPr="00E6060C" w:rsidRDefault="00E6060C" w:rsidP="00E6060C">
            <w:pPr>
              <w:contextualSpacing/>
            </w:pPr>
            <w:r w:rsidRPr="00E6060C">
              <w:t>NA</w:t>
            </w:r>
          </w:p>
        </w:tc>
        <w:tc>
          <w:tcPr>
            <w:tcW w:w="1560" w:type="dxa"/>
          </w:tcPr>
          <w:p w14:paraId="231991B4" w14:textId="77777777" w:rsidR="00E6060C" w:rsidRPr="00E6060C" w:rsidRDefault="00E6060C" w:rsidP="00E6060C">
            <w:pPr>
              <w:contextualSpacing/>
            </w:pPr>
            <w:r w:rsidRPr="00E6060C">
              <w:t>Unclear</w:t>
            </w:r>
          </w:p>
        </w:tc>
        <w:tc>
          <w:tcPr>
            <w:tcW w:w="1842" w:type="dxa"/>
          </w:tcPr>
          <w:p w14:paraId="26F76F73" w14:textId="77777777" w:rsidR="00E6060C" w:rsidRPr="00E6060C" w:rsidRDefault="00E6060C" w:rsidP="00E6060C">
            <w:pPr>
              <w:contextualSpacing/>
            </w:pPr>
            <w:r w:rsidRPr="00E6060C">
              <w:t>Self-selected comparison group</w:t>
            </w:r>
          </w:p>
          <w:p w14:paraId="7D7B4612" w14:textId="77777777" w:rsidR="00E6060C" w:rsidRPr="00E6060C" w:rsidRDefault="00E6060C" w:rsidP="00E6060C">
            <w:pPr>
              <w:contextualSpacing/>
            </w:pPr>
          </w:p>
        </w:tc>
        <w:tc>
          <w:tcPr>
            <w:tcW w:w="1984" w:type="dxa"/>
            <w:gridSpan w:val="2"/>
          </w:tcPr>
          <w:p w14:paraId="7D3C22B0" w14:textId="77777777" w:rsidR="00E6060C" w:rsidRPr="00E6060C" w:rsidRDefault="00E6060C" w:rsidP="00E6060C">
            <w:pPr>
              <w:contextualSpacing/>
            </w:pPr>
            <w:r w:rsidRPr="00E6060C">
              <w:t>Education level different but this had no effect on positive emotions, self-efficacy or WE.</w:t>
            </w:r>
          </w:p>
        </w:tc>
        <w:tc>
          <w:tcPr>
            <w:tcW w:w="1418" w:type="dxa"/>
            <w:gridSpan w:val="2"/>
          </w:tcPr>
          <w:p w14:paraId="070BA769" w14:textId="77777777" w:rsidR="00E6060C" w:rsidRPr="00E6060C" w:rsidRDefault="00E6060C" w:rsidP="00E6060C">
            <w:pPr>
              <w:contextualSpacing/>
            </w:pPr>
            <w:r w:rsidRPr="00E6060C">
              <w:t>N</w:t>
            </w:r>
          </w:p>
        </w:tc>
        <w:tc>
          <w:tcPr>
            <w:tcW w:w="1559" w:type="dxa"/>
            <w:gridSpan w:val="2"/>
          </w:tcPr>
          <w:p w14:paraId="65222928" w14:textId="77777777" w:rsidR="00E6060C" w:rsidRPr="00E6060C" w:rsidRDefault="00E6060C" w:rsidP="00E6060C">
            <w:pPr>
              <w:contextualSpacing/>
            </w:pPr>
            <w:r w:rsidRPr="00E6060C">
              <w:t>N</w:t>
            </w:r>
          </w:p>
        </w:tc>
        <w:tc>
          <w:tcPr>
            <w:tcW w:w="1135" w:type="dxa"/>
            <w:gridSpan w:val="2"/>
          </w:tcPr>
          <w:p w14:paraId="6A91BE58" w14:textId="77777777" w:rsidR="00E6060C" w:rsidRPr="00E6060C" w:rsidRDefault="00E6060C" w:rsidP="00E6060C">
            <w:pPr>
              <w:contextualSpacing/>
            </w:pPr>
            <w:r w:rsidRPr="00E6060C">
              <w:t>Y</w:t>
            </w:r>
          </w:p>
        </w:tc>
      </w:tr>
      <w:tr w:rsidR="00E6060C" w:rsidRPr="00E6060C" w14:paraId="05452612" w14:textId="77777777" w:rsidTr="00E6060C">
        <w:tc>
          <w:tcPr>
            <w:tcW w:w="567" w:type="dxa"/>
          </w:tcPr>
          <w:p w14:paraId="5985C00B" w14:textId="77777777" w:rsidR="00E6060C" w:rsidRPr="00E6060C" w:rsidRDefault="00E6060C" w:rsidP="00E6060C">
            <w:pPr>
              <w:contextualSpacing/>
            </w:pPr>
            <w:r w:rsidRPr="00E6060C">
              <w:t>7</w:t>
            </w:r>
          </w:p>
        </w:tc>
        <w:tc>
          <w:tcPr>
            <w:tcW w:w="1419" w:type="dxa"/>
          </w:tcPr>
          <w:p w14:paraId="7B25393D" w14:textId="2350D1E4" w:rsidR="00E6060C" w:rsidRPr="00E6060C" w:rsidRDefault="004D6C5A" w:rsidP="00E6060C">
            <w:pPr>
              <w:contextualSpacing/>
              <w:rPr>
                <w:rFonts w:ascii="Calibri" w:hAnsi="Calibri"/>
              </w:rPr>
            </w:pPr>
            <w:r>
              <w:rPr>
                <w:rFonts w:ascii="Calibri" w:hAnsi="Calibri"/>
              </w:rPr>
              <w:t>*</w:t>
            </w:r>
            <w:r w:rsidR="00E6060C" w:rsidRPr="00E6060C">
              <w:rPr>
                <w:rFonts w:ascii="Calibri" w:hAnsi="Calibri"/>
              </w:rPr>
              <w:t xml:space="preserve">Sodani et al., 2011 </w:t>
            </w:r>
          </w:p>
        </w:tc>
        <w:tc>
          <w:tcPr>
            <w:tcW w:w="1451" w:type="dxa"/>
          </w:tcPr>
          <w:p w14:paraId="5E11D1CB" w14:textId="77777777" w:rsidR="00E6060C" w:rsidRPr="00E6060C" w:rsidRDefault="00E6060C" w:rsidP="00E6060C">
            <w:pPr>
              <w:contextualSpacing/>
            </w:pPr>
            <w:r w:rsidRPr="00E6060C">
              <w:t>Y</w:t>
            </w:r>
          </w:p>
        </w:tc>
        <w:tc>
          <w:tcPr>
            <w:tcW w:w="1559" w:type="dxa"/>
          </w:tcPr>
          <w:p w14:paraId="6CAA43AB" w14:textId="77777777" w:rsidR="00E6060C" w:rsidRPr="00E6060C" w:rsidRDefault="00E6060C" w:rsidP="00E6060C">
            <w:pPr>
              <w:contextualSpacing/>
            </w:pPr>
            <w:r w:rsidRPr="00E6060C">
              <w:t>N</w:t>
            </w:r>
          </w:p>
        </w:tc>
        <w:tc>
          <w:tcPr>
            <w:tcW w:w="1560" w:type="dxa"/>
          </w:tcPr>
          <w:p w14:paraId="5AF2D8AD" w14:textId="77777777" w:rsidR="00E6060C" w:rsidRPr="00E6060C" w:rsidRDefault="00E6060C" w:rsidP="00E6060C">
            <w:pPr>
              <w:contextualSpacing/>
            </w:pPr>
            <w:r w:rsidRPr="00E6060C">
              <w:t>Unclear</w:t>
            </w:r>
          </w:p>
        </w:tc>
        <w:tc>
          <w:tcPr>
            <w:tcW w:w="1842" w:type="dxa"/>
          </w:tcPr>
          <w:p w14:paraId="316F51DF" w14:textId="77777777" w:rsidR="00E6060C" w:rsidRPr="00E6060C" w:rsidRDefault="00E6060C" w:rsidP="00E6060C">
            <w:pPr>
              <w:contextualSpacing/>
            </w:pPr>
          </w:p>
        </w:tc>
        <w:tc>
          <w:tcPr>
            <w:tcW w:w="1984" w:type="dxa"/>
            <w:gridSpan w:val="2"/>
          </w:tcPr>
          <w:p w14:paraId="16A49681" w14:textId="77777777" w:rsidR="00E6060C" w:rsidRPr="00E6060C" w:rsidRDefault="00E6060C" w:rsidP="00E6060C">
            <w:pPr>
              <w:contextualSpacing/>
            </w:pPr>
            <w:r w:rsidRPr="00E6060C">
              <w:t>Not reported.</w:t>
            </w:r>
          </w:p>
        </w:tc>
        <w:tc>
          <w:tcPr>
            <w:tcW w:w="1418" w:type="dxa"/>
            <w:gridSpan w:val="2"/>
          </w:tcPr>
          <w:p w14:paraId="432E9912" w14:textId="77777777" w:rsidR="00E6060C" w:rsidRPr="00E6060C" w:rsidRDefault="00E6060C" w:rsidP="00E6060C">
            <w:pPr>
              <w:contextualSpacing/>
            </w:pPr>
            <w:r w:rsidRPr="00E6060C">
              <w:t>N</w:t>
            </w:r>
          </w:p>
        </w:tc>
        <w:tc>
          <w:tcPr>
            <w:tcW w:w="1559" w:type="dxa"/>
            <w:gridSpan w:val="2"/>
          </w:tcPr>
          <w:p w14:paraId="6DB328F2" w14:textId="77777777" w:rsidR="00E6060C" w:rsidRPr="00E6060C" w:rsidRDefault="00E6060C" w:rsidP="00E6060C">
            <w:pPr>
              <w:contextualSpacing/>
            </w:pPr>
            <w:r w:rsidRPr="00E6060C">
              <w:t>N</w:t>
            </w:r>
          </w:p>
        </w:tc>
        <w:tc>
          <w:tcPr>
            <w:tcW w:w="1135" w:type="dxa"/>
            <w:gridSpan w:val="2"/>
          </w:tcPr>
          <w:p w14:paraId="0D36AADA" w14:textId="77777777" w:rsidR="00E6060C" w:rsidRPr="00E6060C" w:rsidRDefault="00E6060C" w:rsidP="00E6060C">
            <w:pPr>
              <w:contextualSpacing/>
            </w:pPr>
            <w:r w:rsidRPr="00E6060C">
              <w:t>Y</w:t>
            </w:r>
          </w:p>
        </w:tc>
      </w:tr>
      <w:tr w:rsidR="00E6060C" w:rsidRPr="00E6060C" w14:paraId="2A4865F1" w14:textId="77777777" w:rsidTr="00E6060C">
        <w:tc>
          <w:tcPr>
            <w:tcW w:w="567" w:type="dxa"/>
          </w:tcPr>
          <w:p w14:paraId="48D22ED8" w14:textId="77777777" w:rsidR="00E6060C" w:rsidRPr="00E6060C" w:rsidRDefault="00E6060C" w:rsidP="00E6060C">
            <w:pPr>
              <w:contextualSpacing/>
            </w:pPr>
            <w:r w:rsidRPr="00E6060C">
              <w:t>8</w:t>
            </w:r>
          </w:p>
        </w:tc>
        <w:tc>
          <w:tcPr>
            <w:tcW w:w="1419" w:type="dxa"/>
          </w:tcPr>
          <w:p w14:paraId="425BF80C" w14:textId="48E01E07" w:rsidR="00E6060C" w:rsidRPr="00E6060C" w:rsidRDefault="004D6C5A" w:rsidP="00E6060C">
            <w:pPr>
              <w:contextualSpacing/>
            </w:pPr>
            <w:r>
              <w:t>*</w:t>
            </w:r>
            <w:r w:rsidR="00E6060C" w:rsidRPr="00E6060C">
              <w:t>Vuori et al., 2012</w:t>
            </w:r>
          </w:p>
          <w:p w14:paraId="5D47CD8F" w14:textId="77777777" w:rsidR="00E6060C" w:rsidRPr="00E6060C" w:rsidRDefault="00E6060C" w:rsidP="00E6060C">
            <w:pPr>
              <w:contextualSpacing/>
            </w:pPr>
          </w:p>
        </w:tc>
        <w:tc>
          <w:tcPr>
            <w:tcW w:w="1451" w:type="dxa"/>
          </w:tcPr>
          <w:p w14:paraId="26A5C1B0" w14:textId="77777777" w:rsidR="00E6060C" w:rsidRPr="00E6060C" w:rsidRDefault="00E6060C" w:rsidP="00E6060C">
            <w:pPr>
              <w:contextualSpacing/>
            </w:pPr>
            <w:r w:rsidRPr="00E6060C">
              <w:t>Y</w:t>
            </w:r>
          </w:p>
        </w:tc>
        <w:tc>
          <w:tcPr>
            <w:tcW w:w="1559" w:type="dxa"/>
          </w:tcPr>
          <w:p w14:paraId="40045581" w14:textId="77777777" w:rsidR="00E6060C" w:rsidRPr="00E6060C" w:rsidRDefault="00E6060C" w:rsidP="00E6060C">
            <w:pPr>
              <w:contextualSpacing/>
            </w:pPr>
            <w:r w:rsidRPr="00E6060C">
              <w:t>Y</w:t>
            </w:r>
          </w:p>
        </w:tc>
        <w:tc>
          <w:tcPr>
            <w:tcW w:w="1560" w:type="dxa"/>
          </w:tcPr>
          <w:p w14:paraId="0151042B" w14:textId="77777777" w:rsidR="00E6060C" w:rsidRPr="00E6060C" w:rsidRDefault="00E6060C" w:rsidP="00E6060C">
            <w:pPr>
              <w:contextualSpacing/>
            </w:pPr>
            <w:r w:rsidRPr="00E6060C">
              <w:t>Y</w:t>
            </w:r>
          </w:p>
        </w:tc>
        <w:tc>
          <w:tcPr>
            <w:tcW w:w="1842" w:type="dxa"/>
          </w:tcPr>
          <w:p w14:paraId="1C1991FB" w14:textId="77777777" w:rsidR="00E6060C" w:rsidRPr="00E6060C" w:rsidRDefault="00E6060C" w:rsidP="00E6060C">
            <w:pPr>
              <w:contextualSpacing/>
            </w:pPr>
            <w:r w:rsidRPr="00E6060C">
              <w:t>Control</w:t>
            </w:r>
          </w:p>
        </w:tc>
        <w:tc>
          <w:tcPr>
            <w:tcW w:w="1984" w:type="dxa"/>
            <w:gridSpan w:val="2"/>
          </w:tcPr>
          <w:p w14:paraId="1C02120B" w14:textId="77777777" w:rsidR="00E6060C" w:rsidRPr="00E6060C" w:rsidRDefault="00E6060C" w:rsidP="00E6060C">
            <w:pPr>
              <w:contextualSpacing/>
            </w:pPr>
            <w:r w:rsidRPr="00E6060C">
              <w:t>No statistically significant differences in demographics or outcome measures</w:t>
            </w:r>
          </w:p>
          <w:p w14:paraId="167AF665" w14:textId="77777777" w:rsidR="00E6060C" w:rsidRPr="00E6060C" w:rsidRDefault="00E6060C" w:rsidP="00E6060C">
            <w:pPr>
              <w:contextualSpacing/>
            </w:pPr>
          </w:p>
          <w:p w14:paraId="064B39FA" w14:textId="77777777" w:rsidR="00E6060C" w:rsidRPr="00E6060C" w:rsidRDefault="00E6060C" w:rsidP="00E6060C">
            <w:pPr>
              <w:contextualSpacing/>
            </w:pPr>
          </w:p>
        </w:tc>
        <w:tc>
          <w:tcPr>
            <w:tcW w:w="1418" w:type="dxa"/>
            <w:gridSpan w:val="2"/>
          </w:tcPr>
          <w:p w14:paraId="0EFBED46" w14:textId="77777777" w:rsidR="00E6060C" w:rsidRPr="00E6060C" w:rsidRDefault="00E6060C" w:rsidP="00E6060C">
            <w:pPr>
              <w:contextualSpacing/>
            </w:pPr>
            <w:r w:rsidRPr="00E6060C">
              <w:t>N</w:t>
            </w:r>
          </w:p>
        </w:tc>
        <w:tc>
          <w:tcPr>
            <w:tcW w:w="1559" w:type="dxa"/>
            <w:gridSpan w:val="2"/>
          </w:tcPr>
          <w:p w14:paraId="71CA5029" w14:textId="77777777" w:rsidR="00E6060C" w:rsidRPr="00E6060C" w:rsidRDefault="00E6060C" w:rsidP="00E6060C">
            <w:pPr>
              <w:contextualSpacing/>
            </w:pPr>
            <w:r w:rsidRPr="00E6060C">
              <w:t>N</w:t>
            </w:r>
          </w:p>
        </w:tc>
        <w:tc>
          <w:tcPr>
            <w:tcW w:w="1135" w:type="dxa"/>
            <w:gridSpan w:val="2"/>
          </w:tcPr>
          <w:p w14:paraId="79722027" w14:textId="77777777" w:rsidR="00E6060C" w:rsidRPr="00E6060C" w:rsidRDefault="00E6060C" w:rsidP="00E6060C">
            <w:pPr>
              <w:contextualSpacing/>
            </w:pPr>
            <w:r w:rsidRPr="00E6060C">
              <w:t>Y</w:t>
            </w:r>
          </w:p>
        </w:tc>
      </w:tr>
      <w:tr w:rsidR="00E6060C" w:rsidRPr="00E6060C" w14:paraId="34E02577" w14:textId="77777777" w:rsidTr="00E6060C">
        <w:trPr>
          <w:gridAfter w:val="1"/>
          <w:wAfter w:w="6" w:type="dxa"/>
        </w:trPr>
        <w:tc>
          <w:tcPr>
            <w:tcW w:w="14488" w:type="dxa"/>
            <w:gridSpan w:val="13"/>
            <w:shd w:val="clear" w:color="auto" w:fill="D9D9D9" w:themeFill="background1" w:themeFillShade="D9"/>
          </w:tcPr>
          <w:p w14:paraId="367B8613" w14:textId="77777777" w:rsidR="00E6060C" w:rsidRPr="00E6060C" w:rsidRDefault="00E6060C" w:rsidP="00E6060C">
            <w:pPr>
              <w:contextualSpacing/>
              <w:rPr>
                <w:b/>
              </w:rPr>
            </w:pPr>
            <w:r w:rsidRPr="00E6060C">
              <w:rPr>
                <w:b/>
              </w:rPr>
              <w:lastRenderedPageBreak/>
              <w:t>ONGOING HEALTH PROMOTION INTERVENTIONS</w:t>
            </w:r>
          </w:p>
          <w:p w14:paraId="3BD3513B" w14:textId="77777777" w:rsidR="00E6060C" w:rsidRPr="00E6060C" w:rsidRDefault="00E6060C" w:rsidP="00E6060C">
            <w:pPr>
              <w:contextualSpacing/>
              <w:rPr>
                <w:b/>
              </w:rPr>
            </w:pPr>
          </w:p>
        </w:tc>
      </w:tr>
      <w:tr w:rsidR="00E6060C" w:rsidRPr="00E6060C" w14:paraId="4B7786FC" w14:textId="77777777" w:rsidTr="00E6060C">
        <w:tc>
          <w:tcPr>
            <w:tcW w:w="567" w:type="dxa"/>
            <w:shd w:val="clear" w:color="auto" w:fill="D9D9D9" w:themeFill="background1" w:themeFillShade="D9"/>
          </w:tcPr>
          <w:p w14:paraId="160A28B0" w14:textId="77777777" w:rsidR="00E6060C" w:rsidRPr="00E6060C" w:rsidRDefault="00E6060C" w:rsidP="00E6060C">
            <w:pPr>
              <w:contextualSpacing/>
            </w:pPr>
            <w:r w:rsidRPr="00E6060C">
              <w:t>9</w:t>
            </w:r>
          </w:p>
        </w:tc>
        <w:tc>
          <w:tcPr>
            <w:tcW w:w="1419" w:type="dxa"/>
            <w:shd w:val="clear" w:color="auto" w:fill="D9D9D9" w:themeFill="background1" w:themeFillShade="D9"/>
          </w:tcPr>
          <w:p w14:paraId="1EC7B557" w14:textId="06891533" w:rsidR="00E6060C" w:rsidRPr="00E6060C" w:rsidRDefault="00C7646B" w:rsidP="00E6060C">
            <w:pPr>
              <w:contextualSpacing/>
            </w:pPr>
            <w:r>
              <w:t>Koolhaas et al., 2010</w:t>
            </w:r>
          </w:p>
        </w:tc>
        <w:tc>
          <w:tcPr>
            <w:tcW w:w="1451" w:type="dxa"/>
            <w:shd w:val="clear" w:color="auto" w:fill="D9D9D9" w:themeFill="background1" w:themeFillShade="D9"/>
          </w:tcPr>
          <w:p w14:paraId="6E84966E" w14:textId="77777777" w:rsidR="00E6060C" w:rsidRPr="00E6060C" w:rsidRDefault="00E6060C" w:rsidP="00E6060C">
            <w:pPr>
              <w:contextualSpacing/>
            </w:pPr>
            <w:r w:rsidRPr="00E6060C">
              <w:t>Y - Cluster randomised at supervisor level</w:t>
            </w:r>
          </w:p>
        </w:tc>
        <w:tc>
          <w:tcPr>
            <w:tcW w:w="1559" w:type="dxa"/>
            <w:shd w:val="clear" w:color="auto" w:fill="D9D9D9" w:themeFill="background1" w:themeFillShade="D9"/>
          </w:tcPr>
          <w:p w14:paraId="6F8BF344" w14:textId="77777777" w:rsidR="00E6060C" w:rsidRPr="00E6060C" w:rsidRDefault="00E6060C" w:rsidP="00E6060C">
            <w:pPr>
              <w:contextualSpacing/>
            </w:pPr>
            <w:r w:rsidRPr="00E6060C">
              <w:t>N</w:t>
            </w:r>
          </w:p>
        </w:tc>
        <w:tc>
          <w:tcPr>
            <w:tcW w:w="1560" w:type="dxa"/>
            <w:shd w:val="clear" w:color="auto" w:fill="D9D9D9" w:themeFill="background1" w:themeFillShade="D9"/>
          </w:tcPr>
          <w:p w14:paraId="67007AE7" w14:textId="77777777" w:rsidR="00E6060C" w:rsidRPr="00E6060C" w:rsidRDefault="00E6060C" w:rsidP="00E6060C">
            <w:pPr>
              <w:contextualSpacing/>
            </w:pPr>
            <w:r w:rsidRPr="00E6060C">
              <w:t>N</w:t>
            </w:r>
          </w:p>
        </w:tc>
        <w:tc>
          <w:tcPr>
            <w:tcW w:w="1842" w:type="dxa"/>
            <w:shd w:val="clear" w:color="auto" w:fill="D9D9D9" w:themeFill="background1" w:themeFillShade="D9"/>
          </w:tcPr>
          <w:p w14:paraId="1877CBDC" w14:textId="77777777" w:rsidR="00E6060C" w:rsidRPr="00E6060C" w:rsidRDefault="00E6060C" w:rsidP="00E6060C">
            <w:pPr>
              <w:contextualSpacing/>
            </w:pPr>
            <w:r w:rsidRPr="00E6060C">
              <w:t>Control group</w:t>
            </w:r>
          </w:p>
        </w:tc>
        <w:tc>
          <w:tcPr>
            <w:tcW w:w="1984" w:type="dxa"/>
            <w:gridSpan w:val="2"/>
            <w:shd w:val="clear" w:color="auto" w:fill="D9D9D9" w:themeFill="background1" w:themeFillShade="D9"/>
          </w:tcPr>
          <w:p w14:paraId="46D46587" w14:textId="77777777" w:rsidR="00E6060C" w:rsidRPr="00E6060C" w:rsidRDefault="00E6060C" w:rsidP="00E6060C">
            <w:pPr>
              <w:contextualSpacing/>
            </w:pPr>
            <w:r w:rsidRPr="00E6060C">
              <w:t>Ongoing study.</w:t>
            </w:r>
          </w:p>
        </w:tc>
        <w:tc>
          <w:tcPr>
            <w:tcW w:w="1418" w:type="dxa"/>
            <w:gridSpan w:val="2"/>
            <w:shd w:val="clear" w:color="auto" w:fill="D9D9D9" w:themeFill="background1" w:themeFillShade="D9"/>
          </w:tcPr>
          <w:p w14:paraId="5D47C522" w14:textId="77777777" w:rsidR="00E6060C" w:rsidRPr="00E6060C" w:rsidRDefault="00E6060C" w:rsidP="00E6060C">
            <w:pPr>
              <w:contextualSpacing/>
            </w:pPr>
            <w:r w:rsidRPr="00E6060C">
              <w:t>N</w:t>
            </w:r>
          </w:p>
        </w:tc>
        <w:tc>
          <w:tcPr>
            <w:tcW w:w="1559" w:type="dxa"/>
            <w:gridSpan w:val="2"/>
            <w:shd w:val="clear" w:color="auto" w:fill="D9D9D9" w:themeFill="background1" w:themeFillShade="D9"/>
          </w:tcPr>
          <w:p w14:paraId="25628212" w14:textId="77777777" w:rsidR="00E6060C" w:rsidRPr="00E6060C" w:rsidRDefault="00E6060C" w:rsidP="00E6060C">
            <w:pPr>
              <w:contextualSpacing/>
            </w:pPr>
            <w:r w:rsidRPr="00E6060C">
              <w:t>N</w:t>
            </w:r>
          </w:p>
        </w:tc>
        <w:tc>
          <w:tcPr>
            <w:tcW w:w="1135" w:type="dxa"/>
            <w:gridSpan w:val="2"/>
            <w:shd w:val="clear" w:color="auto" w:fill="D9D9D9" w:themeFill="background1" w:themeFillShade="D9"/>
          </w:tcPr>
          <w:p w14:paraId="4F24A269" w14:textId="77777777" w:rsidR="00E6060C" w:rsidRPr="00E6060C" w:rsidRDefault="00E6060C" w:rsidP="00E6060C">
            <w:pPr>
              <w:contextualSpacing/>
            </w:pPr>
            <w:r w:rsidRPr="00E6060C">
              <w:t>Ongoing study</w:t>
            </w:r>
          </w:p>
        </w:tc>
      </w:tr>
      <w:tr w:rsidR="00E6060C" w:rsidRPr="00E6060C" w14:paraId="3C0AE819" w14:textId="77777777" w:rsidTr="00E6060C">
        <w:tc>
          <w:tcPr>
            <w:tcW w:w="567" w:type="dxa"/>
            <w:shd w:val="clear" w:color="auto" w:fill="D9D9D9" w:themeFill="background1" w:themeFillShade="D9"/>
          </w:tcPr>
          <w:p w14:paraId="43826084" w14:textId="77777777" w:rsidR="00E6060C" w:rsidRPr="00E6060C" w:rsidRDefault="00E6060C" w:rsidP="00E6060C">
            <w:pPr>
              <w:contextualSpacing/>
            </w:pPr>
            <w:r w:rsidRPr="00E6060C">
              <w:t>10</w:t>
            </w:r>
          </w:p>
        </w:tc>
        <w:tc>
          <w:tcPr>
            <w:tcW w:w="1419" w:type="dxa"/>
            <w:shd w:val="clear" w:color="auto" w:fill="D9D9D9" w:themeFill="background1" w:themeFillShade="D9"/>
          </w:tcPr>
          <w:p w14:paraId="7BBD822A" w14:textId="06E06D82" w:rsidR="00E6060C" w:rsidRPr="00E6060C" w:rsidRDefault="00C7646B" w:rsidP="00E6060C">
            <w:pPr>
              <w:contextualSpacing/>
            </w:pPr>
            <w:r>
              <w:t>Schelvis et al., 2013</w:t>
            </w:r>
          </w:p>
        </w:tc>
        <w:tc>
          <w:tcPr>
            <w:tcW w:w="1451" w:type="dxa"/>
            <w:shd w:val="clear" w:color="auto" w:fill="D9D9D9" w:themeFill="background1" w:themeFillShade="D9"/>
          </w:tcPr>
          <w:p w14:paraId="303779C6" w14:textId="77777777" w:rsidR="00E6060C" w:rsidRPr="00E6060C" w:rsidRDefault="00E6060C" w:rsidP="00E6060C">
            <w:pPr>
              <w:contextualSpacing/>
            </w:pPr>
            <w:r w:rsidRPr="00E6060C">
              <w:t>N</w:t>
            </w:r>
          </w:p>
        </w:tc>
        <w:tc>
          <w:tcPr>
            <w:tcW w:w="1559" w:type="dxa"/>
            <w:shd w:val="clear" w:color="auto" w:fill="D9D9D9" w:themeFill="background1" w:themeFillShade="D9"/>
          </w:tcPr>
          <w:p w14:paraId="5B4765CA" w14:textId="77777777" w:rsidR="00E6060C" w:rsidRPr="00E6060C" w:rsidRDefault="00E6060C" w:rsidP="00E6060C">
            <w:r w:rsidRPr="00E6060C">
              <w:t>NA</w:t>
            </w:r>
          </w:p>
        </w:tc>
        <w:tc>
          <w:tcPr>
            <w:tcW w:w="1560" w:type="dxa"/>
            <w:shd w:val="clear" w:color="auto" w:fill="D9D9D9" w:themeFill="background1" w:themeFillShade="D9"/>
          </w:tcPr>
          <w:p w14:paraId="5D18CD73" w14:textId="77777777" w:rsidR="00E6060C" w:rsidRPr="00E6060C" w:rsidRDefault="00E6060C" w:rsidP="00E6060C">
            <w:r w:rsidRPr="00E6060C">
              <w:t>N</w:t>
            </w:r>
          </w:p>
        </w:tc>
        <w:tc>
          <w:tcPr>
            <w:tcW w:w="1842" w:type="dxa"/>
            <w:shd w:val="clear" w:color="auto" w:fill="D9D9D9" w:themeFill="background1" w:themeFillShade="D9"/>
          </w:tcPr>
          <w:p w14:paraId="1B8E912B" w14:textId="77777777" w:rsidR="00E6060C" w:rsidRPr="00E6060C" w:rsidRDefault="00E6060C" w:rsidP="00E6060C">
            <w:r w:rsidRPr="00E6060C">
              <w:t xml:space="preserve">Matched control planned </w:t>
            </w:r>
          </w:p>
        </w:tc>
        <w:tc>
          <w:tcPr>
            <w:tcW w:w="1984" w:type="dxa"/>
            <w:gridSpan w:val="2"/>
            <w:shd w:val="clear" w:color="auto" w:fill="D9D9D9" w:themeFill="background1" w:themeFillShade="D9"/>
          </w:tcPr>
          <w:p w14:paraId="4763D0AC" w14:textId="77777777" w:rsidR="00E6060C" w:rsidRPr="00E6060C" w:rsidRDefault="00E6060C" w:rsidP="00E6060C">
            <w:pPr>
              <w:contextualSpacing/>
            </w:pPr>
            <w:r w:rsidRPr="00E6060C">
              <w:t>Assessing differences between groups  planned</w:t>
            </w:r>
          </w:p>
        </w:tc>
        <w:tc>
          <w:tcPr>
            <w:tcW w:w="1418" w:type="dxa"/>
            <w:gridSpan w:val="2"/>
            <w:shd w:val="clear" w:color="auto" w:fill="D9D9D9" w:themeFill="background1" w:themeFillShade="D9"/>
          </w:tcPr>
          <w:p w14:paraId="5B493D36" w14:textId="77777777" w:rsidR="00E6060C" w:rsidRPr="00E6060C" w:rsidRDefault="00E6060C" w:rsidP="00E6060C">
            <w:r w:rsidRPr="00E6060C">
              <w:t>N</w:t>
            </w:r>
          </w:p>
        </w:tc>
        <w:tc>
          <w:tcPr>
            <w:tcW w:w="1559" w:type="dxa"/>
            <w:gridSpan w:val="2"/>
            <w:shd w:val="clear" w:color="auto" w:fill="D9D9D9" w:themeFill="background1" w:themeFillShade="D9"/>
          </w:tcPr>
          <w:p w14:paraId="23BE1B95" w14:textId="77777777" w:rsidR="00E6060C" w:rsidRPr="00E6060C" w:rsidRDefault="00E6060C" w:rsidP="00E6060C">
            <w:r w:rsidRPr="00E6060C">
              <w:t>N</w:t>
            </w:r>
          </w:p>
        </w:tc>
        <w:tc>
          <w:tcPr>
            <w:tcW w:w="1135" w:type="dxa"/>
            <w:gridSpan w:val="2"/>
            <w:shd w:val="clear" w:color="auto" w:fill="D9D9D9" w:themeFill="background1" w:themeFillShade="D9"/>
          </w:tcPr>
          <w:p w14:paraId="4F34EA3C" w14:textId="77777777" w:rsidR="00E6060C" w:rsidRPr="00E6060C" w:rsidRDefault="00E6060C" w:rsidP="00E6060C">
            <w:pPr>
              <w:contextualSpacing/>
            </w:pPr>
            <w:r w:rsidRPr="00E6060C">
              <w:t>Ongoing study</w:t>
            </w:r>
          </w:p>
        </w:tc>
      </w:tr>
      <w:tr w:rsidR="00E6060C" w:rsidRPr="00E6060C" w14:paraId="15F9BF25" w14:textId="77777777" w:rsidTr="00E6060C">
        <w:tc>
          <w:tcPr>
            <w:tcW w:w="567" w:type="dxa"/>
            <w:shd w:val="clear" w:color="auto" w:fill="D9D9D9" w:themeFill="background1" w:themeFillShade="D9"/>
          </w:tcPr>
          <w:p w14:paraId="0976DAEE" w14:textId="77777777" w:rsidR="00E6060C" w:rsidRPr="00E6060C" w:rsidRDefault="00E6060C" w:rsidP="00E6060C">
            <w:pPr>
              <w:contextualSpacing/>
            </w:pPr>
            <w:r w:rsidRPr="00E6060C">
              <w:t>11</w:t>
            </w:r>
          </w:p>
        </w:tc>
        <w:tc>
          <w:tcPr>
            <w:tcW w:w="1419" w:type="dxa"/>
            <w:shd w:val="clear" w:color="auto" w:fill="D9D9D9" w:themeFill="background1" w:themeFillShade="D9"/>
          </w:tcPr>
          <w:p w14:paraId="2FB999C1" w14:textId="0E5AEF92" w:rsidR="00E6060C" w:rsidRPr="00E6060C" w:rsidRDefault="009B6619" w:rsidP="00E6060C">
            <w:pPr>
              <w:contextualSpacing/>
            </w:pPr>
            <w:r>
              <w:t>Shaw et al., 2014</w:t>
            </w:r>
          </w:p>
        </w:tc>
        <w:tc>
          <w:tcPr>
            <w:tcW w:w="1451" w:type="dxa"/>
            <w:shd w:val="clear" w:color="auto" w:fill="D9D9D9" w:themeFill="background1" w:themeFillShade="D9"/>
          </w:tcPr>
          <w:p w14:paraId="7E4C4AEA" w14:textId="77777777" w:rsidR="00E6060C" w:rsidRPr="00E6060C" w:rsidRDefault="00E6060C" w:rsidP="00E6060C">
            <w:pPr>
              <w:contextualSpacing/>
            </w:pPr>
            <w:r w:rsidRPr="00E6060C">
              <w:t>Y</w:t>
            </w:r>
          </w:p>
        </w:tc>
        <w:tc>
          <w:tcPr>
            <w:tcW w:w="1559" w:type="dxa"/>
            <w:shd w:val="clear" w:color="auto" w:fill="D9D9D9" w:themeFill="background1" w:themeFillShade="D9"/>
          </w:tcPr>
          <w:p w14:paraId="4FE2EFFD" w14:textId="77777777" w:rsidR="00E6060C" w:rsidRPr="00E6060C" w:rsidRDefault="00E6060C" w:rsidP="00E6060C">
            <w:pPr>
              <w:contextualSpacing/>
            </w:pPr>
            <w:r w:rsidRPr="00E6060C">
              <w:t>Y</w:t>
            </w:r>
          </w:p>
        </w:tc>
        <w:tc>
          <w:tcPr>
            <w:tcW w:w="1560" w:type="dxa"/>
            <w:shd w:val="clear" w:color="auto" w:fill="D9D9D9" w:themeFill="background1" w:themeFillShade="D9"/>
          </w:tcPr>
          <w:p w14:paraId="501D95D9" w14:textId="77777777" w:rsidR="00E6060C" w:rsidRPr="00E6060C" w:rsidRDefault="00E6060C" w:rsidP="00E6060C">
            <w:pPr>
              <w:contextualSpacing/>
            </w:pPr>
            <w:r w:rsidRPr="00E6060C">
              <w:t>Y</w:t>
            </w:r>
          </w:p>
        </w:tc>
        <w:tc>
          <w:tcPr>
            <w:tcW w:w="1842" w:type="dxa"/>
            <w:shd w:val="clear" w:color="auto" w:fill="D9D9D9" w:themeFill="background1" w:themeFillShade="D9"/>
          </w:tcPr>
          <w:p w14:paraId="1A0A96FA" w14:textId="77777777" w:rsidR="00E6060C" w:rsidRPr="00E6060C" w:rsidRDefault="00E6060C" w:rsidP="00E6060C">
            <w:pPr>
              <w:contextualSpacing/>
            </w:pPr>
            <w:r w:rsidRPr="00E6060C">
              <w:t>Participants not yet recruited</w:t>
            </w:r>
          </w:p>
        </w:tc>
        <w:tc>
          <w:tcPr>
            <w:tcW w:w="1984" w:type="dxa"/>
            <w:gridSpan w:val="2"/>
            <w:shd w:val="clear" w:color="auto" w:fill="D9D9D9" w:themeFill="background1" w:themeFillShade="D9"/>
          </w:tcPr>
          <w:p w14:paraId="234EB2F0" w14:textId="77777777" w:rsidR="00E6060C" w:rsidRPr="00E6060C" w:rsidRDefault="00E6060C" w:rsidP="00E6060C">
            <w:pPr>
              <w:contextualSpacing/>
            </w:pPr>
            <w:r w:rsidRPr="00E6060C">
              <w:t xml:space="preserve">Ongoing study. </w:t>
            </w:r>
          </w:p>
        </w:tc>
        <w:tc>
          <w:tcPr>
            <w:tcW w:w="1418" w:type="dxa"/>
            <w:gridSpan w:val="2"/>
            <w:shd w:val="clear" w:color="auto" w:fill="D9D9D9" w:themeFill="background1" w:themeFillShade="D9"/>
          </w:tcPr>
          <w:p w14:paraId="1D336AEB" w14:textId="77777777" w:rsidR="00E6060C" w:rsidRPr="00E6060C" w:rsidRDefault="00E6060C" w:rsidP="00E6060C">
            <w:pPr>
              <w:contextualSpacing/>
            </w:pPr>
            <w:r w:rsidRPr="00E6060C">
              <w:t>Y</w:t>
            </w:r>
          </w:p>
        </w:tc>
        <w:tc>
          <w:tcPr>
            <w:tcW w:w="1559" w:type="dxa"/>
            <w:gridSpan w:val="2"/>
            <w:shd w:val="clear" w:color="auto" w:fill="D9D9D9" w:themeFill="background1" w:themeFillShade="D9"/>
          </w:tcPr>
          <w:p w14:paraId="58998905" w14:textId="77777777" w:rsidR="00E6060C" w:rsidRPr="00E6060C" w:rsidRDefault="00E6060C" w:rsidP="00E6060C">
            <w:pPr>
              <w:contextualSpacing/>
            </w:pPr>
            <w:r w:rsidRPr="00E6060C">
              <w:t>Y</w:t>
            </w:r>
          </w:p>
        </w:tc>
        <w:tc>
          <w:tcPr>
            <w:tcW w:w="1135" w:type="dxa"/>
            <w:gridSpan w:val="2"/>
            <w:shd w:val="clear" w:color="auto" w:fill="D9D9D9" w:themeFill="background1" w:themeFillShade="D9"/>
          </w:tcPr>
          <w:p w14:paraId="152A61E1" w14:textId="77777777" w:rsidR="00E6060C" w:rsidRPr="00E6060C" w:rsidRDefault="00E6060C" w:rsidP="00E6060C">
            <w:pPr>
              <w:contextualSpacing/>
            </w:pPr>
            <w:r w:rsidRPr="00E6060C">
              <w:t>-</w:t>
            </w:r>
          </w:p>
        </w:tc>
      </w:tr>
      <w:tr w:rsidR="00E6060C" w:rsidRPr="00E6060C" w14:paraId="709BE039" w14:textId="77777777" w:rsidTr="00E6060C">
        <w:tc>
          <w:tcPr>
            <w:tcW w:w="567" w:type="dxa"/>
            <w:tcBorders>
              <w:bottom w:val="single" w:sz="4" w:space="0" w:color="auto"/>
            </w:tcBorders>
            <w:shd w:val="clear" w:color="auto" w:fill="D9D9D9" w:themeFill="background1" w:themeFillShade="D9"/>
          </w:tcPr>
          <w:p w14:paraId="2926B015" w14:textId="77777777" w:rsidR="00E6060C" w:rsidRPr="00E6060C" w:rsidRDefault="00E6060C" w:rsidP="00E6060C">
            <w:pPr>
              <w:contextualSpacing/>
            </w:pPr>
            <w:r w:rsidRPr="00E6060C">
              <w:t>12</w:t>
            </w:r>
          </w:p>
        </w:tc>
        <w:tc>
          <w:tcPr>
            <w:tcW w:w="1419" w:type="dxa"/>
            <w:tcBorders>
              <w:bottom w:val="single" w:sz="4" w:space="0" w:color="auto"/>
            </w:tcBorders>
            <w:shd w:val="clear" w:color="auto" w:fill="D9D9D9" w:themeFill="background1" w:themeFillShade="D9"/>
          </w:tcPr>
          <w:p w14:paraId="4C3DCD9A" w14:textId="2D547F19" w:rsidR="00E6060C" w:rsidRPr="00E6060C" w:rsidRDefault="00C7646B" w:rsidP="00E6060C">
            <w:pPr>
              <w:contextualSpacing/>
            </w:pPr>
            <w:r>
              <w:t>Yuan</w:t>
            </w:r>
            <w:r w:rsidR="00004C6F">
              <w:t xml:space="preserve"> et al.</w:t>
            </w:r>
            <w:r>
              <w:t>, 2014</w:t>
            </w:r>
          </w:p>
          <w:p w14:paraId="7A055AB8" w14:textId="77777777" w:rsidR="00E6060C" w:rsidRPr="00E6060C" w:rsidRDefault="00E6060C" w:rsidP="00E6060C">
            <w:pPr>
              <w:contextualSpacing/>
              <w:jc w:val="center"/>
            </w:pPr>
          </w:p>
        </w:tc>
        <w:tc>
          <w:tcPr>
            <w:tcW w:w="1451" w:type="dxa"/>
            <w:tcBorders>
              <w:bottom w:val="single" w:sz="4" w:space="0" w:color="auto"/>
            </w:tcBorders>
            <w:shd w:val="clear" w:color="auto" w:fill="D9D9D9" w:themeFill="background1" w:themeFillShade="D9"/>
          </w:tcPr>
          <w:p w14:paraId="3A763383" w14:textId="77777777" w:rsidR="00E6060C" w:rsidRPr="00E6060C" w:rsidRDefault="00E6060C" w:rsidP="00E6060C">
            <w:pPr>
              <w:contextualSpacing/>
            </w:pPr>
            <w:r w:rsidRPr="00E6060C">
              <w:t>Y</w:t>
            </w:r>
          </w:p>
        </w:tc>
        <w:tc>
          <w:tcPr>
            <w:tcW w:w="1559" w:type="dxa"/>
            <w:tcBorders>
              <w:bottom w:val="single" w:sz="4" w:space="0" w:color="auto"/>
            </w:tcBorders>
            <w:shd w:val="clear" w:color="auto" w:fill="D9D9D9" w:themeFill="background1" w:themeFillShade="D9"/>
          </w:tcPr>
          <w:p w14:paraId="63A30D5E" w14:textId="77777777" w:rsidR="00E6060C" w:rsidRPr="00E6060C" w:rsidRDefault="00E6060C" w:rsidP="00E6060C">
            <w:pPr>
              <w:contextualSpacing/>
            </w:pPr>
            <w:r w:rsidRPr="00E6060C">
              <w:t>N</w:t>
            </w:r>
          </w:p>
        </w:tc>
        <w:tc>
          <w:tcPr>
            <w:tcW w:w="1560" w:type="dxa"/>
            <w:tcBorders>
              <w:bottom w:val="single" w:sz="4" w:space="0" w:color="auto"/>
            </w:tcBorders>
            <w:shd w:val="clear" w:color="auto" w:fill="D9D9D9" w:themeFill="background1" w:themeFillShade="D9"/>
          </w:tcPr>
          <w:p w14:paraId="0144B4C1" w14:textId="77777777" w:rsidR="00E6060C" w:rsidRPr="00E6060C" w:rsidRDefault="00E6060C" w:rsidP="00E6060C">
            <w:pPr>
              <w:contextualSpacing/>
            </w:pPr>
            <w:r w:rsidRPr="00E6060C">
              <w:t>N</w:t>
            </w:r>
          </w:p>
        </w:tc>
        <w:tc>
          <w:tcPr>
            <w:tcW w:w="1842" w:type="dxa"/>
            <w:tcBorders>
              <w:bottom w:val="single" w:sz="4" w:space="0" w:color="auto"/>
            </w:tcBorders>
            <w:shd w:val="clear" w:color="auto" w:fill="D9D9D9" w:themeFill="background1" w:themeFillShade="D9"/>
          </w:tcPr>
          <w:p w14:paraId="43D70F47" w14:textId="77777777" w:rsidR="00E6060C" w:rsidRPr="00E6060C" w:rsidRDefault="00E6060C" w:rsidP="00E6060C">
            <w:pPr>
              <w:contextualSpacing/>
            </w:pPr>
            <w:r w:rsidRPr="00E6060C">
              <w:t>Not yet recruited</w:t>
            </w:r>
          </w:p>
        </w:tc>
        <w:tc>
          <w:tcPr>
            <w:tcW w:w="1984" w:type="dxa"/>
            <w:gridSpan w:val="2"/>
            <w:tcBorders>
              <w:bottom w:val="single" w:sz="4" w:space="0" w:color="auto"/>
            </w:tcBorders>
            <w:shd w:val="clear" w:color="auto" w:fill="D9D9D9" w:themeFill="background1" w:themeFillShade="D9"/>
          </w:tcPr>
          <w:p w14:paraId="2C71F55B" w14:textId="77777777" w:rsidR="00E6060C" w:rsidRPr="00E6060C" w:rsidRDefault="00E6060C" w:rsidP="00E6060C">
            <w:pPr>
              <w:contextualSpacing/>
            </w:pPr>
            <w:r w:rsidRPr="00E6060C">
              <w:t>N/A</w:t>
            </w:r>
          </w:p>
        </w:tc>
        <w:tc>
          <w:tcPr>
            <w:tcW w:w="1418" w:type="dxa"/>
            <w:gridSpan w:val="2"/>
            <w:tcBorders>
              <w:bottom w:val="single" w:sz="4" w:space="0" w:color="auto"/>
            </w:tcBorders>
            <w:shd w:val="clear" w:color="auto" w:fill="D9D9D9" w:themeFill="background1" w:themeFillShade="D9"/>
          </w:tcPr>
          <w:p w14:paraId="2ADE6BD7" w14:textId="77777777" w:rsidR="00E6060C" w:rsidRPr="00E6060C" w:rsidRDefault="00E6060C" w:rsidP="00E6060C">
            <w:pPr>
              <w:contextualSpacing/>
            </w:pPr>
            <w:r w:rsidRPr="00E6060C">
              <w:t>N</w:t>
            </w:r>
          </w:p>
        </w:tc>
        <w:tc>
          <w:tcPr>
            <w:tcW w:w="1559" w:type="dxa"/>
            <w:gridSpan w:val="2"/>
            <w:tcBorders>
              <w:bottom w:val="single" w:sz="4" w:space="0" w:color="auto"/>
            </w:tcBorders>
            <w:shd w:val="clear" w:color="auto" w:fill="D9D9D9" w:themeFill="background1" w:themeFillShade="D9"/>
          </w:tcPr>
          <w:p w14:paraId="31DBF165" w14:textId="77777777" w:rsidR="00E6060C" w:rsidRPr="00E6060C" w:rsidRDefault="00E6060C" w:rsidP="00E6060C">
            <w:pPr>
              <w:contextualSpacing/>
            </w:pPr>
            <w:r w:rsidRPr="00E6060C">
              <w:t>N</w:t>
            </w:r>
          </w:p>
        </w:tc>
        <w:tc>
          <w:tcPr>
            <w:tcW w:w="1135" w:type="dxa"/>
            <w:gridSpan w:val="2"/>
            <w:tcBorders>
              <w:bottom w:val="single" w:sz="4" w:space="0" w:color="auto"/>
            </w:tcBorders>
            <w:shd w:val="clear" w:color="auto" w:fill="D9D9D9" w:themeFill="background1" w:themeFillShade="D9"/>
          </w:tcPr>
          <w:p w14:paraId="5DC884CF" w14:textId="77777777" w:rsidR="00E6060C" w:rsidRPr="00E6060C" w:rsidRDefault="00E6060C" w:rsidP="00E6060C">
            <w:pPr>
              <w:contextualSpacing/>
            </w:pPr>
            <w:r w:rsidRPr="00E6060C">
              <w:t>Ongoing study</w:t>
            </w:r>
          </w:p>
        </w:tc>
      </w:tr>
      <w:tr w:rsidR="00E6060C" w:rsidRPr="00E6060C" w14:paraId="41DA6EA2" w14:textId="77777777" w:rsidTr="00E6060C">
        <w:trPr>
          <w:gridAfter w:val="1"/>
          <w:wAfter w:w="6" w:type="dxa"/>
        </w:trPr>
        <w:tc>
          <w:tcPr>
            <w:tcW w:w="14488" w:type="dxa"/>
            <w:gridSpan w:val="13"/>
            <w:tcBorders>
              <w:top w:val="single" w:sz="4" w:space="0" w:color="auto"/>
              <w:bottom w:val="single" w:sz="4" w:space="0" w:color="auto"/>
            </w:tcBorders>
          </w:tcPr>
          <w:p w14:paraId="26F5E18C" w14:textId="77777777" w:rsidR="00E6060C" w:rsidRPr="00E6060C" w:rsidRDefault="00E6060C" w:rsidP="00E6060C">
            <w:pPr>
              <w:contextualSpacing/>
              <w:rPr>
                <w:b/>
                <w:sz w:val="28"/>
                <w:szCs w:val="28"/>
              </w:rPr>
            </w:pPr>
            <w:r w:rsidRPr="00E6060C">
              <w:rPr>
                <w:b/>
                <w:sz w:val="28"/>
                <w:szCs w:val="28"/>
              </w:rPr>
              <w:t xml:space="preserve">JOB RESOURCE BUILDING INTERVENTIONS </w:t>
            </w:r>
          </w:p>
        </w:tc>
      </w:tr>
      <w:tr w:rsidR="00E6060C" w:rsidRPr="00E6060C" w14:paraId="2D2E34F3" w14:textId="77777777" w:rsidTr="00E6060C">
        <w:tc>
          <w:tcPr>
            <w:tcW w:w="567" w:type="dxa"/>
            <w:tcBorders>
              <w:top w:val="single" w:sz="4" w:space="0" w:color="auto"/>
            </w:tcBorders>
          </w:tcPr>
          <w:p w14:paraId="73D30E39" w14:textId="77777777" w:rsidR="00E6060C" w:rsidRPr="00E6060C" w:rsidRDefault="00E6060C" w:rsidP="00E6060C">
            <w:pPr>
              <w:contextualSpacing/>
            </w:pPr>
            <w:r w:rsidRPr="00E6060C">
              <w:t>13</w:t>
            </w:r>
          </w:p>
        </w:tc>
        <w:tc>
          <w:tcPr>
            <w:tcW w:w="1419" w:type="dxa"/>
            <w:tcBorders>
              <w:top w:val="single" w:sz="4" w:space="0" w:color="auto"/>
            </w:tcBorders>
          </w:tcPr>
          <w:p w14:paraId="02D58497" w14:textId="73157DC8"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Cifre et al., 2011 </w:t>
            </w:r>
          </w:p>
        </w:tc>
        <w:tc>
          <w:tcPr>
            <w:tcW w:w="1451" w:type="dxa"/>
            <w:tcBorders>
              <w:top w:val="single" w:sz="4" w:space="0" w:color="auto"/>
            </w:tcBorders>
          </w:tcPr>
          <w:p w14:paraId="544C4D47" w14:textId="77777777" w:rsidR="00E6060C" w:rsidRPr="00E6060C" w:rsidRDefault="00E6060C" w:rsidP="00E6060C">
            <w:pPr>
              <w:contextualSpacing/>
            </w:pPr>
            <w:r w:rsidRPr="00E6060C">
              <w:t>N</w:t>
            </w:r>
          </w:p>
        </w:tc>
        <w:tc>
          <w:tcPr>
            <w:tcW w:w="1559" w:type="dxa"/>
            <w:tcBorders>
              <w:top w:val="single" w:sz="4" w:space="0" w:color="auto"/>
            </w:tcBorders>
          </w:tcPr>
          <w:p w14:paraId="0E3D6E05" w14:textId="77777777" w:rsidR="00E6060C" w:rsidRPr="00E6060C" w:rsidRDefault="00E6060C" w:rsidP="00E6060C">
            <w:r w:rsidRPr="00E6060C">
              <w:t>NA</w:t>
            </w:r>
          </w:p>
        </w:tc>
        <w:tc>
          <w:tcPr>
            <w:tcW w:w="1560" w:type="dxa"/>
            <w:tcBorders>
              <w:top w:val="single" w:sz="4" w:space="0" w:color="auto"/>
            </w:tcBorders>
          </w:tcPr>
          <w:p w14:paraId="65B27C66" w14:textId="77777777" w:rsidR="00E6060C" w:rsidRPr="00E6060C" w:rsidRDefault="00E6060C" w:rsidP="00E6060C">
            <w:pPr>
              <w:contextualSpacing/>
            </w:pPr>
            <w:r w:rsidRPr="00E6060C">
              <w:t>N</w:t>
            </w:r>
          </w:p>
        </w:tc>
        <w:tc>
          <w:tcPr>
            <w:tcW w:w="1842" w:type="dxa"/>
            <w:tcBorders>
              <w:top w:val="single" w:sz="4" w:space="0" w:color="auto"/>
            </w:tcBorders>
          </w:tcPr>
          <w:p w14:paraId="0B5B32F2" w14:textId="77777777" w:rsidR="00E6060C" w:rsidRPr="00E6060C" w:rsidRDefault="00E6060C" w:rsidP="00E6060C">
            <w:pPr>
              <w:contextualSpacing/>
            </w:pPr>
            <w:r w:rsidRPr="00E6060C">
              <w:t>Other organisational depts</w:t>
            </w:r>
          </w:p>
        </w:tc>
        <w:tc>
          <w:tcPr>
            <w:tcW w:w="1984" w:type="dxa"/>
            <w:gridSpan w:val="2"/>
            <w:tcBorders>
              <w:top w:val="single" w:sz="4" w:space="0" w:color="auto"/>
            </w:tcBorders>
          </w:tcPr>
          <w:p w14:paraId="44BE11E1" w14:textId="77777777" w:rsidR="00E6060C" w:rsidRPr="00E6060C" w:rsidRDefault="00E6060C" w:rsidP="00F15DDF">
            <w:pPr>
              <w:numPr>
                <w:ilvl w:val="0"/>
                <w:numId w:val="45"/>
              </w:numPr>
              <w:ind w:left="176" w:hanging="142"/>
              <w:contextualSpacing/>
            </w:pPr>
            <w:r w:rsidRPr="00E6060C">
              <w:t xml:space="preserve">Control higher in work overload at T1 &amp; T2. </w:t>
            </w:r>
          </w:p>
          <w:p w14:paraId="4AC0C5C5" w14:textId="77777777" w:rsidR="00E6060C" w:rsidRPr="00E6060C" w:rsidRDefault="00E6060C" w:rsidP="00F15DDF">
            <w:pPr>
              <w:numPr>
                <w:ilvl w:val="0"/>
                <w:numId w:val="45"/>
              </w:numPr>
              <w:ind w:left="176" w:hanging="142"/>
              <w:contextualSpacing/>
            </w:pPr>
            <w:r w:rsidRPr="00E6060C">
              <w:t xml:space="preserve">Control perceived better </w:t>
            </w:r>
            <w:r w:rsidRPr="00E6060C">
              <w:lastRenderedPageBreak/>
              <w:t xml:space="preserve">quality training at T1. </w:t>
            </w:r>
          </w:p>
        </w:tc>
        <w:tc>
          <w:tcPr>
            <w:tcW w:w="1418" w:type="dxa"/>
            <w:gridSpan w:val="2"/>
            <w:tcBorders>
              <w:top w:val="single" w:sz="4" w:space="0" w:color="auto"/>
            </w:tcBorders>
          </w:tcPr>
          <w:p w14:paraId="606FF905" w14:textId="77777777" w:rsidR="00E6060C" w:rsidRPr="00E6060C" w:rsidRDefault="00E6060C" w:rsidP="00E6060C">
            <w:pPr>
              <w:contextualSpacing/>
            </w:pPr>
            <w:r w:rsidRPr="00E6060C">
              <w:lastRenderedPageBreak/>
              <w:t>N</w:t>
            </w:r>
          </w:p>
        </w:tc>
        <w:tc>
          <w:tcPr>
            <w:tcW w:w="1559" w:type="dxa"/>
            <w:gridSpan w:val="2"/>
            <w:tcBorders>
              <w:top w:val="single" w:sz="4" w:space="0" w:color="auto"/>
            </w:tcBorders>
          </w:tcPr>
          <w:p w14:paraId="42B12895" w14:textId="77777777" w:rsidR="00E6060C" w:rsidRPr="00E6060C" w:rsidRDefault="00E6060C" w:rsidP="00E6060C">
            <w:pPr>
              <w:contextualSpacing/>
            </w:pPr>
            <w:r w:rsidRPr="00E6060C">
              <w:t>N</w:t>
            </w:r>
          </w:p>
        </w:tc>
        <w:tc>
          <w:tcPr>
            <w:tcW w:w="1135" w:type="dxa"/>
            <w:gridSpan w:val="2"/>
            <w:tcBorders>
              <w:top w:val="single" w:sz="4" w:space="0" w:color="auto"/>
            </w:tcBorders>
          </w:tcPr>
          <w:p w14:paraId="216EA7F5" w14:textId="77777777" w:rsidR="00E6060C" w:rsidRPr="00E6060C" w:rsidRDefault="00E6060C" w:rsidP="00E6060C">
            <w:pPr>
              <w:contextualSpacing/>
            </w:pPr>
            <w:r w:rsidRPr="00E6060C">
              <w:t>Y</w:t>
            </w:r>
          </w:p>
        </w:tc>
      </w:tr>
      <w:tr w:rsidR="00E6060C" w:rsidRPr="00E6060C" w14:paraId="34CA4956" w14:textId="77777777" w:rsidTr="00E6060C">
        <w:tc>
          <w:tcPr>
            <w:tcW w:w="567" w:type="dxa"/>
          </w:tcPr>
          <w:p w14:paraId="60B22B09" w14:textId="77777777" w:rsidR="00E6060C" w:rsidRPr="00E6060C" w:rsidRDefault="00E6060C" w:rsidP="00E6060C">
            <w:pPr>
              <w:contextualSpacing/>
            </w:pPr>
            <w:r w:rsidRPr="00E6060C">
              <w:t>14</w:t>
            </w:r>
          </w:p>
        </w:tc>
        <w:tc>
          <w:tcPr>
            <w:tcW w:w="1419" w:type="dxa"/>
          </w:tcPr>
          <w:p w14:paraId="2E29F387" w14:textId="189500CC"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Coffeng et al., 2014 </w:t>
            </w:r>
          </w:p>
        </w:tc>
        <w:tc>
          <w:tcPr>
            <w:tcW w:w="1451" w:type="dxa"/>
          </w:tcPr>
          <w:p w14:paraId="1A70542B" w14:textId="77777777" w:rsidR="00E6060C" w:rsidRPr="00E6060C" w:rsidRDefault="00E6060C" w:rsidP="00E6060C">
            <w:pPr>
              <w:contextualSpacing/>
            </w:pPr>
            <w:r w:rsidRPr="00E6060C">
              <w:t>Y</w:t>
            </w:r>
          </w:p>
        </w:tc>
        <w:tc>
          <w:tcPr>
            <w:tcW w:w="1559" w:type="dxa"/>
          </w:tcPr>
          <w:p w14:paraId="6259AC18" w14:textId="77777777" w:rsidR="00E6060C" w:rsidRPr="00E6060C" w:rsidRDefault="00E6060C" w:rsidP="00E6060C">
            <w:pPr>
              <w:contextualSpacing/>
            </w:pPr>
            <w:r w:rsidRPr="00E6060C">
              <w:t>Unclear</w:t>
            </w:r>
          </w:p>
        </w:tc>
        <w:tc>
          <w:tcPr>
            <w:tcW w:w="1560" w:type="dxa"/>
          </w:tcPr>
          <w:p w14:paraId="252BF095" w14:textId="77777777" w:rsidR="00E6060C" w:rsidRPr="00E6060C" w:rsidRDefault="00E6060C" w:rsidP="00E6060C">
            <w:pPr>
              <w:contextualSpacing/>
            </w:pPr>
            <w:r w:rsidRPr="00E6060C">
              <w:t>Y</w:t>
            </w:r>
          </w:p>
        </w:tc>
        <w:tc>
          <w:tcPr>
            <w:tcW w:w="1842" w:type="dxa"/>
          </w:tcPr>
          <w:p w14:paraId="21B95222" w14:textId="77777777" w:rsidR="00E6060C" w:rsidRPr="00E6060C" w:rsidRDefault="00E6060C" w:rsidP="00E6060C">
            <w:pPr>
              <w:contextualSpacing/>
            </w:pPr>
            <w:r w:rsidRPr="00E6060C">
              <w:t>3 groups:</w:t>
            </w:r>
          </w:p>
          <w:p w14:paraId="5D909933" w14:textId="77777777" w:rsidR="00E6060C" w:rsidRPr="00E6060C" w:rsidRDefault="00E6060C" w:rsidP="00E6060C">
            <w:pPr>
              <w:contextualSpacing/>
            </w:pPr>
            <w:r w:rsidRPr="00E6060C">
              <w:t>Social condition only;</w:t>
            </w:r>
          </w:p>
          <w:p w14:paraId="0F5211DF" w14:textId="77777777" w:rsidR="00E6060C" w:rsidRPr="00E6060C" w:rsidRDefault="00E6060C" w:rsidP="00E6060C">
            <w:pPr>
              <w:contextualSpacing/>
            </w:pPr>
            <w:r w:rsidRPr="00E6060C">
              <w:t>Physical condition only;</w:t>
            </w:r>
          </w:p>
          <w:p w14:paraId="5A845168" w14:textId="77777777" w:rsidR="00E6060C" w:rsidRPr="00E6060C" w:rsidRDefault="00E6060C" w:rsidP="00E6060C">
            <w:pPr>
              <w:contextualSpacing/>
            </w:pPr>
            <w:r w:rsidRPr="00E6060C">
              <w:t xml:space="preserve">No intervention </w:t>
            </w:r>
          </w:p>
        </w:tc>
        <w:tc>
          <w:tcPr>
            <w:tcW w:w="1984" w:type="dxa"/>
            <w:gridSpan w:val="2"/>
          </w:tcPr>
          <w:p w14:paraId="2133E1DE" w14:textId="77777777" w:rsidR="00E6060C" w:rsidRPr="00E6060C" w:rsidRDefault="00E6060C" w:rsidP="00F15DDF">
            <w:pPr>
              <w:numPr>
                <w:ilvl w:val="0"/>
                <w:numId w:val="45"/>
              </w:numPr>
              <w:ind w:left="176" w:hanging="142"/>
              <w:contextualSpacing/>
            </w:pPr>
            <w:r w:rsidRPr="00E6060C">
              <w:t>No signif. diffs.</w:t>
            </w:r>
          </w:p>
        </w:tc>
        <w:tc>
          <w:tcPr>
            <w:tcW w:w="1418" w:type="dxa"/>
            <w:gridSpan w:val="2"/>
          </w:tcPr>
          <w:p w14:paraId="5E6CC861" w14:textId="77777777" w:rsidR="00E6060C" w:rsidRPr="00E6060C" w:rsidRDefault="00E6060C" w:rsidP="00E6060C">
            <w:pPr>
              <w:contextualSpacing/>
            </w:pPr>
            <w:r w:rsidRPr="00E6060C">
              <w:t>N</w:t>
            </w:r>
          </w:p>
        </w:tc>
        <w:tc>
          <w:tcPr>
            <w:tcW w:w="1559" w:type="dxa"/>
            <w:gridSpan w:val="2"/>
          </w:tcPr>
          <w:p w14:paraId="0E501D10" w14:textId="77777777" w:rsidR="00E6060C" w:rsidRPr="00E6060C" w:rsidRDefault="00E6060C" w:rsidP="00E6060C">
            <w:pPr>
              <w:contextualSpacing/>
            </w:pPr>
            <w:r w:rsidRPr="00E6060C">
              <w:t>N</w:t>
            </w:r>
          </w:p>
        </w:tc>
        <w:tc>
          <w:tcPr>
            <w:tcW w:w="1135" w:type="dxa"/>
            <w:gridSpan w:val="2"/>
          </w:tcPr>
          <w:p w14:paraId="3277B0E7" w14:textId="77777777" w:rsidR="00E6060C" w:rsidRPr="00E6060C" w:rsidRDefault="00E6060C" w:rsidP="00E6060C">
            <w:pPr>
              <w:contextualSpacing/>
            </w:pPr>
            <w:r w:rsidRPr="00E6060C">
              <w:t>Y</w:t>
            </w:r>
          </w:p>
        </w:tc>
      </w:tr>
      <w:tr w:rsidR="00E6060C" w:rsidRPr="00E6060C" w14:paraId="2972A195" w14:textId="77777777" w:rsidTr="00E6060C">
        <w:tc>
          <w:tcPr>
            <w:tcW w:w="567" w:type="dxa"/>
          </w:tcPr>
          <w:p w14:paraId="4F6C43A7" w14:textId="77777777" w:rsidR="00E6060C" w:rsidRPr="00E6060C" w:rsidRDefault="00E6060C" w:rsidP="00E6060C">
            <w:pPr>
              <w:contextualSpacing/>
            </w:pPr>
            <w:r w:rsidRPr="00E6060C">
              <w:t>15</w:t>
            </w:r>
          </w:p>
        </w:tc>
        <w:tc>
          <w:tcPr>
            <w:tcW w:w="1419" w:type="dxa"/>
          </w:tcPr>
          <w:p w14:paraId="076C4E97" w14:textId="77777777" w:rsidR="00E6060C" w:rsidRPr="00E6060C" w:rsidRDefault="00E6060C" w:rsidP="00E6060C">
            <w:pPr>
              <w:contextualSpacing/>
            </w:pPr>
            <w:r w:rsidRPr="00E6060C">
              <w:t>Kawakami et al., 2012</w:t>
            </w:r>
          </w:p>
        </w:tc>
        <w:tc>
          <w:tcPr>
            <w:tcW w:w="1451" w:type="dxa"/>
          </w:tcPr>
          <w:p w14:paraId="610FA010" w14:textId="77777777" w:rsidR="00E6060C" w:rsidRPr="00E6060C" w:rsidRDefault="00E6060C" w:rsidP="00E6060C">
            <w:pPr>
              <w:contextualSpacing/>
            </w:pPr>
            <w:r w:rsidRPr="00E6060C">
              <w:t>Y</w:t>
            </w:r>
          </w:p>
        </w:tc>
        <w:tc>
          <w:tcPr>
            <w:tcW w:w="1559" w:type="dxa"/>
          </w:tcPr>
          <w:p w14:paraId="2F7C8245" w14:textId="77777777" w:rsidR="00E6060C" w:rsidRPr="00E6060C" w:rsidRDefault="00E6060C" w:rsidP="00E6060C">
            <w:pPr>
              <w:contextualSpacing/>
            </w:pPr>
            <w:r w:rsidRPr="00E6060C">
              <w:t>N</w:t>
            </w:r>
          </w:p>
        </w:tc>
        <w:tc>
          <w:tcPr>
            <w:tcW w:w="1560" w:type="dxa"/>
          </w:tcPr>
          <w:p w14:paraId="569E5F97" w14:textId="77777777" w:rsidR="00E6060C" w:rsidRPr="00E6060C" w:rsidRDefault="00E6060C" w:rsidP="00E6060C">
            <w:pPr>
              <w:contextualSpacing/>
            </w:pPr>
            <w:r w:rsidRPr="00E6060C">
              <w:t>Unclear</w:t>
            </w:r>
          </w:p>
        </w:tc>
        <w:tc>
          <w:tcPr>
            <w:tcW w:w="1842" w:type="dxa"/>
          </w:tcPr>
          <w:p w14:paraId="14C60B7C" w14:textId="77777777" w:rsidR="00E6060C" w:rsidRPr="00E6060C" w:rsidRDefault="00E6060C" w:rsidP="00E6060C">
            <w:pPr>
              <w:contextualSpacing/>
            </w:pPr>
            <w:r w:rsidRPr="00E6060C">
              <w:t>N</w:t>
            </w:r>
          </w:p>
        </w:tc>
        <w:tc>
          <w:tcPr>
            <w:tcW w:w="1984" w:type="dxa"/>
            <w:gridSpan w:val="2"/>
          </w:tcPr>
          <w:p w14:paraId="0CB34F8B" w14:textId="77777777" w:rsidR="00E6060C" w:rsidRPr="00E6060C" w:rsidRDefault="00E6060C" w:rsidP="00F15DDF">
            <w:pPr>
              <w:numPr>
                <w:ilvl w:val="0"/>
                <w:numId w:val="45"/>
              </w:numPr>
              <w:ind w:left="176" w:hanging="142"/>
              <w:contextualSpacing/>
            </w:pPr>
            <w:r w:rsidRPr="00E6060C">
              <w:t>Signif. more males in control group</w:t>
            </w:r>
          </w:p>
        </w:tc>
        <w:tc>
          <w:tcPr>
            <w:tcW w:w="1418" w:type="dxa"/>
            <w:gridSpan w:val="2"/>
          </w:tcPr>
          <w:p w14:paraId="55FF4383" w14:textId="77777777" w:rsidR="00E6060C" w:rsidRPr="00E6060C" w:rsidRDefault="00E6060C" w:rsidP="00E6060C">
            <w:pPr>
              <w:contextualSpacing/>
            </w:pPr>
            <w:r w:rsidRPr="00E6060C">
              <w:t>N</w:t>
            </w:r>
          </w:p>
        </w:tc>
        <w:tc>
          <w:tcPr>
            <w:tcW w:w="1559" w:type="dxa"/>
            <w:gridSpan w:val="2"/>
          </w:tcPr>
          <w:p w14:paraId="3CCDE563" w14:textId="77777777" w:rsidR="00E6060C" w:rsidRPr="00E6060C" w:rsidRDefault="00E6060C" w:rsidP="00E6060C">
            <w:pPr>
              <w:contextualSpacing/>
            </w:pPr>
            <w:r w:rsidRPr="00E6060C">
              <w:t>N</w:t>
            </w:r>
          </w:p>
        </w:tc>
        <w:tc>
          <w:tcPr>
            <w:tcW w:w="1135" w:type="dxa"/>
            <w:gridSpan w:val="2"/>
          </w:tcPr>
          <w:p w14:paraId="41E5D6EA" w14:textId="77777777" w:rsidR="00E6060C" w:rsidRPr="00E6060C" w:rsidRDefault="00E6060C" w:rsidP="00E6060C">
            <w:pPr>
              <w:contextualSpacing/>
            </w:pPr>
            <w:r w:rsidRPr="00E6060C">
              <w:t>Y</w:t>
            </w:r>
          </w:p>
        </w:tc>
      </w:tr>
      <w:tr w:rsidR="00E6060C" w:rsidRPr="00E6060C" w14:paraId="5DD1E8C0" w14:textId="77777777" w:rsidTr="00E6060C">
        <w:tc>
          <w:tcPr>
            <w:tcW w:w="567" w:type="dxa"/>
          </w:tcPr>
          <w:p w14:paraId="2DAD8B0D" w14:textId="77777777" w:rsidR="00E6060C" w:rsidRPr="00E6060C" w:rsidRDefault="00E6060C" w:rsidP="00E6060C">
            <w:pPr>
              <w:contextualSpacing/>
            </w:pPr>
            <w:r w:rsidRPr="00E6060C">
              <w:t>16</w:t>
            </w:r>
          </w:p>
        </w:tc>
        <w:tc>
          <w:tcPr>
            <w:tcW w:w="1419" w:type="dxa"/>
          </w:tcPr>
          <w:p w14:paraId="75BC34DB" w14:textId="72DDA2F3" w:rsidR="00E6060C" w:rsidRPr="00E6060C" w:rsidRDefault="00E6060C" w:rsidP="00E6060C">
            <w:pPr>
              <w:contextualSpacing/>
            </w:pPr>
            <w:r w:rsidRPr="00E6060C">
              <w:t>Martinussen</w:t>
            </w:r>
            <w:r w:rsidR="00E067D9">
              <w:t xml:space="preserve"> et al.</w:t>
            </w:r>
            <w:r w:rsidRPr="00E6060C">
              <w:t>, 2012</w:t>
            </w:r>
          </w:p>
        </w:tc>
        <w:tc>
          <w:tcPr>
            <w:tcW w:w="1451" w:type="dxa"/>
          </w:tcPr>
          <w:p w14:paraId="5044AC2B" w14:textId="77777777" w:rsidR="00E6060C" w:rsidRPr="00E6060C" w:rsidRDefault="00E6060C" w:rsidP="00E6060C">
            <w:pPr>
              <w:contextualSpacing/>
            </w:pPr>
            <w:r w:rsidRPr="00E6060C">
              <w:t>N</w:t>
            </w:r>
          </w:p>
        </w:tc>
        <w:tc>
          <w:tcPr>
            <w:tcW w:w="1559" w:type="dxa"/>
          </w:tcPr>
          <w:p w14:paraId="758DDC23" w14:textId="77777777" w:rsidR="00E6060C" w:rsidRPr="00E6060C" w:rsidRDefault="00E6060C" w:rsidP="00E6060C">
            <w:pPr>
              <w:contextualSpacing/>
            </w:pPr>
            <w:r w:rsidRPr="00E6060C">
              <w:t>NA</w:t>
            </w:r>
          </w:p>
        </w:tc>
        <w:tc>
          <w:tcPr>
            <w:tcW w:w="1560" w:type="dxa"/>
          </w:tcPr>
          <w:p w14:paraId="5E4327D8" w14:textId="77777777" w:rsidR="00E6060C" w:rsidRPr="00E6060C" w:rsidRDefault="00E6060C" w:rsidP="00E6060C">
            <w:pPr>
              <w:contextualSpacing/>
            </w:pPr>
            <w:r w:rsidRPr="00E6060C">
              <w:t>N</w:t>
            </w:r>
          </w:p>
        </w:tc>
        <w:tc>
          <w:tcPr>
            <w:tcW w:w="1842" w:type="dxa"/>
          </w:tcPr>
          <w:p w14:paraId="515C707F" w14:textId="77777777" w:rsidR="00E6060C" w:rsidRPr="00E6060C" w:rsidRDefault="00E6060C" w:rsidP="00E6060C">
            <w:pPr>
              <w:contextualSpacing/>
            </w:pPr>
            <w:r w:rsidRPr="00E6060C">
              <w:t>Comparison group</w:t>
            </w:r>
          </w:p>
        </w:tc>
        <w:tc>
          <w:tcPr>
            <w:tcW w:w="1984" w:type="dxa"/>
            <w:gridSpan w:val="2"/>
          </w:tcPr>
          <w:p w14:paraId="6254889C" w14:textId="77777777" w:rsidR="00E6060C" w:rsidRPr="00E6060C" w:rsidRDefault="00E6060C" w:rsidP="00E6060C">
            <w:pPr>
              <w:contextualSpacing/>
            </w:pPr>
            <w:r w:rsidRPr="00E6060C">
              <w:t xml:space="preserve">Not assessed - no pre-test measures   </w:t>
            </w:r>
          </w:p>
        </w:tc>
        <w:tc>
          <w:tcPr>
            <w:tcW w:w="1418" w:type="dxa"/>
            <w:gridSpan w:val="2"/>
          </w:tcPr>
          <w:p w14:paraId="6009A5A8" w14:textId="77777777" w:rsidR="00E6060C" w:rsidRPr="00E6060C" w:rsidRDefault="00E6060C" w:rsidP="00E6060C">
            <w:pPr>
              <w:contextualSpacing/>
            </w:pPr>
            <w:r w:rsidRPr="00E6060C">
              <w:t>N</w:t>
            </w:r>
          </w:p>
        </w:tc>
        <w:tc>
          <w:tcPr>
            <w:tcW w:w="1559" w:type="dxa"/>
            <w:gridSpan w:val="2"/>
          </w:tcPr>
          <w:p w14:paraId="6D2507D4" w14:textId="77777777" w:rsidR="00E6060C" w:rsidRPr="00E6060C" w:rsidRDefault="00E6060C" w:rsidP="00E6060C">
            <w:pPr>
              <w:contextualSpacing/>
            </w:pPr>
            <w:r w:rsidRPr="00E6060C">
              <w:t>N</w:t>
            </w:r>
          </w:p>
        </w:tc>
        <w:tc>
          <w:tcPr>
            <w:tcW w:w="1135" w:type="dxa"/>
            <w:gridSpan w:val="2"/>
          </w:tcPr>
          <w:p w14:paraId="40AA3C23" w14:textId="77777777" w:rsidR="00E6060C" w:rsidRPr="00E6060C" w:rsidRDefault="00E6060C" w:rsidP="00E6060C">
            <w:pPr>
              <w:contextualSpacing/>
            </w:pPr>
            <w:r w:rsidRPr="00E6060C">
              <w:t>Y</w:t>
            </w:r>
          </w:p>
        </w:tc>
      </w:tr>
      <w:tr w:rsidR="00E6060C" w:rsidRPr="00E6060C" w14:paraId="53B24FA4" w14:textId="77777777" w:rsidTr="00E6060C">
        <w:tc>
          <w:tcPr>
            <w:tcW w:w="567" w:type="dxa"/>
          </w:tcPr>
          <w:p w14:paraId="58DAE604" w14:textId="77777777" w:rsidR="00E6060C" w:rsidRPr="00E6060C" w:rsidRDefault="00E6060C" w:rsidP="00E6060C">
            <w:pPr>
              <w:contextualSpacing/>
            </w:pPr>
            <w:r w:rsidRPr="00E6060C">
              <w:t>17</w:t>
            </w:r>
          </w:p>
        </w:tc>
        <w:tc>
          <w:tcPr>
            <w:tcW w:w="1419" w:type="dxa"/>
          </w:tcPr>
          <w:p w14:paraId="60B7003E" w14:textId="0408ABBF"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Naruse et al., 2014</w:t>
            </w:r>
          </w:p>
        </w:tc>
        <w:tc>
          <w:tcPr>
            <w:tcW w:w="1451" w:type="dxa"/>
          </w:tcPr>
          <w:p w14:paraId="67912DBA" w14:textId="77777777" w:rsidR="00E6060C" w:rsidRPr="00E6060C" w:rsidRDefault="00E6060C" w:rsidP="00E6060C">
            <w:pPr>
              <w:contextualSpacing/>
            </w:pPr>
            <w:r w:rsidRPr="00E6060C">
              <w:t>N</w:t>
            </w:r>
          </w:p>
        </w:tc>
        <w:tc>
          <w:tcPr>
            <w:tcW w:w="1559" w:type="dxa"/>
          </w:tcPr>
          <w:p w14:paraId="4794254B" w14:textId="77777777" w:rsidR="00E6060C" w:rsidRPr="00E6060C" w:rsidRDefault="00E6060C" w:rsidP="00E6060C">
            <w:r w:rsidRPr="00E6060C">
              <w:t>NA</w:t>
            </w:r>
          </w:p>
        </w:tc>
        <w:tc>
          <w:tcPr>
            <w:tcW w:w="1560" w:type="dxa"/>
          </w:tcPr>
          <w:p w14:paraId="1967773B" w14:textId="77777777" w:rsidR="00E6060C" w:rsidRPr="00E6060C" w:rsidRDefault="00E6060C" w:rsidP="00E6060C">
            <w:pPr>
              <w:contextualSpacing/>
            </w:pPr>
            <w:r w:rsidRPr="00E6060C">
              <w:t>N</w:t>
            </w:r>
          </w:p>
        </w:tc>
        <w:tc>
          <w:tcPr>
            <w:tcW w:w="1842" w:type="dxa"/>
          </w:tcPr>
          <w:p w14:paraId="3155C2C3" w14:textId="77777777" w:rsidR="00E6060C" w:rsidRPr="00E6060C" w:rsidRDefault="00E6060C" w:rsidP="00E6060C">
            <w:pPr>
              <w:contextualSpacing/>
            </w:pPr>
            <w:r w:rsidRPr="00E6060C">
              <w:t>24 home health agencies</w:t>
            </w:r>
          </w:p>
        </w:tc>
        <w:tc>
          <w:tcPr>
            <w:tcW w:w="1984" w:type="dxa"/>
            <w:gridSpan w:val="2"/>
          </w:tcPr>
          <w:p w14:paraId="421D92C0" w14:textId="77777777" w:rsidR="00E6060C" w:rsidRPr="00E6060C" w:rsidRDefault="00E6060C" w:rsidP="00F15DDF">
            <w:pPr>
              <w:numPr>
                <w:ilvl w:val="0"/>
                <w:numId w:val="45"/>
              </w:numPr>
              <w:ind w:left="176" w:hanging="142"/>
              <w:contextualSpacing/>
            </w:pPr>
            <w:r w:rsidRPr="00E6060C">
              <w:t>No signif. diffs on demographic variables</w:t>
            </w:r>
          </w:p>
        </w:tc>
        <w:tc>
          <w:tcPr>
            <w:tcW w:w="1418" w:type="dxa"/>
            <w:gridSpan w:val="2"/>
          </w:tcPr>
          <w:p w14:paraId="03939669" w14:textId="77777777" w:rsidR="00E6060C" w:rsidRPr="00E6060C" w:rsidRDefault="00E6060C" w:rsidP="00E6060C">
            <w:pPr>
              <w:contextualSpacing/>
            </w:pPr>
            <w:r w:rsidRPr="00E6060C">
              <w:t>N</w:t>
            </w:r>
          </w:p>
        </w:tc>
        <w:tc>
          <w:tcPr>
            <w:tcW w:w="1559" w:type="dxa"/>
            <w:gridSpan w:val="2"/>
          </w:tcPr>
          <w:p w14:paraId="4FFDF8A2" w14:textId="77777777" w:rsidR="00E6060C" w:rsidRPr="00E6060C" w:rsidRDefault="00E6060C" w:rsidP="00E6060C">
            <w:pPr>
              <w:contextualSpacing/>
            </w:pPr>
            <w:r w:rsidRPr="00E6060C">
              <w:t>N</w:t>
            </w:r>
          </w:p>
        </w:tc>
        <w:tc>
          <w:tcPr>
            <w:tcW w:w="1135" w:type="dxa"/>
            <w:gridSpan w:val="2"/>
          </w:tcPr>
          <w:p w14:paraId="5D384B6C" w14:textId="77777777" w:rsidR="00E6060C" w:rsidRPr="00E6060C" w:rsidRDefault="00E6060C" w:rsidP="00E6060C">
            <w:pPr>
              <w:contextualSpacing/>
            </w:pPr>
            <w:r w:rsidRPr="00E6060C">
              <w:t>Y</w:t>
            </w:r>
          </w:p>
        </w:tc>
      </w:tr>
      <w:tr w:rsidR="00E6060C" w:rsidRPr="00E6060C" w14:paraId="153C2FE1" w14:textId="77777777" w:rsidTr="00E6060C">
        <w:tc>
          <w:tcPr>
            <w:tcW w:w="567" w:type="dxa"/>
            <w:tcBorders>
              <w:bottom w:val="single" w:sz="4" w:space="0" w:color="auto"/>
            </w:tcBorders>
          </w:tcPr>
          <w:p w14:paraId="7AA62582" w14:textId="77777777" w:rsidR="00E6060C" w:rsidRPr="00E6060C" w:rsidRDefault="00E6060C" w:rsidP="00E6060C">
            <w:pPr>
              <w:contextualSpacing/>
            </w:pPr>
            <w:r w:rsidRPr="00E6060C">
              <w:t>18</w:t>
            </w:r>
          </w:p>
        </w:tc>
        <w:tc>
          <w:tcPr>
            <w:tcW w:w="1419" w:type="dxa"/>
            <w:tcBorders>
              <w:bottom w:val="single" w:sz="4" w:space="0" w:color="auto"/>
            </w:tcBorders>
          </w:tcPr>
          <w:p w14:paraId="52F9F1BF" w14:textId="77777777" w:rsidR="00E6060C" w:rsidRPr="00E6060C" w:rsidRDefault="00E6060C" w:rsidP="00E6060C">
            <w:pPr>
              <w:contextualSpacing/>
            </w:pPr>
            <w:r w:rsidRPr="00E6060C">
              <w:t>Rickard et al., 2012</w:t>
            </w:r>
          </w:p>
        </w:tc>
        <w:tc>
          <w:tcPr>
            <w:tcW w:w="1451" w:type="dxa"/>
            <w:tcBorders>
              <w:bottom w:val="single" w:sz="4" w:space="0" w:color="auto"/>
            </w:tcBorders>
          </w:tcPr>
          <w:p w14:paraId="59BC2099" w14:textId="77777777" w:rsidR="00E6060C" w:rsidRPr="00E6060C" w:rsidRDefault="00E6060C" w:rsidP="00E6060C">
            <w:pPr>
              <w:contextualSpacing/>
            </w:pPr>
            <w:r w:rsidRPr="00E6060C">
              <w:t>N</w:t>
            </w:r>
          </w:p>
        </w:tc>
        <w:tc>
          <w:tcPr>
            <w:tcW w:w="1559" w:type="dxa"/>
            <w:tcBorders>
              <w:bottom w:val="single" w:sz="4" w:space="0" w:color="auto"/>
            </w:tcBorders>
          </w:tcPr>
          <w:p w14:paraId="213B8339" w14:textId="77777777" w:rsidR="00E6060C" w:rsidRPr="00E6060C" w:rsidRDefault="00E6060C" w:rsidP="00E6060C">
            <w:pPr>
              <w:contextualSpacing/>
            </w:pPr>
            <w:r w:rsidRPr="00E6060C">
              <w:t>N</w:t>
            </w:r>
          </w:p>
        </w:tc>
        <w:tc>
          <w:tcPr>
            <w:tcW w:w="1560" w:type="dxa"/>
            <w:tcBorders>
              <w:bottom w:val="single" w:sz="4" w:space="0" w:color="auto"/>
            </w:tcBorders>
          </w:tcPr>
          <w:p w14:paraId="0325DBEE" w14:textId="77777777" w:rsidR="00E6060C" w:rsidRPr="00E6060C" w:rsidRDefault="00E6060C" w:rsidP="00E6060C">
            <w:pPr>
              <w:contextualSpacing/>
            </w:pPr>
            <w:r w:rsidRPr="00E6060C">
              <w:t>N</w:t>
            </w:r>
          </w:p>
        </w:tc>
        <w:tc>
          <w:tcPr>
            <w:tcW w:w="1842" w:type="dxa"/>
            <w:tcBorders>
              <w:bottom w:val="single" w:sz="4" w:space="0" w:color="auto"/>
            </w:tcBorders>
          </w:tcPr>
          <w:p w14:paraId="5E72F21B" w14:textId="77777777" w:rsidR="00E6060C" w:rsidRPr="00E6060C" w:rsidRDefault="00E6060C" w:rsidP="00E6060C">
            <w:pPr>
              <w:contextualSpacing/>
            </w:pPr>
            <w:r w:rsidRPr="00E6060C">
              <w:t>No control group</w:t>
            </w:r>
          </w:p>
        </w:tc>
        <w:tc>
          <w:tcPr>
            <w:tcW w:w="1984" w:type="dxa"/>
            <w:gridSpan w:val="2"/>
            <w:tcBorders>
              <w:bottom w:val="single" w:sz="4" w:space="0" w:color="auto"/>
            </w:tcBorders>
          </w:tcPr>
          <w:p w14:paraId="7ABEDBEF" w14:textId="77777777" w:rsidR="00E6060C" w:rsidRPr="00E6060C" w:rsidRDefault="00E6060C" w:rsidP="00E6060C">
            <w:pPr>
              <w:contextualSpacing/>
            </w:pPr>
            <w:r w:rsidRPr="00E6060C">
              <w:t>NA</w:t>
            </w:r>
          </w:p>
        </w:tc>
        <w:tc>
          <w:tcPr>
            <w:tcW w:w="1418" w:type="dxa"/>
            <w:gridSpan w:val="2"/>
            <w:tcBorders>
              <w:bottom w:val="single" w:sz="4" w:space="0" w:color="auto"/>
            </w:tcBorders>
          </w:tcPr>
          <w:p w14:paraId="070866C6" w14:textId="77777777" w:rsidR="00E6060C" w:rsidRPr="00E6060C" w:rsidRDefault="00E6060C" w:rsidP="00E6060C">
            <w:pPr>
              <w:contextualSpacing/>
            </w:pPr>
            <w:r w:rsidRPr="00E6060C">
              <w:t>N</w:t>
            </w:r>
          </w:p>
        </w:tc>
        <w:tc>
          <w:tcPr>
            <w:tcW w:w="1559" w:type="dxa"/>
            <w:gridSpan w:val="2"/>
            <w:tcBorders>
              <w:bottom w:val="single" w:sz="4" w:space="0" w:color="auto"/>
            </w:tcBorders>
          </w:tcPr>
          <w:p w14:paraId="685B72A6" w14:textId="77777777" w:rsidR="00E6060C" w:rsidRPr="00E6060C" w:rsidRDefault="00E6060C" w:rsidP="00E6060C">
            <w:pPr>
              <w:contextualSpacing/>
            </w:pPr>
            <w:r w:rsidRPr="00E6060C">
              <w:t>N</w:t>
            </w:r>
          </w:p>
        </w:tc>
        <w:tc>
          <w:tcPr>
            <w:tcW w:w="1135" w:type="dxa"/>
            <w:gridSpan w:val="2"/>
            <w:tcBorders>
              <w:bottom w:val="single" w:sz="4" w:space="0" w:color="auto"/>
            </w:tcBorders>
          </w:tcPr>
          <w:p w14:paraId="174A3767" w14:textId="77777777" w:rsidR="00E6060C" w:rsidRPr="00E6060C" w:rsidRDefault="00E6060C" w:rsidP="00E6060C">
            <w:pPr>
              <w:contextualSpacing/>
            </w:pPr>
            <w:r w:rsidRPr="00E6060C">
              <w:t>Y</w:t>
            </w:r>
          </w:p>
        </w:tc>
      </w:tr>
    </w:tbl>
    <w:p w14:paraId="3D0C3E72" w14:textId="77777777" w:rsidR="002A5A6B" w:rsidRDefault="002A5A6B">
      <w:r>
        <w:br w:type="page"/>
      </w:r>
    </w:p>
    <w:tbl>
      <w:tblPr>
        <w:tblStyle w:val="TableGrid8"/>
        <w:tblW w:w="1449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19"/>
        <w:gridCol w:w="1451"/>
        <w:gridCol w:w="1559"/>
        <w:gridCol w:w="1560"/>
        <w:gridCol w:w="1842"/>
        <w:gridCol w:w="1984"/>
        <w:gridCol w:w="1418"/>
        <w:gridCol w:w="1559"/>
        <w:gridCol w:w="1129"/>
        <w:gridCol w:w="6"/>
      </w:tblGrid>
      <w:tr w:rsidR="00E6060C" w:rsidRPr="00E6060C" w14:paraId="0CF85C70" w14:textId="77777777" w:rsidTr="00E6060C">
        <w:trPr>
          <w:gridAfter w:val="1"/>
          <w:wAfter w:w="6" w:type="dxa"/>
        </w:trPr>
        <w:tc>
          <w:tcPr>
            <w:tcW w:w="14488" w:type="dxa"/>
            <w:gridSpan w:val="10"/>
            <w:tcBorders>
              <w:top w:val="single" w:sz="4" w:space="0" w:color="auto"/>
              <w:bottom w:val="single" w:sz="4" w:space="0" w:color="auto"/>
            </w:tcBorders>
          </w:tcPr>
          <w:p w14:paraId="41058CD3" w14:textId="7C8608CB" w:rsidR="00E6060C" w:rsidRPr="00E6060C" w:rsidRDefault="00E6060C" w:rsidP="00E6060C">
            <w:pPr>
              <w:contextualSpacing/>
              <w:rPr>
                <w:b/>
                <w:sz w:val="28"/>
                <w:szCs w:val="28"/>
              </w:rPr>
            </w:pPr>
            <w:r w:rsidRPr="00E6060C">
              <w:rPr>
                <w:b/>
                <w:sz w:val="28"/>
                <w:szCs w:val="28"/>
              </w:rPr>
              <w:lastRenderedPageBreak/>
              <w:t>LEADERSHIP TRAINING INTERVENTIONS</w:t>
            </w:r>
          </w:p>
        </w:tc>
      </w:tr>
      <w:tr w:rsidR="00E6060C" w:rsidRPr="00E6060C" w14:paraId="6914C086" w14:textId="77777777" w:rsidTr="00E6060C">
        <w:tc>
          <w:tcPr>
            <w:tcW w:w="567" w:type="dxa"/>
            <w:tcBorders>
              <w:top w:val="single" w:sz="4" w:space="0" w:color="auto"/>
            </w:tcBorders>
          </w:tcPr>
          <w:p w14:paraId="2EFEE9BD" w14:textId="77777777" w:rsidR="00E6060C" w:rsidRPr="00E6060C" w:rsidRDefault="00E6060C" w:rsidP="00E6060C">
            <w:pPr>
              <w:contextualSpacing/>
            </w:pPr>
            <w:r w:rsidRPr="00E6060C">
              <w:t>19</w:t>
            </w:r>
          </w:p>
        </w:tc>
        <w:tc>
          <w:tcPr>
            <w:tcW w:w="1419" w:type="dxa"/>
            <w:tcBorders>
              <w:top w:val="single" w:sz="4" w:space="0" w:color="auto"/>
            </w:tcBorders>
          </w:tcPr>
          <w:p w14:paraId="0459C238" w14:textId="79DB3826" w:rsidR="00E6060C" w:rsidRPr="00E6060C" w:rsidRDefault="004D6C5A" w:rsidP="005726FB">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Angelo </w:t>
            </w:r>
            <w:r w:rsidR="005726FB">
              <w:rPr>
                <w:rFonts w:ascii="Calibri" w:hAnsi="Calibri"/>
                <w:color w:val="000000"/>
              </w:rPr>
              <w:t>&amp; Chambel</w:t>
            </w:r>
            <w:r w:rsidR="00E6060C" w:rsidRPr="00E6060C">
              <w:rPr>
                <w:rFonts w:ascii="Calibri" w:hAnsi="Calibri"/>
                <w:color w:val="000000"/>
              </w:rPr>
              <w:t xml:space="preserve">, 2013 </w:t>
            </w:r>
          </w:p>
        </w:tc>
        <w:tc>
          <w:tcPr>
            <w:tcW w:w="1451" w:type="dxa"/>
            <w:tcBorders>
              <w:top w:val="single" w:sz="4" w:space="0" w:color="auto"/>
            </w:tcBorders>
          </w:tcPr>
          <w:p w14:paraId="027C878F" w14:textId="77777777" w:rsidR="00E6060C" w:rsidRPr="00E6060C" w:rsidRDefault="00E6060C" w:rsidP="00E6060C">
            <w:pPr>
              <w:contextualSpacing/>
            </w:pPr>
            <w:r w:rsidRPr="00E6060C">
              <w:t>Y - by district, not individuals</w:t>
            </w:r>
          </w:p>
        </w:tc>
        <w:tc>
          <w:tcPr>
            <w:tcW w:w="1559" w:type="dxa"/>
            <w:tcBorders>
              <w:top w:val="single" w:sz="4" w:space="0" w:color="auto"/>
            </w:tcBorders>
          </w:tcPr>
          <w:p w14:paraId="7E6928AD" w14:textId="77777777" w:rsidR="00E6060C" w:rsidRPr="00E6060C" w:rsidRDefault="00E6060C" w:rsidP="00E6060C">
            <w:r w:rsidRPr="00E6060C">
              <w:t>N</w:t>
            </w:r>
          </w:p>
        </w:tc>
        <w:tc>
          <w:tcPr>
            <w:tcW w:w="1560" w:type="dxa"/>
            <w:tcBorders>
              <w:top w:val="single" w:sz="4" w:space="0" w:color="auto"/>
            </w:tcBorders>
          </w:tcPr>
          <w:p w14:paraId="234A69BD" w14:textId="77777777" w:rsidR="00E6060C" w:rsidRPr="00E6060C" w:rsidRDefault="00E6060C" w:rsidP="00E6060C">
            <w:r w:rsidRPr="00E6060C">
              <w:t>N</w:t>
            </w:r>
          </w:p>
        </w:tc>
        <w:tc>
          <w:tcPr>
            <w:tcW w:w="1842" w:type="dxa"/>
            <w:tcBorders>
              <w:top w:val="single" w:sz="4" w:space="0" w:color="auto"/>
            </w:tcBorders>
          </w:tcPr>
          <w:p w14:paraId="78C74FFF" w14:textId="77777777" w:rsidR="00E6060C" w:rsidRPr="00E6060C" w:rsidRDefault="00E6060C" w:rsidP="00F15DDF">
            <w:pPr>
              <w:numPr>
                <w:ilvl w:val="0"/>
                <w:numId w:val="45"/>
              </w:numPr>
              <w:ind w:left="174" w:hanging="141"/>
              <w:contextualSpacing/>
            </w:pPr>
            <w:r w:rsidRPr="00E6060C">
              <w:t>Waitlist control</w:t>
            </w:r>
          </w:p>
          <w:p w14:paraId="1154EFC3" w14:textId="77777777" w:rsidR="00E6060C" w:rsidRPr="00E6060C" w:rsidRDefault="00E6060C" w:rsidP="00F15DDF">
            <w:pPr>
              <w:numPr>
                <w:ilvl w:val="0"/>
                <w:numId w:val="45"/>
              </w:numPr>
              <w:ind w:left="174" w:hanging="141"/>
              <w:contextualSpacing/>
            </w:pPr>
            <w:r w:rsidRPr="00E6060C">
              <w:t>3 units of the 7 unit organisation (4=intervention group)</w:t>
            </w:r>
          </w:p>
        </w:tc>
        <w:tc>
          <w:tcPr>
            <w:tcW w:w="1984" w:type="dxa"/>
            <w:tcBorders>
              <w:top w:val="single" w:sz="4" w:space="0" w:color="auto"/>
            </w:tcBorders>
          </w:tcPr>
          <w:p w14:paraId="027EC4B7" w14:textId="77777777" w:rsidR="00E6060C" w:rsidRPr="00E6060C" w:rsidRDefault="00E6060C" w:rsidP="00F15DDF">
            <w:pPr>
              <w:numPr>
                <w:ilvl w:val="0"/>
                <w:numId w:val="45"/>
              </w:numPr>
              <w:ind w:left="175" w:hanging="142"/>
              <w:contextualSpacing/>
            </w:pPr>
            <w:r w:rsidRPr="00E6060C">
              <w:t>No signif. differences in terms of demographics</w:t>
            </w:r>
          </w:p>
          <w:p w14:paraId="544D4EC9" w14:textId="77777777" w:rsidR="00E6060C" w:rsidRPr="00E6060C" w:rsidRDefault="00E6060C" w:rsidP="00F15DDF">
            <w:pPr>
              <w:numPr>
                <w:ilvl w:val="0"/>
                <w:numId w:val="45"/>
              </w:numPr>
              <w:ind w:left="175" w:hanging="142"/>
              <w:contextualSpacing/>
            </w:pPr>
            <w:r w:rsidRPr="00E6060C">
              <w:t>Control reported significantly higher social support</w:t>
            </w:r>
          </w:p>
          <w:p w14:paraId="34D4589A" w14:textId="77777777" w:rsidR="00E6060C" w:rsidRPr="00E6060C" w:rsidRDefault="00E6060C" w:rsidP="00E6060C">
            <w:pPr>
              <w:contextualSpacing/>
            </w:pPr>
          </w:p>
        </w:tc>
        <w:tc>
          <w:tcPr>
            <w:tcW w:w="1418" w:type="dxa"/>
            <w:tcBorders>
              <w:top w:val="single" w:sz="4" w:space="0" w:color="auto"/>
            </w:tcBorders>
          </w:tcPr>
          <w:p w14:paraId="5157E5C9" w14:textId="77777777" w:rsidR="00E6060C" w:rsidRPr="00E6060C" w:rsidRDefault="00E6060C" w:rsidP="00E6060C">
            <w:r w:rsidRPr="00E6060C">
              <w:t>N</w:t>
            </w:r>
          </w:p>
        </w:tc>
        <w:tc>
          <w:tcPr>
            <w:tcW w:w="1559" w:type="dxa"/>
            <w:tcBorders>
              <w:top w:val="single" w:sz="4" w:space="0" w:color="auto"/>
            </w:tcBorders>
          </w:tcPr>
          <w:p w14:paraId="341721B1" w14:textId="77777777" w:rsidR="00E6060C" w:rsidRPr="00E6060C" w:rsidRDefault="00E6060C" w:rsidP="00E6060C">
            <w:r w:rsidRPr="00E6060C">
              <w:t>N</w:t>
            </w:r>
          </w:p>
        </w:tc>
        <w:tc>
          <w:tcPr>
            <w:tcW w:w="1135" w:type="dxa"/>
            <w:gridSpan w:val="2"/>
            <w:tcBorders>
              <w:top w:val="single" w:sz="4" w:space="0" w:color="auto"/>
            </w:tcBorders>
          </w:tcPr>
          <w:p w14:paraId="76745CB0" w14:textId="77777777" w:rsidR="00E6060C" w:rsidRPr="00E6060C" w:rsidRDefault="00E6060C" w:rsidP="00E6060C">
            <w:r w:rsidRPr="00E6060C">
              <w:t>N</w:t>
            </w:r>
          </w:p>
        </w:tc>
      </w:tr>
      <w:tr w:rsidR="00E6060C" w:rsidRPr="00E6060C" w14:paraId="17FB8672" w14:textId="77777777" w:rsidTr="00E6060C">
        <w:tc>
          <w:tcPr>
            <w:tcW w:w="567" w:type="dxa"/>
          </w:tcPr>
          <w:p w14:paraId="5C2AC6CB" w14:textId="77777777" w:rsidR="00E6060C" w:rsidRPr="00E6060C" w:rsidRDefault="00E6060C" w:rsidP="00E6060C">
            <w:pPr>
              <w:contextualSpacing/>
            </w:pPr>
            <w:r w:rsidRPr="00E6060C">
              <w:t>20</w:t>
            </w:r>
          </w:p>
        </w:tc>
        <w:tc>
          <w:tcPr>
            <w:tcW w:w="1419" w:type="dxa"/>
          </w:tcPr>
          <w:p w14:paraId="70194C16" w14:textId="6D78335D" w:rsidR="00E6060C" w:rsidRPr="00E6060C" w:rsidRDefault="004D6C5A" w:rsidP="00E6060C">
            <w:pPr>
              <w:contextualSpacing/>
              <w:rPr>
                <w:rFonts w:ascii="Calibri" w:hAnsi="Calibri"/>
                <w:color w:val="000000"/>
              </w:rPr>
            </w:pPr>
            <w:r>
              <w:rPr>
                <w:rFonts w:ascii="Calibri" w:hAnsi="Calibri"/>
                <w:color w:val="000000"/>
              </w:rPr>
              <w:t>*</w:t>
            </w:r>
            <w:r w:rsidR="00A54063">
              <w:rPr>
                <w:rFonts w:ascii="Calibri" w:hAnsi="Calibri"/>
                <w:color w:val="000000"/>
              </w:rPr>
              <w:t>Biggs et al., 2014</w:t>
            </w:r>
            <w:r w:rsidR="00E6060C" w:rsidRPr="00E6060C">
              <w:rPr>
                <w:rFonts w:ascii="Calibri" w:hAnsi="Calibri"/>
                <w:color w:val="000000"/>
              </w:rPr>
              <w:t xml:space="preserve"> </w:t>
            </w:r>
          </w:p>
        </w:tc>
        <w:tc>
          <w:tcPr>
            <w:tcW w:w="1451" w:type="dxa"/>
          </w:tcPr>
          <w:p w14:paraId="1588C8E1" w14:textId="77777777" w:rsidR="00E6060C" w:rsidRPr="00E6060C" w:rsidRDefault="00E6060C" w:rsidP="00E6060C">
            <w:r w:rsidRPr="00E6060C">
              <w:t>N</w:t>
            </w:r>
          </w:p>
        </w:tc>
        <w:tc>
          <w:tcPr>
            <w:tcW w:w="1559" w:type="dxa"/>
          </w:tcPr>
          <w:p w14:paraId="3B8F0DF8" w14:textId="77777777" w:rsidR="00E6060C" w:rsidRPr="00E6060C" w:rsidRDefault="00E6060C" w:rsidP="00E6060C">
            <w:r w:rsidRPr="00E6060C">
              <w:t>NA</w:t>
            </w:r>
          </w:p>
        </w:tc>
        <w:tc>
          <w:tcPr>
            <w:tcW w:w="1560" w:type="dxa"/>
          </w:tcPr>
          <w:p w14:paraId="7A17BFB4" w14:textId="77777777" w:rsidR="00E6060C" w:rsidRPr="00E6060C" w:rsidRDefault="00E6060C" w:rsidP="00E6060C">
            <w:r w:rsidRPr="00E6060C">
              <w:t>N</w:t>
            </w:r>
          </w:p>
        </w:tc>
        <w:tc>
          <w:tcPr>
            <w:tcW w:w="1842" w:type="dxa"/>
          </w:tcPr>
          <w:p w14:paraId="7C2249B5" w14:textId="77777777" w:rsidR="00E6060C" w:rsidRPr="00E6060C" w:rsidRDefault="00E6060C" w:rsidP="00F15DDF">
            <w:pPr>
              <w:numPr>
                <w:ilvl w:val="0"/>
                <w:numId w:val="46"/>
              </w:numPr>
              <w:ind w:left="174" w:hanging="174"/>
              <w:contextualSpacing/>
            </w:pPr>
            <w:r w:rsidRPr="00E6060C">
              <w:t>Police officers who did not work directly with the intervention participants or participate in the intervention</w:t>
            </w:r>
          </w:p>
        </w:tc>
        <w:tc>
          <w:tcPr>
            <w:tcW w:w="1984" w:type="dxa"/>
          </w:tcPr>
          <w:p w14:paraId="4A72A58E" w14:textId="77777777" w:rsidR="00E6060C" w:rsidRPr="00E6060C" w:rsidRDefault="00E6060C" w:rsidP="00F15DDF">
            <w:pPr>
              <w:numPr>
                <w:ilvl w:val="0"/>
                <w:numId w:val="46"/>
              </w:numPr>
              <w:ind w:left="175" w:hanging="175"/>
              <w:contextualSpacing/>
            </w:pPr>
            <w:r w:rsidRPr="00E6060C">
              <w:t>Rank and tenure of the intervention group was significantly higher</w:t>
            </w:r>
          </w:p>
          <w:p w14:paraId="2B461BB8" w14:textId="77777777" w:rsidR="00E6060C" w:rsidRPr="00E6060C" w:rsidRDefault="00E6060C" w:rsidP="00F15DDF">
            <w:pPr>
              <w:numPr>
                <w:ilvl w:val="0"/>
                <w:numId w:val="46"/>
              </w:numPr>
              <w:ind w:left="175" w:hanging="175"/>
              <w:contextualSpacing/>
            </w:pPr>
            <w:r w:rsidRPr="00E6060C">
              <w:t>Intervention group significantly lower on supportive leadership and work-culture support</w:t>
            </w:r>
          </w:p>
        </w:tc>
        <w:tc>
          <w:tcPr>
            <w:tcW w:w="1418" w:type="dxa"/>
          </w:tcPr>
          <w:p w14:paraId="3BA2213C" w14:textId="77777777" w:rsidR="00E6060C" w:rsidRPr="00E6060C" w:rsidRDefault="00E6060C" w:rsidP="00E6060C">
            <w:r w:rsidRPr="00E6060C">
              <w:t>N</w:t>
            </w:r>
          </w:p>
        </w:tc>
        <w:tc>
          <w:tcPr>
            <w:tcW w:w="1559" w:type="dxa"/>
          </w:tcPr>
          <w:p w14:paraId="55E1C7E6" w14:textId="77777777" w:rsidR="00E6060C" w:rsidRPr="00E6060C" w:rsidRDefault="00E6060C" w:rsidP="00E6060C">
            <w:r w:rsidRPr="00E6060C">
              <w:t>N</w:t>
            </w:r>
          </w:p>
        </w:tc>
        <w:tc>
          <w:tcPr>
            <w:tcW w:w="1135" w:type="dxa"/>
            <w:gridSpan w:val="2"/>
          </w:tcPr>
          <w:p w14:paraId="51BE98DF" w14:textId="77777777" w:rsidR="00E6060C" w:rsidRPr="00E6060C" w:rsidRDefault="00E6060C" w:rsidP="00E6060C">
            <w:r w:rsidRPr="00E6060C">
              <w:t>N</w:t>
            </w:r>
          </w:p>
        </w:tc>
      </w:tr>
      <w:tr w:rsidR="00E6060C" w:rsidRPr="00E6060C" w14:paraId="03A71579" w14:textId="77777777" w:rsidTr="00E6060C">
        <w:tc>
          <w:tcPr>
            <w:tcW w:w="567" w:type="dxa"/>
          </w:tcPr>
          <w:p w14:paraId="27617851" w14:textId="77777777" w:rsidR="00E6060C" w:rsidRPr="00E6060C" w:rsidRDefault="00E6060C" w:rsidP="00E6060C">
            <w:pPr>
              <w:contextualSpacing/>
            </w:pPr>
            <w:r w:rsidRPr="00E6060C">
              <w:t>21</w:t>
            </w:r>
          </w:p>
        </w:tc>
        <w:tc>
          <w:tcPr>
            <w:tcW w:w="1419" w:type="dxa"/>
          </w:tcPr>
          <w:p w14:paraId="6151780B" w14:textId="7D9FA449"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Kmiec, 2010 </w:t>
            </w:r>
          </w:p>
        </w:tc>
        <w:tc>
          <w:tcPr>
            <w:tcW w:w="1451" w:type="dxa"/>
          </w:tcPr>
          <w:p w14:paraId="0D7715D1" w14:textId="77777777" w:rsidR="00E6060C" w:rsidRPr="00E6060C" w:rsidRDefault="00E6060C" w:rsidP="00E6060C">
            <w:r w:rsidRPr="00E6060C">
              <w:t>N</w:t>
            </w:r>
          </w:p>
        </w:tc>
        <w:tc>
          <w:tcPr>
            <w:tcW w:w="1559" w:type="dxa"/>
          </w:tcPr>
          <w:p w14:paraId="2C8CA1E8" w14:textId="77777777" w:rsidR="00E6060C" w:rsidRPr="00E6060C" w:rsidRDefault="00E6060C" w:rsidP="00E6060C">
            <w:r w:rsidRPr="00E6060C">
              <w:t>NA</w:t>
            </w:r>
          </w:p>
        </w:tc>
        <w:tc>
          <w:tcPr>
            <w:tcW w:w="1560" w:type="dxa"/>
          </w:tcPr>
          <w:p w14:paraId="2A2C16DA" w14:textId="77777777" w:rsidR="00E6060C" w:rsidRPr="00E6060C" w:rsidRDefault="00E6060C" w:rsidP="00E6060C">
            <w:r w:rsidRPr="00E6060C">
              <w:t>N</w:t>
            </w:r>
          </w:p>
        </w:tc>
        <w:tc>
          <w:tcPr>
            <w:tcW w:w="1842" w:type="dxa"/>
          </w:tcPr>
          <w:p w14:paraId="78756D4D" w14:textId="77777777" w:rsidR="00E6060C" w:rsidRPr="00E6060C" w:rsidRDefault="00E6060C" w:rsidP="00E6060C">
            <w:pPr>
              <w:contextualSpacing/>
            </w:pPr>
            <w:r w:rsidRPr="00E6060C">
              <w:t>Non-equivalent - managers within one ‘Maintenance’ business unit within the manufacturing firm</w:t>
            </w:r>
          </w:p>
        </w:tc>
        <w:tc>
          <w:tcPr>
            <w:tcW w:w="1984" w:type="dxa"/>
          </w:tcPr>
          <w:p w14:paraId="4BEF2772" w14:textId="77777777" w:rsidR="00E6060C" w:rsidRPr="00E6060C" w:rsidRDefault="00E6060C" w:rsidP="00E6060C">
            <w:pPr>
              <w:contextualSpacing/>
            </w:pPr>
            <w:r w:rsidRPr="00E6060C">
              <w:t>Not tested</w:t>
            </w:r>
          </w:p>
        </w:tc>
        <w:tc>
          <w:tcPr>
            <w:tcW w:w="1418" w:type="dxa"/>
          </w:tcPr>
          <w:p w14:paraId="30C91FA6" w14:textId="77777777" w:rsidR="00E6060C" w:rsidRPr="00E6060C" w:rsidRDefault="00E6060C" w:rsidP="00E6060C">
            <w:r w:rsidRPr="00E6060C">
              <w:t>N</w:t>
            </w:r>
          </w:p>
        </w:tc>
        <w:tc>
          <w:tcPr>
            <w:tcW w:w="1559" w:type="dxa"/>
          </w:tcPr>
          <w:p w14:paraId="2ECFF7FA" w14:textId="77777777" w:rsidR="00E6060C" w:rsidRPr="00E6060C" w:rsidRDefault="00E6060C" w:rsidP="00E6060C">
            <w:r w:rsidRPr="00E6060C">
              <w:t>N</w:t>
            </w:r>
          </w:p>
        </w:tc>
        <w:tc>
          <w:tcPr>
            <w:tcW w:w="1135" w:type="dxa"/>
            <w:gridSpan w:val="2"/>
          </w:tcPr>
          <w:p w14:paraId="7B68EF09" w14:textId="77777777" w:rsidR="00E6060C" w:rsidRPr="00E6060C" w:rsidRDefault="00E6060C" w:rsidP="00E6060C">
            <w:r w:rsidRPr="00E6060C">
              <w:t>N</w:t>
            </w:r>
          </w:p>
        </w:tc>
      </w:tr>
      <w:tr w:rsidR="00E6060C" w:rsidRPr="00E6060C" w14:paraId="0BA6145D" w14:textId="77777777" w:rsidTr="00E6060C">
        <w:tc>
          <w:tcPr>
            <w:tcW w:w="567" w:type="dxa"/>
          </w:tcPr>
          <w:p w14:paraId="3BEF7755" w14:textId="77777777" w:rsidR="00E6060C" w:rsidRPr="00E6060C" w:rsidRDefault="00E6060C" w:rsidP="00E6060C">
            <w:pPr>
              <w:contextualSpacing/>
            </w:pPr>
            <w:r w:rsidRPr="00E6060C">
              <w:lastRenderedPageBreak/>
              <w:t>22</w:t>
            </w:r>
          </w:p>
        </w:tc>
        <w:tc>
          <w:tcPr>
            <w:tcW w:w="1419" w:type="dxa"/>
          </w:tcPr>
          <w:p w14:paraId="6CC1D071" w14:textId="5B3B4B87" w:rsidR="00E6060C" w:rsidRPr="00E6060C" w:rsidRDefault="004D6C5A" w:rsidP="00E6060C">
            <w:pPr>
              <w:contextualSpacing/>
              <w:rPr>
                <w:rFonts w:ascii="Calibri" w:hAnsi="Calibri"/>
              </w:rPr>
            </w:pPr>
            <w:r>
              <w:rPr>
                <w:rFonts w:ascii="Calibri" w:hAnsi="Calibri"/>
              </w:rPr>
              <w:t>*</w:t>
            </w:r>
            <w:r w:rsidR="00E6060C" w:rsidRPr="00E6060C">
              <w:rPr>
                <w:rFonts w:ascii="Calibri" w:hAnsi="Calibri"/>
              </w:rPr>
              <w:t xml:space="preserve">Rigotti et al., 2014 </w:t>
            </w:r>
          </w:p>
        </w:tc>
        <w:tc>
          <w:tcPr>
            <w:tcW w:w="1451" w:type="dxa"/>
          </w:tcPr>
          <w:p w14:paraId="626673B6" w14:textId="77777777" w:rsidR="00E6060C" w:rsidRPr="00E6060C" w:rsidRDefault="00E6060C" w:rsidP="00E6060C">
            <w:r w:rsidRPr="00E6060C">
              <w:t>N</w:t>
            </w:r>
          </w:p>
        </w:tc>
        <w:tc>
          <w:tcPr>
            <w:tcW w:w="1559" w:type="dxa"/>
          </w:tcPr>
          <w:p w14:paraId="0F720648" w14:textId="77777777" w:rsidR="00E6060C" w:rsidRPr="00E6060C" w:rsidRDefault="00E6060C" w:rsidP="00E6060C">
            <w:r w:rsidRPr="00E6060C">
              <w:t>NA</w:t>
            </w:r>
          </w:p>
        </w:tc>
        <w:tc>
          <w:tcPr>
            <w:tcW w:w="1560" w:type="dxa"/>
          </w:tcPr>
          <w:p w14:paraId="2467A09F" w14:textId="77777777" w:rsidR="00E6060C" w:rsidRPr="00E6060C" w:rsidRDefault="00E6060C" w:rsidP="00E6060C">
            <w:r w:rsidRPr="00E6060C">
              <w:t>N</w:t>
            </w:r>
          </w:p>
        </w:tc>
        <w:tc>
          <w:tcPr>
            <w:tcW w:w="1842" w:type="dxa"/>
          </w:tcPr>
          <w:p w14:paraId="3689AA89" w14:textId="77777777" w:rsidR="00E6060C" w:rsidRPr="00E6060C" w:rsidRDefault="00E6060C" w:rsidP="00E6060C">
            <w:pPr>
              <w:contextualSpacing/>
            </w:pPr>
            <w:r w:rsidRPr="00E6060C">
              <w:t>Matched control group for each of the 11 intervention groups, based on field of work (e.g. social services, school), type of work-related tasks, and team size</w:t>
            </w:r>
          </w:p>
        </w:tc>
        <w:tc>
          <w:tcPr>
            <w:tcW w:w="1984" w:type="dxa"/>
          </w:tcPr>
          <w:p w14:paraId="5A601B24" w14:textId="77777777" w:rsidR="00E6060C" w:rsidRPr="00E6060C" w:rsidRDefault="00E6060C" w:rsidP="00E6060C">
            <w:pPr>
              <w:contextualSpacing/>
            </w:pPr>
            <w:r w:rsidRPr="00E6060C">
              <w:t>Differences observed between groups at baseline but not tested statistically</w:t>
            </w:r>
          </w:p>
        </w:tc>
        <w:tc>
          <w:tcPr>
            <w:tcW w:w="1418" w:type="dxa"/>
          </w:tcPr>
          <w:p w14:paraId="33FE17F5" w14:textId="77777777" w:rsidR="00E6060C" w:rsidRPr="00E6060C" w:rsidRDefault="00E6060C" w:rsidP="00E6060C">
            <w:r w:rsidRPr="00E6060C">
              <w:t>N</w:t>
            </w:r>
          </w:p>
        </w:tc>
        <w:tc>
          <w:tcPr>
            <w:tcW w:w="1559" w:type="dxa"/>
          </w:tcPr>
          <w:p w14:paraId="35E9F0B7" w14:textId="77777777" w:rsidR="00E6060C" w:rsidRPr="00E6060C" w:rsidRDefault="00E6060C" w:rsidP="00E6060C">
            <w:r w:rsidRPr="00E6060C">
              <w:t>N</w:t>
            </w:r>
          </w:p>
        </w:tc>
        <w:tc>
          <w:tcPr>
            <w:tcW w:w="1135" w:type="dxa"/>
            <w:gridSpan w:val="2"/>
          </w:tcPr>
          <w:p w14:paraId="6AC466BB" w14:textId="77777777" w:rsidR="00E6060C" w:rsidRPr="00E6060C" w:rsidRDefault="00E6060C" w:rsidP="00E6060C">
            <w:r w:rsidRPr="00E6060C">
              <w:t>N</w:t>
            </w:r>
          </w:p>
        </w:tc>
      </w:tr>
      <w:tr w:rsidR="00E6060C" w:rsidRPr="00E6060C" w14:paraId="00ED88F9" w14:textId="77777777" w:rsidTr="00E6060C">
        <w:tc>
          <w:tcPr>
            <w:tcW w:w="567" w:type="dxa"/>
          </w:tcPr>
          <w:p w14:paraId="7D67F3FF" w14:textId="77777777" w:rsidR="00E6060C" w:rsidRPr="00E6060C" w:rsidRDefault="00E6060C" w:rsidP="00E6060C">
            <w:pPr>
              <w:contextualSpacing/>
            </w:pPr>
            <w:r w:rsidRPr="00E6060C">
              <w:t>23</w:t>
            </w:r>
          </w:p>
        </w:tc>
        <w:tc>
          <w:tcPr>
            <w:tcW w:w="1419" w:type="dxa"/>
          </w:tcPr>
          <w:p w14:paraId="18087107" w14:textId="05981A3F" w:rsidR="00E6060C" w:rsidRPr="00E6060C" w:rsidRDefault="004D6C5A" w:rsidP="00E6060C">
            <w:pPr>
              <w:contextualSpacing/>
              <w:rPr>
                <w:rFonts w:ascii="Calibri" w:hAnsi="Calibri"/>
              </w:rPr>
            </w:pPr>
            <w:r>
              <w:rPr>
                <w:rFonts w:ascii="Calibri" w:hAnsi="Calibri"/>
              </w:rPr>
              <w:t>*</w:t>
            </w:r>
            <w:r w:rsidR="00E6060C" w:rsidRPr="00E6060C">
              <w:rPr>
                <w:rFonts w:ascii="Calibri" w:hAnsi="Calibri"/>
              </w:rPr>
              <w:t>Rigotti et al., 2014</w:t>
            </w:r>
          </w:p>
        </w:tc>
        <w:tc>
          <w:tcPr>
            <w:tcW w:w="1451" w:type="dxa"/>
          </w:tcPr>
          <w:p w14:paraId="16E4E8E5" w14:textId="77777777" w:rsidR="00E6060C" w:rsidRPr="00E6060C" w:rsidRDefault="00E6060C" w:rsidP="00E6060C">
            <w:r w:rsidRPr="00E6060C">
              <w:t>N</w:t>
            </w:r>
          </w:p>
        </w:tc>
        <w:tc>
          <w:tcPr>
            <w:tcW w:w="1559" w:type="dxa"/>
          </w:tcPr>
          <w:p w14:paraId="66C75A61" w14:textId="77777777" w:rsidR="00E6060C" w:rsidRPr="00E6060C" w:rsidRDefault="00E6060C" w:rsidP="00E6060C">
            <w:r w:rsidRPr="00E6060C">
              <w:t>NA</w:t>
            </w:r>
          </w:p>
        </w:tc>
        <w:tc>
          <w:tcPr>
            <w:tcW w:w="1560" w:type="dxa"/>
          </w:tcPr>
          <w:p w14:paraId="08E31621" w14:textId="77777777" w:rsidR="00E6060C" w:rsidRPr="00E6060C" w:rsidRDefault="00E6060C" w:rsidP="00E6060C">
            <w:r w:rsidRPr="00E6060C">
              <w:t>N</w:t>
            </w:r>
          </w:p>
        </w:tc>
        <w:tc>
          <w:tcPr>
            <w:tcW w:w="1842" w:type="dxa"/>
          </w:tcPr>
          <w:p w14:paraId="0AD4B021" w14:textId="77777777" w:rsidR="00E6060C" w:rsidRPr="00E6060C" w:rsidRDefault="00E6060C" w:rsidP="00E6060C">
            <w:pPr>
              <w:contextualSpacing/>
            </w:pPr>
            <w:r w:rsidRPr="00E6060C">
              <w:t>10 matched control groups for the 16 intervention groups, based on field of work, type of work-related tasks, and size</w:t>
            </w:r>
          </w:p>
          <w:p w14:paraId="1C75A80C" w14:textId="77777777" w:rsidR="00E6060C" w:rsidRPr="00E6060C" w:rsidRDefault="00E6060C" w:rsidP="00E6060C">
            <w:pPr>
              <w:contextualSpacing/>
            </w:pPr>
          </w:p>
        </w:tc>
        <w:tc>
          <w:tcPr>
            <w:tcW w:w="1984" w:type="dxa"/>
          </w:tcPr>
          <w:p w14:paraId="68BCA7D4" w14:textId="77777777" w:rsidR="00E6060C" w:rsidRPr="00E6060C" w:rsidRDefault="00E6060C" w:rsidP="00E6060C">
            <w:pPr>
              <w:contextualSpacing/>
            </w:pPr>
            <w:r w:rsidRPr="00E6060C">
              <w:t>Differences observed between groups at baseline but not tested statistically</w:t>
            </w:r>
          </w:p>
        </w:tc>
        <w:tc>
          <w:tcPr>
            <w:tcW w:w="1418" w:type="dxa"/>
          </w:tcPr>
          <w:p w14:paraId="287F5732" w14:textId="77777777" w:rsidR="00E6060C" w:rsidRPr="00E6060C" w:rsidRDefault="00E6060C" w:rsidP="00E6060C">
            <w:r w:rsidRPr="00E6060C">
              <w:t>N</w:t>
            </w:r>
          </w:p>
        </w:tc>
        <w:tc>
          <w:tcPr>
            <w:tcW w:w="1559" w:type="dxa"/>
          </w:tcPr>
          <w:p w14:paraId="3840D136" w14:textId="77777777" w:rsidR="00E6060C" w:rsidRPr="00E6060C" w:rsidRDefault="00E6060C" w:rsidP="00E6060C">
            <w:r w:rsidRPr="00E6060C">
              <w:t>N</w:t>
            </w:r>
          </w:p>
        </w:tc>
        <w:tc>
          <w:tcPr>
            <w:tcW w:w="1135" w:type="dxa"/>
            <w:gridSpan w:val="2"/>
          </w:tcPr>
          <w:p w14:paraId="29A6D95D" w14:textId="77777777" w:rsidR="00E6060C" w:rsidRPr="00E6060C" w:rsidRDefault="00E6060C" w:rsidP="00E6060C">
            <w:r w:rsidRPr="00E6060C">
              <w:t>N</w:t>
            </w:r>
          </w:p>
        </w:tc>
      </w:tr>
      <w:tr w:rsidR="00E6060C" w:rsidRPr="00E6060C" w14:paraId="0377D5A2" w14:textId="77777777" w:rsidTr="00E6060C">
        <w:trPr>
          <w:gridAfter w:val="1"/>
          <w:wAfter w:w="6" w:type="dxa"/>
        </w:trPr>
        <w:tc>
          <w:tcPr>
            <w:tcW w:w="14488" w:type="dxa"/>
            <w:gridSpan w:val="10"/>
            <w:shd w:val="clear" w:color="auto" w:fill="D9D9D9" w:themeFill="background1" w:themeFillShade="D9"/>
          </w:tcPr>
          <w:p w14:paraId="33AC772C" w14:textId="77777777" w:rsidR="00E6060C" w:rsidRPr="00E6060C" w:rsidRDefault="00E6060C" w:rsidP="00E6060C">
            <w:pPr>
              <w:rPr>
                <w:b/>
              </w:rPr>
            </w:pPr>
            <w:r w:rsidRPr="00E6060C">
              <w:rPr>
                <w:b/>
              </w:rPr>
              <w:t xml:space="preserve">ONGOING LEADERSHIP TRAINING INTERVENTIONS </w:t>
            </w:r>
          </w:p>
          <w:p w14:paraId="7A64AE18" w14:textId="77777777" w:rsidR="00E6060C" w:rsidRPr="00E6060C" w:rsidRDefault="00E6060C" w:rsidP="00E6060C">
            <w:pPr>
              <w:rPr>
                <w:b/>
              </w:rPr>
            </w:pPr>
          </w:p>
        </w:tc>
      </w:tr>
      <w:tr w:rsidR="00E6060C" w:rsidRPr="00E6060C" w14:paraId="4ED8618C" w14:textId="77777777" w:rsidTr="00E6060C">
        <w:tc>
          <w:tcPr>
            <w:tcW w:w="567" w:type="dxa"/>
            <w:tcBorders>
              <w:bottom w:val="single" w:sz="4" w:space="0" w:color="auto"/>
            </w:tcBorders>
            <w:shd w:val="clear" w:color="auto" w:fill="D9D9D9" w:themeFill="background1" w:themeFillShade="D9"/>
          </w:tcPr>
          <w:p w14:paraId="274B49F2" w14:textId="77777777" w:rsidR="00E6060C" w:rsidRPr="00E6060C" w:rsidRDefault="00E6060C" w:rsidP="00E6060C">
            <w:pPr>
              <w:contextualSpacing/>
            </w:pPr>
            <w:r w:rsidRPr="00E6060C">
              <w:t>24</w:t>
            </w:r>
          </w:p>
        </w:tc>
        <w:tc>
          <w:tcPr>
            <w:tcW w:w="1419" w:type="dxa"/>
            <w:tcBorders>
              <w:bottom w:val="single" w:sz="4" w:space="0" w:color="auto"/>
            </w:tcBorders>
            <w:shd w:val="clear" w:color="auto" w:fill="D9D9D9" w:themeFill="background1" w:themeFillShade="D9"/>
          </w:tcPr>
          <w:p w14:paraId="0E609532" w14:textId="671CEFD1" w:rsidR="00E6060C" w:rsidRPr="00E6060C" w:rsidRDefault="00EC6E7A" w:rsidP="00E6060C">
            <w:pPr>
              <w:contextualSpacing/>
              <w:rPr>
                <w:rFonts w:ascii="Calibri" w:hAnsi="Calibri"/>
                <w:color w:val="000000"/>
              </w:rPr>
            </w:pPr>
            <w:r>
              <w:rPr>
                <w:rFonts w:ascii="Calibri" w:hAnsi="Calibri"/>
                <w:color w:val="000000"/>
              </w:rPr>
              <w:t>White et al., 2014</w:t>
            </w:r>
          </w:p>
        </w:tc>
        <w:tc>
          <w:tcPr>
            <w:tcW w:w="1451" w:type="dxa"/>
            <w:tcBorders>
              <w:bottom w:val="single" w:sz="4" w:space="0" w:color="auto"/>
            </w:tcBorders>
            <w:shd w:val="clear" w:color="auto" w:fill="D9D9D9" w:themeFill="background1" w:themeFillShade="D9"/>
          </w:tcPr>
          <w:p w14:paraId="2A484F32" w14:textId="77777777" w:rsidR="00E6060C" w:rsidRPr="00E6060C" w:rsidRDefault="00E6060C" w:rsidP="00E6060C">
            <w:r w:rsidRPr="00E6060C">
              <w:t>N</w:t>
            </w:r>
          </w:p>
        </w:tc>
        <w:tc>
          <w:tcPr>
            <w:tcW w:w="1559" w:type="dxa"/>
            <w:tcBorders>
              <w:bottom w:val="single" w:sz="4" w:space="0" w:color="auto"/>
            </w:tcBorders>
            <w:shd w:val="clear" w:color="auto" w:fill="D9D9D9" w:themeFill="background1" w:themeFillShade="D9"/>
          </w:tcPr>
          <w:p w14:paraId="3312F533" w14:textId="77777777" w:rsidR="00E6060C" w:rsidRPr="00E6060C" w:rsidRDefault="00E6060C" w:rsidP="00E6060C">
            <w:r w:rsidRPr="00E6060C">
              <w:t>NA</w:t>
            </w:r>
          </w:p>
        </w:tc>
        <w:tc>
          <w:tcPr>
            <w:tcW w:w="1560" w:type="dxa"/>
            <w:tcBorders>
              <w:bottom w:val="single" w:sz="4" w:space="0" w:color="auto"/>
            </w:tcBorders>
            <w:shd w:val="clear" w:color="auto" w:fill="D9D9D9" w:themeFill="background1" w:themeFillShade="D9"/>
          </w:tcPr>
          <w:p w14:paraId="79557CAA" w14:textId="77777777" w:rsidR="00E6060C" w:rsidRPr="00E6060C" w:rsidRDefault="00E6060C" w:rsidP="00E6060C">
            <w:r w:rsidRPr="00E6060C">
              <w:t>N</w:t>
            </w:r>
          </w:p>
        </w:tc>
        <w:tc>
          <w:tcPr>
            <w:tcW w:w="1842" w:type="dxa"/>
            <w:tcBorders>
              <w:bottom w:val="single" w:sz="4" w:space="0" w:color="auto"/>
            </w:tcBorders>
            <w:shd w:val="clear" w:color="auto" w:fill="D9D9D9" w:themeFill="background1" w:themeFillShade="D9"/>
          </w:tcPr>
          <w:p w14:paraId="5F9C8F79" w14:textId="77777777" w:rsidR="00E6060C" w:rsidRPr="00E6060C" w:rsidRDefault="00E6060C" w:rsidP="00E6060C">
            <w:pPr>
              <w:contextualSpacing/>
            </w:pPr>
            <w:r w:rsidRPr="00E6060C">
              <w:t>Matched on ward size and specialty</w:t>
            </w:r>
          </w:p>
        </w:tc>
        <w:tc>
          <w:tcPr>
            <w:tcW w:w="1984" w:type="dxa"/>
            <w:tcBorders>
              <w:bottom w:val="single" w:sz="4" w:space="0" w:color="auto"/>
            </w:tcBorders>
            <w:shd w:val="clear" w:color="auto" w:fill="D9D9D9" w:themeFill="background1" w:themeFillShade="D9"/>
          </w:tcPr>
          <w:p w14:paraId="14390FC4" w14:textId="77777777" w:rsidR="00E6060C" w:rsidRPr="00E6060C" w:rsidRDefault="00E6060C" w:rsidP="00E6060C">
            <w:pPr>
              <w:contextualSpacing/>
            </w:pPr>
            <w:r w:rsidRPr="00E6060C">
              <w:t xml:space="preserve">Specialty and employment grade differed between groups at 12 weeks into the intervention. Continuing study. </w:t>
            </w:r>
          </w:p>
        </w:tc>
        <w:tc>
          <w:tcPr>
            <w:tcW w:w="1418" w:type="dxa"/>
            <w:tcBorders>
              <w:bottom w:val="single" w:sz="4" w:space="0" w:color="auto"/>
            </w:tcBorders>
            <w:shd w:val="clear" w:color="auto" w:fill="D9D9D9" w:themeFill="background1" w:themeFillShade="D9"/>
          </w:tcPr>
          <w:p w14:paraId="6C1EA0E0" w14:textId="77777777" w:rsidR="00E6060C" w:rsidRPr="00E6060C" w:rsidRDefault="00E6060C" w:rsidP="00E6060C">
            <w:r w:rsidRPr="00E6060C">
              <w:t>N</w:t>
            </w:r>
          </w:p>
        </w:tc>
        <w:tc>
          <w:tcPr>
            <w:tcW w:w="1559" w:type="dxa"/>
            <w:tcBorders>
              <w:bottom w:val="single" w:sz="4" w:space="0" w:color="auto"/>
            </w:tcBorders>
            <w:shd w:val="clear" w:color="auto" w:fill="D9D9D9" w:themeFill="background1" w:themeFillShade="D9"/>
          </w:tcPr>
          <w:p w14:paraId="6E0EA6EF" w14:textId="77777777" w:rsidR="00E6060C" w:rsidRPr="00E6060C" w:rsidRDefault="00E6060C" w:rsidP="00E6060C">
            <w:r w:rsidRPr="00E6060C">
              <w:t>N</w:t>
            </w:r>
          </w:p>
        </w:tc>
        <w:tc>
          <w:tcPr>
            <w:tcW w:w="1135" w:type="dxa"/>
            <w:gridSpan w:val="2"/>
            <w:tcBorders>
              <w:bottom w:val="single" w:sz="4" w:space="0" w:color="auto"/>
            </w:tcBorders>
            <w:shd w:val="clear" w:color="auto" w:fill="D9D9D9" w:themeFill="background1" w:themeFillShade="D9"/>
          </w:tcPr>
          <w:p w14:paraId="43271EE0" w14:textId="77777777" w:rsidR="00E6060C" w:rsidRPr="00E6060C" w:rsidRDefault="00E6060C" w:rsidP="00E6060C">
            <w:r w:rsidRPr="00E6060C">
              <w:t>N</w:t>
            </w:r>
          </w:p>
        </w:tc>
      </w:tr>
    </w:tbl>
    <w:p w14:paraId="139A30BD" w14:textId="77777777" w:rsidR="002A5A6B" w:rsidRDefault="002A5A6B">
      <w:r>
        <w:br w:type="page"/>
      </w:r>
    </w:p>
    <w:tbl>
      <w:tblPr>
        <w:tblStyle w:val="TableGrid8"/>
        <w:tblW w:w="1449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19"/>
        <w:gridCol w:w="1451"/>
        <w:gridCol w:w="1559"/>
        <w:gridCol w:w="1560"/>
        <w:gridCol w:w="1842"/>
        <w:gridCol w:w="1984"/>
        <w:gridCol w:w="1418"/>
        <w:gridCol w:w="1559"/>
        <w:gridCol w:w="1129"/>
        <w:gridCol w:w="6"/>
      </w:tblGrid>
      <w:tr w:rsidR="00E6060C" w:rsidRPr="00E6060C" w14:paraId="04A1183A" w14:textId="77777777" w:rsidTr="00E6060C">
        <w:trPr>
          <w:gridAfter w:val="1"/>
          <w:wAfter w:w="6" w:type="dxa"/>
        </w:trPr>
        <w:tc>
          <w:tcPr>
            <w:tcW w:w="14488" w:type="dxa"/>
            <w:gridSpan w:val="10"/>
            <w:tcBorders>
              <w:top w:val="single" w:sz="4" w:space="0" w:color="auto"/>
              <w:bottom w:val="single" w:sz="4" w:space="0" w:color="auto"/>
            </w:tcBorders>
          </w:tcPr>
          <w:p w14:paraId="5E232075" w14:textId="71A2F4E7" w:rsidR="00E6060C" w:rsidRPr="00E6060C" w:rsidRDefault="00E6060C" w:rsidP="00E6060C">
            <w:pPr>
              <w:contextualSpacing/>
              <w:rPr>
                <w:b/>
                <w:sz w:val="28"/>
                <w:szCs w:val="28"/>
              </w:rPr>
            </w:pPr>
            <w:r w:rsidRPr="00E6060C">
              <w:rPr>
                <w:b/>
                <w:sz w:val="28"/>
                <w:szCs w:val="28"/>
              </w:rPr>
              <w:lastRenderedPageBreak/>
              <w:t>HEALTH PROMOTION INTERVENTIONS</w:t>
            </w:r>
          </w:p>
        </w:tc>
      </w:tr>
      <w:tr w:rsidR="00E6060C" w:rsidRPr="00E6060C" w14:paraId="3C7D789A" w14:textId="77777777" w:rsidTr="00E6060C">
        <w:tc>
          <w:tcPr>
            <w:tcW w:w="567" w:type="dxa"/>
            <w:tcBorders>
              <w:top w:val="single" w:sz="4" w:space="0" w:color="auto"/>
            </w:tcBorders>
          </w:tcPr>
          <w:p w14:paraId="332B15E1" w14:textId="77777777" w:rsidR="00E6060C" w:rsidRPr="00E6060C" w:rsidRDefault="00E6060C" w:rsidP="00E6060C">
            <w:pPr>
              <w:contextualSpacing/>
            </w:pPr>
            <w:r w:rsidRPr="00E6060C">
              <w:t>25</w:t>
            </w:r>
          </w:p>
        </w:tc>
        <w:tc>
          <w:tcPr>
            <w:tcW w:w="1419" w:type="dxa"/>
            <w:tcBorders>
              <w:top w:val="single" w:sz="4" w:space="0" w:color="auto"/>
            </w:tcBorders>
          </w:tcPr>
          <w:p w14:paraId="16F3240B" w14:textId="003C3734" w:rsidR="00E6060C" w:rsidRPr="00E6060C" w:rsidRDefault="004D6C5A" w:rsidP="00E6060C">
            <w:pPr>
              <w:contextualSpacing/>
            </w:pPr>
            <w:r>
              <w:t>*</w:t>
            </w:r>
            <w:r w:rsidR="00E6060C" w:rsidRPr="00E6060C">
              <w:t>Aikens et al., 2014</w:t>
            </w:r>
          </w:p>
        </w:tc>
        <w:tc>
          <w:tcPr>
            <w:tcW w:w="1451" w:type="dxa"/>
            <w:tcBorders>
              <w:top w:val="single" w:sz="4" w:space="0" w:color="auto"/>
            </w:tcBorders>
          </w:tcPr>
          <w:p w14:paraId="08BA8288" w14:textId="77777777" w:rsidR="00E6060C" w:rsidRPr="00E6060C" w:rsidRDefault="00E6060C" w:rsidP="00E6060C">
            <w:pPr>
              <w:contextualSpacing/>
            </w:pPr>
            <w:r w:rsidRPr="00E6060C">
              <w:t>Y</w:t>
            </w:r>
          </w:p>
        </w:tc>
        <w:tc>
          <w:tcPr>
            <w:tcW w:w="1559" w:type="dxa"/>
            <w:tcBorders>
              <w:top w:val="single" w:sz="4" w:space="0" w:color="auto"/>
            </w:tcBorders>
          </w:tcPr>
          <w:p w14:paraId="762E4849" w14:textId="77777777" w:rsidR="00E6060C" w:rsidRPr="00E6060C" w:rsidRDefault="00E6060C" w:rsidP="00E6060C">
            <w:pPr>
              <w:contextualSpacing/>
            </w:pPr>
            <w:r w:rsidRPr="00E6060C">
              <w:t>Computer algorithm</w:t>
            </w:r>
          </w:p>
        </w:tc>
        <w:tc>
          <w:tcPr>
            <w:tcW w:w="1560" w:type="dxa"/>
            <w:tcBorders>
              <w:top w:val="single" w:sz="4" w:space="0" w:color="auto"/>
            </w:tcBorders>
          </w:tcPr>
          <w:p w14:paraId="68981127" w14:textId="77777777" w:rsidR="00E6060C" w:rsidRPr="00E6060C" w:rsidRDefault="00E6060C" w:rsidP="00E6060C">
            <w:pPr>
              <w:contextualSpacing/>
            </w:pPr>
            <w:r w:rsidRPr="00E6060C">
              <w:t>N</w:t>
            </w:r>
          </w:p>
        </w:tc>
        <w:tc>
          <w:tcPr>
            <w:tcW w:w="1842" w:type="dxa"/>
            <w:tcBorders>
              <w:top w:val="single" w:sz="4" w:space="0" w:color="auto"/>
            </w:tcBorders>
          </w:tcPr>
          <w:p w14:paraId="2CD6F018" w14:textId="77777777" w:rsidR="00E6060C" w:rsidRPr="00E6060C" w:rsidRDefault="00E6060C" w:rsidP="00E6060C">
            <w:pPr>
              <w:contextualSpacing/>
            </w:pPr>
            <w:r w:rsidRPr="00E6060C">
              <w:t>Wait-list control</w:t>
            </w:r>
          </w:p>
        </w:tc>
        <w:tc>
          <w:tcPr>
            <w:tcW w:w="1984" w:type="dxa"/>
            <w:tcBorders>
              <w:top w:val="single" w:sz="4" w:space="0" w:color="auto"/>
            </w:tcBorders>
          </w:tcPr>
          <w:p w14:paraId="4CC583E9" w14:textId="77777777" w:rsidR="00E6060C" w:rsidRPr="00E6060C" w:rsidRDefault="00E6060C" w:rsidP="00E6060C">
            <w:pPr>
              <w:contextualSpacing/>
            </w:pPr>
            <w:r w:rsidRPr="00E6060C">
              <w:t>Not discussed</w:t>
            </w:r>
          </w:p>
        </w:tc>
        <w:tc>
          <w:tcPr>
            <w:tcW w:w="1418" w:type="dxa"/>
            <w:tcBorders>
              <w:top w:val="single" w:sz="4" w:space="0" w:color="auto"/>
            </w:tcBorders>
          </w:tcPr>
          <w:p w14:paraId="50626E84" w14:textId="77777777" w:rsidR="00E6060C" w:rsidRPr="00E6060C" w:rsidRDefault="00E6060C" w:rsidP="00E6060C">
            <w:pPr>
              <w:contextualSpacing/>
            </w:pPr>
            <w:r w:rsidRPr="00E6060C">
              <w:t>N</w:t>
            </w:r>
          </w:p>
        </w:tc>
        <w:tc>
          <w:tcPr>
            <w:tcW w:w="1559" w:type="dxa"/>
            <w:tcBorders>
              <w:top w:val="single" w:sz="4" w:space="0" w:color="auto"/>
            </w:tcBorders>
          </w:tcPr>
          <w:p w14:paraId="6B3694DE" w14:textId="77777777" w:rsidR="00E6060C" w:rsidRPr="00E6060C" w:rsidRDefault="00E6060C" w:rsidP="00E6060C">
            <w:pPr>
              <w:contextualSpacing/>
            </w:pPr>
            <w:r w:rsidRPr="00E6060C">
              <w:t>N</w:t>
            </w:r>
          </w:p>
        </w:tc>
        <w:tc>
          <w:tcPr>
            <w:tcW w:w="1135" w:type="dxa"/>
            <w:gridSpan w:val="2"/>
            <w:tcBorders>
              <w:top w:val="single" w:sz="4" w:space="0" w:color="auto"/>
            </w:tcBorders>
          </w:tcPr>
          <w:p w14:paraId="27F9FD77" w14:textId="77777777" w:rsidR="00E6060C" w:rsidRPr="00E6060C" w:rsidRDefault="00E6060C" w:rsidP="00E6060C">
            <w:pPr>
              <w:contextualSpacing/>
            </w:pPr>
            <w:r w:rsidRPr="00E6060C">
              <w:t>Y</w:t>
            </w:r>
          </w:p>
        </w:tc>
      </w:tr>
      <w:tr w:rsidR="00E6060C" w:rsidRPr="00E6060C" w14:paraId="4CA7BACE" w14:textId="77777777" w:rsidTr="00E6060C">
        <w:tc>
          <w:tcPr>
            <w:tcW w:w="567" w:type="dxa"/>
          </w:tcPr>
          <w:p w14:paraId="34887287" w14:textId="77777777" w:rsidR="00E6060C" w:rsidRPr="00E6060C" w:rsidRDefault="00E6060C" w:rsidP="00E6060C">
            <w:pPr>
              <w:contextualSpacing/>
            </w:pPr>
            <w:r w:rsidRPr="00E6060C">
              <w:t>26</w:t>
            </w:r>
          </w:p>
        </w:tc>
        <w:tc>
          <w:tcPr>
            <w:tcW w:w="1419" w:type="dxa"/>
          </w:tcPr>
          <w:p w14:paraId="719E82ED" w14:textId="3BDF166F"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Biggs, 2011 </w:t>
            </w:r>
          </w:p>
          <w:p w14:paraId="6911AECA" w14:textId="77777777" w:rsidR="00E6060C" w:rsidRPr="00E6060C" w:rsidRDefault="00E6060C" w:rsidP="00E6060C">
            <w:pPr>
              <w:contextualSpacing/>
              <w:rPr>
                <w:rFonts w:ascii="Calibri" w:hAnsi="Calibri"/>
                <w:b/>
                <w:color w:val="000000"/>
              </w:rPr>
            </w:pPr>
          </w:p>
        </w:tc>
        <w:tc>
          <w:tcPr>
            <w:tcW w:w="1451" w:type="dxa"/>
          </w:tcPr>
          <w:p w14:paraId="666B5C6A" w14:textId="77777777" w:rsidR="00E6060C" w:rsidRPr="00E6060C" w:rsidRDefault="00E6060C" w:rsidP="00E6060C">
            <w:r w:rsidRPr="00E6060C">
              <w:t>N</w:t>
            </w:r>
          </w:p>
        </w:tc>
        <w:tc>
          <w:tcPr>
            <w:tcW w:w="1559" w:type="dxa"/>
          </w:tcPr>
          <w:p w14:paraId="3FC530F7" w14:textId="77777777" w:rsidR="00E6060C" w:rsidRPr="00E6060C" w:rsidRDefault="00E6060C" w:rsidP="00E6060C">
            <w:r w:rsidRPr="00E6060C">
              <w:t>NA</w:t>
            </w:r>
          </w:p>
        </w:tc>
        <w:tc>
          <w:tcPr>
            <w:tcW w:w="1560" w:type="dxa"/>
          </w:tcPr>
          <w:p w14:paraId="0AF44123" w14:textId="77777777" w:rsidR="00E6060C" w:rsidRPr="00E6060C" w:rsidRDefault="00E6060C" w:rsidP="00E6060C">
            <w:r w:rsidRPr="00E6060C">
              <w:t>N</w:t>
            </w:r>
          </w:p>
        </w:tc>
        <w:tc>
          <w:tcPr>
            <w:tcW w:w="1842" w:type="dxa"/>
          </w:tcPr>
          <w:p w14:paraId="5773812E" w14:textId="77777777" w:rsidR="00E6060C" w:rsidRPr="00E6060C" w:rsidRDefault="00E6060C" w:rsidP="00E6060C">
            <w:pPr>
              <w:contextualSpacing/>
            </w:pPr>
            <w:r w:rsidRPr="00E6060C">
              <w:t>2 control groups: i) matched custodial group; &amp; a ii) non-matched, non- custodial group</w:t>
            </w:r>
          </w:p>
        </w:tc>
        <w:tc>
          <w:tcPr>
            <w:tcW w:w="1984" w:type="dxa"/>
          </w:tcPr>
          <w:p w14:paraId="052F94A9" w14:textId="77777777" w:rsidR="00E6060C" w:rsidRPr="00E6060C" w:rsidRDefault="00E6060C" w:rsidP="00F15DDF">
            <w:pPr>
              <w:numPr>
                <w:ilvl w:val="0"/>
                <w:numId w:val="47"/>
              </w:numPr>
              <w:ind w:left="175" w:hanging="175"/>
              <w:contextualSpacing/>
            </w:pPr>
            <w:r w:rsidRPr="00E6060C">
              <w:t>More females, fewer shift workers and fewer previous physical health claims in the non-custodial control group than in the other two groups</w:t>
            </w:r>
          </w:p>
          <w:p w14:paraId="0D66CDCC" w14:textId="77777777" w:rsidR="00E6060C" w:rsidRPr="00E6060C" w:rsidRDefault="00E6060C" w:rsidP="00F15DDF">
            <w:pPr>
              <w:numPr>
                <w:ilvl w:val="0"/>
                <w:numId w:val="47"/>
              </w:numPr>
              <w:ind w:left="175" w:hanging="175"/>
              <w:contextualSpacing/>
            </w:pPr>
            <w:r w:rsidRPr="00E6060C">
              <w:t>The custodial control group scored lower on a particular style of coping than the intervention group</w:t>
            </w:r>
          </w:p>
          <w:p w14:paraId="3BF1B9A4" w14:textId="77777777" w:rsidR="00E6060C" w:rsidRPr="00E6060C" w:rsidRDefault="00E6060C" w:rsidP="00F15DDF">
            <w:pPr>
              <w:numPr>
                <w:ilvl w:val="0"/>
                <w:numId w:val="47"/>
              </w:numPr>
              <w:ind w:left="175" w:hanging="175"/>
              <w:contextualSpacing/>
            </w:pPr>
            <w:r w:rsidRPr="00E6060C">
              <w:t xml:space="preserve">The non-custodial control group was significantly higher in autonomy, reported greater equal opportunities between males and females and mentoring opportunities, </w:t>
            </w:r>
            <w:r w:rsidRPr="00E6060C">
              <w:lastRenderedPageBreak/>
              <w:t xml:space="preserve">and lower on stressors. They were also younger with shorter organisational tenure. </w:t>
            </w:r>
          </w:p>
        </w:tc>
        <w:tc>
          <w:tcPr>
            <w:tcW w:w="1418" w:type="dxa"/>
          </w:tcPr>
          <w:p w14:paraId="436B9AB3" w14:textId="77777777" w:rsidR="00E6060C" w:rsidRPr="00E6060C" w:rsidRDefault="00E6060C" w:rsidP="00E6060C">
            <w:r w:rsidRPr="00E6060C">
              <w:lastRenderedPageBreak/>
              <w:t>N</w:t>
            </w:r>
          </w:p>
        </w:tc>
        <w:tc>
          <w:tcPr>
            <w:tcW w:w="1559" w:type="dxa"/>
          </w:tcPr>
          <w:p w14:paraId="121AA1DE" w14:textId="77777777" w:rsidR="00E6060C" w:rsidRPr="00E6060C" w:rsidRDefault="00E6060C" w:rsidP="00E6060C">
            <w:r w:rsidRPr="00E6060C">
              <w:t>N</w:t>
            </w:r>
          </w:p>
        </w:tc>
        <w:tc>
          <w:tcPr>
            <w:tcW w:w="1135" w:type="dxa"/>
            <w:gridSpan w:val="2"/>
          </w:tcPr>
          <w:p w14:paraId="22C07726" w14:textId="77777777" w:rsidR="00E6060C" w:rsidRPr="00E6060C" w:rsidRDefault="00E6060C" w:rsidP="00E6060C">
            <w:r w:rsidRPr="00E6060C">
              <w:t>N</w:t>
            </w:r>
          </w:p>
        </w:tc>
      </w:tr>
      <w:tr w:rsidR="00E6060C" w:rsidRPr="00E6060C" w14:paraId="46F030A2" w14:textId="77777777" w:rsidTr="00E6060C">
        <w:tc>
          <w:tcPr>
            <w:tcW w:w="567" w:type="dxa"/>
          </w:tcPr>
          <w:p w14:paraId="59B64E0C" w14:textId="77777777" w:rsidR="00E6060C" w:rsidRPr="00E6060C" w:rsidRDefault="00E6060C" w:rsidP="00E6060C">
            <w:pPr>
              <w:contextualSpacing/>
            </w:pPr>
            <w:r w:rsidRPr="00E6060C">
              <w:t>27</w:t>
            </w:r>
          </w:p>
        </w:tc>
        <w:tc>
          <w:tcPr>
            <w:tcW w:w="1419" w:type="dxa"/>
          </w:tcPr>
          <w:p w14:paraId="41DCFAB3" w14:textId="60412227"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Calitz 2013</w:t>
            </w:r>
          </w:p>
          <w:p w14:paraId="558A84C9" w14:textId="77777777" w:rsidR="00E6060C" w:rsidRPr="00E6060C" w:rsidRDefault="00E6060C" w:rsidP="00E6060C">
            <w:pPr>
              <w:contextualSpacing/>
              <w:rPr>
                <w:rFonts w:ascii="Calibri" w:hAnsi="Calibri"/>
              </w:rPr>
            </w:pPr>
          </w:p>
        </w:tc>
        <w:tc>
          <w:tcPr>
            <w:tcW w:w="1451" w:type="dxa"/>
          </w:tcPr>
          <w:p w14:paraId="3E14F21B" w14:textId="77777777" w:rsidR="00E6060C" w:rsidRPr="00E6060C" w:rsidRDefault="00E6060C" w:rsidP="00E6060C">
            <w:pPr>
              <w:contextualSpacing/>
            </w:pPr>
            <w:r w:rsidRPr="00E6060C">
              <w:t>N</w:t>
            </w:r>
          </w:p>
        </w:tc>
        <w:tc>
          <w:tcPr>
            <w:tcW w:w="1559" w:type="dxa"/>
          </w:tcPr>
          <w:p w14:paraId="4498BC8A" w14:textId="77777777" w:rsidR="00E6060C" w:rsidRPr="00E6060C" w:rsidRDefault="00E6060C" w:rsidP="00E6060C">
            <w:pPr>
              <w:contextualSpacing/>
            </w:pPr>
            <w:r w:rsidRPr="00E6060C">
              <w:t>NA</w:t>
            </w:r>
          </w:p>
        </w:tc>
        <w:tc>
          <w:tcPr>
            <w:tcW w:w="1560" w:type="dxa"/>
          </w:tcPr>
          <w:p w14:paraId="3285E5F5" w14:textId="77777777" w:rsidR="00E6060C" w:rsidRPr="00E6060C" w:rsidRDefault="00E6060C" w:rsidP="00E6060C">
            <w:pPr>
              <w:contextualSpacing/>
            </w:pPr>
            <w:r w:rsidRPr="00E6060C">
              <w:t>NA</w:t>
            </w:r>
          </w:p>
        </w:tc>
        <w:tc>
          <w:tcPr>
            <w:tcW w:w="1842" w:type="dxa"/>
          </w:tcPr>
          <w:p w14:paraId="55D3AA17" w14:textId="77777777" w:rsidR="00E6060C" w:rsidRPr="00E6060C" w:rsidRDefault="00E6060C" w:rsidP="00E6060C">
            <w:pPr>
              <w:contextualSpacing/>
            </w:pPr>
            <w:r w:rsidRPr="00E6060C">
              <w:t>Comparison group</w:t>
            </w:r>
          </w:p>
        </w:tc>
        <w:tc>
          <w:tcPr>
            <w:tcW w:w="1984" w:type="dxa"/>
          </w:tcPr>
          <w:p w14:paraId="34311623" w14:textId="77777777" w:rsidR="00E6060C" w:rsidRPr="00E6060C" w:rsidRDefault="00E6060C" w:rsidP="00E6060C">
            <w:pPr>
              <w:contextualSpacing/>
            </w:pPr>
            <w:r w:rsidRPr="00E6060C">
              <w:t xml:space="preserve">Not reported. </w:t>
            </w:r>
          </w:p>
        </w:tc>
        <w:tc>
          <w:tcPr>
            <w:tcW w:w="1418" w:type="dxa"/>
          </w:tcPr>
          <w:p w14:paraId="5A2B1820" w14:textId="77777777" w:rsidR="00E6060C" w:rsidRPr="00E6060C" w:rsidRDefault="00E6060C" w:rsidP="00E6060C">
            <w:pPr>
              <w:contextualSpacing/>
            </w:pPr>
            <w:r w:rsidRPr="00E6060C">
              <w:t>N</w:t>
            </w:r>
          </w:p>
        </w:tc>
        <w:tc>
          <w:tcPr>
            <w:tcW w:w="1559" w:type="dxa"/>
          </w:tcPr>
          <w:p w14:paraId="4249748B" w14:textId="77777777" w:rsidR="00E6060C" w:rsidRPr="00E6060C" w:rsidRDefault="00E6060C" w:rsidP="00E6060C">
            <w:pPr>
              <w:contextualSpacing/>
            </w:pPr>
            <w:r w:rsidRPr="00E6060C">
              <w:t>N</w:t>
            </w:r>
          </w:p>
        </w:tc>
        <w:tc>
          <w:tcPr>
            <w:tcW w:w="1135" w:type="dxa"/>
            <w:gridSpan w:val="2"/>
          </w:tcPr>
          <w:p w14:paraId="1708C813" w14:textId="77777777" w:rsidR="00E6060C" w:rsidRPr="00E6060C" w:rsidRDefault="00E6060C" w:rsidP="00E6060C">
            <w:pPr>
              <w:contextualSpacing/>
            </w:pPr>
            <w:r w:rsidRPr="00E6060C">
              <w:t>Y</w:t>
            </w:r>
          </w:p>
        </w:tc>
      </w:tr>
      <w:tr w:rsidR="00E6060C" w:rsidRPr="00E6060C" w14:paraId="54D31C40" w14:textId="77777777" w:rsidTr="00E6060C">
        <w:tc>
          <w:tcPr>
            <w:tcW w:w="567" w:type="dxa"/>
          </w:tcPr>
          <w:p w14:paraId="07868561" w14:textId="77777777" w:rsidR="00E6060C" w:rsidRPr="00E6060C" w:rsidRDefault="00E6060C" w:rsidP="00E6060C">
            <w:pPr>
              <w:contextualSpacing/>
            </w:pPr>
            <w:r w:rsidRPr="00E6060C">
              <w:t>28</w:t>
            </w:r>
          </w:p>
        </w:tc>
        <w:tc>
          <w:tcPr>
            <w:tcW w:w="1419" w:type="dxa"/>
          </w:tcPr>
          <w:p w14:paraId="4EB79B80" w14:textId="55FBFB10" w:rsidR="00E6060C" w:rsidRPr="00E6060C" w:rsidRDefault="004D6C5A" w:rsidP="00E6060C">
            <w:pPr>
              <w:contextualSpacing/>
            </w:pPr>
            <w:r>
              <w:t>*</w:t>
            </w:r>
            <w:r w:rsidR="00E6060C" w:rsidRPr="00E6060C">
              <w:t>Hengel, et al., 2012</w:t>
            </w:r>
          </w:p>
          <w:p w14:paraId="74D55F5A" w14:textId="77777777" w:rsidR="00E6060C" w:rsidRPr="00E6060C" w:rsidRDefault="00E6060C" w:rsidP="00E6060C">
            <w:pPr>
              <w:contextualSpacing/>
            </w:pPr>
          </w:p>
        </w:tc>
        <w:tc>
          <w:tcPr>
            <w:tcW w:w="1451" w:type="dxa"/>
          </w:tcPr>
          <w:p w14:paraId="38B80871" w14:textId="77777777" w:rsidR="00E6060C" w:rsidRPr="00E6060C" w:rsidRDefault="00E6060C" w:rsidP="00E6060C">
            <w:pPr>
              <w:ind w:right="-110"/>
              <w:contextualSpacing/>
            </w:pPr>
            <w:r w:rsidRPr="00E6060C">
              <w:t>Y (cluster randomisation at dept. level, before baseline)</w:t>
            </w:r>
          </w:p>
        </w:tc>
        <w:tc>
          <w:tcPr>
            <w:tcW w:w="1559" w:type="dxa"/>
          </w:tcPr>
          <w:p w14:paraId="07289D90" w14:textId="77777777" w:rsidR="00E6060C" w:rsidRPr="00E6060C" w:rsidRDefault="00E6060C" w:rsidP="00E6060C">
            <w:pPr>
              <w:contextualSpacing/>
            </w:pPr>
            <w:r w:rsidRPr="00E6060C">
              <w:t>N –carried out by an independent researcher</w:t>
            </w:r>
          </w:p>
        </w:tc>
        <w:tc>
          <w:tcPr>
            <w:tcW w:w="1560" w:type="dxa"/>
          </w:tcPr>
          <w:p w14:paraId="3C314DDE" w14:textId="77777777" w:rsidR="00E6060C" w:rsidRPr="00E6060C" w:rsidRDefault="00E6060C" w:rsidP="00E6060C">
            <w:pPr>
              <w:contextualSpacing/>
            </w:pPr>
            <w:r w:rsidRPr="00E6060C">
              <w:t>N</w:t>
            </w:r>
          </w:p>
        </w:tc>
        <w:tc>
          <w:tcPr>
            <w:tcW w:w="1842" w:type="dxa"/>
          </w:tcPr>
          <w:p w14:paraId="4A850C19" w14:textId="77777777" w:rsidR="00E6060C" w:rsidRPr="00E6060C" w:rsidRDefault="00E6060C" w:rsidP="00E6060C">
            <w:pPr>
              <w:contextualSpacing/>
            </w:pPr>
            <w:r w:rsidRPr="00E6060C">
              <w:t>Randomised control group</w:t>
            </w:r>
          </w:p>
        </w:tc>
        <w:tc>
          <w:tcPr>
            <w:tcW w:w="1984" w:type="dxa"/>
          </w:tcPr>
          <w:p w14:paraId="6D2DFBBD" w14:textId="77777777" w:rsidR="00E6060C" w:rsidRPr="00E6060C" w:rsidRDefault="00E6060C" w:rsidP="00F15DDF">
            <w:pPr>
              <w:numPr>
                <w:ilvl w:val="0"/>
                <w:numId w:val="48"/>
              </w:numPr>
              <w:ind w:left="175" w:hanging="175"/>
              <w:contextualSpacing/>
            </w:pPr>
            <w:r w:rsidRPr="00E6060C">
              <w:t>No significant differences between groups regarding age, gender, profession, or outcome measures</w:t>
            </w:r>
          </w:p>
          <w:p w14:paraId="181F67A4" w14:textId="77777777" w:rsidR="00E6060C" w:rsidRPr="00E6060C" w:rsidRDefault="00E6060C" w:rsidP="00F15DDF">
            <w:pPr>
              <w:numPr>
                <w:ilvl w:val="0"/>
                <w:numId w:val="48"/>
              </w:numPr>
              <w:ind w:left="175" w:hanging="175"/>
              <w:contextualSpacing/>
            </w:pPr>
            <w:r w:rsidRPr="00E6060C">
              <w:t>The intervention group were higher educated</w:t>
            </w:r>
          </w:p>
        </w:tc>
        <w:tc>
          <w:tcPr>
            <w:tcW w:w="1418" w:type="dxa"/>
          </w:tcPr>
          <w:p w14:paraId="07D7BA4D" w14:textId="77777777" w:rsidR="00E6060C" w:rsidRPr="00E6060C" w:rsidRDefault="00E6060C" w:rsidP="00E6060C">
            <w:pPr>
              <w:contextualSpacing/>
            </w:pPr>
            <w:r w:rsidRPr="00E6060C">
              <w:t>N</w:t>
            </w:r>
          </w:p>
        </w:tc>
        <w:tc>
          <w:tcPr>
            <w:tcW w:w="1559" w:type="dxa"/>
          </w:tcPr>
          <w:p w14:paraId="7A12C687" w14:textId="77777777" w:rsidR="00E6060C" w:rsidRPr="00E6060C" w:rsidRDefault="00E6060C" w:rsidP="00E6060C">
            <w:pPr>
              <w:contextualSpacing/>
            </w:pPr>
            <w:r w:rsidRPr="00E6060C">
              <w:t>N</w:t>
            </w:r>
          </w:p>
        </w:tc>
        <w:tc>
          <w:tcPr>
            <w:tcW w:w="1135" w:type="dxa"/>
            <w:gridSpan w:val="2"/>
          </w:tcPr>
          <w:p w14:paraId="3D572FD7" w14:textId="77777777" w:rsidR="00E6060C" w:rsidRPr="00E6060C" w:rsidRDefault="00E6060C" w:rsidP="00E6060C">
            <w:pPr>
              <w:contextualSpacing/>
            </w:pPr>
            <w:r w:rsidRPr="00E6060C">
              <w:t>Y</w:t>
            </w:r>
          </w:p>
        </w:tc>
      </w:tr>
      <w:tr w:rsidR="00E6060C" w:rsidRPr="00E6060C" w14:paraId="434C2786" w14:textId="77777777" w:rsidTr="00E6060C">
        <w:tc>
          <w:tcPr>
            <w:tcW w:w="567" w:type="dxa"/>
          </w:tcPr>
          <w:p w14:paraId="41EFB897" w14:textId="77777777" w:rsidR="00E6060C" w:rsidRPr="00E6060C" w:rsidRDefault="00E6060C" w:rsidP="00E6060C">
            <w:pPr>
              <w:contextualSpacing/>
            </w:pPr>
            <w:r w:rsidRPr="00E6060C">
              <w:t>29</w:t>
            </w:r>
          </w:p>
        </w:tc>
        <w:tc>
          <w:tcPr>
            <w:tcW w:w="1419" w:type="dxa"/>
          </w:tcPr>
          <w:p w14:paraId="24893D91" w14:textId="36941A17" w:rsidR="00E6060C" w:rsidRPr="00E6060C" w:rsidRDefault="004D6C5A" w:rsidP="00E6060C">
            <w:pPr>
              <w:contextualSpacing/>
            </w:pPr>
            <w:r>
              <w:t>*</w:t>
            </w:r>
            <w:r w:rsidR="00E6060C" w:rsidRPr="00E6060C">
              <w:t>Imamura et al., 2015</w:t>
            </w:r>
          </w:p>
        </w:tc>
        <w:tc>
          <w:tcPr>
            <w:tcW w:w="1451" w:type="dxa"/>
          </w:tcPr>
          <w:p w14:paraId="400BACCE" w14:textId="77777777" w:rsidR="00E6060C" w:rsidRPr="00E6060C" w:rsidRDefault="00E6060C" w:rsidP="00E6060C">
            <w:pPr>
              <w:contextualSpacing/>
            </w:pPr>
            <w:r w:rsidRPr="00E6060C">
              <w:t>Y</w:t>
            </w:r>
          </w:p>
        </w:tc>
        <w:tc>
          <w:tcPr>
            <w:tcW w:w="1559" w:type="dxa"/>
          </w:tcPr>
          <w:p w14:paraId="1AF13F78" w14:textId="77777777" w:rsidR="00E6060C" w:rsidRPr="00E6060C" w:rsidRDefault="00E6060C" w:rsidP="00E6060C">
            <w:pPr>
              <w:contextualSpacing/>
            </w:pPr>
            <w:r w:rsidRPr="00E6060C">
              <w:t>Independent biostatistician created a permuted block random table which was password protected and blinded to the researcher.</w:t>
            </w:r>
          </w:p>
        </w:tc>
        <w:tc>
          <w:tcPr>
            <w:tcW w:w="1560" w:type="dxa"/>
          </w:tcPr>
          <w:p w14:paraId="341C8FE6" w14:textId="77777777" w:rsidR="00E6060C" w:rsidRPr="00E6060C" w:rsidRDefault="00E6060C" w:rsidP="00E6060C">
            <w:pPr>
              <w:contextualSpacing/>
            </w:pPr>
            <w:r w:rsidRPr="00E6060C">
              <w:t>N</w:t>
            </w:r>
          </w:p>
        </w:tc>
        <w:tc>
          <w:tcPr>
            <w:tcW w:w="1842" w:type="dxa"/>
          </w:tcPr>
          <w:p w14:paraId="46C931F6" w14:textId="77777777" w:rsidR="00E6060C" w:rsidRPr="00E6060C" w:rsidRDefault="00E6060C" w:rsidP="00E6060C">
            <w:pPr>
              <w:contextualSpacing/>
            </w:pPr>
            <w:r w:rsidRPr="00E6060C">
              <w:t xml:space="preserve">Randomised, received emailed non-CBT stress management tips &amp; provided with one e-session for stress management along with intervention group. Had access to employee </w:t>
            </w:r>
            <w:r w:rsidRPr="00E6060C">
              <w:lastRenderedPageBreak/>
              <w:t>assistance programme also.</w:t>
            </w:r>
          </w:p>
        </w:tc>
        <w:tc>
          <w:tcPr>
            <w:tcW w:w="1984" w:type="dxa"/>
          </w:tcPr>
          <w:p w14:paraId="2F8E882E" w14:textId="77777777" w:rsidR="00E6060C" w:rsidRPr="00E6060C" w:rsidRDefault="00E6060C" w:rsidP="00E6060C">
            <w:pPr>
              <w:contextualSpacing/>
            </w:pPr>
            <w:r w:rsidRPr="00E6060C">
              <w:lastRenderedPageBreak/>
              <w:t>No significant differences in demographic characteristics.</w:t>
            </w:r>
          </w:p>
        </w:tc>
        <w:tc>
          <w:tcPr>
            <w:tcW w:w="1418" w:type="dxa"/>
          </w:tcPr>
          <w:p w14:paraId="0A0B1013" w14:textId="77777777" w:rsidR="00E6060C" w:rsidRPr="00E6060C" w:rsidRDefault="00E6060C" w:rsidP="00E6060C">
            <w:pPr>
              <w:contextualSpacing/>
            </w:pPr>
            <w:r w:rsidRPr="00E6060C">
              <w:t>N</w:t>
            </w:r>
          </w:p>
        </w:tc>
        <w:tc>
          <w:tcPr>
            <w:tcW w:w="1559" w:type="dxa"/>
          </w:tcPr>
          <w:p w14:paraId="657467B1" w14:textId="77777777" w:rsidR="00E6060C" w:rsidRPr="00E6060C" w:rsidRDefault="00E6060C" w:rsidP="00E6060C">
            <w:pPr>
              <w:contextualSpacing/>
            </w:pPr>
            <w:r w:rsidRPr="00E6060C">
              <w:t>N</w:t>
            </w:r>
          </w:p>
        </w:tc>
        <w:tc>
          <w:tcPr>
            <w:tcW w:w="1135" w:type="dxa"/>
            <w:gridSpan w:val="2"/>
          </w:tcPr>
          <w:p w14:paraId="3DBAD362" w14:textId="77777777" w:rsidR="00E6060C" w:rsidRPr="00E6060C" w:rsidRDefault="00E6060C" w:rsidP="00E6060C">
            <w:pPr>
              <w:contextualSpacing/>
            </w:pPr>
            <w:r w:rsidRPr="00E6060C">
              <w:t>Y</w:t>
            </w:r>
          </w:p>
        </w:tc>
      </w:tr>
      <w:tr w:rsidR="00E6060C" w:rsidRPr="00E6060C" w14:paraId="34674FA1" w14:textId="77777777" w:rsidTr="00E6060C">
        <w:tc>
          <w:tcPr>
            <w:tcW w:w="567" w:type="dxa"/>
          </w:tcPr>
          <w:p w14:paraId="5B95201C" w14:textId="77777777" w:rsidR="00E6060C" w:rsidRPr="00E6060C" w:rsidRDefault="00E6060C" w:rsidP="00E6060C">
            <w:pPr>
              <w:contextualSpacing/>
            </w:pPr>
            <w:r w:rsidRPr="00E6060C">
              <w:t>30</w:t>
            </w:r>
          </w:p>
        </w:tc>
        <w:tc>
          <w:tcPr>
            <w:tcW w:w="1419" w:type="dxa"/>
          </w:tcPr>
          <w:p w14:paraId="02FDC99D" w14:textId="3FB440C3" w:rsidR="00E6060C" w:rsidRPr="00E6060C" w:rsidRDefault="004D6C5A" w:rsidP="00E6060C">
            <w:pPr>
              <w:contextualSpacing/>
            </w:pPr>
            <w:r>
              <w:t>*</w:t>
            </w:r>
            <w:r w:rsidR="00E6060C" w:rsidRPr="00E6060C">
              <w:t>Strijk, et al., 2013</w:t>
            </w:r>
          </w:p>
        </w:tc>
        <w:tc>
          <w:tcPr>
            <w:tcW w:w="1451" w:type="dxa"/>
          </w:tcPr>
          <w:p w14:paraId="5D2C2DAD" w14:textId="77777777" w:rsidR="00E6060C" w:rsidRPr="00E6060C" w:rsidRDefault="00E6060C" w:rsidP="00E6060C">
            <w:pPr>
              <w:contextualSpacing/>
            </w:pPr>
            <w:r w:rsidRPr="00E6060C">
              <w:t>Y</w:t>
            </w:r>
          </w:p>
        </w:tc>
        <w:tc>
          <w:tcPr>
            <w:tcW w:w="1559" w:type="dxa"/>
          </w:tcPr>
          <w:p w14:paraId="02E1350C" w14:textId="77777777" w:rsidR="00E6060C" w:rsidRPr="00E6060C" w:rsidRDefault="00E6060C" w:rsidP="00E6060C">
            <w:pPr>
              <w:contextualSpacing/>
            </w:pPr>
            <w:r w:rsidRPr="00E6060C">
              <w:t>Random Allocation Software used by an independent researcher</w:t>
            </w:r>
          </w:p>
        </w:tc>
        <w:tc>
          <w:tcPr>
            <w:tcW w:w="1560" w:type="dxa"/>
          </w:tcPr>
          <w:p w14:paraId="14BCC6C2" w14:textId="77777777" w:rsidR="00E6060C" w:rsidRPr="00E6060C" w:rsidRDefault="00E6060C" w:rsidP="00E6060C">
            <w:pPr>
              <w:contextualSpacing/>
            </w:pPr>
            <w:r w:rsidRPr="00E6060C">
              <w:t>N</w:t>
            </w:r>
          </w:p>
        </w:tc>
        <w:tc>
          <w:tcPr>
            <w:tcW w:w="1842" w:type="dxa"/>
          </w:tcPr>
          <w:p w14:paraId="2921B934" w14:textId="77777777" w:rsidR="00E6060C" w:rsidRPr="00E6060C" w:rsidRDefault="00E6060C" w:rsidP="00E6060C">
            <w:pPr>
              <w:contextualSpacing/>
            </w:pPr>
            <w:r w:rsidRPr="00E6060C">
              <w:t>Randomised control group</w:t>
            </w:r>
          </w:p>
        </w:tc>
        <w:tc>
          <w:tcPr>
            <w:tcW w:w="1984" w:type="dxa"/>
          </w:tcPr>
          <w:p w14:paraId="0DCAB744" w14:textId="77777777" w:rsidR="00E6060C" w:rsidRPr="00E6060C" w:rsidRDefault="00E6060C" w:rsidP="00E6060C">
            <w:pPr>
              <w:contextualSpacing/>
            </w:pPr>
            <w:r w:rsidRPr="00E6060C">
              <w:t>No significant differences found between groups on any of the variables</w:t>
            </w:r>
          </w:p>
        </w:tc>
        <w:tc>
          <w:tcPr>
            <w:tcW w:w="1418" w:type="dxa"/>
          </w:tcPr>
          <w:p w14:paraId="34E56819" w14:textId="77777777" w:rsidR="00E6060C" w:rsidRPr="00E6060C" w:rsidRDefault="00E6060C" w:rsidP="00E6060C">
            <w:pPr>
              <w:contextualSpacing/>
            </w:pPr>
            <w:r w:rsidRPr="00E6060C">
              <w:t>N</w:t>
            </w:r>
          </w:p>
        </w:tc>
        <w:tc>
          <w:tcPr>
            <w:tcW w:w="1559" w:type="dxa"/>
          </w:tcPr>
          <w:p w14:paraId="5FD749FE" w14:textId="77777777" w:rsidR="00E6060C" w:rsidRPr="00E6060C" w:rsidRDefault="00E6060C" w:rsidP="00E6060C">
            <w:pPr>
              <w:contextualSpacing/>
            </w:pPr>
            <w:r w:rsidRPr="00E6060C">
              <w:t>Y</w:t>
            </w:r>
          </w:p>
        </w:tc>
        <w:tc>
          <w:tcPr>
            <w:tcW w:w="1135" w:type="dxa"/>
            <w:gridSpan w:val="2"/>
          </w:tcPr>
          <w:p w14:paraId="613E76FA" w14:textId="77777777" w:rsidR="00E6060C" w:rsidRPr="00E6060C" w:rsidRDefault="00E6060C" w:rsidP="00E6060C">
            <w:pPr>
              <w:contextualSpacing/>
            </w:pPr>
            <w:r w:rsidRPr="00E6060C">
              <w:t>Y</w:t>
            </w:r>
          </w:p>
        </w:tc>
      </w:tr>
      <w:tr w:rsidR="00E6060C" w:rsidRPr="00E6060C" w14:paraId="77A814C4" w14:textId="77777777" w:rsidTr="00E6060C">
        <w:tc>
          <w:tcPr>
            <w:tcW w:w="567" w:type="dxa"/>
          </w:tcPr>
          <w:p w14:paraId="7A66A229" w14:textId="77777777" w:rsidR="00E6060C" w:rsidRPr="00E6060C" w:rsidRDefault="00E6060C" w:rsidP="00E6060C">
            <w:pPr>
              <w:contextualSpacing/>
            </w:pPr>
            <w:r w:rsidRPr="00E6060C">
              <w:t>31</w:t>
            </w:r>
          </w:p>
        </w:tc>
        <w:tc>
          <w:tcPr>
            <w:tcW w:w="1419" w:type="dxa"/>
          </w:tcPr>
          <w:p w14:paraId="4E67F475" w14:textId="2B602A0B" w:rsidR="00E6060C" w:rsidRPr="00E6060C" w:rsidRDefault="004D6C5A" w:rsidP="00E6060C">
            <w:pPr>
              <w:contextualSpacing/>
            </w:pPr>
            <w:r>
              <w:t>*</w:t>
            </w:r>
            <w:r w:rsidR="00E6060C" w:rsidRPr="00E6060C">
              <w:t>Van Berkel, et al., 2014</w:t>
            </w:r>
          </w:p>
        </w:tc>
        <w:tc>
          <w:tcPr>
            <w:tcW w:w="1451" w:type="dxa"/>
          </w:tcPr>
          <w:p w14:paraId="051A0632" w14:textId="77777777" w:rsidR="00E6060C" w:rsidRPr="00E6060C" w:rsidRDefault="00E6060C" w:rsidP="00E6060C">
            <w:pPr>
              <w:contextualSpacing/>
            </w:pPr>
            <w:r w:rsidRPr="00E6060C">
              <w:t>Y</w:t>
            </w:r>
          </w:p>
        </w:tc>
        <w:tc>
          <w:tcPr>
            <w:tcW w:w="1559" w:type="dxa"/>
          </w:tcPr>
          <w:p w14:paraId="526C6FE6" w14:textId="77777777" w:rsidR="00E6060C" w:rsidRPr="00E6060C" w:rsidRDefault="00E6060C" w:rsidP="00E6060C">
            <w:pPr>
              <w:contextualSpacing/>
            </w:pPr>
            <w:r w:rsidRPr="00E6060C">
              <w:t>Computer-generated randomisation sequence</w:t>
            </w:r>
          </w:p>
        </w:tc>
        <w:tc>
          <w:tcPr>
            <w:tcW w:w="1560" w:type="dxa"/>
          </w:tcPr>
          <w:p w14:paraId="250DAC30" w14:textId="77777777" w:rsidR="00E6060C" w:rsidRPr="00E6060C" w:rsidRDefault="00E6060C" w:rsidP="00E6060C">
            <w:pPr>
              <w:contextualSpacing/>
            </w:pPr>
            <w:r w:rsidRPr="00E6060C">
              <w:t>N</w:t>
            </w:r>
          </w:p>
        </w:tc>
        <w:tc>
          <w:tcPr>
            <w:tcW w:w="1842" w:type="dxa"/>
          </w:tcPr>
          <w:p w14:paraId="18937AEB" w14:textId="77777777" w:rsidR="00E6060C" w:rsidRPr="00E6060C" w:rsidRDefault="00E6060C" w:rsidP="00E6060C">
            <w:pPr>
              <w:contextualSpacing/>
            </w:pPr>
            <w:r w:rsidRPr="00E6060C">
              <w:t>Randomised control group</w:t>
            </w:r>
          </w:p>
        </w:tc>
        <w:tc>
          <w:tcPr>
            <w:tcW w:w="1984" w:type="dxa"/>
          </w:tcPr>
          <w:p w14:paraId="6CDF35CD" w14:textId="77777777" w:rsidR="00E6060C" w:rsidRPr="00E6060C" w:rsidRDefault="00E6060C" w:rsidP="00E6060C">
            <w:pPr>
              <w:contextualSpacing/>
            </w:pPr>
            <w:r w:rsidRPr="00E6060C">
              <w:t>No significant differences between groups; both were highly educated, and the majority were women</w:t>
            </w:r>
          </w:p>
          <w:p w14:paraId="4A1FEEA9" w14:textId="77777777" w:rsidR="00E6060C" w:rsidRPr="00E6060C" w:rsidRDefault="00E6060C" w:rsidP="00E6060C">
            <w:pPr>
              <w:contextualSpacing/>
            </w:pPr>
          </w:p>
        </w:tc>
        <w:tc>
          <w:tcPr>
            <w:tcW w:w="1418" w:type="dxa"/>
          </w:tcPr>
          <w:p w14:paraId="4613A688" w14:textId="77777777" w:rsidR="00E6060C" w:rsidRPr="00E6060C" w:rsidRDefault="00E6060C" w:rsidP="00E6060C">
            <w:pPr>
              <w:contextualSpacing/>
            </w:pPr>
            <w:r w:rsidRPr="00E6060C">
              <w:t>N</w:t>
            </w:r>
          </w:p>
        </w:tc>
        <w:tc>
          <w:tcPr>
            <w:tcW w:w="1559" w:type="dxa"/>
          </w:tcPr>
          <w:p w14:paraId="7AE880C6" w14:textId="77777777" w:rsidR="00E6060C" w:rsidRPr="00E6060C" w:rsidRDefault="00E6060C" w:rsidP="00E6060C">
            <w:pPr>
              <w:contextualSpacing/>
            </w:pPr>
            <w:r w:rsidRPr="00E6060C">
              <w:t>N</w:t>
            </w:r>
          </w:p>
        </w:tc>
        <w:tc>
          <w:tcPr>
            <w:tcW w:w="1135" w:type="dxa"/>
            <w:gridSpan w:val="2"/>
          </w:tcPr>
          <w:p w14:paraId="44A1362C" w14:textId="77777777" w:rsidR="00E6060C" w:rsidRPr="00E6060C" w:rsidRDefault="00E6060C" w:rsidP="00E6060C">
            <w:pPr>
              <w:contextualSpacing/>
            </w:pPr>
            <w:r w:rsidRPr="00E6060C">
              <w:t>Y</w:t>
            </w:r>
          </w:p>
        </w:tc>
      </w:tr>
      <w:tr w:rsidR="00E6060C" w:rsidRPr="00E6060C" w14:paraId="4168101B" w14:textId="77777777" w:rsidTr="00E6060C">
        <w:trPr>
          <w:gridAfter w:val="1"/>
          <w:wAfter w:w="6" w:type="dxa"/>
        </w:trPr>
        <w:tc>
          <w:tcPr>
            <w:tcW w:w="14488" w:type="dxa"/>
            <w:gridSpan w:val="10"/>
            <w:shd w:val="clear" w:color="auto" w:fill="D9D9D9" w:themeFill="background1" w:themeFillShade="D9"/>
          </w:tcPr>
          <w:p w14:paraId="06319ACB" w14:textId="77777777" w:rsidR="00E6060C" w:rsidRPr="00E6060C" w:rsidRDefault="00E6060C" w:rsidP="00E6060C">
            <w:pPr>
              <w:contextualSpacing/>
              <w:rPr>
                <w:b/>
              </w:rPr>
            </w:pPr>
            <w:r w:rsidRPr="00E6060C">
              <w:rPr>
                <w:b/>
              </w:rPr>
              <w:t xml:space="preserve">ONGOING HEALTH PROMOTION INTERVENTIONS </w:t>
            </w:r>
          </w:p>
          <w:p w14:paraId="380C0D54" w14:textId="77777777" w:rsidR="00E6060C" w:rsidRPr="00E6060C" w:rsidRDefault="00E6060C" w:rsidP="00E6060C">
            <w:pPr>
              <w:contextualSpacing/>
              <w:rPr>
                <w:b/>
              </w:rPr>
            </w:pPr>
          </w:p>
        </w:tc>
      </w:tr>
      <w:tr w:rsidR="00E6060C" w:rsidRPr="00E6060C" w14:paraId="78C37E70" w14:textId="77777777" w:rsidTr="00E6060C">
        <w:tc>
          <w:tcPr>
            <w:tcW w:w="567" w:type="dxa"/>
            <w:shd w:val="clear" w:color="auto" w:fill="D9D9D9" w:themeFill="background1" w:themeFillShade="D9"/>
          </w:tcPr>
          <w:p w14:paraId="503EA550" w14:textId="77777777" w:rsidR="00E6060C" w:rsidRPr="00E6060C" w:rsidRDefault="00E6060C" w:rsidP="00E6060C">
            <w:pPr>
              <w:contextualSpacing/>
            </w:pPr>
            <w:r w:rsidRPr="00E6060C">
              <w:t>32</w:t>
            </w:r>
          </w:p>
        </w:tc>
        <w:tc>
          <w:tcPr>
            <w:tcW w:w="1419" w:type="dxa"/>
            <w:shd w:val="clear" w:color="auto" w:fill="D9D9D9" w:themeFill="background1" w:themeFillShade="D9"/>
          </w:tcPr>
          <w:p w14:paraId="0E58CF2C" w14:textId="77777777" w:rsidR="00E6060C" w:rsidRPr="00E6060C" w:rsidRDefault="00E6060C" w:rsidP="00E6060C">
            <w:pPr>
              <w:contextualSpacing/>
            </w:pPr>
            <w:r w:rsidRPr="00E6060C">
              <w:t>Ebert et al., 2014</w:t>
            </w:r>
          </w:p>
        </w:tc>
        <w:tc>
          <w:tcPr>
            <w:tcW w:w="1451" w:type="dxa"/>
            <w:shd w:val="clear" w:color="auto" w:fill="D9D9D9" w:themeFill="background1" w:themeFillShade="D9"/>
          </w:tcPr>
          <w:p w14:paraId="00108E0D" w14:textId="77777777" w:rsidR="00E6060C" w:rsidRPr="00E6060C" w:rsidRDefault="00E6060C" w:rsidP="00E6060C">
            <w:pPr>
              <w:contextualSpacing/>
            </w:pPr>
            <w:r w:rsidRPr="00E6060C">
              <w:t>Y</w:t>
            </w:r>
          </w:p>
        </w:tc>
        <w:tc>
          <w:tcPr>
            <w:tcW w:w="1559" w:type="dxa"/>
            <w:shd w:val="clear" w:color="auto" w:fill="D9D9D9" w:themeFill="background1" w:themeFillShade="D9"/>
          </w:tcPr>
          <w:p w14:paraId="16262BA4" w14:textId="77777777" w:rsidR="00E6060C" w:rsidRPr="00E6060C" w:rsidRDefault="00E6060C" w:rsidP="00E6060C">
            <w:pPr>
              <w:contextualSpacing/>
            </w:pPr>
            <w:r w:rsidRPr="00E6060C">
              <w:t>Computer-based random integer generator</w:t>
            </w:r>
          </w:p>
        </w:tc>
        <w:tc>
          <w:tcPr>
            <w:tcW w:w="1560" w:type="dxa"/>
            <w:shd w:val="clear" w:color="auto" w:fill="D9D9D9" w:themeFill="background1" w:themeFillShade="D9"/>
          </w:tcPr>
          <w:p w14:paraId="5164FEC8" w14:textId="77777777" w:rsidR="00E6060C" w:rsidRPr="00E6060C" w:rsidRDefault="00E6060C" w:rsidP="00E6060C">
            <w:pPr>
              <w:contextualSpacing/>
            </w:pPr>
            <w:r w:rsidRPr="00E6060C">
              <w:t>Unclear - during the randomisation process only</w:t>
            </w:r>
          </w:p>
        </w:tc>
        <w:tc>
          <w:tcPr>
            <w:tcW w:w="1842" w:type="dxa"/>
            <w:shd w:val="clear" w:color="auto" w:fill="D9D9D9" w:themeFill="background1" w:themeFillShade="D9"/>
          </w:tcPr>
          <w:p w14:paraId="2A8F1BBD" w14:textId="77777777" w:rsidR="00E6060C" w:rsidRPr="00E6060C" w:rsidRDefault="00E6060C" w:rsidP="00E6060C">
            <w:pPr>
              <w:contextualSpacing/>
            </w:pPr>
            <w:r w:rsidRPr="00E6060C">
              <w:t>Randomised control group</w:t>
            </w:r>
          </w:p>
        </w:tc>
        <w:tc>
          <w:tcPr>
            <w:tcW w:w="1984" w:type="dxa"/>
            <w:shd w:val="clear" w:color="auto" w:fill="D9D9D9" w:themeFill="background1" w:themeFillShade="D9"/>
          </w:tcPr>
          <w:p w14:paraId="4F27E432" w14:textId="77777777" w:rsidR="00E6060C" w:rsidRPr="00E6060C" w:rsidRDefault="00E6060C" w:rsidP="00E6060C">
            <w:pPr>
              <w:contextualSpacing/>
            </w:pPr>
            <w:r w:rsidRPr="00E6060C">
              <w:t>Not yet recruited</w:t>
            </w:r>
          </w:p>
        </w:tc>
        <w:tc>
          <w:tcPr>
            <w:tcW w:w="1418" w:type="dxa"/>
            <w:shd w:val="clear" w:color="auto" w:fill="D9D9D9" w:themeFill="background1" w:themeFillShade="D9"/>
          </w:tcPr>
          <w:p w14:paraId="486A3764" w14:textId="77777777" w:rsidR="00E6060C" w:rsidRPr="00E6060C" w:rsidRDefault="00E6060C" w:rsidP="00E6060C">
            <w:pPr>
              <w:contextualSpacing/>
            </w:pPr>
            <w:r w:rsidRPr="00E6060C">
              <w:t>N</w:t>
            </w:r>
          </w:p>
        </w:tc>
        <w:tc>
          <w:tcPr>
            <w:tcW w:w="1559" w:type="dxa"/>
            <w:shd w:val="clear" w:color="auto" w:fill="D9D9D9" w:themeFill="background1" w:themeFillShade="D9"/>
          </w:tcPr>
          <w:p w14:paraId="2DDBE061" w14:textId="77777777" w:rsidR="00E6060C" w:rsidRPr="00E6060C" w:rsidRDefault="00E6060C" w:rsidP="00E6060C">
            <w:pPr>
              <w:contextualSpacing/>
            </w:pPr>
            <w:r w:rsidRPr="00E6060C">
              <w:t>N</w:t>
            </w:r>
          </w:p>
        </w:tc>
        <w:tc>
          <w:tcPr>
            <w:tcW w:w="1135" w:type="dxa"/>
            <w:gridSpan w:val="2"/>
            <w:shd w:val="clear" w:color="auto" w:fill="D9D9D9" w:themeFill="background1" w:themeFillShade="D9"/>
          </w:tcPr>
          <w:p w14:paraId="673BB60A" w14:textId="77777777" w:rsidR="00E6060C" w:rsidRPr="00E6060C" w:rsidRDefault="00E6060C" w:rsidP="00E6060C">
            <w:pPr>
              <w:contextualSpacing/>
            </w:pPr>
            <w:r w:rsidRPr="00E6060C">
              <w:t>Study not yet started</w:t>
            </w:r>
          </w:p>
        </w:tc>
      </w:tr>
      <w:tr w:rsidR="00E6060C" w:rsidRPr="00E6060C" w14:paraId="7EF9FF9D" w14:textId="77777777" w:rsidTr="00E6060C">
        <w:tc>
          <w:tcPr>
            <w:tcW w:w="567" w:type="dxa"/>
            <w:shd w:val="clear" w:color="auto" w:fill="D9D9D9" w:themeFill="background1" w:themeFillShade="D9"/>
          </w:tcPr>
          <w:p w14:paraId="7ED68299" w14:textId="77777777" w:rsidR="00E6060C" w:rsidRPr="00E6060C" w:rsidRDefault="00E6060C" w:rsidP="00E6060C">
            <w:pPr>
              <w:contextualSpacing/>
            </w:pPr>
            <w:r w:rsidRPr="00E6060C">
              <w:t>33</w:t>
            </w:r>
          </w:p>
        </w:tc>
        <w:tc>
          <w:tcPr>
            <w:tcW w:w="1419" w:type="dxa"/>
            <w:shd w:val="clear" w:color="auto" w:fill="D9D9D9" w:themeFill="background1" w:themeFillShade="D9"/>
          </w:tcPr>
          <w:p w14:paraId="065D27CA" w14:textId="77777777" w:rsidR="00E6060C" w:rsidRPr="00E6060C" w:rsidRDefault="00E6060C" w:rsidP="00E6060C">
            <w:pPr>
              <w:contextualSpacing/>
            </w:pPr>
            <w:r w:rsidRPr="00E6060C">
              <w:t>Wiezer et al., 2013</w:t>
            </w:r>
          </w:p>
        </w:tc>
        <w:tc>
          <w:tcPr>
            <w:tcW w:w="1451" w:type="dxa"/>
            <w:shd w:val="clear" w:color="auto" w:fill="D9D9D9" w:themeFill="background1" w:themeFillShade="D9"/>
          </w:tcPr>
          <w:p w14:paraId="3ECC1BC4" w14:textId="77777777" w:rsidR="00E6060C" w:rsidRPr="00E6060C" w:rsidRDefault="00E6060C" w:rsidP="00E6060C">
            <w:pPr>
              <w:contextualSpacing/>
            </w:pPr>
            <w:r w:rsidRPr="00E6060C">
              <w:t>N</w:t>
            </w:r>
          </w:p>
        </w:tc>
        <w:tc>
          <w:tcPr>
            <w:tcW w:w="1559" w:type="dxa"/>
            <w:shd w:val="clear" w:color="auto" w:fill="D9D9D9" w:themeFill="background1" w:themeFillShade="D9"/>
          </w:tcPr>
          <w:p w14:paraId="37520E90" w14:textId="77777777" w:rsidR="00E6060C" w:rsidRPr="00E6060C" w:rsidRDefault="00E6060C" w:rsidP="00E6060C">
            <w:pPr>
              <w:contextualSpacing/>
            </w:pPr>
            <w:r w:rsidRPr="00E6060C">
              <w:t>NA</w:t>
            </w:r>
          </w:p>
        </w:tc>
        <w:tc>
          <w:tcPr>
            <w:tcW w:w="1560" w:type="dxa"/>
            <w:shd w:val="clear" w:color="auto" w:fill="D9D9D9" w:themeFill="background1" w:themeFillShade="D9"/>
          </w:tcPr>
          <w:p w14:paraId="6205746A" w14:textId="77777777" w:rsidR="00E6060C" w:rsidRPr="00E6060C" w:rsidRDefault="00E6060C" w:rsidP="00E6060C">
            <w:pPr>
              <w:contextualSpacing/>
            </w:pPr>
            <w:r w:rsidRPr="00E6060C">
              <w:t>N</w:t>
            </w:r>
          </w:p>
        </w:tc>
        <w:tc>
          <w:tcPr>
            <w:tcW w:w="1842" w:type="dxa"/>
            <w:shd w:val="clear" w:color="auto" w:fill="D9D9D9" w:themeFill="background1" w:themeFillShade="D9"/>
          </w:tcPr>
          <w:p w14:paraId="064FF901" w14:textId="77777777" w:rsidR="00E6060C" w:rsidRPr="00E6060C" w:rsidRDefault="00E6060C" w:rsidP="00E6060C">
            <w:pPr>
              <w:contextualSpacing/>
            </w:pPr>
            <w:r w:rsidRPr="00E6060C">
              <w:t>Case-control group</w:t>
            </w:r>
          </w:p>
        </w:tc>
        <w:tc>
          <w:tcPr>
            <w:tcW w:w="1984" w:type="dxa"/>
            <w:shd w:val="clear" w:color="auto" w:fill="D9D9D9" w:themeFill="background1" w:themeFillShade="D9"/>
          </w:tcPr>
          <w:p w14:paraId="45103D75" w14:textId="77777777" w:rsidR="00E6060C" w:rsidRPr="00E6060C" w:rsidRDefault="00E6060C" w:rsidP="00E6060C">
            <w:pPr>
              <w:contextualSpacing/>
            </w:pPr>
            <w:r w:rsidRPr="00E6060C">
              <w:t>Not yet recruited</w:t>
            </w:r>
          </w:p>
        </w:tc>
        <w:tc>
          <w:tcPr>
            <w:tcW w:w="1418" w:type="dxa"/>
            <w:shd w:val="clear" w:color="auto" w:fill="D9D9D9" w:themeFill="background1" w:themeFillShade="D9"/>
          </w:tcPr>
          <w:p w14:paraId="1B127DC9" w14:textId="77777777" w:rsidR="00E6060C" w:rsidRPr="00E6060C" w:rsidRDefault="00E6060C" w:rsidP="00E6060C">
            <w:pPr>
              <w:contextualSpacing/>
            </w:pPr>
            <w:r w:rsidRPr="00E6060C">
              <w:t>N</w:t>
            </w:r>
          </w:p>
        </w:tc>
        <w:tc>
          <w:tcPr>
            <w:tcW w:w="1559" w:type="dxa"/>
            <w:shd w:val="clear" w:color="auto" w:fill="D9D9D9" w:themeFill="background1" w:themeFillShade="D9"/>
          </w:tcPr>
          <w:p w14:paraId="2F70380D" w14:textId="77777777" w:rsidR="00E6060C" w:rsidRPr="00E6060C" w:rsidRDefault="00E6060C" w:rsidP="00E6060C">
            <w:pPr>
              <w:contextualSpacing/>
            </w:pPr>
            <w:r w:rsidRPr="00E6060C">
              <w:t>N</w:t>
            </w:r>
          </w:p>
        </w:tc>
        <w:tc>
          <w:tcPr>
            <w:tcW w:w="1135" w:type="dxa"/>
            <w:gridSpan w:val="2"/>
            <w:shd w:val="clear" w:color="auto" w:fill="D9D9D9" w:themeFill="background1" w:themeFillShade="D9"/>
          </w:tcPr>
          <w:p w14:paraId="7F230EC1" w14:textId="77777777" w:rsidR="00E6060C" w:rsidRPr="00E6060C" w:rsidRDefault="00E6060C" w:rsidP="00E6060C">
            <w:pPr>
              <w:contextualSpacing/>
            </w:pPr>
            <w:r w:rsidRPr="00E6060C">
              <w:t>Study not yet started</w:t>
            </w:r>
          </w:p>
        </w:tc>
      </w:tr>
    </w:tbl>
    <w:p w14:paraId="239DEF5D" w14:textId="77777777" w:rsidR="004A1B90" w:rsidRPr="00E6060C" w:rsidRDefault="004A1B90" w:rsidP="004A1B90">
      <w:pPr>
        <w:spacing w:line="240" w:lineRule="auto"/>
        <w:contextualSpacing/>
        <w:rPr>
          <w:sz w:val="20"/>
          <w:szCs w:val="20"/>
        </w:rPr>
      </w:pPr>
      <w:r w:rsidRPr="00E6060C">
        <w:rPr>
          <w:vertAlign w:val="superscript"/>
        </w:rPr>
        <w:t>*</w:t>
      </w:r>
      <w:r w:rsidRPr="00E6060C">
        <w:rPr>
          <w:sz w:val="20"/>
          <w:szCs w:val="20"/>
        </w:rPr>
        <w:t>Studies included in meta-analyses (</w:t>
      </w:r>
      <w:r w:rsidRPr="00E6060C">
        <w:rPr>
          <w:i/>
          <w:sz w:val="20"/>
          <w:szCs w:val="20"/>
        </w:rPr>
        <w:t>K</w:t>
      </w:r>
      <w:r w:rsidRPr="00E6060C">
        <w:rPr>
          <w:sz w:val="20"/>
          <w:szCs w:val="20"/>
        </w:rPr>
        <w:t>=20)</w:t>
      </w:r>
    </w:p>
    <w:p w14:paraId="6961275A" w14:textId="77777777" w:rsidR="00E6060C" w:rsidRPr="00430633" w:rsidRDefault="00E6060C" w:rsidP="00E6060C">
      <w:pPr>
        <w:rPr>
          <w:i/>
          <w:sz w:val="20"/>
          <w:szCs w:val="20"/>
        </w:rPr>
      </w:pPr>
      <w:r w:rsidRPr="00430633">
        <w:rPr>
          <w:i/>
          <w:sz w:val="20"/>
          <w:szCs w:val="20"/>
        </w:rPr>
        <w:t>NOTES: NA=Not applicable; signif=significant; N=No; Y=Yes; T1=Time 1; T2=Time 2; T3=Time 3</w:t>
      </w:r>
    </w:p>
    <w:p w14:paraId="6EF33AA2" w14:textId="77777777" w:rsidR="00E6060C" w:rsidRPr="00E6060C" w:rsidRDefault="00E6060C" w:rsidP="00E6060C">
      <w:pPr>
        <w:rPr>
          <w:rFonts w:asciiTheme="majorHAnsi" w:eastAsiaTheme="majorEastAsia" w:hAnsiTheme="majorHAnsi" w:cstheme="majorBidi"/>
          <w:b/>
          <w:bCs/>
          <w:i/>
        </w:rPr>
      </w:pPr>
      <w:r w:rsidRPr="00E6060C">
        <w:br w:type="page"/>
      </w:r>
    </w:p>
    <w:p w14:paraId="041D54F0" w14:textId="77777777" w:rsidR="00E6060C" w:rsidRPr="00E6060C" w:rsidRDefault="00E6060C" w:rsidP="007B44F8">
      <w:pPr>
        <w:pStyle w:val="Heading2nonumbers"/>
      </w:pPr>
      <w:bookmarkStart w:id="560" w:name="_Toc468286060"/>
      <w:r w:rsidRPr="00E6060C">
        <w:lastRenderedPageBreak/>
        <w:t>Appendix 4e: Study quality characteristics for all studies included in the narrative systematic review and meta-analyses continued</w:t>
      </w:r>
      <w:bookmarkEnd w:id="560"/>
    </w:p>
    <w:p w14:paraId="745026DE" w14:textId="77777777" w:rsidR="00E6060C" w:rsidRPr="00E6060C" w:rsidRDefault="00E6060C" w:rsidP="00E6060C"/>
    <w:tbl>
      <w:tblPr>
        <w:tblStyle w:val="TableGrid8"/>
        <w:tblW w:w="14747"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06"/>
        <w:gridCol w:w="1430"/>
        <w:gridCol w:w="1453"/>
        <w:gridCol w:w="1305"/>
        <w:gridCol w:w="1097"/>
        <w:gridCol w:w="1199"/>
        <w:gridCol w:w="1483"/>
        <w:gridCol w:w="1483"/>
        <w:gridCol w:w="1624"/>
        <w:gridCol w:w="1694"/>
        <w:gridCol w:w="6"/>
      </w:tblGrid>
      <w:tr w:rsidR="00E6060C" w:rsidRPr="00E6060C" w14:paraId="62E59FD9" w14:textId="77777777" w:rsidTr="00E6060C">
        <w:trPr>
          <w:gridAfter w:val="1"/>
          <w:wAfter w:w="6" w:type="dxa"/>
          <w:cantSplit/>
          <w:trHeight w:val="491"/>
          <w:tblHeader/>
        </w:trPr>
        <w:tc>
          <w:tcPr>
            <w:tcW w:w="567" w:type="dxa"/>
            <w:vMerge w:val="restart"/>
            <w:tcBorders>
              <w:top w:val="single" w:sz="4" w:space="0" w:color="auto"/>
              <w:bottom w:val="single" w:sz="4" w:space="0" w:color="auto"/>
            </w:tcBorders>
          </w:tcPr>
          <w:p w14:paraId="41F00EE1" w14:textId="77777777" w:rsidR="00E6060C" w:rsidRPr="00E6060C" w:rsidRDefault="00E6060C" w:rsidP="00E6060C">
            <w:pPr>
              <w:contextualSpacing/>
              <w:rPr>
                <w:b/>
              </w:rPr>
            </w:pPr>
          </w:p>
        </w:tc>
        <w:tc>
          <w:tcPr>
            <w:tcW w:w="1406" w:type="dxa"/>
            <w:vMerge w:val="restart"/>
            <w:tcBorders>
              <w:top w:val="single" w:sz="4" w:space="0" w:color="auto"/>
              <w:bottom w:val="single" w:sz="4" w:space="0" w:color="auto"/>
            </w:tcBorders>
          </w:tcPr>
          <w:p w14:paraId="3177ADDF" w14:textId="77777777" w:rsidR="00E6060C" w:rsidRPr="00E6060C" w:rsidRDefault="00E6060C" w:rsidP="00E6060C">
            <w:pPr>
              <w:contextualSpacing/>
              <w:rPr>
                <w:b/>
              </w:rPr>
            </w:pPr>
            <w:r w:rsidRPr="00E6060C">
              <w:rPr>
                <w:b/>
              </w:rPr>
              <w:t>Ref</w:t>
            </w:r>
          </w:p>
        </w:tc>
        <w:tc>
          <w:tcPr>
            <w:tcW w:w="1430" w:type="dxa"/>
            <w:vMerge w:val="restart"/>
            <w:tcBorders>
              <w:top w:val="single" w:sz="4" w:space="0" w:color="auto"/>
              <w:bottom w:val="single" w:sz="4" w:space="0" w:color="auto"/>
            </w:tcBorders>
          </w:tcPr>
          <w:p w14:paraId="57561F93" w14:textId="77777777" w:rsidR="00E6060C" w:rsidRPr="00E6060C" w:rsidRDefault="00E6060C" w:rsidP="00E6060C">
            <w:pPr>
              <w:contextualSpacing/>
              <w:rPr>
                <w:b/>
              </w:rPr>
            </w:pPr>
            <w:r w:rsidRPr="00E6060C">
              <w:rPr>
                <w:b/>
              </w:rPr>
              <w:t xml:space="preserve">Response rate </w:t>
            </w:r>
          </w:p>
        </w:tc>
        <w:tc>
          <w:tcPr>
            <w:tcW w:w="1453" w:type="dxa"/>
            <w:vMerge w:val="restart"/>
            <w:tcBorders>
              <w:top w:val="single" w:sz="4" w:space="0" w:color="auto"/>
              <w:bottom w:val="single" w:sz="4" w:space="0" w:color="auto"/>
            </w:tcBorders>
          </w:tcPr>
          <w:p w14:paraId="1E0622E5" w14:textId="77777777" w:rsidR="00E6060C" w:rsidRPr="00E6060C" w:rsidRDefault="00E6060C" w:rsidP="00E6060C">
            <w:pPr>
              <w:contextualSpacing/>
              <w:rPr>
                <w:b/>
              </w:rPr>
            </w:pPr>
            <w:r w:rsidRPr="00E6060C">
              <w:rPr>
                <w:b/>
              </w:rPr>
              <w:t>Intervention described in appropriate detail?</w:t>
            </w:r>
          </w:p>
        </w:tc>
        <w:tc>
          <w:tcPr>
            <w:tcW w:w="1305" w:type="dxa"/>
            <w:vMerge w:val="restart"/>
            <w:tcBorders>
              <w:top w:val="single" w:sz="4" w:space="0" w:color="auto"/>
              <w:bottom w:val="single" w:sz="4" w:space="0" w:color="auto"/>
            </w:tcBorders>
          </w:tcPr>
          <w:p w14:paraId="6C757285" w14:textId="77777777" w:rsidR="00E6060C" w:rsidRPr="00E6060C" w:rsidRDefault="00E6060C" w:rsidP="00E6060C">
            <w:pPr>
              <w:contextualSpacing/>
              <w:rPr>
                <w:b/>
              </w:rPr>
            </w:pPr>
            <w:r w:rsidRPr="00E6060C">
              <w:rPr>
                <w:b/>
              </w:rPr>
              <w:t>Are the participant numbers at each time point reported?</w:t>
            </w:r>
          </w:p>
        </w:tc>
        <w:tc>
          <w:tcPr>
            <w:tcW w:w="1097" w:type="dxa"/>
            <w:vMerge w:val="restart"/>
            <w:tcBorders>
              <w:top w:val="single" w:sz="4" w:space="0" w:color="auto"/>
              <w:bottom w:val="single" w:sz="4" w:space="0" w:color="auto"/>
            </w:tcBorders>
          </w:tcPr>
          <w:p w14:paraId="70B75585" w14:textId="77777777" w:rsidR="00E6060C" w:rsidRPr="00E6060C" w:rsidRDefault="00E6060C" w:rsidP="00E6060C">
            <w:pPr>
              <w:contextualSpacing/>
              <w:rPr>
                <w:b/>
              </w:rPr>
            </w:pPr>
            <w:r w:rsidRPr="00E6060C">
              <w:rPr>
                <w:b/>
              </w:rPr>
              <w:t>Are objective measures present?</w:t>
            </w:r>
          </w:p>
        </w:tc>
        <w:tc>
          <w:tcPr>
            <w:tcW w:w="1199" w:type="dxa"/>
            <w:vMerge w:val="restart"/>
            <w:tcBorders>
              <w:top w:val="single" w:sz="4" w:space="0" w:color="auto"/>
              <w:bottom w:val="single" w:sz="4" w:space="0" w:color="auto"/>
            </w:tcBorders>
          </w:tcPr>
          <w:p w14:paraId="4458BD3C" w14:textId="77777777" w:rsidR="00E6060C" w:rsidRPr="00E6060C" w:rsidRDefault="00E6060C" w:rsidP="00E6060C">
            <w:pPr>
              <w:contextualSpacing/>
              <w:rPr>
                <w:b/>
              </w:rPr>
            </w:pPr>
            <w:r w:rsidRPr="00E6060C">
              <w:rPr>
                <w:b/>
              </w:rPr>
              <w:t>Are subjective measures present?</w:t>
            </w:r>
          </w:p>
        </w:tc>
        <w:tc>
          <w:tcPr>
            <w:tcW w:w="6284" w:type="dxa"/>
            <w:gridSpan w:val="4"/>
            <w:tcBorders>
              <w:top w:val="single" w:sz="4" w:space="0" w:color="auto"/>
              <w:bottom w:val="single" w:sz="4" w:space="0" w:color="auto"/>
            </w:tcBorders>
          </w:tcPr>
          <w:p w14:paraId="1B60929F" w14:textId="77777777" w:rsidR="00E6060C" w:rsidRPr="00E6060C" w:rsidRDefault="00E6060C" w:rsidP="00E6060C">
            <w:pPr>
              <w:contextualSpacing/>
              <w:jc w:val="center"/>
              <w:rPr>
                <w:b/>
              </w:rPr>
            </w:pPr>
            <w:r w:rsidRPr="00E6060C">
              <w:rPr>
                <w:b/>
              </w:rPr>
              <w:t>Attrition bias</w:t>
            </w:r>
          </w:p>
        </w:tc>
      </w:tr>
      <w:tr w:rsidR="00E6060C" w:rsidRPr="00E6060C" w14:paraId="16E27865" w14:textId="77777777" w:rsidTr="00E6060C">
        <w:trPr>
          <w:trHeight w:val="1072"/>
        </w:trPr>
        <w:tc>
          <w:tcPr>
            <w:tcW w:w="567" w:type="dxa"/>
            <w:vMerge/>
            <w:tcBorders>
              <w:top w:val="single" w:sz="4" w:space="0" w:color="auto"/>
              <w:bottom w:val="single" w:sz="4" w:space="0" w:color="auto"/>
            </w:tcBorders>
          </w:tcPr>
          <w:p w14:paraId="1E32299E" w14:textId="77777777" w:rsidR="00E6060C" w:rsidRPr="00E6060C" w:rsidRDefault="00E6060C" w:rsidP="00E6060C">
            <w:pPr>
              <w:contextualSpacing/>
              <w:rPr>
                <w:b/>
              </w:rPr>
            </w:pPr>
          </w:p>
        </w:tc>
        <w:tc>
          <w:tcPr>
            <w:tcW w:w="1406" w:type="dxa"/>
            <w:vMerge/>
            <w:tcBorders>
              <w:top w:val="single" w:sz="4" w:space="0" w:color="auto"/>
              <w:bottom w:val="single" w:sz="4" w:space="0" w:color="auto"/>
            </w:tcBorders>
          </w:tcPr>
          <w:p w14:paraId="05734774" w14:textId="77777777" w:rsidR="00E6060C" w:rsidRPr="00E6060C" w:rsidRDefault="00E6060C" w:rsidP="00E6060C">
            <w:pPr>
              <w:contextualSpacing/>
              <w:rPr>
                <w:b/>
              </w:rPr>
            </w:pPr>
          </w:p>
        </w:tc>
        <w:tc>
          <w:tcPr>
            <w:tcW w:w="1430" w:type="dxa"/>
            <w:vMerge/>
            <w:tcBorders>
              <w:top w:val="single" w:sz="4" w:space="0" w:color="auto"/>
              <w:bottom w:val="single" w:sz="4" w:space="0" w:color="auto"/>
            </w:tcBorders>
          </w:tcPr>
          <w:p w14:paraId="3288D155" w14:textId="77777777" w:rsidR="00E6060C" w:rsidRPr="00E6060C" w:rsidRDefault="00E6060C" w:rsidP="00E6060C">
            <w:pPr>
              <w:contextualSpacing/>
              <w:rPr>
                <w:b/>
              </w:rPr>
            </w:pPr>
          </w:p>
        </w:tc>
        <w:tc>
          <w:tcPr>
            <w:tcW w:w="1453" w:type="dxa"/>
            <w:vMerge/>
            <w:tcBorders>
              <w:top w:val="single" w:sz="4" w:space="0" w:color="auto"/>
              <w:bottom w:val="single" w:sz="4" w:space="0" w:color="auto"/>
            </w:tcBorders>
          </w:tcPr>
          <w:p w14:paraId="45D37974" w14:textId="77777777" w:rsidR="00E6060C" w:rsidRPr="00E6060C" w:rsidRDefault="00E6060C" w:rsidP="00E6060C">
            <w:pPr>
              <w:contextualSpacing/>
              <w:rPr>
                <w:b/>
              </w:rPr>
            </w:pPr>
          </w:p>
        </w:tc>
        <w:tc>
          <w:tcPr>
            <w:tcW w:w="1305" w:type="dxa"/>
            <w:vMerge/>
            <w:tcBorders>
              <w:top w:val="single" w:sz="4" w:space="0" w:color="auto"/>
              <w:bottom w:val="single" w:sz="4" w:space="0" w:color="auto"/>
            </w:tcBorders>
          </w:tcPr>
          <w:p w14:paraId="5CE72D3B" w14:textId="77777777" w:rsidR="00E6060C" w:rsidRPr="00E6060C" w:rsidRDefault="00E6060C" w:rsidP="00E6060C">
            <w:pPr>
              <w:contextualSpacing/>
              <w:rPr>
                <w:b/>
              </w:rPr>
            </w:pPr>
          </w:p>
        </w:tc>
        <w:tc>
          <w:tcPr>
            <w:tcW w:w="1097" w:type="dxa"/>
            <w:vMerge/>
            <w:tcBorders>
              <w:top w:val="single" w:sz="4" w:space="0" w:color="auto"/>
              <w:bottom w:val="single" w:sz="4" w:space="0" w:color="auto"/>
            </w:tcBorders>
          </w:tcPr>
          <w:p w14:paraId="2BBF2553" w14:textId="77777777" w:rsidR="00E6060C" w:rsidRPr="00E6060C" w:rsidRDefault="00E6060C" w:rsidP="00E6060C">
            <w:pPr>
              <w:contextualSpacing/>
              <w:rPr>
                <w:b/>
              </w:rPr>
            </w:pPr>
          </w:p>
        </w:tc>
        <w:tc>
          <w:tcPr>
            <w:tcW w:w="1199" w:type="dxa"/>
            <w:vMerge/>
            <w:tcBorders>
              <w:top w:val="single" w:sz="4" w:space="0" w:color="auto"/>
              <w:bottom w:val="single" w:sz="4" w:space="0" w:color="auto"/>
            </w:tcBorders>
          </w:tcPr>
          <w:p w14:paraId="5F07A26A" w14:textId="77777777" w:rsidR="00E6060C" w:rsidRPr="00E6060C" w:rsidRDefault="00E6060C" w:rsidP="00E6060C">
            <w:pPr>
              <w:contextualSpacing/>
              <w:rPr>
                <w:b/>
              </w:rPr>
            </w:pPr>
          </w:p>
        </w:tc>
        <w:tc>
          <w:tcPr>
            <w:tcW w:w="1483" w:type="dxa"/>
            <w:tcBorders>
              <w:top w:val="single" w:sz="4" w:space="0" w:color="auto"/>
              <w:bottom w:val="single" w:sz="4" w:space="0" w:color="auto"/>
            </w:tcBorders>
          </w:tcPr>
          <w:p w14:paraId="42EE9E5D" w14:textId="77777777" w:rsidR="00E6060C" w:rsidRPr="00E6060C" w:rsidRDefault="00E6060C" w:rsidP="00E6060C">
            <w:pPr>
              <w:contextualSpacing/>
              <w:rPr>
                <w:b/>
              </w:rPr>
            </w:pPr>
            <w:r w:rsidRPr="00E6060C">
              <w:rPr>
                <w:b/>
              </w:rPr>
              <w:t>Intervention attrition rate</w:t>
            </w:r>
          </w:p>
          <w:p w14:paraId="573E382A" w14:textId="77777777" w:rsidR="00E6060C" w:rsidRPr="00E6060C" w:rsidRDefault="00E6060C" w:rsidP="00E6060C">
            <w:pPr>
              <w:contextualSpacing/>
              <w:rPr>
                <w:b/>
              </w:rPr>
            </w:pPr>
          </w:p>
        </w:tc>
        <w:tc>
          <w:tcPr>
            <w:tcW w:w="1483" w:type="dxa"/>
            <w:tcBorders>
              <w:top w:val="single" w:sz="4" w:space="0" w:color="auto"/>
              <w:bottom w:val="single" w:sz="4" w:space="0" w:color="auto"/>
            </w:tcBorders>
          </w:tcPr>
          <w:p w14:paraId="08FD900F" w14:textId="77777777" w:rsidR="00E6060C" w:rsidRPr="00E6060C" w:rsidRDefault="00E6060C" w:rsidP="00E6060C">
            <w:pPr>
              <w:contextualSpacing/>
              <w:rPr>
                <w:b/>
              </w:rPr>
            </w:pPr>
            <w:r w:rsidRPr="00E6060C">
              <w:rPr>
                <w:b/>
              </w:rPr>
              <w:t xml:space="preserve">Are those who completed the intervention compared to those who didn’t? </w:t>
            </w:r>
          </w:p>
        </w:tc>
        <w:tc>
          <w:tcPr>
            <w:tcW w:w="1624" w:type="dxa"/>
            <w:tcBorders>
              <w:top w:val="single" w:sz="4" w:space="0" w:color="auto"/>
              <w:bottom w:val="single" w:sz="4" w:space="0" w:color="auto"/>
            </w:tcBorders>
          </w:tcPr>
          <w:p w14:paraId="028C390A" w14:textId="77777777" w:rsidR="00E6060C" w:rsidRPr="00E6060C" w:rsidRDefault="00E6060C" w:rsidP="00E6060C">
            <w:pPr>
              <w:contextualSpacing/>
              <w:rPr>
                <w:b/>
              </w:rPr>
            </w:pPr>
            <w:r w:rsidRPr="00E6060C">
              <w:rPr>
                <w:b/>
              </w:rPr>
              <w:t>Findings from comparing dropouts to finishers</w:t>
            </w:r>
          </w:p>
        </w:tc>
        <w:tc>
          <w:tcPr>
            <w:tcW w:w="1700" w:type="dxa"/>
            <w:gridSpan w:val="2"/>
            <w:tcBorders>
              <w:top w:val="single" w:sz="4" w:space="0" w:color="auto"/>
              <w:bottom w:val="single" w:sz="4" w:space="0" w:color="auto"/>
            </w:tcBorders>
          </w:tcPr>
          <w:p w14:paraId="5874E0D7" w14:textId="77777777" w:rsidR="00E6060C" w:rsidRPr="00E6060C" w:rsidRDefault="00E6060C" w:rsidP="00E6060C">
            <w:pPr>
              <w:contextualSpacing/>
              <w:rPr>
                <w:b/>
              </w:rPr>
            </w:pPr>
            <w:r w:rsidRPr="00E6060C">
              <w:rPr>
                <w:b/>
              </w:rPr>
              <w:t>Reasons for attrition</w:t>
            </w:r>
          </w:p>
        </w:tc>
      </w:tr>
      <w:tr w:rsidR="00E6060C" w:rsidRPr="00E6060C" w14:paraId="4867B8C7" w14:textId="77777777" w:rsidTr="00E6060C">
        <w:trPr>
          <w:gridAfter w:val="1"/>
          <w:wAfter w:w="6" w:type="dxa"/>
        </w:trPr>
        <w:tc>
          <w:tcPr>
            <w:tcW w:w="14741" w:type="dxa"/>
            <w:gridSpan w:val="11"/>
            <w:tcBorders>
              <w:top w:val="single" w:sz="4" w:space="0" w:color="auto"/>
              <w:bottom w:val="single" w:sz="4" w:space="0" w:color="auto"/>
            </w:tcBorders>
          </w:tcPr>
          <w:p w14:paraId="09316E78" w14:textId="77777777" w:rsidR="00E6060C" w:rsidRPr="00E6060C" w:rsidRDefault="00E6060C" w:rsidP="00E6060C">
            <w:pPr>
              <w:contextualSpacing/>
              <w:rPr>
                <w:b/>
                <w:sz w:val="28"/>
                <w:szCs w:val="28"/>
              </w:rPr>
            </w:pPr>
            <w:r w:rsidRPr="00E6060C">
              <w:rPr>
                <w:b/>
                <w:sz w:val="28"/>
                <w:szCs w:val="28"/>
              </w:rPr>
              <w:t>PERSONAL RESOURCE BUILDING INTERVENTIONS</w:t>
            </w:r>
          </w:p>
        </w:tc>
      </w:tr>
      <w:tr w:rsidR="00E6060C" w:rsidRPr="00E6060C" w14:paraId="6C5AA2C4" w14:textId="77777777" w:rsidTr="00E6060C">
        <w:tc>
          <w:tcPr>
            <w:tcW w:w="567" w:type="dxa"/>
            <w:tcBorders>
              <w:top w:val="single" w:sz="4" w:space="0" w:color="auto"/>
            </w:tcBorders>
          </w:tcPr>
          <w:p w14:paraId="4E287333" w14:textId="77777777" w:rsidR="00E6060C" w:rsidRPr="00E6060C" w:rsidRDefault="00E6060C" w:rsidP="00E6060C">
            <w:pPr>
              <w:contextualSpacing/>
            </w:pPr>
            <w:r w:rsidRPr="00E6060C">
              <w:t>1</w:t>
            </w:r>
          </w:p>
        </w:tc>
        <w:tc>
          <w:tcPr>
            <w:tcW w:w="1406" w:type="dxa"/>
            <w:tcBorders>
              <w:top w:val="single" w:sz="4" w:space="0" w:color="auto"/>
            </w:tcBorders>
          </w:tcPr>
          <w:p w14:paraId="00D83B41" w14:textId="77777777" w:rsidR="00E6060C" w:rsidRPr="00E6060C" w:rsidRDefault="00E6060C" w:rsidP="00E6060C">
            <w:pPr>
              <w:contextualSpacing/>
            </w:pPr>
            <w:r w:rsidRPr="00E6060C">
              <w:t>Bishop, 2013</w:t>
            </w:r>
          </w:p>
        </w:tc>
        <w:tc>
          <w:tcPr>
            <w:tcW w:w="1430" w:type="dxa"/>
            <w:tcBorders>
              <w:top w:val="single" w:sz="4" w:space="0" w:color="auto"/>
            </w:tcBorders>
          </w:tcPr>
          <w:p w14:paraId="0265EA49" w14:textId="77777777" w:rsidR="00E6060C" w:rsidRPr="00E6060C" w:rsidRDefault="00E6060C" w:rsidP="00E6060C">
            <w:pPr>
              <w:contextualSpacing/>
            </w:pPr>
            <w:r w:rsidRPr="00E6060C">
              <w:t>-</w:t>
            </w:r>
          </w:p>
        </w:tc>
        <w:tc>
          <w:tcPr>
            <w:tcW w:w="1453" w:type="dxa"/>
            <w:tcBorders>
              <w:top w:val="single" w:sz="4" w:space="0" w:color="auto"/>
            </w:tcBorders>
          </w:tcPr>
          <w:p w14:paraId="1AD99271" w14:textId="77777777" w:rsidR="00E6060C" w:rsidRPr="00E6060C" w:rsidRDefault="00E6060C" w:rsidP="00E6060C">
            <w:pPr>
              <w:contextualSpacing/>
            </w:pPr>
            <w:r w:rsidRPr="00E6060C">
              <w:t>Y</w:t>
            </w:r>
          </w:p>
        </w:tc>
        <w:tc>
          <w:tcPr>
            <w:tcW w:w="1305" w:type="dxa"/>
            <w:tcBorders>
              <w:top w:val="single" w:sz="4" w:space="0" w:color="auto"/>
            </w:tcBorders>
          </w:tcPr>
          <w:p w14:paraId="27D3C690" w14:textId="77777777" w:rsidR="00E6060C" w:rsidRPr="00E6060C" w:rsidRDefault="00E6060C" w:rsidP="00E6060C">
            <w:pPr>
              <w:contextualSpacing/>
            </w:pPr>
            <w:r w:rsidRPr="00E6060C">
              <w:t>Y</w:t>
            </w:r>
          </w:p>
        </w:tc>
        <w:tc>
          <w:tcPr>
            <w:tcW w:w="1097" w:type="dxa"/>
            <w:tcBorders>
              <w:top w:val="single" w:sz="4" w:space="0" w:color="auto"/>
            </w:tcBorders>
          </w:tcPr>
          <w:p w14:paraId="027554C6" w14:textId="77777777" w:rsidR="00E6060C" w:rsidRPr="00E6060C" w:rsidRDefault="00E6060C" w:rsidP="00E6060C">
            <w:pPr>
              <w:contextualSpacing/>
            </w:pPr>
            <w:r w:rsidRPr="00E6060C">
              <w:t>N</w:t>
            </w:r>
          </w:p>
        </w:tc>
        <w:tc>
          <w:tcPr>
            <w:tcW w:w="1199" w:type="dxa"/>
            <w:tcBorders>
              <w:top w:val="single" w:sz="4" w:space="0" w:color="auto"/>
            </w:tcBorders>
          </w:tcPr>
          <w:p w14:paraId="6A41F293" w14:textId="77777777" w:rsidR="00E6060C" w:rsidRPr="00E6060C" w:rsidRDefault="00E6060C" w:rsidP="00E6060C">
            <w:pPr>
              <w:contextualSpacing/>
            </w:pPr>
            <w:r w:rsidRPr="00E6060C">
              <w:t>Y</w:t>
            </w:r>
          </w:p>
        </w:tc>
        <w:tc>
          <w:tcPr>
            <w:tcW w:w="1483" w:type="dxa"/>
            <w:tcBorders>
              <w:top w:val="single" w:sz="4" w:space="0" w:color="auto"/>
            </w:tcBorders>
          </w:tcPr>
          <w:p w14:paraId="7F03F443" w14:textId="77777777" w:rsidR="00E6060C" w:rsidRPr="00E6060C" w:rsidRDefault="00E6060C" w:rsidP="00E6060C">
            <w:pPr>
              <w:contextualSpacing/>
            </w:pPr>
            <w:r w:rsidRPr="00E6060C">
              <w:t>-</w:t>
            </w:r>
          </w:p>
        </w:tc>
        <w:tc>
          <w:tcPr>
            <w:tcW w:w="1483" w:type="dxa"/>
            <w:tcBorders>
              <w:top w:val="single" w:sz="4" w:space="0" w:color="auto"/>
            </w:tcBorders>
          </w:tcPr>
          <w:p w14:paraId="55BEBB5B" w14:textId="77777777" w:rsidR="00E6060C" w:rsidRPr="00E6060C" w:rsidRDefault="00E6060C" w:rsidP="00E6060C">
            <w:pPr>
              <w:contextualSpacing/>
            </w:pPr>
            <w:r w:rsidRPr="00E6060C">
              <w:t>N</w:t>
            </w:r>
          </w:p>
        </w:tc>
        <w:tc>
          <w:tcPr>
            <w:tcW w:w="1624" w:type="dxa"/>
            <w:tcBorders>
              <w:top w:val="single" w:sz="4" w:space="0" w:color="auto"/>
            </w:tcBorders>
          </w:tcPr>
          <w:p w14:paraId="11266635" w14:textId="77777777" w:rsidR="00E6060C" w:rsidRPr="00E6060C" w:rsidRDefault="00E6060C" w:rsidP="00E6060C">
            <w:pPr>
              <w:contextualSpacing/>
            </w:pPr>
            <w:r w:rsidRPr="00E6060C">
              <w:t>-</w:t>
            </w:r>
          </w:p>
        </w:tc>
        <w:tc>
          <w:tcPr>
            <w:tcW w:w="1700" w:type="dxa"/>
            <w:gridSpan w:val="2"/>
            <w:tcBorders>
              <w:top w:val="single" w:sz="4" w:space="0" w:color="auto"/>
            </w:tcBorders>
          </w:tcPr>
          <w:p w14:paraId="092BB20F" w14:textId="77777777" w:rsidR="00E6060C" w:rsidRPr="00E6060C" w:rsidRDefault="00E6060C" w:rsidP="00E6060C">
            <w:pPr>
              <w:contextualSpacing/>
            </w:pPr>
            <w:r w:rsidRPr="00E6060C">
              <w:t>-</w:t>
            </w:r>
          </w:p>
        </w:tc>
      </w:tr>
      <w:tr w:rsidR="00E6060C" w:rsidRPr="00E6060C" w14:paraId="1EC88AF4" w14:textId="77777777" w:rsidTr="00E6060C">
        <w:tc>
          <w:tcPr>
            <w:tcW w:w="567" w:type="dxa"/>
          </w:tcPr>
          <w:p w14:paraId="6C2337AE" w14:textId="77777777" w:rsidR="00E6060C" w:rsidRPr="00E6060C" w:rsidRDefault="00E6060C" w:rsidP="00E6060C">
            <w:pPr>
              <w:contextualSpacing/>
            </w:pPr>
            <w:r w:rsidRPr="00E6060C">
              <w:t>2</w:t>
            </w:r>
          </w:p>
        </w:tc>
        <w:tc>
          <w:tcPr>
            <w:tcW w:w="1406" w:type="dxa"/>
          </w:tcPr>
          <w:p w14:paraId="1E1BFF6E" w14:textId="6CC3042C" w:rsidR="00E6060C" w:rsidRPr="00E6060C" w:rsidRDefault="004D6C5A" w:rsidP="00E6060C">
            <w:pPr>
              <w:contextualSpacing/>
            </w:pPr>
            <w:r>
              <w:t>*</w:t>
            </w:r>
            <w:r w:rsidR="00E6060C" w:rsidRPr="00E6060C">
              <w:t>Carter, 2010</w:t>
            </w:r>
          </w:p>
        </w:tc>
        <w:tc>
          <w:tcPr>
            <w:tcW w:w="1430" w:type="dxa"/>
          </w:tcPr>
          <w:p w14:paraId="3322E41F" w14:textId="77777777" w:rsidR="00E6060C" w:rsidRPr="00E6060C" w:rsidRDefault="00E6060C" w:rsidP="00E6060C">
            <w:pPr>
              <w:contextualSpacing/>
            </w:pPr>
            <w:r w:rsidRPr="00E6060C">
              <w:t xml:space="preserve">85% (T2); Int:95%; Con:75% </w:t>
            </w:r>
          </w:p>
        </w:tc>
        <w:tc>
          <w:tcPr>
            <w:tcW w:w="1453" w:type="dxa"/>
          </w:tcPr>
          <w:p w14:paraId="5C9645D6" w14:textId="77777777" w:rsidR="00E6060C" w:rsidRPr="00E6060C" w:rsidRDefault="00E6060C" w:rsidP="00E6060C">
            <w:pPr>
              <w:contextualSpacing/>
            </w:pPr>
            <w:r w:rsidRPr="00E6060C">
              <w:t>Y</w:t>
            </w:r>
          </w:p>
        </w:tc>
        <w:tc>
          <w:tcPr>
            <w:tcW w:w="1305" w:type="dxa"/>
          </w:tcPr>
          <w:p w14:paraId="0C021503" w14:textId="77777777" w:rsidR="00E6060C" w:rsidRPr="00E6060C" w:rsidRDefault="00E6060C" w:rsidP="00E6060C">
            <w:pPr>
              <w:contextualSpacing/>
            </w:pPr>
            <w:r w:rsidRPr="00E6060C">
              <w:t>Y</w:t>
            </w:r>
          </w:p>
        </w:tc>
        <w:tc>
          <w:tcPr>
            <w:tcW w:w="1097" w:type="dxa"/>
          </w:tcPr>
          <w:p w14:paraId="46ECC7A4" w14:textId="77777777" w:rsidR="00E6060C" w:rsidRPr="00E6060C" w:rsidRDefault="00E6060C" w:rsidP="00E6060C">
            <w:pPr>
              <w:contextualSpacing/>
            </w:pPr>
            <w:r w:rsidRPr="00E6060C">
              <w:t>Y</w:t>
            </w:r>
          </w:p>
        </w:tc>
        <w:tc>
          <w:tcPr>
            <w:tcW w:w="1199" w:type="dxa"/>
          </w:tcPr>
          <w:p w14:paraId="04B3B739" w14:textId="77777777" w:rsidR="00E6060C" w:rsidRPr="00E6060C" w:rsidRDefault="00E6060C" w:rsidP="00E6060C">
            <w:pPr>
              <w:contextualSpacing/>
            </w:pPr>
            <w:r w:rsidRPr="00E6060C">
              <w:t>Y</w:t>
            </w:r>
          </w:p>
        </w:tc>
        <w:tc>
          <w:tcPr>
            <w:tcW w:w="1483" w:type="dxa"/>
          </w:tcPr>
          <w:p w14:paraId="7D88B49C" w14:textId="77777777" w:rsidR="00E6060C" w:rsidRPr="00E6060C" w:rsidRDefault="00E6060C" w:rsidP="00E6060C">
            <w:pPr>
              <w:contextualSpacing/>
            </w:pPr>
            <w:r w:rsidRPr="00E6060C">
              <w:t>-</w:t>
            </w:r>
          </w:p>
        </w:tc>
        <w:tc>
          <w:tcPr>
            <w:tcW w:w="1483" w:type="dxa"/>
          </w:tcPr>
          <w:p w14:paraId="0085B9A4" w14:textId="77777777" w:rsidR="00E6060C" w:rsidRPr="00E6060C" w:rsidRDefault="00E6060C" w:rsidP="00E6060C">
            <w:pPr>
              <w:contextualSpacing/>
            </w:pPr>
            <w:r w:rsidRPr="00E6060C">
              <w:t>N</w:t>
            </w:r>
          </w:p>
        </w:tc>
        <w:tc>
          <w:tcPr>
            <w:tcW w:w="1624" w:type="dxa"/>
          </w:tcPr>
          <w:p w14:paraId="252F6A86" w14:textId="77777777" w:rsidR="00E6060C" w:rsidRPr="00E6060C" w:rsidRDefault="00E6060C" w:rsidP="00E6060C">
            <w:pPr>
              <w:contextualSpacing/>
            </w:pPr>
          </w:p>
        </w:tc>
        <w:tc>
          <w:tcPr>
            <w:tcW w:w="1700" w:type="dxa"/>
            <w:gridSpan w:val="2"/>
          </w:tcPr>
          <w:p w14:paraId="27165506" w14:textId="77777777" w:rsidR="00E6060C" w:rsidRPr="00E6060C" w:rsidRDefault="00E6060C" w:rsidP="00E6060C">
            <w:pPr>
              <w:contextualSpacing/>
            </w:pPr>
            <w:r w:rsidRPr="00E6060C">
              <w:t>-</w:t>
            </w:r>
          </w:p>
        </w:tc>
      </w:tr>
      <w:tr w:rsidR="00E6060C" w:rsidRPr="00E6060C" w14:paraId="735E50CA" w14:textId="77777777" w:rsidTr="00E6060C">
        <w:tc>
          <w:tcPr>
            <w:tcW w:w="567" w:type="dxa"/>
          </w:tcPr>
          <w:p w14:paraId="0E878494" w14:textId="77777777" w:rsidR="00E6060C" w:rsidRPr="00E6060C" w:rsidRDefault="00E6060C" w:rsidP="00E6060C">
            <w:pPr>
              <w:contextualSpacing/>
            </w:pPr>
            <w:r w:rsidRPr="00E6060C">
              <w:t>3</w:t>
            </w:r>
          </w:p>
        </w:tc>
        <w:tc>
          <w:tcPr>
            <w:tcW w:w="1406" w:type="dxa"/>
          </w:tcPr>
          <w:p w14:paraId="7FF5D9FF" w14:textId="4727BBCD"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Chen et al., 2009 </w:t>
            </w:r>
          </w:p>
        </w:tc>
        <w:tc>
          <w:tcPr>
            <w:tcW w:w="1430" w:type="dxa"/>
          </w:tcPr>
          <w:p w14:paraId="15B904FC" w14:textId="77777777" w:rsidR="00E6060C" w:rsidRPr="00E6060C" w:rsidRDefault="00E6060C" w:rsidP="00E6060C">
            <w:pPr>
              <w:contextualSpacing/>
            </w:pPr>
            <w:r w:rsidRPr="00E6060C">
              <w:t>Unclear</w:t>
            </w:r>
          </w:p>
        </w:tc>
        <w:tc>
          <w:tcPr>
            <w:tcW w:w="1453" w:type="dxa"/>
          </w:tcPr>
          <w:p w14:paraId="760104A5" w14:textId="77777777" w:rsidR="00E6060C" w:rsidRPr="00E6060C" w:rsidRDefault="00E6060C" w:rsidP="00E6060C">
            <w:pPr>
              <w:contextualSpacing/>
            </w:pPr>
            <w:r w:rsidRPr="00E6060C">
              <w:t>Y</w:t>
            </w:r>
          </w:p>
        </w:tc>
        <w:tc>
          <w:tcPr>
            <w:tcW w:w="1305" w:type="dxa"/>
          </w:tcPr>
          <w:p w14:paraId="201C2AA0" w14:textId="77777777" w:rsidR="00E6060C" w:rsidRPr="00E6060C" w:rsidRDefault="00E6060C" w:rsidP="00E6060C">
            <w:pPr>
              <w:contextualSpacing/>
            </w:pPr>
            <w:r w:rsidRPr="00E6060C">
              <w:t>Y</w:t>
            </w:r>
          </w:p>
        </w:tc>
        <w:tc>
          <w:tcPr>
            <w:tcW w:w="1097" w:type="dxa"/>
          </w:tcPr>
          <w:p w14:paraId="739BF930" w14:textId="77777777" w:rsidR="00E6060C" w:rsidRPr="00E6060C" w:rsidRDefault="00E6060C" w:rsidP="00E6060C">
            <w:pPr>
              <w:contextualSpacing/>
            </w:pPr>
            <w:r w:rsidRPr="00E6060C">
              <w:t>N</w:t>
            </w:r>
          </w:p>
        </w:tc>
        <w:tc>
          <w:tcPr>
            <w:tcW w:w="1199" w:type="dxa"/>
          </w:tcPr>
          <w:p w14:paraId="41B3A810" w14:textId="77777777" w:rsidR="00E6060C" w:rsidRPr="00E6060C" w:rsidRDefault="00E6060C" w:rsidP="00E6060C">
            <w:pPr>
              <w:contextualSpacing/>
            </w:pPr>
            <w:r w:rsidRPr="00E6060C">
              <w:t>Y</w:t>
            </w:r>
          </w:p>
        </w:tc>
        <w:tc>
          <w:tcPr>
            <w:tcW w:w="1483" w:type="dxa"/>
          </w:tcPr>
          <w:p w14:paraId="244350F2" w14:textId="77777777" w:rsidR="00E6060C" w:rsidRPr="00E6060C" w:rsidRDefault="00E6060C" w:rsidP="00E6060C">
            <w:pPr>
              <w:contextualSpacing/>
            </w:pPr>
            <w:r w:rsidRPr="00E6060C">
              <w:t>-</w:t>
            </w:r>
          </w:p>
        </w:tc>
        <w:tc>
          <w:tcPr>
            <w:tcW w:w="1483" w:type="dxa"/>
          </w:tcPr>
          <w:p w14:paraId="4585134E" w14:textId="77777777" w:rsidR="00E6060C" w:rsidRPr="00E6060C" w:rsidRDefault="00E6060C" w:rsidP="00E6060C">
            <w:pPr>
              <w:contextualSpacing/>
            </w:pPr>
            <w:r w:rsidRPr="00E6060C">
              <w:t>N</w:t>
            </w:r>
          </w:p>
        </w:tc>
        <w:tc>
          <w:tcPr>
            <w:tcW w:w="1624" w:type="dxa"/>
          </w:tcPr>
          <w:p w14:paraId="1D426471" w14:textId="77777777" w:rsidR="00E6060C" w:rsidRPr="00E6060C" w:rsidRDefault="00E6060C" w:rsidP="00E6060C">
            <w:pPr>
              <w:contextualSpacing/>
            </w:pPr>
            <w:r w:rsidRPr="00E6060C">
              <w:t>-</w:t>
            </w:r>
          </w:p>
        </w:tc>
        <w:tc>
          <w:tcPr>
            <w:tcW w:w="1700" w:type="dxa"/>
            <w:gridSpan w:val="2"/>
          </w:tcPr>
          <w:p w14:paraId="1713F302" w14:textId="77777777" w:rsidR="00E6060C" w:rsidRPr="00E6060C" w:rsidRDefault="00E6060C" w:rsidP="00E6060C">
            <w:pPr>
              <w:contextualSpacing/>
            </w:pPr>
            <w:r w:rsidRPr="00E6060C">
              <w:t>-</w:t>
            </w:r>
          </w:p>
        </w:tc>
      </w:tr>
      <w:tr w:rsidR="00E6060C" w:rsidRPr="00E6060C" w14:paraId="24DF7972" w14:textId="77777777" w:rsidTr="00E6060C">
        <w:tc>
          <w:tcPr>
            <w:tcW w:w="567" w:type="dxa"/>
          </w:tcPr>
          <w:p w14:paraId="044E5703" w14:textId="77777777" w:rsidR="00E6060C" w:rsidRPr="00E6060C" w:rsidRDefault="00E6060C" w:rsidP="00E6060C">
            <w:pPr>
              <w:contextualSpacing/>
            </w:pPr>
            <w:r w:rsidRPr="00E6060C">
              <w:t>4</w:t>
            </w:r>
          </w:p>
        </w:tc>
        <w:tc>
          <w:tcPr>
            <w:tcW w:w="1406" w:type="dxa"/>
          </w:tcPr>
          <w:p w14:paraId="4C6CCADB" w14:textId="77777777" w:rsidR="00E6060C" w:rsidRPr="00E6060C" w:rsidRDefault="00E6060C" w:rsidP="00E6060C">
            <w:pPr>
              <w:contextualSpacing/>
            </w:pPr>
            <w:r w:rsidRPr="00E6060C">
              <w:t>Iljntema, 2014</w:t>
            </w:r>
          </w:p>
        </w:tc>
        <w:tc>
          <w:tcPr>
            <w:tcW w:w="1430" w:type="dxa"/>
          </w:tcPr>
          <w:p w14:paraId="04AF1951" w14:textId="77777777" w:rsidR="00E6060C" w:rsidRPr="00E6060C" w:rsidRDefault="00E6060C" w:rsidP="00E6060C">
            <w:pPr>
              <w:contextualSpacing/>
            </w:pPr>
            <w:r w:rsidRPr="00E6060C">
              <w:t>Int=97.1%;</w:t>
            </w:r>
          </w:p>
          <w:p w14:paraId="4C6ADF2A" w14:textId="77777777" w:rsidR="00E6060C" w:rsidRPr="00E6060C" w:rsidRDefault="00E6060C" w:rsidP="00E6060C">
            <w:pPr>
              <w:contextualSpacing/>
            </w:pPr>
            <w:r w:rsidRPr="00E6060C">
              <w:t>Con=50.8%</w:t>
            </w:r>
          </w:p>
        </w:tc>
        <w:tc>
          <w:tcPr>
            <w:tcW w:w="1453" w:type="dxa"/>
          </w:tcPr>
          <w:p w14:paraId="3B002493" w14:textId="77777777" w:rsidR="00E6060C" w:rsidRPr="00E6060C" w:rsidRDefault="00E6060C" w:rsidP="00E6060C">
            <w:pPr>
              <w:contextualSpacing/>
            </w:pPr>
            <w:r w:rsidRPr="00E6060C">
              <w:t>N (not yet published)</w:t>
            </w:r>
          </w:p>
        </w:tc>
        <w:tc>
          <w:tcPr>
            <w:tcW w:w="1305" w:type="dxa"/>
          </w:tcPr>
          <w:p w14:paraId="0F87FED6" w14:textId="77777777" w:rsidR="00E6060C" w:rsidRPr="00E6060C" w:rsidRDefault="00E6060C" w:rsidP="00E6060C">
            <w:pPr>
              <w:contextualSpacing/>
            </w:pPr>
            <w:r w:rsidRPr="00E6060C">
              <w:t>N (not yet published)</w:t>
            </w:r>
          </w:p>
        </w:tc>
        <w:tc>
          <w:tcPr>
            <w:tcW w:w="1097" w:type="dxa"/>
          </w:tcPr>
          <w:p w14:paraId="6F480CA4" w14:textId="77777777" w:rsidR="00E6060C" w:rsidRPr="00E6060C" w:rsidRDefault="00E6060C" w:rsidP="00E6060C">
            <w:pPr>
              <w:contextualSpacing/>
            </w:pPr>
            <w:r w:rsidRPr="00E6060C">
              <w:t>N</w:t>
            </w:r>
          </w:p>
        </w:tc>
        <w:tc>
          <w:tcPr>
            <w:tcW w:w="1199" w:type="dxa"/>
          </w:tcPr>
          <w:p w14:paraId="3A19D28F" w14:textId="77777777" w:rsidR="00E6060C" w:rsidRPr="00E6060C" w:rsidRDefault="00E6060C" w:rsidP="00E6060C">
            <w:pPr>
              <w:contextualSpacing/>
            </w:pPr>
            <w:r w:rsidRPr="00E6060C">
              <w:t>Y</w:t>
            </w:r>
          </w:p>
        </w:tc>
        <w:tc>
          <w:tcPr>
            <w:tcW w:w="1483" w:type="dxa"/>
          </w:tcPr>
          <w:p w14:paraId="0BAF8FD8" w14:textId="77777777" w:rsidR="00E6060C" w:rsidRPr="00E6060C" w:rsidRDefault="00E6060C" w:rsidP="00E6060C">
            <w:pPr>
              <w:contextualSpacing/>
            </w:pPr>
            <w:r w:rsidRPr="00E6060C">
              <w:t>Int:32.5%</w:t>
            </w:r>
          </w:p>
          <w:p w14:paraId="692E076A" w14:textId="77777777" w:rsidR="00E6060C" w:rsidRPr="00E6060C" w:rsidRDefault="00E6060C" w:rsidP="00E6060C">
            <w:pPr>
              <w:contextualSpacing/>
            </w:pPr>
            <w:r w:rsidRPr="00E6060C">
              <w:t>Con:39.7%</w:t>
            </w:r>
          </w:p>
        </w:tc>
        <w:tc>
          <w:tcPr>
            <w:tcW w:w="1483" w:type="dxa"/>
          </w:tcPr>
          <w:p w14:paraId="25DF6552" w14:textId="77777777" w:rsidR="00E6060C" w:rsidRPr="00E6060C" w:rsidRDefault="00E6060C" w:rsidP="00E6060C">
            <w:pPr>
              <w:contextualSpacing/>
            </w:pPr>
            <w:r w:rsidRPr="00E6060C">
              <w:t>Not reported, but study not yet published</w:t>
            </w:r>
          </w:p>
        </w:tc>
        <w:tc>
          <w:tcPr>
            <w:tcW w:w="1624" w:type="dxa"/>
          </w:tcPr>
          <w:p w14:paraId="063EBF47" w14:textId="77777777" w:rsidR="00E6060C" w:rsidRPr="00E6060C" w:rsidRDefault="00E6060C" w:rsidP="00E6060C">
            <w:pPr>
              <w:contextualSpacing/>
            </w:pPr>
            <w:r w:rsidRPr="00E6060C">
              <w:t>-</w:t>
            </w:r>
          </w:p>
        </w:tc>
        <w:tc>
          <w:tcPr>
            <w:tcW w:w="1700" w:type="dxa"/>
            <w:gridSpan w:val="2"/>
          </w:tcPr>
          <w:p w14:paraId="303CBB05" w14:textId="77777777" w:rsidR="00E6060C" w:rsidRPr="00E6060C" w:rsidRDefault="00E6060C" w:rsidP="00E6060C">
            <w:pPr>
              <w:contextualSpacing/>
            </w:pPr>
            <w:r w:rsidRPr="00E6060C">
              <w:t>Not yet published</w:t>
            </w:r>
          </w:p>
        </w:tc>
      </w:tr>
      <w:tr w:rsidR="00E6060C" w:rsidRPr="00E6060C" w14:paraId="0378E764" w14:textId="77777777" w:rsidTr="00E6060C">
        <w:tc>
          <w:tcPr>
            <w:tcW w:w="567" w:type="dxa"/>
          </w:tcPr>
          <w:p w14:paraId="2C42E0F5" w14:textId="77777777" w:rsidR="00E6060C" w:rsidRPr="00E6060C" w:rsidRDefault="00E6060C" w:rsidP="00E6060C">
            <w:pPr>
              <w:contextualSpacing/>
            </w:pPr>
            <w:r w:rsidRPr="00E6060C">
              <w:t>5</w:t>
            </w:r>
          </w:p>
        </w:tc>
        <w:tc>
          <w:tcPr>
            <w:tcW w:w="1406" w:type="dxa"/>
          </w:tcPr>
          <w:p w14:paraId="1CBCE8FA" w14:textId="77777777" w:rsidR="00E6060C" w:rsidRPr="00E6060C" w:rsidRDefault="00E6060C" w:rsidP="00E6060C">
            <w:pPr>
              <w:contextualSpacing/>
            </w:pPr>
            <w:r w:rsidRPr="00E6060C">
              <w:t>Maclean, 2013</w:t>
            </w:r>
          </w:p>
        </w:tc>
        <w:tc>
          <w:tcPr>
            <w:tcW w:w="1430" w:type="dxa"/>
          </w:tcPr>
          <w:p w14:paraId="16428DB9" w14:textId="77777777" w:rsidR="00E6060C" w:rsidRPr="00E6060C" w:rsidRDefault="00E6060C" w:rsidP="00E6060C">
            <w:pPr>
              <w:contextualSpacing/>
            </w:pPr>
            <w:r w:rsidRPr="00E6060C">
              <w:t>76% (T2)</w:t>
            </w:r>
          </w:p>
        </w:tc>
        <w:tc>
          <w:tcPr>
            <w:tcW w:w="1453" w:type="dxa"/>
          </w:tcPr>
          <w:p w14:paraId="1243AFF3" w14:textId="77777777" w:rsidR="00E6060C" w:rsidRPr="00E6060C" w:rsidRDefault="00E6060C" w:rsidP="00E6060C">
            <w:pPr>
              <w:contextualSpacing/>
            </w:pPr>
            <w:r w:rsidRPr="00E6060C">
              <w:t>Y</w:t>
            </w:r>
          </w:p>
        </w:tc>
        <w:tc>
          <w:tcPr>
            <w:tcW w:w="1305" w:type="dxa"/>
          </w:tcPr>
          <w:p w14:paraId="49C1CA87" w14:textId="77777777" w:rsidR="00E6060C" w:rsidRPr="00E6060C" w:rsidRDefault="00E6060C" w:rsidP="00E6060C">
            <w:pPr>
              <w:contextualSpacing/>
            </w:pPr>
            <w:r w:rsidRPr="00E6060C">
              <w:t>N</w:t>
            </w:r>
          </w:p>
        </w:tc>
        <w:tc>
          <w:tcPr>
            <w:tcW w:w="1097" w:type="dxa"/>
          </w:tcPr>
          <w:p w14:paraId="2A83814C" w14:textId="77777777" w:rsidR="00E6060C" w:rsidRPr="00E6060C" w:rsidRDefault="00E6060C" w:rsidP="00E6060C">
            <w:pPr>
              <w:contextualSpacing/>
            </w:pPr>
            <w:r w:rsidRPr="00E6060C">
              <w:t>N</w:t>
            </w:r>
          </w:p>
        </w:tc>
        <w:tc>
          <w:tcPr>
            <w:tcW w:w="1199" w:type="dxa"/>
          </w:tcPr>
          <w:p w14:paraId="12041BCD" w14:textId="77777777" w:rsidR="00E6060C" w:rsidRPr="00E6060C" w:rsidRDefault="00E6060C" w:rsidP="00E6060C">
            <w:pPr>
              <w:contextualSpacing/>
            </w:pPr>
            <w:r w:rsidRPr="00E6060C">
              <w:t>Y</w:t>
            </w:r>
          </w:p>
        </w:tc>
        <w:tc>
          <w:tcPr>
            <w:tcW w:w="1483" w:type="dxa"/>
          </w:tcPr>
          <w:p w14:paraId="42AB3D1F" w14:textId="77777777" w:rsidR="00E6060C" w:rsidRPr="00E6060C" w:rsidRDefault="00E6060C" w:rsidP="00E6060C">
            <w:pPr>
              <w:contextualSpacing/>
            </w:pPr>
            <w:r w:rsidRPr="00E6060C">
              <w:t>24% (across T2 &amp; T3)</w:t>
            </w:r>
          </w:p>
        </w:tc>
        <w:tc>
          <w:tcPr>
            <w:tcW w:w="1483" w:type="dxa"/>
          </w:tcPr>
          <w:p w14:paraId="3E54AA33" w14:textId="77777777" w:rsidR="00E6060C" w:rsidRPr="00E6060C" w:rsidRDefault="00E6060C" w:rsidP="00E6060C">
            <w:pPr>
              <w:contextualSpacing/>
            </w:pPr>
            <w:r w:rsidRPr="00E6060C">
              <w:t>N</w:t>
            </w:r>
          </w:p>
        </w:tc>
        <w:tc>
          <w:tcPr>
            <w:tcW w:w="1624" w:type="dxa"/>
          </w:tcPr>
          <w:p w14:paraId="51123B7F" w14:textId="77777777" w:rsidR="00E6060C" w:rsidRPr="00E6060C" w:rsidRDefault="00E6060C" w:rsidP="00E6060C">
            <w:pPr>
              <w:contextualSpacing/>
            </w:pPr>
            <w:r w:rsidRPr="00E6060C">
              <w:t>No signif. differences</w:t>
            </w:r>
          </w:p>
        </w:tc>
        <w:tc>
          <w:tcPr>
            <w:tcW w:w="1700" w:type="dxa"/>
            <w:gridSpan w:val="2"/>
          </w:tcPr>
          <w:p w14:paraId="4381503A" w14:textId="77777777" w:rsidR="00E6060C" w:rsidRPr="00E6060C" w:rsidRDefault="00E6060C" w:rsidP="00F15DDF">
            <w:pPr>
              <w:numPr>
                <w:ilvl w:val="0"/>
                <w:numId w:val="49"/>
              </w:numPr>
              <w:ind w:left="123" w:hanging="123"/>
              <w:contextualSpacing/>
            </w:pPr>
            <w:r w:rsidRPr="00E6060C">
              <w:t>Sickness</w:t>
            </w:r>
          </w:p>
          <w:p w14:paraId="52EF99C9" w14:textId="77777777" w:rsidR="00E6060C" w:rsidRPr="00E6060C" w:rsidRDefault="00E6060C" w:rsidP="00F15DDF">
            <w:pPr>
              <w:numPr>
                <w:ilvl w:val="0"/>
                <w:numId w:val="49"/>
              </w:numPr>
              <w:ind w:left="123" w:hanging="123"/>
              <w:contextualSpacing/>
            </w:pPr>
            <w:r w:rsidRPr="00E6060C">
              <w:t>Bad weather</w:t>
            </w:r>
          </w:p>
          <w:p w14:paraId="4CEB9041" w14:textId="77777777" w:rsidR="00E6060C" w:rsidRPr="00E6060C" w:rsidRDefault="00E6060C" w:rsidP="00F15DDF">
            <w:pPr>
              <w:numPr>
                <w:ilvl w:val="0"/>
                <w:numId w:val="49"/>
              </w:numPr>
              <w:ind w:left="123" w:hanging="123"/>
              <w:contextualSpacing/>
            </w:pPr>
            <w:r w:rsidRPr="00E6060C">
              <w:t>Bereavement</w:t>
            </w:r>
          </w:p>
          <w:p w14:paraId="0409FE76" w14:textId="77777777" w:rsidR="00E6060C" w:rsidRPr="00E6060C" w:rsidRDefault="00E6060C" w:rsidP="00F15DDF">
            <w:pPr>
              <w:numPr>
                <w:ilvl w:val="0"/>
                <w:numId w:val="49"/>
              </w:numPr>
              <w:ind w:left="123" w:hanging="123"/>
              <w:contextualSpacing/>
            </w:pPr>
            <w:r w:rsidRPr="00E6060C">
              <w:t>Heavy workload</w:t>
            </w:r>
          </w:p>
          <w:p w14:paraId="0E73971D" w14:textId="77777777" w:rsidR="00E6060C" w:rsidRPr="00E6060C" w:rsidRDefault="00E6060C" w:rsidP="00F15DDF">
            <w:pPr>
              <w:numPr>
                <w:ilvl w:val="0"/>
                <w:numId w:val="49"/>
              </w:numPr>
              <w:ind w:left="123" w:hanging="123"/>
              <w:contextualSpacing/>
            </w:pPr>
            <w:r w:rsidRPr="00E6060C">
              <w:t>Competing work demands</w:t>
            </w:r>
          </w:p>
        </w:tc>
      </w:tr>
      <w:tr w:rsidR="00E6060C" w:rsidRPr="00E6060C" w14:paraId="3DBA7A84" w14:textId="77777777" w:rsidTr="00E6060C">
        <w:tc>
          <w:tcPr>
            <w:tcW w:w="567" w:type="dxa"/>
          </w:tcPr>
          <w:p w14:paraId="50518F1D" w14:textId="77777777" w:rsidR="00E6060C" w:rsidRPr="00E6060C" w:rsidRDefault="00E6060C" w:rsidP="00E6060C">
            <w:pPr>
              <w:contextualSpacing/>
            </w:pPr>
            <w:r w:rsidRPr="00E6060C">
              <w:lastRenderedPageBreak/>
              <w:t>6</w:t>
            </w:r>
          </w:p>
        </w:tc>
        <w:tc>
          <w:tcPr>
            <w:tcW w:w="1406" w:type="dxa"/>
          </w:tcPr>
          <w:p w14:paraId="63EC36AE" w14:textId="518549B0"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Ouweneel, et al., 2013</w:t>
            </w:r>
          </w:p>
          <w:p w14:paraId="77FAA7AB" w14:textId="77777777" w:rsidR="00E6060C" w:rsidRPr="00E6060C" w:rsidRDefault="00E6060C" w:rsidP="00E6060C">
            <w:pPr>
              <w:contextualSpacing/>
            </w:pPr>
          </w:p>
        </w:tc>
        <w:tc>
          <w:tcPr>
            <w:tcW w:w="1430" w:type="dxa"/>
          </w:tcPr>
          <w:p w14:paraId="65FF51FD" w14:textId="77777777" w:rsidR="00E6060C" w:rsidRPr="00E6060C" w:rsidRDefault="00E6060C" w:rsidP="00E6060C">
            <w:pPr>
              <w:contextualSpacing/>
            </w:pPr>
            <w:r w:rsidRPr="00E6060C">
              <w:t>18% (T2)</w:t>
            </w:r>
          </w:p>
        </w:tc>
        <w:tc>
          <w:tcPr>
            <w:tcW w:w="1453" w:type="dxa"/>
          </w:tcPr>
          <w:p w14:paraId="0EF95551" w14:textId="77777777" w:rsidR="00E6060C" w:rsidRPr="00E6060C" w:rsidRDefault="00E6060C" w:rsidP="00E6060C">
            <w:pPr>
              <w:contextualSpacing/>
            </w:pPr>
            <w:r w:rsidRPr="00E6060C">
              <w:t>Y</w:t>
            </w:r>
          </w:p>
        </w:tc>
        <w:tc>
          <w:tcPr>
            <w:tcW w:w="1305" w:type="dxa"/>
          </w:tcPr>
          <w:p w14:paraId="0E4AC850" w14:textId="77777777" w:rsidR="00E6060C" w:rsidRPr="00E6060C" w:rsidRDefault="00E6060C" w:rsidP="00E6060C">
            <w:pPr>
              <w:contextualSpacing/>
            </w:pPr>
            <w:r w:rsidRPr="00E6060C">
              <w:t>Y</w:t>
            </w:r>
          </w:p>
        </w:tc>
        <w:tc>
          <w:tcPr>
            <w:tcW w:w="1097" w:type="dxa"/>
          </w:tcPr>
          <w:p w14:paraId="65F36E44" w14:textId="77777777" w:rsidR="00E6060C" w:rsidRPr="00E6060C" w:rsidRDefault="00E6060C" w:rsidP="00E6060C">
            <w:pPr>
              <w:contextualSpacing/>
            </w:pPr>
            <w:r w:rsidRPr="00E6060C">
              <w:t>N</w:t>
            </w:r>
          </w:p>
        </w:tc>
        <w:tc>
          <w:tcPr>
            <w:tcW w:w="1199" w:type="dxa"/>
          </w:tcPr>
          <w:p w14:paraId="46DA124D" w14:textId="77777777" w:rsidR="00E6060C" w:rsidRPr="00E6060C" w:rsidRDefault="00E6060C" w:rsidP="00E6060C">
            <w:pPr>
              <w:contextualSpacing/>
            </w:pPr>
            <w:r w:rsidRPr="00E6060C">
              <w:t>Y</w:t>
            </w:r>
          </w:p>
        </w:tc>
        <w:tc>
          <w:tcPr>
            <w:tcW w:w="1483" w:type="dxa"/>
          </w:tcPr>
          <w:p w14:paraId="36FCE785" w14:textId="77777777" w:rsidR="00E6060C" w:rsidRPr="00E6060C" w:rsidRDefault="00E6060C" w:rsidP="00E6060C">
            <w:pPr>
              <w:contextualSpacing/>
            </w:pPr>
            <w:r w:rsidRPr="00E6060C">
              <w:t>82-83%</w:t>
            </w:r>
          </w:p>
        </w:tc>
        <w:tc>
          <w:tcPr>
            <w:tcW w:w="1483" w:type="dxa"/>
          </w:tcPr>
          <w:p w14:paraId="1F4AA11A" w14:textId="77777777" w:rsidR="00E6060C" w:rsidRPr="00E6060C" w:rsidRDefault="00E6060C" w:rsidP="00E6060C">
            <w:pPr>
              <w:contextualSpacing/>
            </w:pPr>
            <w:r w:rsidRPr="00E6060C">
              <w:t>Y</w:t>
            </w:r>
          </w:p>
        </w:tc>
        <w:tc>
          <w:tcPr>
            <w:tcW w:w="1624" w:type="dxa"/>
          </w:tcPr>
          <w:p w14:paraId="0D131660" w14:textId="325B6395" w:rsidR="00E6060C" w:rsidRPr="00E6060C" w:rsidRDefault="00E6060C" w:rsidP="00F15DDF">
            <w:pPr>
              <w:numPr>
                <w:ilvl w:val="0"/>
                <w:numId w:val="51"/>
              </w:numPr>
              <w:ind w:left="170" w:hanging="170"/>
              <w:contextualSpacing/>
            </w:pPr>
            <w:r w:rsidRPr="00E6060C">
              <w:t>Dropouts scored significantly lower on self-efficacy, were lower in positive emotions, and WE and differed significantly on age (younger), gender (female) and edu</w:t>
            </w:r>
            <w:r w:rsidR="000E3904">
              <w:t>cation</w:t>
            </w:r>
            <w:r w:rsidRPr="00E6060C">
              <w:t xml:space="preserve"> level (lower)</w:t>
            </w:r>
          </w:p>
        </w:tc>
        <w:tc>
          <w:tcPr>
            <w:tcW w:w="1700" w:type="dxa"/>
            <w:gridSpan w:val="2"/>
          </w:tcPr>
          <w:p w14:paraId="304E0FA2" w14:textId="77777777" w:rsidR="00E6060C" w:rsidRPr="00E6060C" w:rsidRDefault="00E6060C" w:rsidP="00E6060C">
            <w:pPr>
              <w:contextualSpacing/>
            </w:pPr>
            <w:r w:rsidRPr="00E6060C">
              <w:t>-</w:t>
            </w:r>
          </w:p>
        </w:tc>
      </w:tr>
      <w:tr w:rsidR="00E6060C" w:rsidRPr="00E6060C" w14:paraId="59F853AA" w14:textId="77777777" w:rsidTr="00E6060C">
        <w:tc>
          <w:tcPr>
            <w:tcW w:w="567" w:type="dxa"/>
          </w:tcPr>
          <w:p w14:paraId="35FAEA6D" w14:textId="77777777" w:rsidR="00E6060C" w:rsidRPr="00E6060C" w:rsidRDefault="00E6060C" w:rsidP="00E6060C">
            <w:pPr>
              <w:contextualSpacing/>
            </w:pPr>
            <w:r w:rsidRPr="00E6060C">
              <w:t>7</w:t>
            </w:r>
          </w:p>
        </w:tc>
        <w:tc>
          <w:tcPr>
            <w:tcW w:w="1406" w:type="dxa"/>
          </w:tcPr>
          <w:p w14:paraId="76003495" w14:textId="44F0F96F" w:rsidR="00E6060C" w:rsidRPr="00E6060C" w:rsidRDefault="004D6C5A" w:rsidP="00E6060C">
            <w:pPr>
              <w:contextualSpacing/>
              <w:rPr>
                <w:rFonts w:ascii="Calibri" w:hAnsi="Calibri"/>
              </w:rPr>
            </w:pPr>
            <w:r>
              <w:rPr>
                <w:rFonts w:ascii="Calibri" w:hAnsi="Calibri"/>
              </w:rPr>
              <w:t>*</w:t>
            </w:r>
            <w:r w:rsidR="00E6060C" w:rsidRPr="00E6060C">
              <w:rPr>
                <w:rFonts w:ascii="Calibri" w:hAnsi="Calibri"/>
              </w:rPr>
              <w:t xml:space="preserve">Sodani et al.,2011 </w:t>
            </w:r>
          </w:p>
        </w:tc>
        <w:tc>
          <w:tcPr>
            <w:tcW w:w="1430" w:type="dxa"/>
          </w:tcPr>
          <w:p w14:paraId="00EE21EF" w14:textId="77777777" w:rsidR="00E6060C" w:rsidRPr="00E6060C" w:rsidRDefault="00E6060C" w:rsidP="00E6060C">
            <w:pPr>
              <w:contextualSpacing/>
            </w:pPr>
            <w:r w:rsidRPr="00E6060C">
              <w:t>-</w:t>
            </w:r>
          </w:p>
        </w:tc>
        <w:tc>
          <w:tcPr>
            <w:tcW w:w="1453" w:type="dxa"/>
          </w:tcPr>
          <w:p w14:paraId="4A986D38" w14:textId="77777777" w:rsidR="00E6060C" w:rsidRPr="00E6060C" w:rsidRDefault="00E6060C" w:rsidP="00E6060C">
            <w:pPr>
              <w:contextualSpacing/>
            </w:pPr>
            <w:r w:rsidRPr="00E6060C">
              <w:t>N</w:t>
            </w:r>
          </w:p>
        </w:tc>
        <w:tc>
          <w:tcPr>
            <w:tcW w:w="1305" w:type="dxa"/>
          </w:tcPr>
          <w:p w14:paraId="54A2DB4E" w14:textId="77777777" w:rsidR="00E6060C" w:rsidRPr="00E6060C" w:rsidRDefault="00E6060C" w:rsidP="00E6060C">
            <w:pPr>
              <w:contextualSpacing/>
            </w:pPr>
            <w:r w:rsidRPr="00E6060C">
              <w:t>Y</w:t>
            </w:r>
          </w:p>
        </w:tc>
        <w:tc>
          <w:tcPr>
            <w:tcW w:w="1097" w:type="dxa"/>
          </w:tcPr>
          <w:p w14:paraId="06C41C1A" w14:textId="77777777" w:rsidR="00E6060C" w:rsidRPr="00E6060C" w:rsidRDefault="00E6060C" w:rsidP="00E6060C">
            <w:pPr>
              <w:contextualSpacing/>
            </w:pPr>
            <w:r w:rsidRPr="00E6060C">
              <w:t>N</w:t>
            </w:r>
          </w:p>
        </w:tc>
        <w:tc>
          <w:tcPr>
            <w:tcW w:w="1199" w:type="dxa"/>
          </w:tcPr>
          <w:p w14:paraId="2C76BFFA" w14:textId="77777777" w:rsidR="00E6060C" w:rsidRPr="00E6060C" w:rsidRDefault="00E6060C" w:rsidP="00E6060C">
            <w:pPr>
              <w:contextualSpacing/>
            </w:pPr>
            <w:r w:rsidRPr="00E6060C">
              <w:t>Y</w:t>
            </w:r>
          </w:p>
        </w:tc>
        <w:tc>
          <w:tcPr>
            <w:tcW w:w="1483" w:type="dxa"/>
          </w:tcPr>
          <w:p w14:paraId="62AFABF1" w14:textId="77777777" w:rsidR="00E6060C" w:rsidRPr="00E6060C" w:rsidRDefault="00E6060C" w:rsidP="00E6060C">
            <w:pPr>
              <w:contextualSpacing/>
            </w:pPr>
            <w:r w:rsidRPr="00E6060C">
              <w:rPr>
                <w:vertAlign w:val="superscript"/>
              </w:rPr>
              <w:t>-</w:t>
            </w:r>
          </w:p>
        </w:tc>
        <w:tc>
          <w:tcPr>
            <w:tcW w:w="1483" w:type="dxa"/>
          </w:tcPr>
          <w:p w14:paraId="08641964" w14:textId="77777777" w:rsidR="00E6060C" w:rsidRPr="00E6060C" w:rsidRDefault="00E6060C" w:rsidP="00E6060C">
            <w:pPr>
              <w:contextualSpacing/>
            </w:pPr>
            <w:r w:rsidRPr="00E6060C">
              <w:t>N</w:t>
            </w:r>
          </w:p>
        </w:tc>
        <w:tc>
          <w:tcPr>
            <w:tcW w:w="1624" w:type="dxa"/>
          </w:tcPr>
          <w:p w14:paraId="032EC6D5" w14:textId="77777777" w:rsidR="00E6060C" w:rsidRPr="00E6060C" w:rsidRDefault="00E6060C" w:rsidP="00E6060C">
            <w:pPr>
              <w:contextualSpacing/>
            </w:pPr>
            <w:r w:rsidRPr="00E6060C">
              <w:t>-</w:t>
            </w:r>
          </w:p>
        </w:tc>
        <w:tc>
          <w:tcPr>
            <w:tcW w:w="1700" w:type="dxa"/>
            <w:gridSpan w:val="2"/>
          </w:tcPr>
          <w:p w14:paraId="348E8104" w14:textId="77777777" w:rsidR="00E6060C" w:rsidRPr="00E6060C" w:rsidRDefault="00E6060C" w:rsidP="00E6060C">
            <w:pPr>
              <w:contextualSpacing/>
            </w:pPr>
            <w:r w:rsidRPr="00E6060C">
              <w:t>-</w:t>
            </w:r>
          </w:p>
        </w:tc>
      </w:tr>
      <w:tr w:rsidR="00E6060C" w:rsidRPr="00E6060C" w14:paraId="3EEFC27C" w14:textId="77777777" w:rsidTr="00E6060C">
        <w:tc>
          <w:tcPr>
            <w:tcW w:w="567" w:type="dxa"/>
          </w:tcPr>
          <w:p w14:paraId="26AE901A" w14:textId="77777777" w:rsidR="00E6060C" w:rsidRPr="00E6060C" w:rsidRDefault="00E6060C" w:rsidP="00E6060C">
            <w:pPr>
              <w:contextualSpacing/>
            </w:pPr>
            <w:r w:rsidRPr="00E6060C">
              <w:t>8</w:t>
            </w:r>
          </w:p>
        </w:tc>
        <w:tc>
          <w:tcPr>
            <w:tcW w:w="1406" w:type="dxa"/>
          </w:tcPr>
          <w:p w14:paraId="11DB0C24" w14:textId="27D3D046" w:rsidR="00E6060C" w:rsidRPr="00E6060C" w:rsidRDefault="004D6C5A" w:rsidP="00E6060C">
            <w:pPr>
              <w:contextualSpacing/>
            </w:pPr>
            <w:r>
              <w:t>*</w:t>
            </w:r>
            <w:r w:rsidR="00E6060C" w:rsidRPr="00E6060C">
              <w:t>Vuori et al., 2012</w:t>
            </w:r>
          </w:p>
          <w:p w14:paraId="1B6D7AA0" w14:textId="77777777" w:rsidR="00E6060C" w:rsidRPr="00E6060C" w:rsidRDefault="00E6060C" w:rsidP="00E6060C">
            <w:pPr>
              <w:contextualSpacing/>
            </w:pPr>
          </w:p>
        </w:tc>
        <w:tc>
          <w:tcPr>
            <w:tcW w:w="1430" w:type="dxa"/>
          </w:tcPr>
          <w:p w14:paraId="520612C8" w14:textId="77777777" w:rsidR="00E6060C" w:rsidRPr="00E6060C" w:rsidRDefault="00E6060C" w:rsidP="00E6060C">
            <w:pPr>
              <w:contextualSpacing/>
            </w:pPr>
            <w:r w:rsidRPr="00E6060C">
              <w:t>79.4% (T2);</w:t>
            </w:r>
          </w:p>
          <w:p w14:paraId="4E0B6782" w14:textId="77777777" w:rsidR="00E6060C" w:rsidRPr="00E6060C" w:rsidRDefault="00E6060C" w:rsidP="00E6060C">
            <w:pPr>
              <w:contextualSpacing/>
            </w:pPr>
            <w:r w:rsidRPr="00E6060C">
              <w:t>85.4% (T3)</w:t>
            </w:r>
          </w:p>
        </w:tc>
        <w:tc>
          <w:tcPr>
            <w:tcW w:w="1453" w:type="dxa"/>
          </w:tcPr>
          <w:p w14:paraId="268ED2CD" w14:textId="77777777" w:rsidR="00E6060C" w:rsidRPr="00E6060C" w:rsidRDefault="00E6060C" w:rsidP="00E6060C">
            <w:pPr>
              <w:contextualSpacing/>
            </w:pPr>
            <w:r w:rsidRPr="00E6060C">
              <w:t>Y</w:t>
            </w:r>
          </w:p>
        </w:tc>
        <w:tc>
          <w:tcPr>
            <w:tcW w:w="1305" w:type="dxa"/>
          </w:tcPr>
          <w:p w14:paraId="5039BD84" w14:textId="77777777" w:rsidR="00E6060C" w:rsidRPr="00E6060C" w:rsidRDefault="00E6060C" w:rsidP="00E6060C">
            <w:pPr>
              <w:contextualSpacing/>
            </w:pPr>
            <w:r w:rsidRPr="00E6060C">
              <w:t>Y</w:t>
            </w:r>
          </w:p>
        </w:tc>
        <w:tc>
          <w:tcPr>
            <w:tcW w:w="1097" w:type="dxa"/>
          </w:tcPr>
          <w:p w14:paraId="52284FE3" w14:textId="77777777" w:rsidR="00E6060C" w:rsidRPr="00E6060C" w:rsidRDefault="00E6060C" w:rsidP="00E6060C">
            <w:pPr>
              <w:contextualSpacing/>
            </w:pPr>
            <w:r w:rsidRPr="00E6060C">
              <w:t>N</w:t>
            </w:r>
          </w:p>
        </w:tc>
        <w:tc>
          <w:tcPr>
            <w:tcW w:w="1199" w:type="dxa"/>
          </w:tcPr>
          <w:p w14:paraId="6F8D969F" w14:textId="77777777" w:rsidR="00E6060C" w:rsidRPr="00E6060C" w:rsidRDefault="00E6060C" w:rsidP="00E6060C">
            <w:pPr>
              <w:contextualSpacing/>
            </w:pPr>
            <w:r w:rsidRPr="00E6060C">
              <w:t>Y</w:t>
            </w:r>
          </w:p>
        </w:tc>
        <w:tc>
          <w:tcPr>
            <w:tcW w:w="1483" w:type="dxa"/>
          </w:tcPr>
          <w:p w14:paraId="25D845D4" w14:textId="77777777" w:rsidR="00E6060C" w:rsidRPr="00E6060C" w:rsidRDefault="00E6060C" w:rsidP="00E6060C">
            <w:pPr>
              <w:contextualSpacing/>
            </w:pPr>
            <w:r w:rsidRPr="00E6060C">
              <w:t>82-88%</w:t>
            </w:r>
          </w:p>
        </w:tc>
        <w:tc>
          <w:tcPr>
            <w:tcW w:w="1483" w:type="dxa"/>
          </w:tcPr>
          <w:p w14:paraId="74FB976D" w14:textId="77777777" w:rsidR="00E6060C" w:rsidRPr="00E6060C" w:rsidRDefault="00E6060C" w:rsidP="00E6060C">
            <w:pPr>
              <w:contextualSpacing/>
            </w:pPr>
            <w:r w:rsidRPr="00E6060C">
              <w:t>Y</w:t>
            </w:r>
          </w:p>
        </w:tc>
        <w:tc>
          <w:tcPr>
            <w:tcW w:w="1624" w:type="dxa"/>
          </w:tcPr>
          <w:p w14:paraId="72ED2063" w14:textId="77777777" w:rsidR="00E6060C" w:rsidRPr="00E6060C" w:rsidRDefault="00E6060C" w:rsidP="00F15DDF">
            <w:pPr>
              <w:numPr>
                <w:ilvl w:val="0"/>
                <w:numId w:val="52"/>
              </w:numPr>
              <w:tabs>
                <w:tab w:val="left" w:pos="170"/>
              </w:tabs>
              <w:ind w:left="98" w:hanging="98"/>
              <w:contextualSpacing/>
            </w:pPr>
            <w:r w:rsidRPr="00E6060C">
              <w:t xml:space="preserve">At T3, dropouts </w:t>
            </w:r>
            <w:r w:rsidRPr="00E6060C">
              <w:lastRenderedPageBreak/>
              <w:t>were higher in exhaustion</w:t>
            </w:r>
          </w:p>
          <w:p w14:paraId="0E007678" w14:textId="77777777" w:rsidR="00E6060C" w:rsidRPr="00E6060C" w:rsidRDefault="00E6060C" w:rsidP="00F15DDF">
            <w:pPr>
              <w:numPr>
                <w:ilvl w:val="0"/>
                <w:numId w:val="52"/>
              </w:numPr>
              <w:tabs>
                <w:tab w:val="left" w:pos="170"/>
              </w:tabs>
              <w:ind w:left="98" w:hanging="98"/>
              <w:contextualSpacing/>
            </w:pPr>
            <w:r w:rsidRPr="00E6060C">
              <w:t xml:space="preserve">Career management self-efficacy was lower in the 6% no-shows than the rest of the int. group, and they were more often employed by government. </w:t>
            </w:r>
          </w:p>
          <w:p w14:paraId="42CDA0DA" w14:textId="77777777" w:rsidR="00E6060C" w:rsidRPr="00E6060C" w:rsidRDefault="00E6060C" w:rsidP="00F15DDF">
            <w:pPr>
              <w:numPr>
                <w:ilvl w:val="0"/>
                <w:numId w:val="52"/>
              </w:numPr>
              <w:tabs>
                <w:tab w:val="left" w:pos="170"/>
              </w:tabs>
              <w:ind w:left="98" w:hanging="98"/>
              <w:contextualSpacing/>
            </w:pPr>
            <w:r w:rsidRPr="00E6060C">
              <w:t>No differences in outcome measures</w:t>
            </w:r>
          </w:p>
          <w:p w14:paraId="65A09B11" w14:textId="77777777" w:rsidR="00E6060C" w:rsidRPr="00E6060C" w:rsidRDefault="00E6060C" w:rsidP="00E6060C">
            <w:pPr>
              <w:tabs>
                <w:tab w:val="left" w:pos="170"/>
              </w:tabs>
              <w:ind w:left="98"/>
              <w:contextualSpacing/>
            </w:pPr>
          </w:p>
        </w:tc>
        <w:tc>
          <w:tcPr>
            <w:tcW w:w="1700" w:type="dxa"/>
            <w:gridSpan w:val="2"/>
          </w:tcPr>
          <w:p w14:paraId="5D69CD24" w14:textId="77777777" w:rsidR="00E6060C" w:rsidRPr="00E6060C" w:rsidRDefault="00E6060C" w:rsidP="00E6060C">
            <w:pPr>
              <w:contextualSpacing/>
            </w:pPr>
            <w:r w:rsidRPr="00E6060C">
              <w:lastRenderedPageBreak/>
              <w:t>-</w:t>
            </w:r>
          </w:p>
        </w:tc>
      </w:tr>
    </w:tbl>
    <w:p w14:paraId="6436683B" w14:textId="77777777" w:rsidR="002A5A6B" w:rsidRDefault="002A5A6B">
      <w:r>
        <w:br w:type="page"/>
      </w:r>
    </w:p>
    <w:tbl>
      <w:tblPr>
        <w:tblStyle w:val="TableGrid8"/>
        <w:tblW w:w="14747"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06"/>
        <w:gridCol w:w="1430"/>
        <w:gridCol w:w="1453"/>
        <w:gridCol w:w="1305"/>
        <w:gridCol w:w="1097"/>
        <w:gridCol w:w="1199"/>
        <w:gridCol w:w="1483"/>
        <w:gridCol w:w="1483"/>
        <w:gridCol w:w="1624"/>
        <w:gridCol w:w="1694"/>
        <w:gridCol w:w="6"/>
      </w:tblGrid>
      <w:tr w:rsidR="00E6060C" w:rsidRPr="00E6060C" w14:paraId="444497C8" w14:textId="77777777" w:rsidTr="00E6060C">
        <w:trPr>
          <w:gridAfter w:val="1"/>
          <w:wAfter w:w="6" w:type="dxa"/>
        </w:trPr>
        <w:tc>
          <w:tcPr>
            <w:tcW w:w="14741" w:type="dxa"/>
            <w:gridSpan w:val="11"/>
            <w:shd w:val="clear" w:color="auto" w:fill="D9D9D9" w:themeFill="background1" w:themeFillShade="D9"/>
          </w:tcPr>
          <w:p w14:paraId="0F04D1D0" w14:textId="3E2D2021" w:rsidR="00E6060C" w:rsidRPr="00E6060C" w:rsidRDefault="00E6060C" w:rsidP="00E6060C">
            <w:pPr>
              <w:contextualSpacing/>
              <w:rPr>
                <w:b/>
              </w:rPr>
            </w:pPr>
            <w:r w:rsidRPr="00E6060C">
              <w:rPr>
                <w:b/>
              </w:rPr>
              <w:lastRenderedPageBreak/>
              <w:t>ONGOING RESOURCE BUILDING INTERVENTIONS</w:t>
            </w:r>
          </w:p>
          <w:p w14:paraId="46F1C5F8" w14:textId="77777777" w:rsidR="00E6060C" w:rsidRPr="00E6060C" w:rsidRDefault="00E6060C" w:rsidP="00E6060C">
            <w:pPr>
              <w:contextualSpacing/>
              <w:rPr>
                <w:b/>
              </w:rPr>
            </w:pPr>
          </w:p>
        </w:tc>
      </w:tr>
      <w:tr w:rsidR="00E6060C" w:rsidRPr="00E6060C" w14:paraId="66E6AAC3" w14:textId="77777777" w:rsidTr="00E6060C">
        <w:tc>
          <w:tcPr>
            <w:tcW w:w="567" w:type="dxa"/>
            <w:shd w:val="clear" w:color="auto" w:fill="D9D9D9" w:themeFill="background1" w:themeFillShade="D9"/>
          </w:tcPr>
          <w:p w14:paraId="167FA196" w14:textId="77777777" w:rsidR="00E6060C" w:rsidRPr="00E6060C" w:rsidRDefault="00E6060C" w:rsidP="00E6060C">
            <w:pPr>
              <w:contextualSpacing/>
            </w:pPr>
            <w:r w:rsidRPr="00E6060C">
              <w:t>9</w:t>
            </w:r>
          </w:p>
        </w:tc>
        <w:tc>
          <w:tcPr>
            <w:tcW w:w="1406" w:type="dxa"/>
            <w:shd w:val="clear" w:color="auto" w:fill="D9D9D9" w:themeFill="background1" w:themeFillShade="D9"/>
          </w:tcPr>
          <w:p w14:paraId="3966A75F" w14:textId="77777777" w:rsidR="00E6060C" w:rsidRPr="00E6060C" w:rsidRDefault="00E6060C" w:rsidP="00E6060C">
            <w:pPr>
              <w:contextualSpacing/>
            </w:pPr>
            <w:r w:rsidRPr="00E6060C">
              <w:t>Schelvis et al., 2013</w:t>
            </w:r>
          </w:p>
        </w:tc>
        <w:tc>
          <w:tcPr>
            <w:tcW w:w="1430" w:type="dxa"/>
            <w:shd w:val="clear" w:color="auto" w:fill="D9D9D9" w:themeFill="background1" w:themeFillShade="D9"/>
          </w:tcPr>
          <w:p w14:paraId="322FC3F9" w14:textId="77777777" w:rsidR="00E6060C" w:rsidRPr="00E6060C" w:rsidRDefault="00E6060C" w:rsidP="00E6060C">
            <w:pPr>
              <w:contextualSpacing/>
            </w:pPr>
            <w:r w:rsidRPr="00E6060C">
              <w:t>Participants not yet recruited</w:t>
            </w:r>
          </w:p>
        </w:tc>
        <w:tc>
          <w:tcPr>
            <w:tcW w:w="1453" w:type="dxa"/>
            <w:shd w:val="clear" w:color="auto" w:fill="D9D9D9" w:themeFill="background1" w:themeFillShade="D9"/>
          </w:tcPr>
          <w:p w14:paraId="6D7E06D7" w14:textId="77777777" w:rsidR="00E6060C" w:rsidRPr="00E6060C" w:rsidRDefault="00E6060C" w:rsidP="00E6060C">
            <w:pPr>
              <w:contextualSpacing/>
            </w:pPr>
            <w:r w:rsidRPr="00E6060C">
              <w:t>Y</w:t>
            </w:r>
          </w:p>
        </w:tc>
        <w:tc>
          <w:tcPr>
            <w:tcW w:w="1305" w:type="dxa"/>
            <w:shd w:val="clear" w:color="auto" w:fill="D9D9D9" w:themeFill="background1" w:themeFillShade="D9"/>
          </w:tcPr>
          <w:p w14:paraId="16D948B7" w14:textId="77777777" w:rsidR="00E6060C" w:rsidRPr="00E6060C" w:rsidRDefault="00E6060C" w:rsidP="00E6060C">
            <w:pPr>
              <w:contextualSpacing/>
            </w:pPr>
            <w:r w:rsidRPr="00E6060C">
              <w:t>Ongoing study</w:t>
            </w:r>
          </w:p>
        </w:tc>
        <w:tc>
          <w:tcPr>
            <w:tcW w:w="1097" w:type="dxa"/>
            <w:shd w:val="clear" w:color="auto" w:fill="D9D9D9" w:themeFill="background1" w:themeFillShade="D9"/>
          </w:tcPr>
          <w:p w14:paraId="28C74975" w14:textId="77777777" w:rsidR="00E6060C" w:rsidRPr="00E6060C" w:rsidRDefault="00E6060C" w:rsidP="00E6060C">
            <w:pPr>
              <w:contextualSpacing/>
            </w:pPr>
            <w:r w:rsidRPr="00E6060C">
              <w:t>N</w:t>
            </w:r>
          </w:p>
        </w:tc>
        <w:tc>
          <w:tcPr>
            <w:tcW w:w="1199" w:type="dxa"/>
            <w:shd w:val="clear" w:color="auto" w:fill="D9D9D9" w:themeFill="background1" w:themeFillShade="D9"/>
          </w:tcPr>
          <w:p w14:paraId="0059D118" w14:textId="77777777" w:rsidR="00E6060C" w:rsidRPr="00E6060C" w:rsidRDefault="00E6060C" w:rsidP="00E6060C">
            <w:pPr>
              <w:contextualSpacing/>
            </w:pPr>
            <w:r w:rsidRPr="00E6060C">
              <w:t>Y</w:t>
            </w:r>
          </w:p>
        </w:tc>
        <w:tc>
          <w:tcPr>
            <w:tcW w:w="1483" w:type="dxa"/>
            <w:shd w:val="clear" w:color="auto" w:fill="D9D9D9" w:themeFill="background1" w:themeFillShade="D9"/>
          </w:tcPr>
          <w:p w14:paraId="10B7330E" w14:textId="77777777" w:rsidR="00E6060C" w:rsidRPr="00E6060C" w:rsidRDefault="00E6060C" w:rsidP="00E6060C">
            <w:pPr>
              <w:contextualSpacing/>
            </w:pPr>
            <w:r w:rsidRPr="00E6060C">
              <w:t>-</w:t>
            </w:r>
          </w:p>
        </w:tc>
        <w:tc>
          <w:tcPr>
            <w:tcW w:w="1483" w:type="dxa"/>
            <w:shd w:val="clear" w:color="auto" w:fill="D9D9D9" w:themeFill="background1" w:themeFillShade="D9"/>
          </w:tcPr>
          <w:p w14:paraId="5F2E4F71" w14:textId="77777777" w:rsidR="00E6060C" w:rsidRPr="00E6060C" w:rsidRDefault="00E6060C" w:rsidP="00E6060C">
            <w:pPr>
              <w:contextualSpacing/>
            </w:pPr>
            <w:r w:rsidRPr="00E6060C">
              <w:t>-</w:t>
            </w:r>
          </w:p>
        </w:tc>
        <w:tc>
          <w:tcPr>
            <w:tcW w:w="1624" w:type="dxa"/>
            <w:shd w:val="clear" w:color="auto" w:fill="D9D9D9" w:themeFill="background1" w:themeFillShade="D9"/>
          </w:tcPr>
          <w:p w14:paraId="0EAA8278" w14:textId="77777777" w:rsidR="00E6060C" w:rsidRPr="00E6060C" w:rsidRDefault="00E6060C" w:rsidP="00E6060C">
            <w:pPr>
              <w:contextualSpacing/>
            </w:pPr>
            <w:r w:rsidRPr="00E6060C">
              <w:t>-</w:t>
            </w:r>
          </w:p>
        </w:tc>
        <w:tc>
          <w:tcPr>
            <w:tcW w:w="1700" w:type="dxa"/>
            <w:gridSpan w:val="2"/>
            <w:shd w:val="clear" w:color="auto" w:fill="D9D9D9" w:themeFill="background1" w:themeFillShade="D9"/>
          </w:tcPr>
          <w:p w14:paraId="3E5BE82C" w14:textId="77777777" w:rsidR="00E6060C" w:rsidRPr="00E6060C" w:rsidRDefault="00E6060C" w:rsidP="00E6060C">
            <w:pPr>
              <w:contextualSpacing/>
            </w:pPr>
            <w:r w:rsidRPr="00E6060C">
              <w:t>Planned</w:t>
            </w:r>
          </w:p>
        </w:tc>
      </w:tr>
      <w:tr w:rsidR="00E6060C" w:rsidRPr="00E6060C" w14:paraId="360F35A1" w14:textId="77777777" w:rsidTr="00E6060C">
        <w:tc>
          <w:tcPr>
            <w:tcW w:w="567" w:type="dxa"/>
            <w:shd w:val="clear" w:color="auto" w:fill="D9D9D9" w:themeFill="background1" w:themeFillShade="D9"/>
          </w:tcPr>
          <w:p w14:paraId="3A31DF52" w14:textId="77777777" w:rsidR="00E6060C" w:rsidRPr="00E6060C" w:rsidRDefault="00E6060C" w:rsidP="00E6060C">
            <w:pPr>
              <w:contextualSpacing/>
            </w:pPr>
            <w:r w:rsidRPr="00E6060C">
              <w:t>10</w:t>
            </w:r>
          </w:p>
        </w:tc>
        <w:tc>
          <w:tcPr>
            <w:tcW w:w="1406" w:type="dxa"/>
            <w:shd w:val="clear" w:color="auto" w:fill="D9D9D9" w:themeFill="background1" w:themeFillShade="D9"/>
          </w:tcPr>
          <w:p w14:paraId="26511685" w14:textId="77777777" w:rsidR="00E6060C" w:rsidRPr="00E6060C" w:rsidRDefault="00E6060C" w:rsidP="00E6060C">
            <w:pPr>
              <w:contextualSpacing/>
            </w:pPr>
            <w:r w:rsidRPr="00E6060C">
              <w:t>Shaw et al., 2014</w:t>
            </w:r>
          </w:p>
        </w:tc>
        <w:tc>
          <w:tcPr>
            <w:tcW w:w="1430" w:type="dxa"/>
            <w:shd w:val="clear" w:color="auto" w:fill="D9D9D9" w:themeFill="background1" w:themeFillShade="D9"/>
          </w:tcPr>
          <w:p w14:paraId="0FD9BBF8" w14:textId="77777777" w:rsidR="00E6060C" w:rsidRPr="00E6060C" w:rsidRDefault="00E6060C" w:rsidP="00E6060C">
            <w:pPr>
              <w:contextualSpacing/>
            </w:pPr>
            <w:r w:rsidRPr="00E6060C">
              <w:t>Participants not yet recruited</w:t>
            </w:r>
          </w:p>
        </w:tc>
        <w:tc>
          <w:tcPr>
            <w:tcW w:w="1453" w:type="dxa"/>
            <w:shd w:val="clear" w:color="auto" w:fill="D9D9D9" w:themeFill="background1" w:themeFillShade="D9"/>
          </w:tcPr>
          <w:p w14:paraId="2F0CCFCB" w14:textId="77777777" w:rsidR="00E6060C" w:rsidRPr="00E6060C" w:rsidRDefault="00E6060C" w:rsidP="00E6060C">
            <w:pPr>
              <w:contextualSpacing/>
            </w:pPr>
            <w:r w:rsidRPr="00E6060C">
              <w:t>Y</w:t>
            </w:r>
          </w:p>
        </w:tc>
        <w:tc>
          <w:tcPr>
            <w:tcW w:w="1305" w:type="dxa"/>
            <w:shd w:val="clear" w:color="auto" w:fill="D9D9D9" w:themeFill="background1" w:themeFillShade="D9"/>
          </w:tcPr>
          <w:p w14:paraId="198C6927" w14:textId="77777777" w:rsidR="00E6060C" w:rsidRPr="00E6060C" w:rsidRDefault="00E6060C" w:rsidP="00E6060C">
            <w:pPr>
              <w:contextualSpacing/>
            </w:pPr>
            <w:r w:rsidRPr="00E6060C">
              <w:t>Participants not yet recruited</w:t>
            </w:r>
          </w:p>
        </w:tc>
        <w:tc>
          <w:tcPr>
            <w:tcW w:w="1097" w:type="dxa"/>
            <w:shd w:val="clear" w:color="auto" w:fill="D9D9D9" w:themeFill="background1" w:themeFillShade="D9"/>
          </w:tcPr>
          <w:p w14:paraId="3AAABECE" w14:textId="77777777" w:rsidR="00E6060C" w:rsidRPr="00E6060C" w:rsidRDefault="00E6060C" w:rsidP="00E6060C">
            <w:pPr>
              <w:contextualSpacing/>
            </w:pPr>
            <w:r w:rsidRPr="00E6060C">
              <w:t>N</w:t>
            </w:r>
          </w:p>
        </w:tc>
        <w:tc>
          <w:tcPr>
            <w:tcW w:w="1199" w:type="dxa"/>
            <w:shd w:val="clear" w:color="auto" w:fill="D9D9D9" w:themeFill="background1" w:themeFillShade="D9"/>
          </w:tcPr>
          <w:p w14:paraId="4366C32C" w14:textId="77777777" w:rsidR="00E6060C" w:rsidRPr="00E6060C" w:rsidRDefault="00E6060C" w:rsidP="00E6060C">
            <w:pPr>
              <w:contextualSpacing/>
            </w:pPr>
            <w:r w:rsidRPr="00E6060C">
              <w:t>Y</w:t>
            </w:r>
          </w:p>
        </w:tc>
        <w:tc>
          <w:tcPr>
            <w:tcW w:w="1483" w:type="dxa"/>
            <w:shd w:val="clear" w:color="auto" w:fill="D9D9D9" w:themeFill="background1" w:themeFillShade="D9"/>
          </w:tcPr>
          <w:p w14:paraId="585A3CC2" w14:textId="77777777" w:rsidR="00E6060C" w:rsidRPr="00E6060C" w:rsidRDefault="00E6060C" w:rsidP="00E6060C">
            <w:pPr>
              <w:contextualSpacing/>
            </w:pPr>
            <w:r w:rsidRPr="00E6060C">
              <w:t>-</w:t>
            </w:r>
          </w:p>
        </w:tc>
        <w:tc>
          <w:tcPr>
            <w:tcW w:w="1483" w:type="dxa"/>
            <w:shd w:val="clear" w:color="auto" w:fill="D9D9D9" w:themeFill="background1" w:themeFillShade="D9"/>
          </w:tcPr>
          <w:p w14:paraId="18D9CD26" w14:textId="77777777" w:rsidR="00E6060C" w:rsidRPr="00E6060C" w:rsidRDefault="00E6060C" w:rsidP="00E6060C">
            <w:pPr>
              <w:contextualSpacing/>
            </w:pPr>
            <w:r w:rsidRPr="00E6060C">
              <w:t>-</w:t>
            </w:r>
          </w:p>
        </w:tc>
        <w:tc>
          <w:tcPr>
            <w:tcW w:w="1624" w:type="dxa"/>
            <w:shd w:val="clear" w:color="auto" w:fill="D9D9D9" w:themeFill="background1" w:themeFillShade="D9"/>
          </w:tcPr>
          <w:p w14:paraId="769FE924" w14:textId="77777777" w:rsidR="00E6060C" w:rsidRPr="00E6060C" w:rsidRDefault="00E6060C" w:rsidP="00E6060C">
            <w:pPr>
              <w:contextualSpacing/>
            </w:pPr>
            <w:r w:rsidRPr="00E6060C">
              <w:t>-</w:t>
            </w:r>
          </w:p>
        </w:tc>
        <w:tc>
          <w:tcPr>
            <w:tcW w:w="1700" w:type="dxa"/>
            <w:gridSpan w:val="2"/>
            <w:shd w:val="clear" w:color="auto" w:fill="D9D9D9" w:themeFill="background1" w:themeFillShade="D9"/>
          </w:tcPr>
          <w:p w14:paraId="6FC00F13" w14:textId="77777777" w:rsidR="00E6060C" w:rsidRPr="00E6060C" w:rsidRDefault="00E6060C" w:rsidP="00E6060C">
            <w:pPr>
              <w:contextualSpacing/>
            </w:pPr>
            <w:r w:rsidRPr="00E6060C">
              <w:t>Not known if this will be considered</w:t>
            </w:r>
          </w:p>
        </w:tc>
      </w:tr>
      <w:tr w:rsidR="00E6060C" w:rsidRPr="00E6060C" w14:paraId="4E6DFE81" w14:textId="77777777" w:rsidTr="00E6060C">
        <w:tc>
          <w:tcPr>
            <w:tcW w:w="567" w:type="dxa"/>
            <w:shd w:val="clear" w:color="auto" w:fill="D9D9D9" w:themeFill="background1" w:themeFillShade="D9"/>
          </w:tcPr>
          <w:p w14:paraId="0089205B" w14:textId="77777777" w:rsidR="00E6060C" w:rsidRPr="00E6060C" w:rsidRDefault="00E6060C" w:rsidP="00E6060C">
            <w:pPr>
              <w:contextualSpacing/>
            </w:pPr>
            <w:r w:rsidRPr="00E6060C">
              <w:t>11</w:t>
            </w:r>
          </w:p>
        </w:tc>
        <w:tc>
          <w:tcPr>
            <w:tcW w:w="1406" w:type="dxa"/>
            <w:shd w:val="clear" w:color="auto" w:fill="D9D9D9" w:themeFill="background1" w:themeFillShade="D9"/>
          </w:tcPr>
          <w:p w14:paraId="27AB05BF" w14:textId="77777777" w:rsidR="00E6060C" w:rsidRPr="00E6060C" w:rsidRDefault="00E6060C" w:rsidP="00E6060C">
            <w:pPr>
              <w:contextualSpacing/>
            </w:pPr>
            <w:r w:rsidRPr="00E6060C">
              <w:t>Koolhaas et al., 2010</w:t>
            </w:r>
          </w:p>
        </w:tc>
        <w:tc>
          <w:tcPr>
            <w:tcW w:w="1430" w:type="dxa"/>
            <w:shd w:val="clear" w:color="auto" w:fill="D9D9D9" w:themeFill="background1" w:themeFillShade="D9"/>
          </w:tcPr>
          <w:p w14:paraId="67083D30" w14:textId="77777777" w:rsidR="00E6060C" w:rsidRPr="00E6060C" w:rsidRDefault="00E6060C" w:rsidP="00E6060C">
            <w:pPr>
              <w:contextualSpacing/>
            </w:pPr>
            <w:r w:rsidRPr="00E6060C">
              <w:t>-</w:t>
            </w:r>
          </w:p>
        </w:tc>
        <w:tc>
          <w:tcPr>
            <w:tcW w:w="1453" w:type="dxa"/>
            <w:shd w:val="clear" w:color="auto" w:fill="D9D9D9" w:themeFill="background1" w:themeFillShade="D9"/>
          </w:tcPr>
          <w:p w14:paraId="422046BF" w14:textId="77777777" w:rsidR="00E6060C" w:rsidRPr="00E6060C" w:rsidRDefault="00E6060C" w:rsidP="00E6060C">
            <w:pPr>
              <w:contextualSpacing/>
            </w:pPr>
            <w:r w:rsidRPr="00E6060C">
              <w:t>Y</w:t>
            </w:r>
          </w:p>
        </w:tc>
        <w:tc>
          <w:tcPr>
            <w:tcW w:w="1305" w:type="dxa"/>
            <w:shd w:val="clear" w:color="auto" w:fill="D9D9D9" w:themeFill="background1" w:themeFillShade="D9"/>
          </w:tcPr>
          <w:p w14:paraId="6B46E98C" w14:textId="77777777" w:rsidR="00E6060C" w:rsidRPr="00E6060C" w:rsidRDefault="00E6060C" w:rsidP="00E6060C">
            <w:pPr>
              <w:contextualSpacing/>
            </w:pPr>
            <w:r w:rsidRPr="00E6060C">
              <w:t>Ongoing study</w:t>
            </w:r>
          </w:p>
        </w:tc>
        <w:tc>
          <w:tcPr>
            <w:tcW w:w="1097" w:type="dxa"/>
            <w:shd w:val="clear" w:color="auto" w:fill="D9D9D9" w:themeFill="background1" w:themeFillShade="D9"/>
          </w:tcPr>
          <w:p w14:paraId="1A7A89BC" w14:textId="77777777" w:rsidR="00E6060C" w:rsidRPr="00E6060C" w:rsidRDefault="00E6060C" w:rsidP="00E6060C">
            <w:pPr>
              <w:contextualSpacing/>
            </w:pPr>
            <w:r w:rsidRPr="00E6060C">
              <w:t>N</w:t>
            </w:r>
          </w:p>
        </w:tc>
        <w:tc>
          <w:tcPr>
            <w:tcW w:w="1199" w:type="dxa"/>
            <w:shd w:val="clear" w:color="auto" w:fill="D9D9D9" w:themeFill="background1" w:themeFillShade="D9"/>
          </w:tcPr>
          <w:p w14:paraId="6A02BE19" w14:textId="77777777" w:rsidR="00E6060C" w:rsidRPr="00E6060C" w:rsidRDefault="00E6060C" w:rsidP="00E6060C">
            <w:pPr>
              <w:contextualSpacing/>
            </w:pPr>
            <w:r w:rsidRPr="00E6060C">
              <w:t>Y</w:t>
            </w:r>
          </w:p>
        </w:tc>
        <w:tc>
          <w:tcPr>
            <w:tcW w:w="1483" w:type="dxa"/>
            <w:shd w:val="clear" w:color="auto" w:fill="D9D9D9" w:themeFill="background1" w:themeFillShade="D9"/>
          </w:tcPr>
          <w:p w14:paraId="0643A5E5" w14:textId="77777777" w:rsidR="00E6060C" w:rsidRPr="00E6060C" w:rsidRDefault="00E6060C" w:rsidP="00E6060C">
            <w:pPr>
              <w:contextualSpacing/>
            </w:pPr>
            <w:r w:rsidRPr="00E6060C">
              <w:t>-</w:t>
            </w:r>
          </w:p>
        </w:tc>
        <w:tc>
          <w:tcPr>
            <w:tcW w:w="1483" w:type="dxa"/>
            <w:shd w:val="clear" w:color="auto" w:fill="D9D9D9" w:themeFill="background1" w:themeFillShade="D9"/>
          </w:tcPr>
          <w:p w14:paraId="6C3FE960" w14:textId="77777777" w:rsidR="00E6060C" w:rsidRPr="00E6060C" w:rsidRDefault="00E6060C" w:rsidP="00E6060C">
            <w:pPr>
              <w:contextualSpacing/>
            </w:pPr>
            <w:r w:rsidRPr="00E6060C">
              <w:t>Ongoing study</w:t>
            </w:r>
          </w:p>
        </w:tc>
        <w:tc>
          <w:tcPr>
            <w:tcW w:w="1624" w:type="dxa"/>
            <w:shd w:val="clear" w:color="auto" w:fill="D9D9D9" w:themeFill="background1" w:themeFillShade="D9"/>
          </w:tcPr>
          <w:p w14:paraId="6AE90800" w14:textId="77777777" w:rsidR="00E6060C" w:rsidRPr="00E6060C" w:rsidRDefault="00E6060C" w:rsidP="00E6060C">
            <w:pPr>
              <w:contextualSpacing/>
            </w:pPr>
            <w:r w:rsidRPr="00E6060C">
              <w:t>Ongoing study</w:t>
            </w:r>
          </w:p>
        </w:tc>
        <w:tc>
          <w:tcPr>
            <w:tcW w:w="1700" w:type="dxa"/>
            <w:gridSpan w:val="2"/>
            <w:shd w:val="clear" w:color="auto" w:fill="D9D9D9" w:themeFill="background1" w:themeFillShade="D9"/>
          </w:tcPr>
          <w:p w14:paraId="08E4D938" w14:textId="77777777" w:rsidR="00E6060C" w:rsidRPr="00E6060C" w:rsidRDefault="00E6060C" w:rsidP="00E6060C">
            <w:pPr>
              <w:contextualSpacing/>
            </w:pPr>
            <w:r w:rsidRPr="00E6060C">
              <w:t>Planned</w:t>
            </w:r>
          </w:p>
        </w:tc>
      </w:tr>
      <w:tr w:rsidR="00E6060C" w:rsidRPr="00E6060C" w14:paraId="5A2A4E8F" w14:textId="77777777" w:rsidTr="00E6060C">
        <w:tc>
          <w:tcPr>
            <w:tcW w:w="567" w:type="dxa"/>
            <w:shd w:val="clear" w:color="auto" w:fill="D9D9D9" w:themeFill="background1" w:themeFillShade="D9"/>
          </w:tcPr>
          <w:p w14:paraId="6CC96770" w14:textId="77777777" w:rsidR="00E6060C" w:rsidRPr="00E6060C" w:rsidRDefault="00E6060C" w:rsidP="00E6060C">
            <w:pPr>
              <w:contextualSpacing/>
            </w:pPr>
            <w:r w:rsidRPr="00E6060C">
              <w:t>12</w:t>
            </w:r>
          </w:p>
        </w:tc>
        <w:tc>
          <w:tcPr>
            <w:tcW w:w="1406" w:type="dxa"/>
            <w:shd w:val="clear" w:color="auto" w:fill="D9D9D9" w:themeFill="background1" w:themeFillShade="D9"/>
          </w:tcPr>
          <w:p w14:paraId="059225F5" w14:textId="02A1ACD4" w:rsidR="00E6060C" w:rsidRPr="00E6060C" w:rsidRDefault="00E6060C" w:rsidP="00E6060C">
            <w:pPr>
              <w:contextualSpacing/>
            </w:pPr>
            <w:r w:rsidRPr="00E6060C">
              <w:t>Yuan</w:t>
            </w:r>
            <w:r w:rsidR="00004C6F">
              <w:t xml:space="preserve"> et al.</w:t>
            </w:r>
            <w:r w:rsidRPr="00E6060C">
              <w:t>, 2014</w:t>
            </w:r>
          </w:p>
          <w:p w14:paraId="52C6DBA1" w14:textId="77777777" w:rsidR="00E6060C" w:rsidRPr="00E6060C" w:rsidRDefault="00E6060C" w:rsidP="00E6060C">
            <w:pPr>
              <w:contextualSpacing/>
              <w:jc w:val="center"/>
            </w:pPr>
          </w:p>
        </w:tc>
        <w:tc>
          <w:tcPr>
            <w:tcW w:w="1430" w:type="dxa"/>
            <w:shd w:val="clear" w:color="auto" w:fill="D9D9D9" w:themeFill="background1" w:themeFillShade="D9"/>
          </w:tcPr>
          <w:p w14:paraId="31E48F19" w14:textId="77777777" w:rsidR="00E6060C" w:rsidRPr="00E6060C" w:rsidRDefault="00E6060C" w:rsidP="00E6060C">
            <w:pPr>
              <w:contextualSpacing/>
            </w:pPr>
            <w:r w:rsidRPr="00E6060C">
              <w:t>Participants not yet recruited</w:t>
            </w:r>
          </w:p>
        </w:tc>
        <w:tc>
          <w:tcPr>
            <w:tcW w:w="1453" w:type="dxa"/>
            <w:shd w:val="clear" w:color="auto" w:fill="D9D9D9" w:themeFill="background1" w:themeFillShade="D9"/>
          </w:tcPr>
          <w:p w14:paraId="2852833B" w14:textId="77777777" w:rsidR="00E6060C" w:rsidRPr="00E6060C" w:rsidRDefault="00E6060C" w:rsidP="00E6060C">
            <w:pPr>
              <w:contextualSpacing/>
            </w:pPr>
            <w:r w:rsidRPr="00E6060C">
              <w:t>Y</w:t>
            </w:r>
          </w:p>
        </w:tc>
        <w:tc>
          <w:tcPr>
            <w:tcW w:w="1305" w:type="dxa"/>
            <w:shd w:val="clear" w:color="auto" w:fill="D9D9D9" w:themeFill="background1" w:themeFillShade="D9"/>
          </w:tcPr>
          <w:p w14:paraId="00813D6A" w14:textId="77777777" w:rsidR="00E6060C" w:rsidRPr="00E6060C" w:rsidRDefault="00E6060C" w:rsidP="00E6060C">
            <w:pPr>
              <w:contextualSpacing/>
            </w:pPr>
            <w:r w:rsidRPr="00E6060C">
              <w:t>Ongoing study</w:t>
            </w:r>
          </w:p>
        </w:tc>
        <w:tc>
          <w:tcPr>
            <w:tcW w:w="1097" w:type="dxa"/>
            <w:shd w:val="clear" w:color="auto" w:fill="D9D9D9" w:themeFill="background1" w:themeFillShade="D9"/>
          </w:tcPr>
          <w:p w14:paraId="791DA9DA" w14:textId="77777777" w:rsidR="00E6060C" w:rsidRPr="00E6060C" w:rsidRDefault="00E6060C" w:rsidP="00E6060C">
            <w:pPr>
              <w:contextualSpacing/>
            </w:pPr>
            <w:r w:rsidRPr="00E6060C">
              <w:t>N</w:t>
            </w:r>
          </w:p>
        </w:tc>
        <w:tc>
          <w:tcPr>
            <w:tcW w:w="1199" w:type="dxa"/>
            <w:shd w:val="clear" w:color="auto" w:fill="D9D9D9" w:themeFill="background1" w:themeFillShade="D9"/>
          </w:tcPr>
          <w:p w14:paraId="0209FFB2" w14:textId="77777777" w:rsidR="00E6060C" w:rsidRPr="00E6060C" w:rsidRDefault="00E6060C" w:rsidP="00E6060C">
            <w:pPr>
              <w:contextualSpacing/>
            </w:pPr>
            <w:r w:rsidRPr="00E6060C">
              <w:t>Y</w:t>
            </w:r>
          </w:p>
        </w:tc>
        <w:tc>
          <w:tcPr>
            <w:tcW w:w="1483" w:type="dxa"/>
            <w:shd w:val="clear" w:color="auto" w:fill="D9D9D9" w:themeFill="background1" w:themeFillShade="D9"/>
          </w:tcPr>
          <w:p w14:paraId="54A2F31B" w14:textId="77777777" w:rsidR="00E6060C" w:rsidRPr="00E6060C" w:rsidRDefault="00E6060C" w:rsidP="00E6060C">
            <w:pPr>
              <w:contextualSpacing/>
            </w:pPr>
            <w:r w:rsidRPr="00E6060C">
              <w:t>-</w:t>
            </w:r>
          </w:p>
        </w:tc>
        <w:tc>
          <w:tcPr>
            <w:tcW w:w="1483" w:type="dxa"/>
            <w:shd w:val="clear" w:color="auto" w:fill="D9D9D9" w:themeFill="background1" w:themeFillShade="D9"/>
          </w:tcPr>
          <w:p w14:paraId="0A55296F" w14:textId="77777777" w:rsidR="00E6060C" w:rsidRPr="00E6060C" w:rsidRDefault="00E6060C" w:rsidP="00E6060C">
            <w:pPr>
              <w:contextualSpacing/>
            </w:pPr>
            <w:r w:rsidRPr="00E6060C">
              <w:t>-</w:t>
            </w:r>
          </w:p>
        </w:tc>
        <w:tc>
          <w:tcPr>
            <w:tcW w:w="1624" w:type="dxa"/>
            <w:shd w:val="clear" w:color="auto" w:fill="D9D9D9" w:themeFill="background1" w:themeFillShade="D9"/>
          </w:tcPr>
          <w:p w14:paraId="00232A8B" w14:textId="77777777" w:rsidR="00E6060C" w:rsidRPr="00E6060C" w:rsidRDefault="00E6060C" w:rsidP="00E6060C">
            <w:pPr>
              <w:contextualSpacing/>
            </w:pPr>
            <w:r w:rsidRPr="00E6060C">
              <w:t>-</w:t>
            </w:r>
          </w:p>
        </w:tc>
        <w:tc>
          <w:tcPr>
            <w:tcW w:w="1700" w:type="dxa"/>
            <w:gridSpan w:val="2"/>
            <w:shd w:val="clear" w:color="auto" w:fill="D9D9D9" w:themeFill="background1" w:themeFillShade="D9"/>
          </w:tcPr>
          <w:p w14:paraId="6023D835" w14:textId="77777777" w:rsidR="00E6060C" w:rsidRPr="00E6060C" w:rsidRDefault="00E6060C" w:rsidP="00E6060C">
            <w:pPr>
              <w:contextualSpacing/>
            </w:pPr>
            <w:r w:rsidRPr="00E6060C">
              <w:t>Planned</w:t>
            </w:r>
          </w:p>
        </w:tc>
      </w:tr>
      <w:tr w:rsidR="00E6060C" w:rsidRPr="00E6060C" w14:paraId="45B12329" w14:textId="77777777" w:rsidTr="004D6C5A">
        <w:trPr>
          <w:gridAfter w:val="1"/>
          <w:wAfter w:w="6" w:type="dxa"/>
        </w:trPr>
        <w:tc>
          <w:tcPr>
            <w:tcW w:w="14741" w:type="dxa"/>
            <w:gridSpan w:val="11"/>
            <w:tcBorders>
              <w:top w:val="single" w:sz="4" w:space="0" w:color="auto"/>
              <w:bottom w:val="single" w:sz="4" w:space="0" w:color="auto"/>
            </w:tcBorders>
          </w:tcPr>
          <w:p w14:paraId="24149BFE" w14:textId="77777777" w:rsidR="00E6060C" w:rsidRPr="00E6060C" w:rsidRDefault="00E6060C" w:rsidP="00E6060C">
            <w:pPr>
              <w:rPr>
                <w:b/>
                <w:sz w:val="28"/>
                <w:szCs w:val="28"/>
              </w:rPr>
            </w:pPr>
            <w:r w:rsidRPr="00E6060C">
              <w:rPr>
                <w:b/>
                <w:sz w:val="28"/>
                <w:szCs w:val="28"/>
              </w:rPr>
              <w:t>JOB RESOURCE BUILDING INTERVENTIONS</w:t>
            </w:r>
          </w:p>
        </w:tc>
      </w:tr>
      <w:tr w:rsidR="00E6060C" w:rsidRPr="00E6060C" w14:paraId="4B56EE86" w14:textId="77777777" w:rsidTr="00E6060C">
        <w:tc>
          <w:tcPr>
            <w:tcW w:w="567" w:type="dxa"/>
          </w:tcPr>
          <w:p w14:paraId="379EA51A" w14:textId="77777777" w:rsidR="00E6060C" w:rsidRPr="00E6060C" w:rsidRDefault="00E6060C" w:rsidP="00E6060C">
            <w:pPr>
              <w:contextualSpacing/>
            </w:pPr>
            <w:r w:rsidRPr="00E6060C">
              <w:t>13</w:t>
            </w:r>
          </w:p>
        </w:tc>
        <w:tc>
          <w:tcPr>
            <w:tcW w:w="1406" w:type="dxa"/>
          </w:tcPr>
          <w:p w14:paraId="5C309BAD" w14:textId="1B52D9C4"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Cifre et al., 2011 </w:t>
            </w:r>
          </w:p>
        </w:tc>
        <w:tc>
          <w:tcPr>
            <w:tcW w:w="1430" w:type="dxa"/>
          </w:tcPr>
          <w:p w14:paraId="4FD135C1" w14:textId="77777777" w:rsidR="00E6060C" w:rsidRPr="00E6060C" w:rsidRDefault="00E6060C" w:rsidP="00E6060C">
            <w:pPr>
              <w:contextualSpacing/>
            </w:pPr>
            <w:r w:rsidRPr="00E6060C">
              <w:t>58% (T1);</w:t>
            </w:r>
          </w:p>
          <w:p w14:paraId="28081B42" w14:textId="77777777" w:rsidR="00E6060C" w:rsidRPr="00E6060C" w:rsidRDefault="00E6060C" w:rsidP="00E6060C">
            <w:pPr>
              <w:contextualSpacing/>
            </w:pPr>
            <w:r w:rsidRPr="00E6060C">
              <w:t>75.6% (T2)</w:t>
            </w:r>
          </w:p>
        </w:tc>
        <w:tc>
          <w:tcPr>
            <w:tcW w:w="1453" w:type="dxa"/>
          </w:tcPr>
          <w:p w14:paraId="5A0A8D44" w14:textId="77777777" w:rsidR="00E6060C" w:rsidRPr="00E6060C" w:rsidRDefault="00E6060C" w:rsidP="00E6060C">
            <w:pPr>
              <w:contextualSpacing/>
            </w:pPr>
            <w:r w:rsidRPr="00E6060C">
              <w:t>Y</w:t>
            </w:r>
          </w:p>
        </w:tc>
        <w:tc>
          <w:tcPr>
            <w:tcW w:w="1305" w:type="dxa"/>
          </w:tcPr>
          <w:p w14:paraId="61DA3ED2" w14:textId="77777777" w:rsidR="00E6060C" w:rsidRPr="00E6060C" w:rsidRDefault="00E6060C" w:rsidP="00E6060C">
            <w:pPr>
              <w:contextualSpacing/>
            </w:pPr>
            <w:r w:rsidRPr="00E6060C">
              <w:t>Y</w:t>
            </w:r>
          </w:p>
        </w:tc>
        <w:tc>
          <w:tcPr>
            <w:tcW w:w="1097" w:type="dxa"/>
          </w:tcPr>
          <w:p w14:paraId="0CA8E552" w14:textId="77777777" w:rsidR="00E6060C" w:rsidRPr="00E6060C" w:rsidRDefault="00E6060C" w:rsidP="00E6060C">
            <w:pPr>
              <w:contextualSpacing/>
            </w:pPr>
            <w:r w:rsidRPr="00E6060C">
              <w:t>N</w:t>
            </w:r>
          </w:p>
        </w:tc>
        <w:tc>
          <w:tcPr>
            <w:tcW w:w="1199" w:type="dxa"/>
          </w:tcPr>
          <w:p w14:paraId="467224E6" w14:textId="77777777" w:rsidR="00E6060C" w:rsidRPr="00E6060C" w:rsidRDefault="00E6060C" w:rsidP="00E6060C">
            <w:pPr>
              <w:contextualSpacing/>
            </w:pPr>
            <w:r w:rsidRPr="00E6060C">
              <w:t>Y</w:t>
            </w:r>
          </w:p>
        </w:tc>
        <w:tc>
          <w:tcPr>
            <w:tcW w:w="1483" w:type="dxa"/>
          </w:tcPr>
          <w:p w14:paraId="23FE688B" w14:textId="77777777" w:rsidR="00E6060C" w:rsidRPr="00E6060C" w:rsidRDefault="00E6060C" w:rsidP="00E6060C">
            <w:pPr>
              <w:contextualSpacing/>
            </w:pPr>
            <w:r w:rsidRPr="00E6060C">
              <w:t xml:space="preserve">0% </w:t>
            </w:r>
          </w:p>
        </w:tc>
        <w:tc>
          <w:tcPr>
            <w:tcW w:w="1483" w:type="dxa"/>
          </w:tcPr>
          <w:p w14:paraId="71FD5FEE" w14:textId="77777777" w:rsidR="00E6060C" w:rsidRPr="00E6060C" w:rsidRDefault="00E6060C" w:rsidP="00E6060C">
            <w:pPr>
              <w:contextualSpacing/>
            </w:pPr>
            <w:r w:rsidRPr="00E6060C">
              <w:t>Y</w:t>
            </w:r>
          </w:p>
        </w:tc>
        <w:tc>
          <w:tcPr>
            <w:tcW w:w="1624" w:type="dxa"/>
          </w:tcPr>
          <w:p w14:paraId="20561996" w14:textId="77777777" w:rsidR="00E6060C" w:rsidRPr="00E6060C" w:rsidRDefault="00E6060C" w:rsidP="00E6060C">
            <w:pPr>
              <w:contextualSpacing/>
            </w:pPr>
            <w:r w:rsidRPr="00E6060C">
              <w:t>No significant differences regarding age and org. tenure.</w:t>
            </w:r>
          </w:p>
        </w:tc>
        <w:tc>
          <w:tcPr>
            <w:tcW w:w="1700" w:type="dxa"/>
            <w:gridSpan w:val="2"/>
          </w:tcPr>
          <w:p w14:paraId="2220472B" w14:textId="77777777" w:rsidR="00E6060C" w:rsidRPr="00E6060C" w:rsidRDefault="00E6060C" w:rsidP="00E6060C">
            <w:pPr>
              <w:contextualSpacing/>
            </w:pPr>
            <w:r w:rsidRPr="00E6060C">
              <w:t xml:space="preserve">All 9 employees in the intervention responded at both time points </w:t>
            </w:r>
          </w:p>
        </w:tc>
      </w:tr>
      <w:tr w:rsidR="00E6060C" w:rsidRPr="00E6060C" w14:paraId="65D7C13D" w14:textId="77777777" w:rsidTr="00E6060C">
        <w:tc>
          <w:tcPr>
            <w:tcW w:w="567" w:type="dxa"/>
          </w:tcPr>
          <w:p w14:paraId="61096378" w14:textId="77777777" w:rsidR="00E6060C" w:rsidRPr="00E6060C" w:rsidRDefault="00E6060C" w:rsidP="00E6060C">
            <w:pPr>
              <w:contextualSpacing/>
            </w:pPr>
            <w:r w:rsidRPr="00E6060C">
              <w:t>14</w:t>
            </w:r>
          </w:p>
        </w:tc>
        <w:tc>
          <w:tcPr>
            <w:tcW w:w="1406" w:type="dxa"/>
          </w:tcPr>
          <w:p w14:paraId="4039D5CD" w14:textId="2D5AAA2B"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Coffeng et al., 2014 </w:t>
            </w:r>
          </w:p>
        </w:tc>
        <w:tc>
          <w:tcPr>
            <w:tcW w:w="1430" w:type="dxa"/>
          </w:tcPr>
          <w:p w14:paraId="05CBDFD6" w14:textId="77777777" w:rsidR="00E6060C" w:rsidRPr="00E6060C" w:rsidRDefault="00E6060C" w:rsidP="00E6060C">
            <w:pPr>
              <w:contextualSpacing/>
            </w:pPr>
            <w:r w:rsidRPr="00E6060C">
              <w:t>35% (T1);</w:t>
            </w:r>
          </w:p>
          <w:p w14:paraId="7956B75B" w14:textId="77777777" w:rsidR="00E6060C" w:rsidRPr="00E6060C" w:rsidRDefault="00E6060C" w:rsidP="00E6060C">
            <w:pPr>
              <w:contextualSpacing/>
            </w:pPr>
            <w:r w:rsidRPr="00E6060C">
              <w:t>85% (T2); 80% (T3)</w:t>
            </w:r>
          </w:p>
        </w:tc>
        <w:tc>
          <w:tcPr>
            <w:tcW w:w="1453" w:type="dxa"/>
          </w:tcPr>
          <w:p w14:paraId="0EC51B1E" w14:textId="77777777" w:rsidR="00E6060C" w:rsidRPr="00E6060C" w:rsidRDefault="00E6060C" w:rsidP="00E6060C">
            <w:pPr>
              <w:contextualSpacing/>
            </w:pPr>
            <w:r w:rsidRPr="00E6060C">
              <w:t>Y</w:t>
            </w:r>
          </w:p>
        </w:tc>
        <w:tc>
          <w:tcPr>
            <w:tcW w:w="1305" w:type="dxa"/>
          </w:tcPr>
          <w:p w14:paraId="3AAE0785" w14:textId="77777777" w:rsidR="00E6060C" w:rsidRPr="00E6060C" w:rsidRDefault="00E6060C" w:rsidP="00E6060C">
            <w:pPr>
              <w:contextualSpacing/>
            </w:pPr>
            <w:r w:rsidRPr="00E6060C">
              <w:t>Y</w:t>
            </w:r>
          </w:p>
        </w:tc>
        <w:tc>
          <w:tcPr>
            <w:tcW w:w="1097" w:type="dxa"/>
          </w:tcPr>
          <w:p w14:paraId="416346F1" w14:textId="77777777" w:rsidR="00E6060C" w:rsidRPr="00E6060C" w:rsidRDefault="00E6060C" w:rsidP="00E6060C">
            <w:pPr>
              <w:contextualSpacing/>
            </w:pPr>
            <w:r w:rsidRPr="00E6060C">
              <w:t>N</w:t>
            </w:r>
          </w:p>
        </w:tc>
        <w:tc>
          <w:tcPr>
            <w:tcW w:w="1199" w:type="dxa"/>
          </w:tcPr>
          <w:p w14:paraId="18A56C49" w14:textId="77777777" w:rsidR="00E6060C" w:rsidRPr="00E6060C" w:rsidRDefault="00E6060C" w:rsidP="00E6060C">
            <w:pPr>
              <w:contextualSpacing/>
            </w:pPr>
            <w:r w:rsidRPr="00E6060C">
              <w:t>Y</w:t>
            </w:r>
          </w:p>
        </w:tc>
        <w:tc>
          <w:tcPr>
            <w:tcW w:w="1483" w:type="dxa"/>
          </w:tcPr>
          <w:p w14:paraId="1D37F31B" w14:textId="77777777" w:rsidR="00E6060C" w:rsidRPr="00E6060C" w:rsidRDefault="00E6060C" w:rsidP="00E6060C">
            <w:pPr>
              <w:contextualSpacing/>
            </w:pPr>
            <w:r w:rsidRPr="00E6060C">
              <w:t>15%</w:t>
            </w:r>
          </w:p>
        </w:tc>
        <w:tc>
          <w:tcPr>
            <w:tcW w:w="1483" w:type="dxa"/>
          </w:tcPr>
          <w:p w14:paraId="06760A56" w14:textId="77777777" w:rsidR="00E6060C" w:rsidRPr="00E6060C" w:rsidRDefault="00E6060C" w:rsidP="00E6060C">
            <w:pPr>
              <w:contextualSpacing/>
            </w:pPr>
            <w:r w:rsidRPr="00E6060C">
              <w:t>N</w:t>
            </w:r>
          </w:p>
        </w:tc>
        <w:tc>
          <w:tcPr>
            <w:tcW w:w="1624" w:type="dxa"/>
          </w:tcPr>
          <w:p w14:paraId="79772934" w14:textId="77777777" w:rsidR="00E6060C" w:rsidRPr="00E6060C" w:rsidRDefault="00E6060C" w:rsidP="00E6060C">
            <w:pPr>
              <w:contextualSpacing/>
            </w:pPr>
            <w:r w:rsidRPr="00E6060C">
              <w:t>-</w:t>
            </w:r>
          </w:p>
        </w:tc>
        <w:tc>
          <w:tcPr>
            <w:tcW w:w="1700" w:type="dxa"/>
            <w:gridSpan w:val="2"/>
          </w:tcPr>
          <w:p w14:paraId="6B74B749" w14:textId="77777777" w:rsidR="00E6060C" w:rsidRPr="00E6060C" w:rsidRDefault="00E6060C" w:rsidP="00E6060C">
            <w:r w:rsidRPr="00E6060C">
              <w:t>In general, reasons for attrition were as follows:</w:t>
            </w:r>
          </w:p>
          <w:p w14:paraId="77A84E0C" w14:textId="77777777" w:rsidR="00E6060C" w:rsidRPr="00E6060C" w:rsidRDefault="00E6060C" w:rsidP="00F15DDF">
            <w:pPr>
              <w:numPr>
                <w:ilvl w:val="0"/>
                <w:numId w:val="50"/>
              </w:numPr>
              <w:ind w:left="133" w:hanging="133"/>
              <w:contextualSpacing/>
            </w:pPr>
            <w:r w:rsidRPr="00E6060C">
              <w:t>Moving job</w:t>
            </w:r>
          </w:p>
          <w:p w14:paraId="0EC71D2C" w14:textId="77777777" w:rsidR="00E6060C" w:rsidRPr="00E6060C" w:rsidRDefault="00E6060C" w:rsidP="00F15DDF">
            <w:pPr>
              <w:numPr>
                <w:ilvl w:val="0"/>
                <w:numId w:val="50"/>
              </w:numPr>
              <w:ind w:left="133" w:hanging="133"/>
              <w:contextualSpacing/>
            </w:pPr>
            <w:r w:rsidRPr="00E6060C">
              <w:t>Lack of motivation</w:t>
            </w:r>
          </w:p>
          <w:p w14:paraId="07B6C960" w14:textId="77777777" w:rsidR="00E6060C" w:rsidRPr="00E6060C" w:rsidRDefault="00E6060C" w:rsidP="00F15DDF">
            <w:pPr>
              <w:numPr>
                <w:ilvl w:val="0"/>
                <w:numId w:val="50"/>
              </w:numPr>
              <w:ind w:left="133" w:hanging="133"/>
              <w:contextualSpacing/>
            </w:pPr>
            <w:r w:rsidRPr="00E6060C">
              <w:t>Lack of time</w:t>
            </w:r>
          </w:p>
          <w:p w14:paraId="0A5817AF" w14:textId="77777777" w:rsidR="00E6060C" w:rsidRPr="00E6060C" w:rsidRDefault="00E6060C" w:rsidP="00F15DDF">
            <w:pPr>
              <w:numPr>
                <w:ilvl w:val="0"/>
                <w:numId w:val="50"/>
              </w:numPr>
              <w:ind w:left="133" w:hanging="133"/>
              <w:contextualSpacing/>
            </w:pPr>
            <w:r w:rsidRPr="00E6060C">
              <w:t>Lack of trust</w:t>
            </w:r>
          </w:p>
          <w:p w14:paraId="709143B4" w14:textId="77777777" w:rsidR="00E6060C" w:rsidRPr="00E6060C" w:rsidRDefault="00E6060C" w:rsidP="00F15DDF">
            <w:pPr>
              <w:numPr>
                <w:ilvl w:val="0"/>
                <w:numId w:val="50"/>
              </w:numPr>
              <w:ind w:left="133" w:hanging="133"/>
              <w:contextualSpacing/>
            </w:pPr>
            <w:r w:rsidRPr="00E6060C">
              <w:t>Maternity leave</w:t>
            </w:r>
          </w:p>
          <w:p w14:paraId="0FDF33E6" w14:textId="77777777" w:rsidR="00E6060C" w:rsidRPr="00E6060C" w:rsidRDefault="00E6060C" w:rsidP="00F15DDF">
            <w:pPr>
              <w:numPr>
                <w:ilvl w:val="0"/>
                <w:numId w:val="50"/>
              </w:numPr>
              <w:ind w:left="133" w:hanging="133"/>
              <w:contextualSpacing/>
            </w:pPr>
            <w:r w:rsidRPr="00E6060C">
              <w:lastRenderedPageBreak/>
              <w:t>Sickness in family</w:t>
            </w:r>
          </w:p>
          <w:p w14:paraId="00D6BA6D" w14:textId="77777777" w:rsidR="00E6060C" w:rsidRPr="00E6060C" w:rsidRDefault="00E6060C" w:rsidP="00E6060C">
            <w:r w:rsidRPr="00E6060C">
              <w:t>Specific to the social condition, reasons included:</w:t>
            </w:r>
          </w:p>
          <w:p w14:paraId="48BAA018" w14:textId="77777777" w:rsidR="00E6060C" w:rsidRPr="00E6060C" w:rsidRDefault="00E6060C" w:rsidP="00F15DDF">
            <w:pPr>
              <w:numPr>
                <w:ilvl w:val="0"/>
                <w:numId w:val="53"/>
              </w:numPr>
              <w:ind w:left="177" w:hanging="177"/>
              <w:contextualSpacing/>
            </w:pPr>
            <w:r w:rsidRPr="00E6060C">
              <w:t>Low support from management</w:t>
            </w:r>
          </w:p>
          <w:p w14:paraId="3A9C90E9" w14:textId="77777777" w:rsidR="00E6060C" w:rsidRPr="00E6060C" w:rsidRDefault="00E6060C" w:rsidP="00F15DDF">
            <w:pPr>
              <w:numPr>
                <w:ilvl w:val="0"/>
                <w:numId w:val="53"/>
              </w:numPr>
              <w:ind w:left="177" w:hanging="177"/>
              <w:contextualSpacing/>
            </w:pPr>
            <w:r w:rsidRPr="00E6060C">
              <w:t>Lack of time</w:t>
            </w:r>
          </w:p>
          <w:p w14:paraId="237017EF" w14:textId="77777777" w:rsidR="00E6060C" w:rsidRPr="00E6060C" w:rsidRDefault="00E6060C" w:rsidP="00F15DDF">
            <w:pPr>
              <w:numPr>
                <w:ilvl w:val="0"/>
                <w:numId w:val="53"/>
              </w:numPr>
              <w:ind w:left="177" w:hanging="177"/>
              <w:contextualSpacing/>
            </w:pPr>
            <w:r w:rsidRPr="00E6060C">
              <w:t>Resistance from employees (as cited by team leaders)</w:t>
            </w:r>
          </w:p>
          <w:p w14:paraId="1E52E4C6" w14:textId="77777777" w:rsidR="00E6060C" w:rsidRPr="00E6060C" w:rsidRDefault="00E6060C" w:rsidP="00E6060C">
            <w:r w:rsidRPr="00E6060C">
              <w:t>Specific to the physical condition, reasons included:</w:t>
            </w:r>
          </w:p>
          <w:p w14:paraId="6D1F3534" w14:textId="77777777" w:rsidR="00E6060C" w:rsidRPr="00E6060C" w:rsidRDefault="00E6060C" w:rsidP="00F15DDF">
            <w:pPr>
              <w:numPr>
                <w:ilvl w:val="0"/>
                <w:numId w:val="54"/>
              </w:numPr>
              <w:ind w:left="177" w:hanging="177"/>
              <w:contextualSpacing/>
            </w:pPr>
            <w:r w:rsidRPr="00E6060C">
              <w:t>Lack of time</w:t>
            </w:r>
          </w:p>
          <w:p w14:paraId="6148EB59" w14:textId="77777777" w:rsidR="00E6060C" w:rsidRPr="00E6060C" w:rsidRDefault="00E6060C" w:rsidP="00F15DDF">
            <w:pPr>
              <w:numPr>
                <w:ilvl w:val="0"/>
                <w:numId w:val="54"/>
              </w:numPr>
              <w:ind w:left="177" w:hanging="177"/>
              <w:contextualSpacing/>
            </w:pPr>
            <w:r w:rsidRPr="00E6060C">
              <w:t>Difficulty using the physical zones created</w:t>
            </w:r>
          </w:p>
          <w:p w14:paraId="45799F0E" w14:textId="77777777" w:rsidR="00E6060C" w:rsidRPr="00E6060C" w:rsidRDefault="00E6060C" w:rsidP="00F15DDF">
            <w:pPr>
              <w:numPr>
                <w:ilvl w:val="0"/>
                <w:numId w:val="54"/>
              </w:numPr>
              <w:ind w:left="177" w:hanging="177"/>
              <w:contextualSpacing/>
            </w:pPr>
            <w:r w:rsidRPr="00E6060C">
              <w:t>Lack of motivation</w:t>
            </w:r>
          </w:p>
        </w:tc>
      </w:tr>
      <w:tr w:rsidR="00E6060C" w:rsidRPr="00E6060C" w14:paraId="17633B81" w14:textId="77777777" w:rsidTr="00E6060C">
        <w:tc>
          <w:tcPr>
            <w:tcW w:w="567" w:type="dxa"/>
          </w:tcPr>
          <w:p w14:paraId="211D233E" w14:textId="77777777" w:rsidR="00E6060C" w:rsidRPr="00E6060C" w:rsidRDefault="00E6060C" w:rsidP="00E6060C">
            <w:pPr>
              <w:contextualSpacing/>
            </w:pPr>
            <w:r w:rsidRPr="00E6060C">
              <w:lastRenderedPageBreak/>
              <w:t>15</w:t>
            </w:r>
          </w:p>
        </w:tc>
        <w:tc>
          <w:tcPr>
            <w:tcW w:w="1406" w:type="dxa"/>
          </w:tcPr>
          <w:p w14:paraId="75DDD271" w14:textId="77777777" w:rsidR="00E6060C" w:rsidRPr="00E6060C" w:rsidRDefault="00E6060C" w:rsidP="00E6060C">
            <w:pPr>
              <w:contextualSpacing/>
            </w:pPr>
            <w:r w:rsidRPr="00E6060C">
              <w:t>Kawakami et al., 2012</w:t>
            </w:r>
          </w:p>
        </w:tc>
        <w:tc>
          <w:tcPr>
            <w:tcW w:w="1430" w:type="dxa"/>
          </w:tcPr>
          <w:p w14:paraId="59DF3FD8" w14:textId="77777777" w:rsidR="00E6060C" w:rsidRPr="00E6060C" w:rsidRDefault="00E6060C" w:rsidP="00E6060C">
            <w:pPr>
              <w:contextualSpacing/>
            </w:pPr>
            <w:r w:rsidRPr="00E6060C">
              <w:t>Int:86 (T2);</w:t>
            </w:r>
          </w:p>
          <w:p w14:paraId="64A138FA" w14:textId="77777777" w:rsidR="00E6060C" w:rsidRPr="00E6060C" w:rsidRDefault="00E6060C" w:rsidP="00E6060C">
            <w:pPr>
              <w:contextualSpacing/>
            </w:pPr>
            <w:r w:rsidRPr="00E6060C">
              <w:t xml:space="preserve">Con:91% (T2); </w:t>
            </w:r>
          </w:p>
          <w:p w14:paraId="1813C429" w14:textId="77777777" w:rsidR="00E6060C" w:rsidRPr="00E6060C" w:rsidRDefault="00E6060C" w:rsidP="00E6060C">
            <w:pPr>
              <w:contextualSpacing/>
            </w:pPr>
            <w:r w:rsidRPr="00E6060C">
              <w:t>Int:78 (T3);</w:t>
            </w:r>
          </w:p>
          <w:p w14:paraId="49591D9B" w14:textId="77777777" w:rsidR="00E6060C" w:rsidRPr="00E6060C" w:rsidRDefault="00E6060C" w:rsidP="00E6060C">
            <w:pPr>
              <w:contextualSpacing/>
            </w:pPr>
            <w:r w:rsidRPr="00E6060C">
              <w:t>Con:87% (T3)</w:t>
            </w:r>
          </w:p>
        </w:tc>
        <w:tc>
          <w:tcPr>
            <w:tcW w:w="1453" w:type="dxa"/>
          </w:tcPr>
          <w:p w14:paraId="7AD18C6F" w14:textId="77777777" w:rsidR="00E6060C" w:rsidRPr="00E6060C" w:rsidRDefault="00E6060C" w:rsidP="00E6060C">
            <w:pPr>
              <w:contextualSpacing/>
            </w:pPr>
            <w:r w:rsidRPr="00E6060C">
              <w:t>N</w:t>
            </w:r>
          </w:p>
        </w:tc>
        <w:tc>
          <w:tcPr>
            <w:tcW w:w="1305" w:type="dxa"/>
          </w:tcPr>
          <w:p w14:paraId="54058951" w14:textId="77777777" w:rsidR="00E6060C" w:rsidRPr="00E6060C" w:rsidRDefault="00E6060C" w:rsidP="00E6060C">
            <w:pPr>
              <w:contextualSpacing/>
            </w:pPr>
            <w:r w:rsidRPr="00E6060C">
              <w:t>Y</w:t>
            </w:r>
          </w:p>
        </w:tc>
        <w:tc>
          <w:tcPr>
            <w:tcW w:w="1097" w:type="dxa"/>
          </w:tcPr>
          <w:p w14:paraId="7371C02A" w14:textId="77777777" w:rsidR="00E6060C" w:rsidRPr="00E6060C" w:rsidRDefault="00E6060C" w:rsidP="00E6060C">
            <w:pPr>
              <w:contextualSpacing/>
            </w:pPr>
            <w:r w:rsidRPr="00E6060C">
              <w:t>N</w:t>
            </w:r>
          </w:p>
        </w:tc>
        <w:tc>
          <w:tcPr>
            <w:tcW w:w="1199" w:type="dxa"/>
          </w:tcPr>
          <w:p w14:paraId="6DE5FFFE" w14:textId="77777777" w:rsidR="00E6060C" w:rsidRPr="00E6060C" w:rsidRDefault="00E6060C" w:rsidP="00E6060C">
            <w:pPr>
              <w:contextualSpacing/>
            </w:pPr>
            <w:r w:rsidRPr="00E6060C">
              <w:t>Y</w:t>
            </w:r>
          </w:p>
        </w:tc>
        <w:tc>
          <w:tcPr>
            <w:tcW w:w="1483" w:type="dxa"/>
          </w:tcPr>
          <w:p w14:paraId="2B9AB37A" w14:textId="77777777" w:rsidR="00E6060C" w:rsidRPr="00E6060C" w:rsidRDefault="00E6060C" w:rsidP="00E6060C">
            <w:pPr>
              <w:contextualSpacing/>
            </w:pPr>
            <w:r w:rsidRPr="00E6060C">
              <w:t>14-22% across time</w:t>
            </w:r>
          </w:p>
        </w:tc>
        <w:tc>
          <w:tcPr>
            <w:tcW w:w="1483" w:type="dxa"/>
          </w:tcPr>
          <w:p w14:paraId="68E42111" w14:textId="77777777" w:rsidR="00E6060C" w:rsidRPr="00E6060C" w:rsidRDefault="00E6060C" w:rsidP="00E6060C">
            <w:pPr>
              <w:contextualSpacing/>
            </w:pPr>
            <w:r w:rsidRPr="00E6060C">
              <w:t>N</w:t>
            </w:r>
          </w:p>
        </w:tc>
        <w:tc>
          <w:tcPr>
            <w:tcW w:w="1624" w:type="dxa"/>
          </w:tcPr>
          <w:p w14:paraId="12D56989" w14:textId="77777777" w:rsidR="00E6060C" w:rsidRPr="00E6060C" w:rsidRDefault="00E6060C" w:rsidP="00E6060C">
            <w:pPr>
              <w:contextualSpacing/>
            </w:pPr>
            <w:r w:rsidRPr="00E6060C">
              <w:t>-</w:t>
            </w:r>
          </w:p>
        </w:tc>
        <w:tc>
          <w:tcPr>
            <w:tcW w:w="1700" w:type="dxa"/>
            <w:gridSpan w:val="2"/>
          </w:tcPr>
          <w:p w14:paraId="203E76E0" w14:textId="77777777" w:rsidR="00E6060C" w:rsidRPr="00E6060C" w:rsidRDefault="00E6060C" w:rsidP="00E6060C">
            <w:pPr>
              <w:contextualSpacing/>
            </w:pPr>
            <w:r w:rsidRPr="00E6060C">
              <w:t>-</w:t>
            </w:r>
          </w:p>
        </w:tc>
      </w:tr>
      <w:tr w:rsidR="00E6060C" w:rsidRPr="00E6060C" w14:paraId="3CB13703" w14:textId="77777777" w:rsidTr="00E6060C">
        <w:tc>
          <w:tcPr>
            <w:tcW w:w="567" w:type="dxa"/>
          </w:tcPr>
          <w:p w14:paraId="54EE8C51" w14:textId="77777777" w:rsidR="00E6060C" w:rsidRPr="00E6060C" w:rsidRDefault="00E6060C" w:rsidP="00E6060C">
            <w:pPr>
              <w:contextualSpacing/>
            </w:pPr>
            <w:r w:rsidRPr="00E6060C">
              <w:lastRenderedPageBreak/>
              <w:t>16</w:t>
            </w:r>
          </w:p>
        </w:tc>
        <w:tc>
          <w:tcPr>
            <w:tcW w:w="1406" w:type="dxa"/>
          </w:tcPr>
          <w:p w14:paraId="5E89F211" w14:textId="6C32BBD6" w:rsidR="00E6060C" w:rsidRPr="00E6060C" w:rsidRDefault="00E6060C" w:rsidP="00E6060C">
            <w:pPr>
              <w:contextualSpacing/>
            </w:pPr>
            <w:r w:rsidRPr="00E6060C">
              <w:t>Martinussen</w:t>
            </w:r>
            <w:r w:rsidR="00E067D9">
              <w:t xml:space="preserve"> et al.</w:t>
            </w:r>
            <w:r w:rsidRPr="00E6060C">
              <w:t>, 2012</w:t>
            </w:r>
          </w:p>
        </w:tc>
        <w:tc>
          <w:tcPr>
            <w:tcW w:w="1430" w:type="dxa"/>
          </w:tcPr>
          <w:p w14:paraId="6D184C91" w14:textId="77777777" w:rsidR="00E6060C" w:rsidRPr="00E6060C" w:rsidRDefault="00E6060C" w:rsidP="00E6060C">
            <w:pPr>
              <w:contextualSpacing/>
            </w:pPr>
            <w:r w:rsidRPr="00E6060C">
              <w:t>34%</w:t>
            </w:r>
          </w:p>
        </w:tc>
        <w:tc>
          <w:tcPr>
            <w:tcW w:w="1453" w:type="dxa"/>
          </w:tcPr>
          <w:p w14:paraId="583E4113" w14:textId="77777777" w:rsidR="00E6060C" w:rsidRPr="00E6060C" w:rsidRDefault="00E6060C" w:rsidP="00E6060C">
            <w:pPr>
              <w:contextualSpacing/>
            </w:pPr>
            <w:r w:rsidRPr="00E6060C">
              <w:t>Y</w:t>
            </w:r>
          </w:p>
        </w:tc>
        <w:tc>
          <w:tcPr>
            <w:tcW w:w="1305" w:type="dxa"/>
          </w:tcPr>
          <w:p w14:paraId="67534D0B" w14:textId="77777777" w:rsidR="00E6060C" w:rsidRPr="00E6060C" w:rsidRDefault="00E6060C" w:rsidP="00E6060C">
            <w:pPr>
              <w:contextualSpacing/>
            </w:pPr>
            <w:r w:rsidRPr="00E6060C">
              <w:t>Y</w:t>
            </w:r>
          </w:p>
        </w:tc>
        <w:tc>
          <w:tcPr>
            <w:tcW w:w="1097" w:type="dxa"/>
          </w:tcPr>
          <w:p w14:paraId="01BF825B" w14:textId="77777777" w:rsidR="00E6060C" w:rsidRPr="00E6060C" w:rsidRDefault="00E6060C" w:rsidP="00E6060C">
            <w:pPr>
              <w:contextualSpacing/>
            </w:pPr>
            <w:r w:rsidRPr="00E6060C">
              <w:t>N</w:t>
            </w:r>
          </w:p>
        </w:tc>
        <w:tc>
          <w:tcPr>
            <w:tcW w:w="1199" w:type="dxa"/>
          </w:tcPr>
          <w:p w14:paraId="2AF88AFE" w14:textId="77777777" w:rsidR="00E6060C" w:rsidRPr="00E6060C" w:rsidRDefault="00E6060C" w:rsidP="00E6060C">
            <w:pPr>
              <w:contextualSpacing/>
            </w:pPr>
            <w:r w:rsidRPr="00E6060C">
              <w:t>Y</w:t>
            </w:r>
          </w:p>
        </w:tc>
        <w:tc>
          <w:tcPr>
            <w:tcW w:w="1483" w:type="dxa"/>
          </w:tcPr>
          <w:p w14:paraId="1BF8F304" w14:textId="77777777" w:rsidR="00E6060C" w:rsidRPr="00E6060C" w:rsidRDefault="00E6060C" w:rsidP="00E6060C">
            <w:pPr>
              <w:contextualSpacing/>
            </w:pPr>
            <w:r w:rsidRPr="00E6060C">
              <w:t xml:space="preserve">NA </w:t>
            </w:r>
          </w:p>
        </w:tc>
        <w:tc>
          <w:tcPr>
            <w:tcW w:w="1483" w:type="dxa"/>
          </w:tcPr>
          <w:p w14:paraId="388FA889" w14:textId="77777777" w:rsidR="00E6060C" w:rsidRPr="00E6060C" w:rsidRDefault="00E6060C" w:rsidP="00E6060C">
            <w:pPr>
              <w:contextualSpacing/>
            </w:pPr>
            <w:r w:rsidRPr="00E6060C">
              <w:t>NA</w:t>
            </w:r>
          </w:p>
        </w:tc>
        <w:tc>
          <w:tcPr>
            <w:tcW w:w="1624" w:type="dxa"/>
          </w:tcPr>
          <w:p w14:paraId="7A415F91" w14:textId="77777777" w:rsidR="00E6060C" w:rsidRPr="00E6060C" w:rsidRDefault="00E6060C" w:rsidP="00E6060C">
            <w:pPr>
              <w:contextualSpacing/>
            </w:pPr>
            <w:r w:rsidRPr="00E6060C">
              <w:t>N/A</w:t>
            </w:r>
          </w:p>
        </w:tc>
        <w:tc>
          <w:tcPr>
            <w:tcW w:w="1700" w:type="dxa"/>
            <w:gridSpan w:val="2"/>
          </w:tcPr>
          <w:p w14:paraId="38FC28AD" w14:textId="77777777" w:rsidR="00E6060C" w:rsidRPr="00E6060C" w:rsidRDefault="00E6060C" w:rsidP="00E6060C">
            <w:pPr>
              <w:contextualSpacing/>
            </w:pPr>
            <w:r w:rsidRPr="00E6060C">
              <w:t>-</w:t>
            </w:r>
          </w:p>
        </w:tc>
      </w:tr>
      <w:tr w:rsidR="00E6060C" w:rsidRPr="00E6060C" w14:paraId="5C3089F0" w14:textId="77777777" w:rsidTr="00E6060C">
        <w:tc>
          <w:tcPr>
            <w:tcW w:w="567" w:type="dxa"/>
          </w:tcPr>
          <w:p w14:paraId="75983079" w14:textId="77777777" w:rsidR="00E6060C" w:rsidRPr="00E6060C" w:rsidRDefault="00E6060C" w:rsidP="00E6060C">
            <w:pPr>
              <w:contextualSpacing/>
            </w:pPr>
            <w:r w:rsidRPr="00E6060C">
              <w:t>17</w:t>
            </w:r>
          </w:p>
        </w:tc>
        <w:tc>
          <w:tcPr>
            <w:tcW w:w="1406" w:type="dxa"/>
          </w:tcPr>
          <w:p w14:paraId="6A888F9C" w14:textId="2F9F6B64"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Naruse et al., 2014</w:t>
            </w:r>
          </w:p>
        </w:tc>
        <w:tc>
          <w:tcPr>
            <w:tcW w:w="1430" w:type="dxa"/>
          </w:tcPr>
          <w:p w14:paraId="13FA450B" w14:textId="77777777" w:rsidR="00E6060C" w:rsidRPr="00E6060C" w:rsidRDefault="00E6060C" w:rsidP="00E6060C">
            <w:pPr>
              <w:contextualSpacing/>
            </w:pPr>
            <w:r w:rsidRPr="00E6060C">
              <w:t>77.4% (T1); Int:86.4% (T2);</w:t>
            </w:r>
          </w:p>
          <w:p w14:paraId="033763A8" w14:textId="77777777" w:rsidR="00E6060C" w:rsidRPr="00E6060C" w:rsidRDefault="00E6060C" w:rsidP="00E6060C">
            <w:pPr>
              <w:contextualSpacing/>
            </w:pPr>
            <w:r w:rsidRPr="00E6060C">
              <w:t>Con:77.4% (T2)</w:t>
            </w:r>
          </w:p>
        </w:tc>
        <w:tc>
          <w:tcPr>
            <w:tcW w:w="1453" w:type="dxa"/>
          </w:tcPr>
          <w:p w14:paraId="7EF6E165" w14:textId="77777777" w:rsidR="00E6060C" w:rsidRPr="00E6060C" w:rsidRDefault="00E6060C" w:rsidP="00E6060C">
            <w:pPr>
              <w:contextualSpacing/>
            </w:pPr>
            <w:r w:rsidRPr="00E6060C">
              <w:t>Y</w:t>
            </w:r>
          </w:p>
        </w:tc>
        <w:tc>
          <w:tcPr>
            <w:tcW w:w="1305" w:type="dxa"/>
          </w:tcPr>
          <w:p w14:paraId="6031D6D4" w14:textId="77777777" w:rsidR="00E6060C" w:rsidRPr="00E6060C" w:rsidRDefault="00E6060C" w:rsidP="00E6060C">
            <w:pPr>
              <w:contextualSpacing/>
            </w:pPr>
            <w:r w:rsidRPr="00E6060C">
              <w:t>Y</w:t>
            </w:r>
          </w:p>
        </w:tc>
        <w:tc>
          <w:tcPr>
            <w:tcW w:w="1097" w:type="dxa"/>
          </w:tcPr>
          <w:p w14:paraId="730B6C96" w14:textId="77777777" w:rsidR="00E6060C" w:rsidRPr="00E6060C" w:rsidRDefault="00E6060C" w:rsidP="00E6060C">
            <w:pPr>
              <w:contextualSpacing/>
            </w:pPr>
            <w:r w:rsidRPr="00E6060C">
              <w:t>N</w:t>
            </w:r>
          </w:p>
        </w:tc>
        <w:tc>
          <w:tcPr>
            <w:tcW w:w="1199" w:type="dxa"/>
          </w:tcPr>
          <w:p w14:paraId="1851B413" w14:textId="77777777" w:rsidR="00E6060C" w:rsidRPr="00E6060C" w:rsidRDefault="00E6060C" w:rsidP="00E6060C">
            <w:pPr>
              <w:contextualSpacing/>
            </w:pPr>
            <w:r w:rsidRPr="00E6060C">
              <w:t>Y</w:t>
            </w:r>
          </w:p>
        </w:tc>
        <w:tc>
          <w:tcPr>
            <w:tcW w:w="1483" w:type="dxa"/>
          </w:tcPr>
          <w:p w14:paraId="117600DE" w14:textId="77777777" w:rsidR="00E6060C" w:rsidRPr="00E6060C" w:rsidRDefault="00E6060C" w:rsidP="00E6060C">
            <w:pPr>
              <w:contextualSpacing/>
            </w:pPr>
            <w:r w:rsidRPr="00E6060C">
              <w:t>13.6%</w:t>
            </w:r>
          </w:p>
        </w:tc>
        <w:tc>
          <w:tcPr>
            <w:tcW w:w="1483" w:type="dxa"/>
          </w:tcPr>
          <w:p w14:paraId="770BEE75" w14:textId="77777777" w:rsidR="00E6060C" w:rsidRPr="00E6060C" w:rsidRDefault="00E6060C" w:rsidP="00E6060C">
            <w:pPr>
              <w:contextualSpacing/>
            </w:pPr>
            <w:r w:rsidRPr="00E6060C">
              <w:t>Y</w:t>
            </w:r>
          </w:p>
        </w:tc>
        <w:tc>
          <w:tcPr>
            <w:tcW w:w="1624" w:type="dxa"/>
          </w:tcPr>
          <w:p w14:paraId="1FC7E5FB" w14:textId="77777777" w:rsidR="00E6060C" w:rsidRPr="00E6060C" w:rsidRDefault="00E6060C" w:rsidP="00E6060C">
            <w:pPr>
              <w:contextualSpacing/>
            </w:pPr>
            <w:r w:rsidRPr="00E6060C">
              <w:t>Dropouts were younger, and had less home visiting nursing experience</w:t>
            </w:r>
          </w:p>
        </w:tc>
        <w:tc>
          <w:tcPr>
            <w:tcW w:w="1700" w:type="dxa"/>
            <w:gridSpan w:val="2"/>
          </w:tcPr>
          <w:p w14:paraId="52CEA22D" w14:textId="77777777" w:rsidR="00E6060C" w:rsidRPr="00E6060C" w:rsidRDefault="00E6060C" w:rsidP="00E6060C">
            <w:pPr>
              <w:contextualSpacing/>
            </w:pPr>
            <w:r w:rsidRPr="00E6060C">
              <w:t>-</w:t>
            </w:r>
          </w:p>
        </w:tc>
      </w:tr>
      <w:tr w:rsidR="00E6060C" w:rsidRPr="00E6060C" w14:paraId="7969358E" w14:textId="77777777" w:rsidTr="00E6060C">
        <w:tc>
          <w:tcPr>
            <w:tcW w:w="567" w:type="dxa"/>
            <w:tcBorders>
              <w:bottom w:val="single" w:sz="4" w:space="0" w:color="auto"/>
            </w:tcBorders>
          </w:tcPr>
          <w:p w14:paraId="4D28A41D" w14:textId="77777777" w:rsidR="00E6060C" w:rsidRPr="00E6060C" w:rsidRDefault="00E6060C" w:rsidP="00E6060C">
            <w:pPr>
              <w:contextualSpacing/>
            </w:pPr>
            <w:r w:rsidRPr="00E6060C">
              <w:t>18</w:t>
            </w:r>
          </w:p>
        </w:tc>
        <w:tc>
          <w:tcPr>
            <w:tcW w:w="1406" w:type="dxa"/>
            <w:tcBorders>
              <w:bottom w:val="single" w:sz="4" w:space="0" w:color="auto"/>
            </w:tcBorders>
          </w:tcPr>
          <w:p w14:paraId="2B2CC3E7" w14:textId="77777777" w:rsidR="00E6060C" w:rsidRPr="00E6060C" w:rsidRDefault="00E6060C" w:rsidP="00E6060C">
            <w:pPr>
              <w:contextualSpacing/>
            </w:pPr>
            <w:r w:rsidRPr="00E6060C">
              <w:t>Rickard et al., 2012</w:t>
            </w:r>
          </w:p>
        </w:tc>
        <w:tc>
          <w:tcPr>
            <w:tcW w:w="1430" w:type="dxa"/>
            <w:tcBorders>
              <w:bottom w:val="single" w:sz="4" w:space="0" w:color="auto"/>
            </w:tcBorders>
          </w:tcPr>
          <w:p w14:paraId="6F6446D0" w14:textId="77777777" w:rsidR="00E6060C" w:rsidRPr="00E6060C" w:rsidRDefault="00E6060C" w:rsidP="00E6060C">
            <w:pPr>
              <w:contextualSpacing/>
            </w:pPr>
            <w:r w:rsidRPr="00E6060C">
              <w:t>Int:13.7% (Hosp 1, T1); 20.3% (Hosp 2, T1);</w:t>
            </w:r>
          </w:p>
          <w:p w14:paraId="74FD87DB" w14:textId="77777777" w:rsidR="00E6060C" w:rsidRPr="00E6060C" w:rsidRDefault="00E6060C" w:rsidP="00E6060C">
            <w:pPr>
              <w:contextualSpacing/>
            </w:pPr>
            <w:r w:rsidRPr="00E6060C">
              <w:t xml:space="preserve">21.4% (Hosp 1, T2); </w:t>
            </w:r>
          </w:p>
          <w:p w14:paraId="3D51C4C9" w14:textId="77777777" w:rsidR="00E6060C" w:rsidRPr="00E6060C" w:rsidRDefault="00E6060C" w:rsidP="00E6060C">
            <w:pPr>
              <w:contextualSpacing/>
            </w:pPr>
            <w:r w:rsidRPr="00E6060C">
              <w:t>30.8% (Hosp 2, T2)</w:t>
            </w:r>
          </w:p>
        </w:tc>
        <w:tc>
          <w:tcPr>
            <w:tcW w:w="1453" w:type="dxa"/>
            <w:tcBorders>
              <w:bottom w:val="single" w:sz="4" w:space="0" w:color="auto"/>
            </w:tcBorders>
          </w:tcPr>
          <w:p w14:paraId="04F71FFA" w14:textId="77777777" w:rsidR="00E6060C" w:rsidRPr="00E6060C" w:rsidRDefault="00E6060C" w:rsidP="00E6060C">
            <w:pPr>
              <w:contextualSpacing/>
            </w:pPr>
            <w:r w:rsidRPr="00E6060C">
              <w:t>Y</w:t>
            </w:r>
          </w:p>
        </w:tc>
        <w:tc>
          <w:tcPr>
            <w:tcW w:w="1305" w:type="dxa"/>
            <w:tcBorders>
              <w:bottom w:val="single" w:sz="4" w:space="0" w:color="auto"/>
            </w:tcBorders>
          </w:tcPr>
          <w:p w14:paraId="17925BD7" w14:textId="77777777" w:rsidR="00E6060C" w:rsidRPr="00E6060C" w:rsidRDefault="00E6060C" w:rsidP="00E6060C">
            <w:pPr>
              <w:contextualSpacing/>
            </w:pPr>
            <w:r w:rsidRPr="00E6060C">
              <w:t>Y</w:t>
            </w:r>
          </w:p>
        </w:tc>
        <w:tc>
          <w:tcPr>
            <w:tcW w:w="1097" w:type="dxa"/>
            <w:tcBorders>
              <w:bottom w:val="single" w:sz="4" w:space="0" w:color="auto"/>
            </w:tcBorders>
          </w:tcPr>
          <w:p w14:paraId="64DA0C6A" w14:textId="77777777" w:rsidR="00E6060C" w:rsidRPr="00E6060C" w:rsidRDefault="00E6060C" w:rsidP="00E6060C">
            <w:pPr>
              <w:contextualSpacing/>
            </w:pPr>
            <w:r w:rsidRPr="00E6060C">
              <w:t>N</w:t>
            </w:r>
          </w:p>
        </w:tc>
        <w:tc>
          <w:tcPr>
            <w:tcW w:w="1199" w:type="dxa"/>
            <w:tcBorders>
              <w:bottom w:val="single" w:sz="4" w:space="0" w:color="auto"/>
            </w:tcBorders>
          </w:tcPr>
          <w:p w14:paraId="1C1B1906" w14:textId="77777777" w:rsidR="00E6060C" w:rsidRPr="00E6060C" w:rsidRDefault="00E6060C" w:rsidP="00E6060C">
            <w:pPr>
              <w:contextualSpacing/>
            </w:pPr>
            <w:r w:rsidRPr="00E6060C">
              <w:t>Y</w:t>
            </w:r>
          </w:p>
        </w:tc>
        <w:tc>
          <w:tcPr>
            <w:tcW w:w="1483" w:type="dxa"/>
            <w:tcBorders>
              <w:bottom w:val="single" w:sz="4" w:space="0" w:color="auto"/>
            </w:tcBorders>
          </w:tcPr>
          <w:p w14:paraId="569BBED7" w14:textId="77777777" w:rsidR="00E6060C" w:rsidRPr="00E6060C" w:rsidRDefault="00E6060C" w:rsidP="00E6060C">
            <w:pPr>
              <w:contextualSpacing/>
            </w:pPr>
            <w:r w:rsidRPr="00E6060C">
              <w:t>Unclear</w:t>
            </w:r>
          </w:p>
        </w:tc>
        <w:tc>
          <w:tcPr>
            <w:tcW w:w="1483" w:type="dxa"/>
            <w:tcBorders>
              <w:bottom w:val="single" w:sz="4" w:space="0" w:color="auto"/>
            </w:tcBorders>
          </w:tcPr>
          <w:p w14:paraId="2FF518C5" w14:textId="77777777" w:rsidR="00E6060C" w:rsidRPr="00E6060C" w:rsidRDefault="00E6060C" w:rsidP="00E6060C">
            <w:pPr>
              <w:contextualSpacing/>
            </w:pPr>
            <w:r w:rsidRPr="00E6060C">
              <w:t>Y</w:t>
            </w:r>
          </w:p>
        </w:tc>
        <w:tc>
          <w:tcPr>
            <w:tcW w:w="1624" w:type="dxa"/>
            <w:tcBorders>
              <w:bottom w:val="single" w:sz="4" w:space="0" w:color="auto"/>
            </w:tcBorders>
          </w:tcPr>
          <w:p w14:paraId="68C40F29" w14:textId="77777777" w:rsidR="00E6060C" w:rsidRPr="00E6060C" w:rsidRDefault="00E6060C" w:rsidP="00F15DDF">
            <w:pPr>
              <w:numPr>
                <w:ilvl w:val="0"/>
                <w:numId w:val="55"/>
              </w:numPr>
              <w:tabs>
                <w:tab w:val="left" w:pos="29"/>
              </w:tabs>
              <w:contextualSpacing/>
            </w:pPr>
            <w:r w:rsidRPr="00E6060C">
              <w:t>The sample was compared to the wider hospital based nursing population and found to be representative in terms of age and gender</w:t>
            </w:r>
          </w:p>
        </w:tc>
        <w:tc>
          <w:tcPr>
            <w:tcW w:w="1700" w:type="dxa"/>
            <w:gridSpan w:val="2"/>
            <w:tcBorders>
              <w:bottom w:val="single" w:sz="4" w:space="0" w:color="auto"/>
            </w:tcBorders>
          </w:tcPr>
          <w:p w14:paraId="448690AE" w14:textId="77777777" w:rsidR="00E6060C" w:rsidRPr="00E6060C" w:rsidRDefault="00E6060C" w:rsidP="00F15DDF">
            <w:pPr>
              <w:numPr>
                <w:ilvl w:val="0"/>
                <w:numId w:val="55"/>
              </w:numPr>
              <w:ind w:left="319" w:hanging="290"/>
              <w:contextualSpacing/>
            </w:pPr>
            <w:r w:rsidRPr="00E6060C">
              <w:t xml:space="preserve">High staff turnover: 28-29% for Hosp 1 during the intervention; 33-45% for Hosp 2, compared to </w:t>
            </w:r>
            <w:r w:rsidRPr="00E6060C">
              <w:rPr>
                <w:rFonts w:ascii="Calibri" w:hAnsi="Calibri"/>
              </w:rPr>
              <w:t>31-32% for the whole nursing workforce</w:t>
            </w:r>
          </w:p>
        </w:tc>
      </w:tr>
      <w:tr w:rsidR="00E6060C" w:rsidRPr="00E6060C" w14:paraId="15B9B82B" w14:textId="77777777" w:rsidTr="00E6060C">
        <w:trPr>
          <w:gridAfter w:val="1"/>
          <w:wAfter w:w="6" w:type="dxa"/>
        </w:trPr>
        <w:tc>
          <w:tcPr>
            <w:tcW w:w="14741" w:type="dxa"/>
            <w:gridSpan w:val="11"/>
            <w:tcBorders>
              <w:top w:val="single" w:sz="4" w:space="0" w:color="auto"/>
              <w:bottom w:val="single" w:sz="4" w:space="0" w:color="auto"/>
            </w:tcBorders>
          </w:tcPr>
          <w:p w14:paraId="54387A54" w14:textId="77777777" w:rsidR="00E6060C" w:rsidRPr="00E6060C" w:rsidRDefault="00E6060C" w:rsidP="00E6060C">
            <w:pPr>
              <w:rPr>
                <w:b/>
                <w:sz w:val="28"/>
                <w:szCs w:val="28"/>
              </w:rPr>
            </w:pPr>
            <w:r w:rsidRPr="00E6060C">
              <w:rPr>
                <w:b/>
                <w:sz w:val="28"/>
                <w:szCs w:val="28"/>
              </w:rPr>
              <w:t>LEADERSHIP TRAINING INTERVENTIONS</w:t>
            </w:r>
          </w:p>
        </w:tc>
      </w:tr>
      <w:tr w:rsidR="00E6060C" w:rsidRPr="00E6060C" w14:paraId="673EEF63" w14:textId="77777777" w:rsidTr="00E6060C">
        <w:tc>
          <w:tcPr>
            <w:tcW w:w="567" w:type="dxa"/>
            <w:tcBorders>
              <w:top w:val="single" w:sz="4" w:space="0" w:color="auto"/>
            </w:tcBorders>
          </w:tcPr>
          <w:p w14:paraId="10DB0052" w14:textId="77777777" w:rsidR="00E6060C" w:rsidRPr="00E6060C" w:rsidRDefault="00E6060C" w:rsidP="00E6060C">
            <w:pPr>
              <w:contextualSpacing/>
            </w:pPr>
            <w:r w:rsidRPr="00E6060C">
              <w:t>19</w:t>
            </w:r>
          </w:p>
        </w:tc>
        <w:tc>
          <w:tcPr>
            <w:tcW w:w="1406" w:type="dxa"/>
            <w:tcBorders>
              <w:top w:val="single" w:sz="4" w:space="0" w:color="auto"/>
            </w:tcBorders>
          </w:tcPr>
          <w:p w14:paraId="3CA81432" w14:textId="4B6C4FB7" w:rsidR="00E6060C" w:rsidRPr="00E6060C" w:rsidRDefault="004D6C5A" w:rsidP="005726FB">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Angelo </w:t>
            </w:r>
            <w:r w:rsidR="005726FB">
              <w:rPr>
                <w:rFonts w:ascii="Calibri" w:hAnsi="Calibri"/>
                <w:color w:val="000000"/>
              </w:rPr>
              <w:t>&amp; Chambel</w:t>
            </w:r>
            <w:r w:rsidR="00E6060C" w:rsidRPr="00E6060C">
              <w:rPr>
                <w:rFonts w:ascii="Calibri" w:hAnsi="Calibri"/>
                <w:color w:val="000000"/>
              </w:rPr>
              <w:t xml:space="preserve">, 2013 </w:t>
            </w:r>
          </w:p>
        </w:tc>
        <w:tc>
          <w:tcPr>
            <w:tcW w:w="1430" w:type="dxa"/>
            <w:tcBorders>
              <w:top w:val="single" w:sz="4" w:space="0" w:color="auto"/>
            </w:tcBorders>
          </w:tcPr>
          <w:p w14:paraId="171B83CE" w14:textId="77777777" w:rsidR="00E6060C" w:rsidRPr="00E6060C" w:rsidRDefault="00E6060C" w:rsidP="00E6060C">
            <w:pPr>
              <w:contextualSpacing/>
            </w:pPr>
            <w:r w:rsidRPr="00E6060C">
              <w:t>-</w:t>
            </w:r>
          </w:p>
        </w:tc>
        <w:tc>
          <w:tcPr>
            <w:tcW w:w="1453" w:type="dxa"/>
            <w:tcBorders>
              <w:top w:val="single" w:sz="4" w:space="0" w:color="auto"/>
            </w:tcBorders>
          </w:tcPr>
          <w:p w14:paraId="159C2DCF" w14:textId="77777777" w:rsidR="00E6060C" w:rsidRPr="00E6060C" w:rsidRDefault="00E6060C" w:rsidP="00E6060C">
            <w:r w:rsidRPr="00E6060C">
              <w:t>Y</w:t>
            </w:r>
          </w:p>
        </w:tc>
        <w:tc>
          <w:tcPr>
            <w:tcW w:w="1305" w:type="dxa"/>
            <w:tcBorders>
              <w:top w:val="single" w:sz="4" w:space="0" w:color="auto"/>
            </w:tcBorders>
          </w:tcPr>
          <w:p w14:paraId="23962BFA" w14:textId="77777777" w:rsidR="00E6060C" w:rsidRPr="00E6060C" w:rsidRDefault="00E6060C" w:rsidP="00E6060C">
            <w:r w:rsidRPr="00E6060C">
              <w:t>Y</w:t>
            </w:r>
          </w:p>
        </w:tc>
        <w:tc>
          <w:tcPr>
            <w:tcW w:w="1097" w:type="dxa"/>
            <w:tcBorders>
              <w:top w:val="single" w:sz="4" w:space="0" w:color="auto"/>
            </w:tcBorders>
          </w:tcPr>
          <w:p w14:paraId="5321DE20" w14:textId="77777777" w:rsidR="00E6060C" w:rsidRPr="00E6060C" w:rsidRDefault="00E6060C" w:rsidP="00E6060C">
            <w:r w:rsidRPr="00E6060C">
              <w:t>N</w:t>
            </w:r>
          </w:p>
        </w:tc>
        <w:tc>
          <w:tcPr>
            <w:tcW w:w="1199" w:type="dxa"/>
            <w:tcBorders>
              <w:top w:val="single" w:sz="4" w:space="0" w:color="auto"/>
            </w:tcBorders>
          </w:tcPr>
          <w:p w14:paraId="55535654" w14:textId="77777777" w:rsidR="00E6060C" w:rsidRPr="00E6060C" w:rsidRDefault="00E6060C" w:rsidP="00E6060C">
            <w:r w:rsidRPr="00E6060C">
              <w:t>Y</w:t>
            </w:r>
          </w:p>
        </w:tc>
        <w:tc>
          <w:tcPr>
            <w:tcW w:w="1483" w:type="dxa"/>
            <w:tcBorders>
              <w:top w:val="single" w:sz="4" w:space="0" w:color="auto"/>
            </w:tcBorders>
          </w:tcPr>
          <w:p w14:paraId="7923B326" w14:textId="77777777" w:rsidR="00E6060C" w:rsidRPr="00E6060C" w:rsidRDefault="00E6060C" w:rsidP="00E6060C">
            <w:pPr>
              <w:contextualSpacing/>
            </w:pPr>
            <w:r w:rsidRPr="00E6060C">
              <w:t>Not reported</w:t>
            </w:r>
          </w:p>
        </w:tc>
        <w:tc>
          <w:tcPr>
            <w:tcW w:w="1483" w:type="dxa"/>
            <w:tcBorders>
              <w:top w:val="single" w:sz="4" w:space="0" w:color="auto"/>
            </w:tcBorders>
          </w:tcPr>
          <w:p w14:paraId="699CA274" w14:textId="77777777" w:rsidR="00E6060C" w:rsidRPr="00E6060C" w:rsidRDefault="00E6060C" w:rsidP="00E6060C">
            <w:pPr>
              <w:contextualSpacing/>
            </w:pPr>
            <w:r w:rsidRPr="00E6060C">
              <w:t>N</w:t>
            </w:r>
          </w:p>
        </w:tc>
        <w:tc>
          <w:tcPr>
            <w:tcW w:w="1624" w:type="dxa"/>
            <w:tcBorders>
              <w:top w:val="single" w:sz="4" w:space="0" w:color="auto"/>
            </w:tcBorders>
          </w:tcPr>
          <w:p w14:paraId="39111A7A" w14:textId="77777777" w:rsidR="00E6060C" w:rsidRPr="00E6060C" w:rsidRDefault="00E6060C" w:rsidP="00E6060C">
            <w:pPr>
              <w:contextualSpacing/>
            </w:pPr>
            <w:r w:rsidRPr="00E6060C">
              <w:t>-</w:t>
            </w:r>
          </w:p>
        </w:tc>
        <w:tc>
          <w:tcPr>
            <w:tcW w:w="1700" w:type="dxa"/>
            <w:gridSpan w:val="2"/>
            <w:tcBorders>
              <w:top w:val="single" w:sz="4" w:space="0" w:color="auto"/>
            </w:tcBorders>
          </w:tcPr>
          <w:p w14:paraId="60318818" w14:textId="77777777" w:rsidR="00E6060C" w:rsidRPr="00E6060C" w:rsidRDefault="00E6060C" w:rsidP="00E6060C">
            <w:pPr>
              <w:contextualSpacing/>
            </w:pPr>
            <w:r w:rsidRPr="00E6060C">
              <w:t>-</w:t>
            </w:r>
          </w:p>
        </w:tc>
      </w:tr>
      <w:tr w:rsidR="00E6060C" w:rsidRPr="00E6060C" w14:paraId="685DB1EF" w14:textId="77777777" w:rsidTr="00E6060C">
        <w:tc>
          <w:tcPr>
            <w:tcW w:w="567" w:type="dxa"/>
          </w:tcPr>
          <w:p w14:paraId="74728DAA" w14:textId="77777777" w:rsidR="00E6060C" w:rsidRPr="00E6060C" w:rsidRDefault="00E6060C" w:rsidP="00E6060C">
            <w:pPr>
              <w:contextualSpacing/>
            </w:pPr>
            <w:r w:rsidRPr="00E6060C">
              <w:t>20</w:t>
            </w:r>
          </w:p>
        </w:tc>
        <w:tc>
          <w:tcPr>
            <w:tcW w:w="1406" w:type="dxa"/>
          </w:tcPr>
          <w:p w14:paraId="69B1B7C1" w14:textId="3CDF9088" w:rsidR="00E6060C" w:rsidRPr="00E6060C" w:rsidRDefault="004D6C5A" w:rsidP="00E6060C">
            <w:pPr>
              <w:contextualSpacing/>
              <w:rPr>
                <w:rFonts w:ascii="Calibri" w:hAnsi="Calibri"/>
                <w:color w:val="000000"/>
              </w:rPr>
            </w:pPr>
            <w:r>
              <w:rPr>
                <w:rFonts w:ascii="Calibri" w:hAnsi="Calibri"/>
                <w:color w:val="000000"/>
              </w:rPr>
              <w:t>*</w:t>
            </w:r>
            <w:r w:rsidR="00A54063">
              <w:rPr>
                <w:rFonts w:ascii="Calibri" w:hAnsi="Calibri"/>
                <w:color w:val="000000"/>
              </w:rPr>
              <w:t>Biggs et al., 2014</w:t>
            </w:r>
            <w:r w:rsidR="00E6060C" w:rsidRPr="00E6060C">
              <w:rPr>
                <w:rFonts w:ascii="Calibri" w:hAnsi="Calibri"/>
                <w:color w:val="000000"/>
              </w:rPr>
              <w:t xml:space="preserve"> </w:t>
            </w:r>
          </w:p>
        </w:tc>
        <w:tc>
          <w:tcPr>
            <w:tcW w:w="1430" w:type="dxa"/>
          </w:tcPr>
          <w:p w14:paraId="61E350D6" w14:textId="77777777" w:rsidR="00E6060C" w:rsidRPr="00E6060C" w:rsidRDefault="00E6060C" w:rsidP="00E6060C">
            <w:pPr>
              <w:contextualSpacing/>
            </w:pPr>
            <w:r w:rsidRPr="00E6060C">
              <w:t>42% (T1)</w:t>
            </w:r>
          </w:p>
        </w:tc>
        <w:tc>
          <w:tcPr>
            <w:tcW w:w="1453" w:type="dxa"/>
          </w:tcPr>
          <w:p w14:paraId="68A106E5" w14:textId="77777777" w:rsidR="00E6060C" w:rsidRPr="00E6060C" w:rsidRDefault="00E6060C" w:rsidP="00E6060C">
            <w:r w:rsidRPr="00E6060C">
              <w:t>Y</w:t>
            </w:r>
          </w:p>
        </w:tc>
        <w:tc>
          <w:tcPr>
            <w:tcW w:w="1305" w:type="dxa"/>
          </w:tcPr>
          <w:p w14:paraId="04926147" w14:textId="77777777" w:rsidR="00E6060C" w:rsidRPr="00E6060C" w:rsidRDefault="00E6060C" w:rsidP="00E6060C">
            <w:r w:rsidRPr="00E6060C">
              <w:t>Y</w:t>
            </w:r>
          </w:p>
        </w:tc>
        <w:tc>
          <w:tcPr>
            <w:tcW w:w="1097" w:type="dxa"/>
          </w:tcPr>
          <w:p w14:paraId="7EAA8B59" w14:textId="77777777" w:rsidR="00E6060C" w:rsidRPr="00E6060C" w:rsidRDefault="00E6060C" w:rsidP="00E6060C">
            <w:r w:rsidRPr="00E6060C">
              <w:t>N</w:t>
            </w:r>
          </w:p>
        </w:tc>
        <w:tc>
          <w:tcPr>
            <w:tcW w:w="1199" w:type="dxa"/>
          </w:tcPr>
          <w:p w14:paraId="6FB0DC20" w14:textId="77777777" w:rsidR="00E6060C" w:rsidRPr="00E6060C" w:rsidRDefault="00E6060C" w:rsidP="00E6060C">
            <w:r w:rsidRPr="00E6060C">
              <w:t>Y</w:t>
            </w:r>
          </w:p>
        </w:tc>
        <w:tc>
          <w:tcPr>
            <w:tcW w:w="1483" w:type="dxa"/>
          </w:tcPr>
          <w:p w14:paraId="6EF9AF22" w14:textId="77777777" w:rsidR="00E6060C" w:rsidRPr="00E6060C" w:rsidRDefault="00E6060C" w:rsidP="00E6060C">
            <w:pPr>
              <w:contextualSpacing/>
            </w:pPr>
            <w:r w:rsidRPr="00E6060C">
              <w:t>56%</w:t>
            </w:r>
          </w:p>
        </w:tc>
        <w:tc>
          <w:tcPr>
            <w:tcW w:w="1483" w:type="dxa"/>
          </w:tcPr>
          <w:p w14:paraId="7BC0A0C3" w14:textId="77777777" w:rsidR="00E6060C" w:rsidRPr="00E6060C" w:rsidRDefault="00E6060C" w:rsidP="00E6060C">
            <w:pPr>
              <w:contextualSpacing/>
            </w:pPr>
            <w:r w:rsidRPr="00E6060C">
              <w:t>N</w:t>
            </w:r>
          </w:p>
        </w:tc>
        <w:tc>
          <w:tcPr>
            <w:tcW w:w="1624" w:type="dxa"/>
          </w:tcPr>
          <w:p w14:paraId="27E44AF5" w14:textId="77777777" w:rsidR="00E6060C" w:rsidRPr="00E6060C" w:rsidRDefault="00E6060C" w:rsidP="00E6060C">
            <w:pPr>
              <w:contextualSpacing/>
            </w:pPr>
            <w:r w:rsidRPr="00E6060C">
              <w:t>-</w:t>
            </w:r>
          </w:p>
        </w:tc>
        <w:tc>
          <w:tcPr>
            <w:tcW w:w="1700" w:type="dxa"/>
            <w:gridSpan w:val="2"/>
          </w:tcPr>
          <w:p w14:paraId="7C1C650E" w14:textId="77777777" w:rsidR="00E6060C" w:rsidRPr="00E6060C" w:rsidRDefault="00E6060C" w:rsidP="00E6060C">
            <w:pPr>
              <w:contextualSpacing/>
            </w:pPr>
            <w:r w:rsidRPr="00E6060C">
              <w:t>-</w:t>
            </w:r>
          </w:p>
        </w:tc>
      </w:tr>
      <w:tr w:rsidR="00E6060C" w:rsidRPr="00E6060C" w14:paraId="37A68A3C" w14:textId="77777777" w:rsidTr="00E6060C">
        <w:tc>
          <w:tcPr>
            <w:tcW w:w="567" w:type="dxa"/>
          </w:tcPr>
          <w:p w14:paraId="6D8014BC" w14:textId="77777777" w:rsidR="00E6060C" w:rsidRPr="00E6060C" w:rsidRDefault="00E6060C" w:rsidP="00E6060C">
            <w:pPr>
              <w:contextualSpacing/>
            </w:pPr>
            <w:r w:rsidRPr="00E6060C">
              <w:t>21</w:t>
            </w:r>
          </w:p>
        </w:tc>
        <w:tc>
          <w:tcPr>
            <w:tcW w:w="1406" w:type="dxa"/>
          </w:tcPr>
          <w:p w14:paraId="65A85440" w14:textId="626F2CF6"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Kmiec, 2010 </w:t>
            </w:r>
          </w:p>
        </w:tc>
        <w:tc>
          <w:tcPr>
            <w:tcW w:w="1430" w:type="dxa"/>
          </w:tcPr>
          <w:p w14:paraId="05B50115" w14:textId="77777777" w:rsidR="00E6060C" w:rsidRPr="00E6060C" w:rsidRDefault="00E6060C" w:rsidP="00E6060C">
            <w:pPr>
              <w:contextualSpacing/>
            </w:pPr>
            <w:r w:rsidRPr="00E6060C">
              <w:t>Int:93.8%;</w:t>
            </w:r>
          </w:p>
          <w:p w14:paraId="0BF73057" w14:textId="77777777" w:rsidR="00E6060C" w:rsidRPr="00E6060C" w:rsidRDefault="00E6060C" w:rsidP="00E6060C">
            <w:pPr>
              <w:contextualSpacing/>
            </w:pPr>
            <w:r w:rsidRPr="00E6060C">
              <w:t>Con:67.8%</w:t>
            </w:r>
          </w:p>
        </w:tc>
        <w:tc>
          <w:tcPr>
            <w:tcW w:w="1453" w:type="dxa"/>
          </w:tcPr>
          <w:p w14:paraId="25062571" w14:textId="77777777" w:rsidR="00E6060C" w:rsidRPr="00E6060C" w:rsidRDefault="00E6060C" w:rsidP="00E6060C">
            <w:r w:rsidRPr="00E6060C">
              <w:t>Y</w:t>
            </w:r>
          </w:p>
        </w:tc>
        <w:tc>
          <w:tcPr>
            <w:tcW w:w="1305" w:type="dxa"/>
          </w:tcPr>
          <w:p w14:paraId="77D71D7D" w14:textId="77777777" w:rsidR="00E6060C" w:rsidRPr="00E6060C" w:rsidRDefault="00E6060C" w:rsidP="00E6060C">
            <w:r w:rsidRPr="00E6060C">
              <w:t>Y</w:t>
            </w:r>
          </w:p>
        </w:tc>
        <w:tc>
          <w:tcPr>
            <w:tcW w:w="1097" w:type="dxa"/>
          </w:tcPr>
          <w:p w14:paraId="12934284" w14:textId="77777777" w:rsidR="00E6060C" w:rsidRPr="00E6060C" w:rsidRDefault="00E6060C" w:rsidP="00E6060C">
            <w:r w:rsidRPr="00E6060C">
              <w:t>N</w:t>
            </w:r>
          </w:p>
        </w:tc>
        <w:tc>
          <w:tcPr>
            <w:tcW w:w="1199" w:type="dxa"/>
          </w:tcPr>
          <w:p w14:paraId="366B9067" w14:textId="77777777" w:rsidR="00E6060C" w:rsidRPr="00E6060C" w:rsidRDefault="00E6060C" w:rsidP="00E6060C">
            <w:r w:rsidRPr="00E6060C">
              <w:t>Y</w:t>
            </w:r>
          </w:p>
        </w:tc>
        <w:tc>
          <w:tcPr>
            <w:tcW w:w="1483" w:type="dxa"/>
          </w:tcPr>
          <w:p w14:paraId="578FA013" w14:textId="77777777" w:rsidR="00E6060C" w:rsidRPr="00E6060C" w:rsidRDefault="00E6060C" w:rsidP="00E6060C">
            <w:pPr>
              <w:contextualSpacing/>
            </w:pPr>
            <w:r w:rsidRPr="00E6060C">
              <w:t>-</w:t>
            </w:r>
          </w:p>
        </w:tc>
        <w:tc>
          <w:tcPr>
            <w:tcW w:w="1483" w:type="dxa"/>
          </w:tcPr>
          <w:p w14:paraId="3BFCDEE1" w14:textId="77777777" w:rsidR="00E6060C" w:rsidRPr="00E6060C" w:rsidRDefault="00E6060C" w:rsidP="00E6060C">
            <w:pPr>
              <w:contextualSpacing/>
            </w:pPr>
            <w:r w:rsidRPr="00E6060C">
              <w:t>N</w:t>
            </w:r>
          </w:p>
        </w:tc>
        <w:tc>
          <w:tcPr>
            <w:tcW w:w="1624" w:type="dxa"/>
          </w:tcPr>
          <w:p w14:paraId="6EFF3FBE" w14:textId="77777777" w:rsidR="00E6060C" w:rsidRPr="00E6060C" w:rsidRDefault="00E6060C" w:rsidP="00E6060C">
            <w:pPr>
              <w:contextualSpacing/>
            </w:pPr>
            <w:r w:rsidRPr="00E6060C">
              <w:t>-</w:t>
            </w:r>
          </w:p>
        </w:tc>
        <w:tc>
          <w:tcPr>
            <w:tcW w:w="1700" w:type="dxa"/>
            <w:gridSpan w:val="2"/>
          </w:tcPr>
          <w:p w14:paraId="513D4C57" w14:textId="77777777" w:rsidR="00E6060C" w:rsidRPr="00E6060C" w:rsidRDefault="00E6060C" w:rsidP="00E6060C">
            <w:pPr>
              <w:contextualSpacing/>
            </w:pPr>
            <w:r w:rsidRPr="00E6060C">
              <w:t>-</w:t>
            </w:r>
          </w:p>
        </w:tc>
      </w:tr>
      <w:tr w:rsidR="00E6060C" w:rsidRPr="00E6060C" w14:paraId="4E8804C6" w14:textId="77777777" w:rsidTr="00E6060C">
        <w:tc>
          <w:tcPr>
            <w:tcW w:w="567" w:type="dxa"/>
          </w:tcPr>
          <w:p w14:paraId="0B11F777" w14:textId="77777777" w:rsidR="00E6060C" w:rsidRPr="00E6060C" w:rsidRDefault="00E6060C" w:rsidP="00E6060C">
            <w:pPr>
              <w:contextualSpacing/>
            </w:pPr>
            <w:r w:rsidRPr="00E6060C">
              <w:lastRenderedPageBreak/>
              <w:t>22</w:t>
            </w:r>
          </w:p>
        </w:tc>
        <w:tc>
          <w:tcPr>
            <w:tcW w:w="1406" w:type="dxa"/>
          </w:tcPr>
          <w:p w14:paraId="4B4F57A3" w14:textId="38B25D57" w:rsidR="00E6060C" w:rsidRPr="00E6060C" w:rsidRDefault="004D6C5A" w:rsidP="00E6060C">
            <w:pPr>
              <w:contextualSpacing/>
              <w:rPr>
                <w:rFonts w:ascii="Calibri" w:hAnsi="Calibri"/>
              </w:rPr>
            </w:pPr>
            <w:r>
              <w:rPr>
                <w:rFonts w:ascii="Calibri" w:hAnsi="Calibri"/>
              </w:rPr>
              <w:t>*</w:t>
            </w:r>
            <w:r w:rsidR="00E6060C" w:rsidRPr="00E6060C">
              <w:rPr>
                <w:rFonts w:ascii="Calibri" w:hAnsi="Calibri"/>
              </w:rPr>
              <w:t xml:space="preserve">Rigotti et al., 2014 </w:t>
            </w:r>
          </w:p>
        </w:tc>
        <w:tc>
          <w:tcPr>
            <w:tcW w:w="1430" w:type="dxa"/>
          </w:tcPr>
          <w:p w14:paraId="3DE1E607" w14:textId="77777777" w:rsidR="00E6060C" w:rsidRPr="00E6060C" w:rsidRDefault="00E6060C" w:rsidP="00E6060C">
            <w:pPr>
              <w:contextualSpacing/>
            </w:pPr>
            <w:r w:rsidRPr="00E6060C">
              <w:t>74% (Germany)</w:t>
            </w:r>
          </w:p>
        </w:tc>
        <w:tc>
          <w:tcPr>
            <w:tcW w:w="1453" w:type="dxa"/>
          </w:tcPr>
          <w:p w14:paraId="1E425DE8" w14:textId="77777777" w:rsidR="00E6060C" w:rsidRPr="00E6060C" w:rsidRDefault="00E6060C" w:rsidP="00E6060C">
            <w:r w:rsidRPr="00E6060C">
              <w:t>Y</w:t>
            </w:r>
          </w:p>
        </w:tc>
        <w:tc>
          <w:tcPr>
            <w:tcW w:w="1305" w:type="dxa"/>
          </w:tcPr>
          <w:p w14:paraId="73194C12" w14:textId="77777777" w:rsidR="00E6060C" w:rsidRPr="00E6060C" w:rsidRDefault="00E6060C" w:rsidP="00E6060C">
            <w:r w:rsidRPr="00E6060C">
              <w:t>Y</w:t>
            </w:r>
          </w:p>
        </w:tc>
        <w:tc>
          <w:tcPr>
            <w:tcW w:w="1097" w:type="dxa"/>
          </w:tcPr>
          <w:p w14:paraId="2C88309F" w14:textId="77777777" w:rsidR="00E6060C" w:rsidRPr="00E6060C" w:rsidRDefault="00E6060C" w:rsidP="00E6060C">
            <w:r w:rsidRPr="00E6060C">
              <w:t>N</w:t>
            </w:r>
          </w:p>
        </w:tc>
        <w:tc>
          <w:tcPr>
            <w:tcW w:w="1199" w:type="dxa"/>
          </w:tcPr>
          <w:p w14:paraId="7FBE14C1" w14:textId="77777777" w:rsidR="00E6060C" w:rsidRPr="00E6060C" w:rsidRDefault="00E6060C" w:rsidP="00E6060C">
            <w:r w:rsidRPr="00E6060C">
              <w:t>Y</w:t>
            </w:r>
          </w:p>
        </w:tc>
        <w:tc>
          <w:tcPr>
            <w:tcW w:w="1483" w:type="dxa"/>
          </w:tcPr>
          <w:p w14:paraId="3A2F3DE1" w14:textId="77777777" w:rsidR="00E6060C" w:rsidRPr="00E6060C" w:rsidRDefault="00E6060C" w:rsidP="00E6060C">
            <w:pPr>
              <w:contextualSpacing/>
            </w:pPr>
            <w:r w:rsidRPr="00E6060C">
              <w:t>Con:45.8%</w:t>
            </w:r>
          </w:p>
        </w:tc>
        <w:tc>
          <w:tcPr>
            <w:tcW w:w="1483" w:type="dxa"/>
          </w:tcPr>
          <w:p w14:paraId="4165ADB1" w14:textId="77777777" w:rsidR="00E6060C" w:rsidRPr="00E6060C" w:rsidRDefault="00E6060C" w:rsidP="00E6060C">
            <w:pPr>
              <w:contextualSpacing/>
            </w:pPr>
            <w:r w:rsidRPr="00E6060C">
              <w:t>Y</w:t>
            </w:r>
          </w:p>
        </w:tc>
        <w:tc>
          <w:tcPr>
            <w:tcW w:w="1624" w:type="dxa"/>
          </w:tcPr>
          <w:p w14:paraId="74C527AE" w14:textId="77777777" w:rsidR="00E6060C" w:rsidRPr="00E6060C" w:rsidRDefault="00E6060C" w:rsidP="00E6060C">
            <w:r w:rsidRPr="00E6060C">
              <w:t>Based on analyses between control group respondents across time, and control group non-respondents (i.e. these analyses do NOT involve the intervention group)</w:t>
            </w:r>
          </w:p>
          <w:p w14:paraId="4A9029E2" w14:textId="77777777" w:rsidR="00E6060C" w:rsidRPr="00E6060C" w:rsidRDefault="00E6060C" w:rsidP="00F15DDF">
            <w:pPr>
              <w:numPr>
                <w:ilvl w:val="0"/>
                <w:numId w:val="56"/>
              </w:numPr>
              <w:ind w:left="170" w:hanging="170"/>
              <w:contextualSpacing/>
            </w:pPr>
            <w:r w:rsidRPr="00E6060C">
              <w:t>Dropouts reported leaders to be less transformational and more abusive than the intervention group</w:t>
            </w:r>
          </w:p>
          <w:p w14:paraId="17A39DB1" w14:textId="77777777" w:rsidR="00E6060C" w:rsidRPr="00E6060C" w:rsidRDefault="00E6060C" w:rsidP="00F15DDF">
            <w:pPr>
              <w:numPr>
                <w:ilvl w:val="0"/>
                <w:numId w:val="56"/>
              </w:numPr>
              <w:ind w:left="170" w:hanging="170"/>
              <w:contextualSpacing/>
            </w:pPr>
            <w:r w:rsidRPr="00E6060C">
              <w:t>Dropouts reported less cognitive demands and less somatic stress symptoms</w:t>
            </w:r>
          </w:p>
          <w:p w14:paraId="7AE559ED" w14:textId="77777777" w:rsidR="00E6060C" w:rsidRPr="00E6060C" w:rsidRDefault="00E6060C" w:rsidP="00F15DDF">
            <w:pPr>
              <w:numPr>
                <w:ilvl w:val="0"/>
                <w:numId w:val="56"/>
              </w:numPr>
              <w:ind w:left="170" w:hanging="170"/>
              <w:contextualSpacing/>
            </w:pPr>
            <w:r w:rsidRPr="00E6060C">
              <w:lastRenderedPageBreak/>
              <w:t>Non dropouts tended to be women</w:t>
            </w:r>
          </w:p>
          <w:p w14:paraId="4BB7D601" w14:textId="2C560E4D" w:rsidR="00E6060C" w:rsidRPr="00E6060C" w:rsidRDefault="00E6060C" w:rsidP="00F15DDF">
            <w:pPr>
              <w:numPr>
                <w:ilvl w:val="0"/>
                <w:numId w:val="56"/>
              </w:numPr>
              <w:ind w:left="170" w:hanging="170"/>
              <w:contextualSpacing/>
            </w:pPr>
            <w:r w:rsidRPr="00E6060C">
              <w:t xml:space="preserve">Non dropouts reported better </w:t>
            </w:r>
            <w:r w:rsidR="001D6140">
              <w:t>well-being</w:t>
            </w:r>
            <w:r w:rsidRPr="00E6060C">
              <w:t xml:space="preserve"> (e.g. higher autonomy, self-efficacy)</w:t>
            </w:r>
          </w:p>
        </w:tc>
        <w:tc>
          <w:tcPr>
            <w:tcW w:w="1700" w:type="dxa"/>
            <w:gridSpan w:val="2"/>
          </w:tcPr>
          <w:p w14:paraId="6699B668" w14:textId="77777777" w:rsidR="00E6060C" w:rsidRPr="00E6060C" w:rsidRDefault="00E6060C" w:rsidP="00E6060C">
            <w:r w:rsidRPr="00E6060C">
              <w:lastRenderedPageBreak/>
              <w:t>Participation rate varied due to:</w:t>
            </w:r>
          </w:p>
          <w:p w14:paraId="31F7B003" w14:textId="77777777" w:rsidR="00E6060C" w:rsidRPr="00E6060C" w:rsidRDefault="00E6060C" w:rsidP="00F15DDF">
            <w:pPr>
              <w:numPr>
                <w:ilvl w:val="0"/>
                <w:numId w:val="57"/>
              </w:numPr>
              <w:ind w:left="176" w:hanging="176"/>
              <w:contextualSpacing/>
            </w:pPr>
            <w:r w:rsidRPr="00E6060C">
              <w:t>Sickness absence</w:t>
            </w:r>
          </w:p>
          <w:p w14:paraId="06284314" w14:textId="77777777" w:rsidR="00E6060C" w:rsidRPr="00E6060C" w:rsidRDefault="00E6060C" w:rsidP="00F15DDF">
            <w:pPr>
              <w:numPr>
                <w:ilvl w:val="0"/>
                <w:numId w:val="57"/>
              </w:numPr>
              <w:ind w:left="176" w:hanging="176"/>
              <w:contextualSpacing/>
            </w:pPr>
            <w:r w:rsidRPr="00E6060C">
              <w:t>Holidays</w:t>
            </w:r>
          </w:p>
          <w:p w14:paraId="51A1FD87" w14:textId="77777777" w:rsidR="00E6060C" w:rsidRPr="00E6060C" w:rsidRDefault="00E6060C" w:rsidP="00F15DDF">
            <w:pPr>
              <w:numPr>
                <w:ilvl w:val="0"/>
                <w:numId w:val="57"/>
              </w:numPr>
              <w:ind w:left="176" w:hanging="176"/>
              <w:contextualSpacing/>
            </w:pPr>
            <w:r w:rsidRPr="00E6060C">
              <w:t>Other absences</w:t>
            </w:r>
          </w:p>
        </w:tc>
      </w:tr>
      <w:tr w:rsidR="00E6060C" w:rsidRPr="00E6060C" w14:paraId="1AE75184" w14:textId="77777777" w:rsidTr="00E6060C">
        <w:tc>
          <w:tcPr>
            <w:tcW w:w="567" w:type="dxa"/>
            <w:tcBorders>
              <w:bottom w:val="nil"/>
            </w:tcBorders>
          </w:tcPr>
          <w:p w14:paraId="532C0CE0" w14:textId="77777777" w:rsidR="00E6060C" w:rsidRPr="00E6060C" w:rsidRDefault="00E6060C" w:rsidP="00E6060C">
            <w:pPr>
              <w:contextualSpacing/>
            </w:pPr>
            <w:r w:rsidRPr="00E6060C">
              <w:t>23</w:t>
            </w:r>
          </w:p>
        </w:tc>
        <w:tc>
          <w:tcPr>
            <w:tcW w:w="1406" w:type="dxa"/>
            <w:tcBorders>
              <w:bottom w:val="nil"/>
            </w:tcBorders>
          </w:tcPr>
          <w:p w14:paraId="5BF6CB42" w14:textId="37B3FFF4" w:rsidR="00E6060C" w:rsidRPr="00E6060C" w:rsidRDefault="004D6C5A" w:rsidP="00E6060C">
            <w:pPr>
              <w:contextualSpacing/>
              <w:rPr>
                <w:rFonts w:ascii="Calibri" w:hAnsi="Calibri"/>
              </w:rPr>
            </w:pPr>
            <w:r>
              <w:rPr>
                <w:rFonts w:ascii="Calibri" w:hAnsi="Calibri"/>
              </w:rPr>
              <w:t>*</w:t>
            </w:r>
            <w:r w:rsidR="00E6060C" w:rsidRPr="00E6060C">
              <w:rPr>
                <w:rFonts w:ascii="Calibri" w:hAnsi="Calibri"/>
              </w:rPr>
              <w:t>Rigotti et al., 2014</w:t>
            </w:r>
          </w:p>
        </w:tc>
        <w:tc>
          <w:tcPr>
            <w:tcW w:w="1430" w:type="dxa"/>
            <w:tcBorders>
              <w:bottom w:val="nil"/>
            </w:tcBorders>
          </w:tcPr>
          <w:p w14:paraId="25E093AC" w14:textId="77777777" w:rsidR="00E6060C" w:rsidRPr="00E6060C" w:rsidRDefault="00E6060C" w:rsidP="00E6060C">
            <w:pPr>
              <w:contextualSpacing/>
            </w:pPr>
            <w:r w:rsidRPr="00E6060C">
              <w:t>73% (Sweden)</w:t>
            </w:r>
          </w:p>
        </w:tc>
        <w:tc>
          <w:tcPr>
            <w:tcW w:w="1453" w:type="dxa"/>
            <w:tcBorders>
              <w:bottom w:val="nil"/>
            </w:tcBorders>
          </w:tcPr>
          <w:p w14:paraId="338DE828" w14:textId="77777777" w:rsidR="00E6060C" w:rsidRPr="00E6060C" w:rsidRDefault="00E6060C" w:rsidP="00E6060C">
            <w:r w:rsidRPr="00E6060C">
              <w:t>Y</w:t>
            </w:r>
          </w:p>
        </w:tc>
        <w:tc>
          <w:tcPr>
            <w:tcW w:w="1305" w:type="dxa"/>
            <w:tcBorders>
              <w:bottom w:val="nil"/>
            </w:tcBorders>
          </w:tcPr>
          <w:p w14:paraId="6610029F" w14:textId="77777777" w:rsidR="00E6060C" w:rsidRPr="00E6060C" w:rsidRDefault="00E6060C" w:rsidP="00E6060C">
            <w:r w:rsidRPr="00E6060C">
              <w:t>Y</w:t>
            </w:r>
          </w:p>
        </w:tc>
        <w:tc>
          <w:tcPr>
            <w:tcW w:w="1097" w:type="dxa"/>
            <w:tcBorders>
              <w:bottom w:val="nil"/>
            </w:tcBorders>
          </w:tcPr>
          <w:p w14:paraId="0F418187" w14:textId="77777777" w:rsidR="00E6060C" w:rsidRPr="00E6060C" w:rsidRDefault="00E6060C" w:rsidP="00E6060C">
            <w:r w:rsidRPr="00E6060C">
              <w:t>N</w:t>
            </w:r>
          </w:p>
        </w:tc>
        <w:tc>
          <w:tcPr>
            <w:tcW w:w="1199" w:type="dxa"/>
            <w:tcBorders>
              <w:bottom w:val="nil"/>
            </w:tcBorders>
          </w:tcPr>
          <w:p w14:paraId="5F12E3DE" w14:textId="77777777" w:rsidR="00E6060C" w:rsidRPr="00E6060C" w:rsidRDefault="00E6060C" w:rsidP="00E6060C">
            <w:r w:rsidRPr="00E6060C">
              <w:t>Y</w:t>
            </w:r>
          </w:p>
        </w:tc>
        <w:tc>
          <w:tcPr>
            <w:tcW w:w="1483" w:type="dxa"/>
            <w:tcBorders>
              <w:bottom w:val="nil"/>
            </w:tcBorders>
          </w:tcPr>
          <w:p w14:paraId="72BCB4F4" w14:textId="77777777" w:rsidR="00E6060C" w:rsidRPr="00E6060C" w:rsidRDefault="00E6060C" w:rsidP="00E6060C">
            <w:pPr>
              <w:contextualSpacing/>
            </w:pPr>
            <w:r w:rsidRPr="00E6060C">
              <w:t>Con:92.6%</w:t>
            </w:r>
          </w:p>
        </w:tc>
        <w:tc>
          <w:tcPr>
            <w:tcW w:w="1483" w:type="dxa"/>
            <w:tcBorders>
              <w:bottom w:val="nil"/>
            </w:tcBorders>
          </w:tcPr>
          <w:p w14:paraId="4C76F7C4" w14:textId="77777777" w:rsidR="00E6060C" w:rsidRPr="00E6060C" w:rsidRDefault="00E6060C" w:rsidP="00E6060C">
            <w:pPr>
              <w:contextualSpacing/>
            </w:pPr>
            <w:r w:rsidRPr="00E6060C">
              <w:t>Y</w:t>
            </w:r>
          </w:p>
        </w:tc>
        <w:tc>
          <w:tcPr>
            <w:tcW w:w="1624" w:type="dxa"/>
            <w:tcBorders>
              <w:bottom w:val="nil"/>
            </w:tcBorders>
          </w:tcPr>
          <w:p w14:paraId="0B0BEF40" w14:textId="77777777" w:rsidR="00E6060C" w:rsidRPr="00E6060C" w:rsidRDefault="00E6060C" w:rsidP="00E6060C">
            <w:r w:rsidRPr="00E6060C">
              <w:t>Based on analyses between control group respondents across time, and control group non-respondents (i.e these analyses do NOT involve the intervention group)</w:t>
            </w:r>
          </w:p>
          <w:p w14:paraId="63E623F1" w14:textId="77777777" w:rsidR="00E6060C" w:rsidRPr="00E6060C" w:rsidRDefault="00E6060C" w:rsidP="00F15DDF">
            <w:pPr>
              <w:numPr>
                <w:ilvl w:val="0"/>
                <w:numId w:val="58"/>
              </w:numPr>
              <w:ind w:left="170" w:hanging="170"/>
              <w:contextualSpacing/>
            </w:pPr>
            <w:r w:rsidRPr="00E6060C">
              <w:t xml:space="preserve">Dropouts had higher workloads, more cognitive </w:t>
            </w:r>
            <w:r w:rsidRPr="00E6060C">
              <w:lastRenderedPageBreak/>
              <w:t>demands, and more opportunities for skill utilisation</w:t>
            </w:r>
          </w:p>
          <w:p w14:paraId="0EFDCF83" w14:textId="77777777" w:rsidR="00E6060C" w:rsidRPr="00E6060C" w:rsidRDefault="00E6060C" w:rsidP="00F15DDF">
            <w:pPr>
              <w:numPr>
                <w:ilvl w:val="0"/>
                <w:numId w:val="58"/>
              </w:numPr>
              <w:ind w:left="170" w:hanging="170"/>
              <w:contextualSpacing/>
            </w:pPr>
            <w:r w:rsidRPr="00E6060C">
              <w:t>No significant differences with regards to age, gender or educational level</w:t>
            </w:r>
          </w:p>
          <w:p w14:paraId="3A0E8AD7" w14:textId="5B4D95FC" w:rsidR="00E6060C" w:rsidRPr="00E6060C" w:rsidRDefault="00E6060C" w:rsidP="00F15DDF">
            <w:pPr>
              <w:numPr>
                <w:ilvl w:val="0"/>
                <w:numId w:val="58"/>
              </w:numPr>
              <w:ind w:left="170" w:hanging="170"/>
              <w:contextualSpacing/>
            </w:pPr>
            <w:r w:rsidRPr="00E6060C">
              <w:t xml:space="preserve">Non dropouts reported better </w:t>
            </w:r>
            <w:r w:rsidR="001D6140">
              <w:t>well-being</w:t>
            </w:r>
            <w:r w:rsidRPr="00E6060C">
              <w:t xml:space="preserve"> (e.g. higher autonomy, self-efficacy)</w:t>
            </w:r>
          </w:p>
          <w:p w14:paraId="5AF12110" w14:textId="77777777" w:rsidR="00E6060C" w:rsidRPr="00E6060C" w:rsidRDefault="00E6060C" w:rsidP="00E6060C">
            <w:pPr>
              <w:ind w:left="170"/>
              <w:contextualSpacing/>
            </w:pPr>
          </w:p>
        </w:tc>
        <w:tc>
          <w:tcPr>
            <w:tcW w:w="1700" w:type="dxa"/>
            <w:gridSpan w:val="2"/>
            <w:tcBorders>
              <w:bottom w:val="nil"/>
            </w:tcBorders>
          </w:tcPr>
          <w:p w14:paraId="6F8E3D2C" w14:textId="77777777" w:rsidR="00E6060C" w:rsidRPr="00E6060C" w:rsidRDefault="00E6060C" w:rsidP="00E6060C">
            <w:r w:rsidRPr="00E6060C">
              <w:lastRenderedPageBreak/>
              <w:t>Participation rate varied due to:</w:t>
            </w:r>
          </w:p>
          <w:p w14:paraId="3ECDC36F" w14:textId="77777777" w:rsidR="00E6060C" w:rsidRPr="00E6060C" w:rsidRDefault="00E6060C" w:rsidP="00F15DDF">
            <w:pPr>
              <w:numPr>
                <w:ilvl w:val="0"/>
                <w:numId w:val="59"/>
              </w:numPr>
              <w:ind w:left="176" w:hanging="176"/>
              <w:contextualSpacing/>
            </w:pPr>
            <w:r w:rsidRPr="00E6060C">
              <w:t>Sickness absence</w:t>
            </w:r>
          </w:p>
          <w:p w14:paraId="76CF5C4D" w14:textId="77777777" w:rsidR="00E6060C" w:rsidRPr="00E6060C" w:rsidRDefault="00E6060C" w:rsidP="00F15DDF">
            <w:pPr>
              <w:numPr>
                <w:ilvl w:val="0"/>
                <w:numId w:val="59"/>
              </w:numPr>
              <w:ind w:left="176" w:hanging="176"/>
              <w:contextualSpacing/>
            </w:pPr>
            <w:r w:rsidRPr="00E6060C">
              <w:t>Holidays</w:t>
            </w:r>
          </w:p>
          <w:p w14:paraId="0C14F428" w14:textId="77777777" w:rsidR="00E6060C" w:rsidRPr="00E6060C" w:rsidRDefault="00E6060C" w:rsidP="00F15DDF">
            <w:pPr>
              <w:numPr>
                <w:ilvl w:val="0"/>
                <w:numId w:val="59"/>
              </w:numPr>
              <w:ind w:left="176" w:hanging="176"/>
              <w:contextualSpacing/>
            </w:pPr>
            <w:r w:rsidRPr="00E6060C">
              <w:t>Other absences</w:t>
            </w:r>
          </w:p>
        </w:tc>
      </w:tr>
      <w:tr w:rsidR="00E6060C" w:rsidRPr="00E6060C" w14:paraId="4DA6AD79" w14:textId="77777777" w:rsidTr="00E6060C">
        <w:trPr>
          <w:gridAfter w:val="1"/>
          <w:wAfter w:w="6" w:type="dxa"/>
        </w:trPr>
        <w:tc>
          <w:tcPr>
            <w:tcW w:w="14741" w:type="dxa"/>
            <w:gridSpan w:val="11"/>
            <w:tcBorders>
              <w:top w:val="nil"/>
              <w:bottom w:val="nil"/>
            </w:tcBorders>
            <w:shd w:val="clear" w:color="auto" w:fill="D9D9D9" w:themeFill="background1" w:themeFillShade="D9"/>
          </w:tcPr>
          <w:p w14:paraId="372EE429" w14:textId="77777777" w:rsidR="00E6060C" w:rsidRPr="00E6060C" w:rsidRDefault="00E6060C" w:rsidP="00E6060C">
            <w:pPr>
              <w:contextualSpacing/>
              <w:rPr>
                <w:b/>
              </w:rPr>
            </w:pPr>
            <w:r w:rsidRPr="00E6060C">
              <w:rPr>
                <w:b/>
              </w:rPr>
              <w:t>ONGOING LEADERSHIP TRAINNG INTERVENTIONS</w:t>
            </w:r>
          </w:p>
          <w:p w14:paraId="1CF3BD02" w14:textId="77777777" w:rsidR="00E6060C" w:rsidRPr="00E6060C" w:rsidRDefault="00E6060C" w:rsidP="00E6060C">
            <w:pPr>
              <w:contextualSpacing/>
              <w:rPr>
                <w:b/>
              </w:rPr>
            </w:pPr>
          </w:p>
        </w:tc>
      </w:tr>
      <w:tr w:rsidR="00E6060C" w:rsidRPr="00E6060C" w14:paraId="195DCBAD" w14:textId="77777777" w:rsidTr="00E6060C">
        <w:tc>
          <w:tcPr>
            <w:tcW w:w="567" w:type="dxa"/>
            <w:tcBorders>
              <w:top w:val="nil"/>
              <w:bottom w:val="single" w:sz="4" w:space="0" w:color="auto"/>
            </w:tcBorders>
            <w:shd w:val="clear" w:color="auto" w:fill="D9D9D9" w:themeFill="background1" w:themeFillShade="D9"/>
          </w:tcPr>
          <w:p w14:paraId="0E59DA32" w14:textId="77777777" w:rsidR="00E6060C" w:rsidRPr="00E6060C" w:rsidRDefault="00E6060C" w:rsidP="00E6060C">
            <w:pPr>
              <w:contextualSpacing/>
            </w:pPr>
            <w:r w:rsidRPr="00E6060C">
              <w:t>24</w:t>
            </w:r>
          </w:p>
        </w:tc>
        <w:tc>
          <w:tcPr>
            <w:tcW w:w="1406" w:type="dxa"/>
            <w:tcBorders>
              <w:top w:val="nil"/>
              <w:bottom w:val="single" w:sz="4" w:space="0" w:color="auto"/>
            </w:tcBorders>
            <w:shd w:val="clear" w:color="auto" w:fill="D9D9D9" w:themeFill="background1" w:themeFillShade="D9"/>
          </w:tcPr>
          <w:p w14:paraId="28145E79" w14:textId="77777777" w:rsidR="00E6060C" w:rsidRPr="00E6060C" w:rsidRDefault="00E6060C" w:rsidP="00E6060C">
            <w:pPr>
              <w:contextualSpacing/>
              <w:rPr>
                <w:rFonts w:ascii="Calibri" w:hAnsi="Calibri"/>
                <w:color w:val="000000"/>
              </w:rPr>
            </w:pPr>
            <w:r w:rsidRPr="00E6060C">
              <w:rPr>
                <w:rFonts w:ascii="Calibri" w:hAnsi="Calibri"/>
                <w:color w:val="000000"/>
              </w:rPr>
              <w:t>White et al., 2014</w:t>
            </w:r>
          </w:p>
        </w:tc>
        <w:tc>
          <w:tcPr>
            <w:tcW w:w="1430" w:type="dxa"/>
            <w:tcBorders>
              <w:top w:val="nil"/>
              <w:bottom w:val="single" w:sz="4" w:space="0" w:color="auto"/>
            </w:tcBorders>
            <w:shd w:val="clear" w:color="auto" w:fill="D9D9D9" w:themeFill="background1" w:themeFillShade="D9"/>
          </w:tcPr>
          <w:p w14:paraId="3079052D" w14:textId="77777777" w:rsidR="00E6060C" w:rsidRPr="00E6060C" w:rsidRDefault="00E6060C" w:rsidP="00E6060C">
            <w:pPr>
              <w:contextualSpacing/>
            </w:pPr>
            <w:r w:rsidRPr="00E6060C">
              <w:t>Int=71%</w:t>
            </w:r>
          </w:p>
          <w:p w14:paraId="2DC8522F" w14:textId="77777777" w:rsidR="00E6060C" w:rsidRPr="00E6060C" w:rsidRDefault="00E6060C" w:rsidP="00E6060C">
            <w:pPr>
              <w:contextualSpacing/>
            </w:pPr>
            <w:r w:rsidRPr="00E6060C">
              <w:t>Con=63%</w:t>
            </w:r>
          </w:p>
        </w:tc>
        <w:tc>
          <w:tcPr>
            <w:tcW w:w="1453" w:type="dxa"/>
            <w:tcBorders>
              <w:top w:val="nil"/>
              <w:bottom w:val="single" w:sz="4" w:space="0" w:color="auto"/>
            </w:tcBorders>
            <w:shd w:val="clear" w:color="auto" w:fill="D9D9D9" w:themeFill="background1" w:themeFillShade="D9"/>
          </w:tcPr>
          <w:p w14:paraId="7905AFCF" w14:textId="77777777" w:rsidR="00E6060C" w:rsidRPr="00E6060C" w:rsidRDefault="00E6060C" w:rsidP="00E6060C">
            <w:pPr>
              <w:contextualSpacing/>
            </w:pPr>
            <w:r w:rsidRPr="00E6060C">
              <w:t>N</w:t>
            </w:r>
          </w:p>
        </w:tc>
        <w:tc>
          <w:tcPr>
            <w:tcW w:w="1305" w:type="dxa"/>
            <w:tcBorders>
              <w:top w:val="nil"/>
              <w:bottom w:val="single" w:sz="4" w:space="0" w:color="auto"/>
            </w:tcBorders>
            <w:shd w:val="clear" w:color="auto" w:fill="D9D9D9" w:themeFill="background1" w:themeFillShade="D9"/>
          </w:tcPr>
          <w:p w14:paraId="6A369720" w14:textId="77777777" w:rsidR="00E6060C" w:rsidRPr="00E6060C" w:rsidRDefault="00E6060C" w:rsidP="00E6060C">
            <w:r w:rsidRPr="00E6060C">
              <w:t>Y</w:t>
            </w:r>
          </w:p>
        </w:tc>
        <w:tc>
          <w:tcPr>
            <w:tcW w:w="1097" w:type="dxa"/>
            <w:tcBorders>
              <w:top w:val="nil"/>
              <w:bottom w:val="single" w:sz="4" w:space="0" w:color="auto"/>
            </w:tcBorders>
            <w:shd w:val="clear" w:color="auto" w:fill="D9D9D9" w:themeFill="background1" w:themeFillShade="D9"/>
          </w:tcPr>
          <w:p w14:paraId="4B509B70" w14:textId="77777777" w:rsidR="00E6060C" w:rsidRPr="00E6060C" w:rsidRDefault="00E6060C" w:rsidP="00E6060C">
            <w:r w:rsidRPr="00E6060C">
              <w:t>N</w:t>
            </w:r>
          </w:p>
        </w:tc>
        <w:tc>
          <w:tcPr>
            <w:tcW w:w="1199" w:type="dxa"/>
            <w:tcBorders>
              <w:top w:val="nil"/>
              <w:bottom w:val="single" w:sz="4" w:space="0" w:color="auto"/>
            </w:tcBorders>
            <w:shd w:val="clear" w:color="auto" w:fill="D9D9D9" w:themeFill="background1" w:themeFillShade="D9"/>
          </w:tcPr>
          <w:p w14:paraId="6E67F858" w14:textId="77777777" w:rsidR="00E6060C" w:rsidRPr="00E6060C" w:rsidRDefault="00E6060C" w:rsidP="00E6060C">
            <w:r w:rsidRPr="00E6060C">
              <w:t>Y</w:t>
            </w:r>
          </w:p>
        </w:tc>
        <w:tc>
          <w:tcPr>
            <w:tcW w:w="1483" w:type="dxa"/>
            <w:tcBorders>
              <w:top w:val="nil"/>
              <w:bottom w:val="single" w:sz="4" w:space="0" w:color="auto"/>
            </w:tcBorders>
            <w:shd w:val="clear" w:color="auto" w:fill="D9D9D9" w:themeFill="background1" w:themeFillShade="D9"/>
          </w:tcPr>
          <w:p w14:paraId="25AF2DF3" w14:textId="77777777" w:rsidR="00E6060C" w:rsidRPr="00E6060C" w:rsidRDefault="00E6060C" w:rsidP="00E6060C">
            <w:pPr>
              <w:contextualSpacing/>
            </w:pPr>
            <w:r w:rsidRPr="00E6060C">
              <w:t>-</w:t>
            </w:r>
          </w:p>
        </w:tc>
        <w:tc>
          <w:tcPr>
            <w:tcW w:w="1483" w:type="dxa"/>
            <w:tcBorders>
              <w:top w:val="nil"/>
              <w:bottom w:val="single" w:sz="4" w:space="0" w:color="auto"/>
            </w:tcBorders>
            <w:shd w:val="clear" w:color="auto" w:fill="D9D9D9" w:themeFill="background1" w:themeFillShade="D9"/>
          </w:tcPr>
          <w:p w14:paraId="4C827EFF" w14:textId="77777777" w:rsidR="00E6060C" w:rsidRPr="00E6060C" w:rsidRDefault="00E6060C" w:rsidP="00E6060C">
            <w:pPr>
              <w:contextualSpacing/>
              <w:jc w:val="center"/>
            </w:pPr>
            <w:r w:rsidRPr="00E6060C">
              <w:t>-</w:t>
            </w:r>
          </w:p>
        </w:tc>
        <w:tc>
          <w:tcPr>
            <w:tcW w:w="1624" w:type="dxa"/>
            <w:tcBorders>
              <w:top w:val="nil"/>
              <w:bottom w:val="single" w:sz="4" w:space="0" w:color="auto"/>
            </w:tcBorders>
            <w:shd w:val="clear" w:color="auto" w:fill="D9D9D9" w:themeFill="background1" w:themeFillShade="D9"/>
          </w:tcPr>
          <w:p w14:paraId="454ECD8F" w14:textId="77777777" w:rsidR="00E6060C" w:rsidRPr="00E6060C" w:rsidRDefault="00E6060C" w:rsidP="00E6060C">
            <w:pPr>
              <w:contextualSpacing/>
            </w:pPr>
            <w:r w:rsidRPr="00E6060C">
              <w:t>-</w:t>
            </w:r>
          </w:p>
        </w:tc>
        <w:tc>
          <w:tcPr>
            <w:tcW w:w="1700" w:type="dxa"/>
            <w:gridSpan w:val="2"/>
            <w:tcBorders>
              <w:top w:val="nil"/>
              <w:bottom w:val="single" w:sz="4" w:space="0" w:color="auto"/>
            </w:tcBorders>
            <w:shd w:val="clear" w:color="auto" w:fill="D9D9D9" w:themeFill="background1" w:themeFillShade="D9"/>
          </w:tcPr>
          <w:p w14:paraId="7B30C761" w14:textId="77777777" w:rsidR="00E6060C" w:rsidRPr="00E6060C" w:rsidRDefault="00E6060C" w:rsidP="00E6060C">
            <w:pPr>
              <w:contextualSpacing/>
            </w:pPr>
            <w:r w:rsidRPr="00E6060C">
              <w:t>-</w:t>
            </w:r>
          </w:p>
        </w:tc>
      </w:tr>
    </w:tbl>
    <w:p w14:paraId="39C14822" w14:textId="77777777" w:rsidR="002A5A6B" w:rsidRDefault="002A5A6B">
      <w:r>
        <w:br w:type="page"/>
      </w:r>
    </w:p>
    <w:tbl>
      <w:tblPr>
        <w:tblStyle w:val="TableGrid8"/>
        <w:tblW w:w="14747"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06"/>
        <w:gridCol w:w="1430"/>
        <w:gridCol w:w="1453"/>
        <w:gridCol w:w="1305"/>
        <w:gridCol w:w="1097"/>
        <w:gridCol w:w="1199"/>
        <w:gridCol w:w="1483"/>
        <w:gridCol w:w="1483"/>
        <w:gridCol w:w="1624"/>
        <w:gridCol w:w="1694"/>
        <w:gridCol w:w="6"/>
      </w:tblGrid>
      <w:tr w:rsidR="00E6060C" w:rsidRPr="00E6060C" w14:paraId="557E2121" w14:textId="77777777" w:rsidTr="00E6060C">
        <w:trPr>
          <w:gridAfter w:val="1"/>
          <w:wAfter w:w="6" w:type="dxa"/>
        </w:trPr>
        <w:tc>
          <w:tcPr>
            <w:tcW w:w="14741" w:type="dxa"/>
            <w:gridSpan w:val="11"/>
            <w:tcBorders>
              <w:top w:val="single" w:sz="4" w:space="0" w:color="auto"/>
              <w:bottom w:val="single" w:sz="4" w:space="0" w:color="auto"/>
            </w:tcBorders>
          </w:tcPr>
          <w:p w14:paraId="3E5B7401" w14:textId="32BDE32F" w:rsidR="00E6060C" w:rsidRPr="00E6060C" w:rsidRDefault="00E6060C" w:rsidP="00E6060C">
            <w:pPr>
              <w:rPr>
                <w:b/>
                <w:sz w:val="32"/>
                <w:szCs w:val="32"/>
              </w:rPr>
            </w:pPr>
            <w:r w:rsidRPr="00E6060C">
              <w:rPr>
                <w:b/>
                <w:sz w:val="32"/>
                <w:szCs w:val="32"/>
              </w:rPr>
              <w:lastRenderedPageBreak/>
              <w:t>HEALTH PROMOTION INTERVENTIONS</w:t>
            </w:r>
          </w:p>
        </w:tc>
      </w:tr>
      <w:tr w:rsidR="00E6060C" w:rsidRPr="00E6060C" w14:paraId="46EF5C19" w14:textId="77777777" w:rsidTr="00E6060C">
        <w:tc>
          <w:tcPr>
            <w:tcW w:w="567" w:type="dxa"/>
            <w:tcBorders>
              <w:top w:val="single" w:sz="4" w:space="0" w:color="auto"/>
            </w:tcBorders>
          </w:tcPr>
          <w:p w14:paraId="62C9D5DD" w14:textId="77777777" w:rsidR="00E6060C" w:rsidRPr="00E6060C" w:rsidRDefault="00E6060C" w:rsidP="00E6060C">
            <w:pPr>
              <w:contextualSpacing/>
            </w:pPr>
            <w:r w:rsidRPr="00E6060C">
              <w:t>25</w:t>
            </w:r>
          </w:p>
        </w:tc>
        <w:tc>
          <w:tcPr>
            <w:tcW w:w="1406" w:type="dxa"/>
            <w:tcBorders>
              <w:top w:val="single" w:sz="4" w:space="0" w:color="auto"/>
            </w:tcBorders>
          </w:tcPr>
          <w:p w14:paraId="741E682F" w14:textId="4FF15ECC" w:rsidR="00E6060C" w:rsidRPr="00E6060C" w:rsidRDefault="004D6C5A" w:rsidP="00E6060C">
            <w:pPr>
              <w:contextualSpacing/>
            </w:pPr>
            <w:r>
              <w:t>*</w:t>
            </w:r>
            <w:r w:rsidR="00E6060C" w:rsidRPr="00E6060C">
              <w:t>Aikens et al., 2014</w:t>
            </w:r>
          </w:p>
        </w:tc>
        <w:tc>
          <w:tcPr>
            <w:tcW w:w="1430" w:type="dxa"/>
            <w:tcBorders>
              <w:top w:val="single" w:sz="4" w:space="0" w:color="auto"/>
            </w:tcBorders>
          </w:tcPr>
          <w:p w14:paraId="4D8FB84D" w14:textId="77777777" w:rsidR="00E6060C" w:rsidRPr="00E6060C" w:rsidRDefault="00E6060C" w:rsidP="00E6060C">
            <w:pPr>
              <w:contextualSpacing/>
            </w:pPr>
            <w:r w:rsidRPr="00E6060C">
              <w:t>22.5% (T1;)</w:t>
            </w:r>
          </w:p>
          <w:p w14:paraId="1D9E4B19" w14:textId="77777777" w:rsidR="00E6060C" w:rsidRPr="00E6060C" w:rsidRDefault="00E6060C" w:rsidP="00E6060C">
            <w:pPr>
              <w:contextualSpacing/>
            </w:pPr>
            <w:r w:rsidRPr="00E6060C">
              <w:t xml:space="preserve">Int:81.8% (T2); </w:t>
            </w:r>
          </w:p>
          <w:p w14:paraId="5CB3D1DA" w14:textId="77777777" w:rsidR="00E6060C" w:rsidRPr="00E6060C" w:rsidRDefault="00E6060C" w:rsidP="00E6060C">
            <w:pPr>
              <w:contextualSpacing/>
            </w:pPr>
            <w:r w:rsidRPr="00E6060C">
              <w:t>70.5% (T3)</w:t>
            </w:r>
          </w:p>
          <w:p w14:paraId="798674E1" w14:textId="77777777" w:rsidR="00E6060C" w:rsidRPr="00E6060C" w:rsidRDefault="00E6060C" w:rsidP="00E6060C">
            <w:pPr>
              <w:contextualSpacing/>
            </w:pPr>
            <w:r w:rsidRPr="00E6060C">
              <w:t xml:space="preserve">Con:71% (T2 &amp; T3); </w:t>
            </w:r>
          </w:p>
          <w:p w14:paraId="363ED007" w14:textId="77777777" w:rsidR="00E6060C" w:rsidRPr="00E6060C" w:rsidRDefault="00E6060C" w:rsidP="00E6060C">
            <w:pPr>
              <w:contextualSpacing/>
            </w:pPr>
          </w:p>
        </w:tc>
        <w:tc>
          <w:tcPr>
            <w:tcW w:w="1453" w:type="dxa"/>
            <w:tcBorders>
              <w:top w:val="single" w:sz="4" w:space="0" w:color="auto"/>
            </w:tcBorders>
          </w:tcPr>
          <w:p w14:paraId="22BF72CA" w14:textId="77777777" w:rsidR="00E6060C" w:rsidRPr="00E6060C" w:rsidRDefault="00E6060C" w:rsidP="00E6060C">
            <w:pPr>
              <w:contextualSpacing/>
            </w:pPr>
            <w:r w:rsidRPr="00E6060C">
              <w:t>Y</w:t>
            </w:r>
          </w:p>
        </w:tc>
        <w:tc>
          <w:tcPr>
            <w:tcW w:w="1305" w:type="dxa"/>
            <w:tcBorders>
              <w:top w:val="single" w:sz="4" w:space="0" w:color="auto"/>
            </w:tcBorders>
          </w:tcPr>
          <w:p w14:paraId="25A3657C" w14:textId="77777777" w:rsidR="00E6060C" w:rsidRPr="00E6060C" w:rsidRDefault="00E6060C" w:rsidP="00E6060C">
            <w:pPr>
              <w:contextualSpacing/>
            </w:pPr>
            <w:r w:rsidRPr="00E6060C">
              <w:t>Y</w:t>
            </w:r>
          </w:p>
        </w:tc>
        <w:tc>
          <w:tcPr>
            <w:tcW w:w="1097" w:type="dxa"/>
            <w:tcBorders>
              <w:top w:val="single" w:sz="4" w:space="0" w:color="auto"/>
            </w:tcBorders>
          </w:tcPr>
          <w:p w14:paraId="0878FF12" w14:textId="77777777" w:rsidR="00E6060C" w:rsidRPr="00E6060C" w:rsidRDefault="00E6060C" w:rsidP="00E6060C">
            <w:pPr>
              <w:contextualSpacing/>
            </w:pPr>
            <w:r w:rsidRPr="00E6060C">
              <w:t>N</w:t>
            </w:r>
          </w:p>
        </w:tc>
        <w:tc>
          <w:tcPr>
            <w:tcW w:w="1199" w:type="dxa"/>
            <w:tcBorders>
              <w:top w:val="single" w:sz="4" w:space="0" w:color="auto"/>
            </w:tcBorders>
          </w:tcPr>
          <w:p w14:paraId="24DE11C9" w14:textId="77777777" w:rsidR="00E6060C" w:rsidRPr="00E6060C" w:rsidRDefault="00E6060C" w:rsidP="00E6060C">
            <w:pPr>
              <w:contextualSpacing/>
            </w:pPr>
            <w:r w:rsidRPr="00E6060C">
              <w:t>Y</w:t>
            </w:r>
          </w:p>
        </w:tc>
        <w:tc>
          <w:tcPr>
            <w:tcW w:w="1483" w:type="dxa"/>
            <w:tcBorders>
              <w:top w:val="single" w:sz="4" w:space="0" w:color="auto"/>
            </w:tcBorders>
          </w:tcPr>
          <w:p w14:paraId="765D00FE" w14:textId="77777777" w:rsidR="00E6060C" w:rsidRPr="00E6060C" w:rsidRDefault="00E6060C" w:rsidP="00E6060C">
            <w:pPr>
              <w:contextualSpacing/>
            </w:pPr>
            <w:r w:rsidRPr="00E6060C">
              <w:t>5.3% (T2)</w:t>
            </w:r>
          </w:p>
        </w:tc>
        <w:tc>
          <w:tcPr>
            <w:tcW w:w="1483" w:type="dxa"/>
            <w:tcBorders>
              <w:top w:val="single" w:sz="4" w:space="0" w:color="auto"/>
            </w:tcBorders>
          </w:tcPr>
          <w:p w14:paraId="68FBFA38" w14:textId="77777777" w:rsidR="00E6060C" w:rsidRPr="00E6060C" w:rsidRDefault="00E6060C" w:rsidP="00E6060C">
            <w:pPr>
              <w:contextualSpacing/>
            </w:pPr>
            <w:r w:rsidRPr="00E6060C">
              <w:t>Not discussed</w:t>
            </w:r>
          </w:p>
        </w:tc>
        <w:tc>
          <w:tcPr>
            <w:tcW w:w="1624" w:type="dxa"/>
            <w:tcBorders>
              <w:top w:val="single" w:sz="4" w:space="0" w:color="auto"/>
            </w:tcBorders>
          </w:tcPr>
          <w:p w14:paraId="25BB308E" w14:textId="77777777" w:rsidR="00E6060C" w:rsidRPr="00E6060C" w:rsidRDefault="00E6060C" w:rsidP="00F15DDF">
            <w:pPr>
              <w:numPr>
                <w:ilvl w:val="0"/>
                <w:numId w:val="61"/>
              </w:numPr>
              <w:ind w:left="101" w:hanging="141"/>
              <w:contextualSpacing/>
            </w:pPr>
            <w:r w:rsidRPr="00E6060C">
              <w:t xml:space="preserve">Those who completed 75-100% of the course material had a 30% greater effect size at post intervention than the ITT group and a 16% greater effect size than those who’d completed 50%. </w:t>
            </w:r>
          </w:p>
          <w:p w14:paraId="194274E1" w14:textId="77777777" w:rsidR="00E6060C" w:rsidRPr="00E6060C" w:rsidRDefault="00E6060C" w:rsidP="00F15DDF">
            <w:pPr>
              <w:numPr>
                <w:ilvl w:val="0"/>
                <w:numId w:val="61"/>
              </w:numPr>
              <w:ind w:left="101" w:hanging="141"/>
              <w:contextualSpacing/>
            </w:pPr>
            <w:r w:rsidRPr="00E6060C">
              <w:t xml:space="preserve">By 6 months, those who’d completed 75-100% of the course had an effect size 12.3% greater than the ITT group and 8.8% greater than those who’d completed </w:t>
            </w:r>
            <w:r w:rsidRPr="00E6060C">
              <w:lastRenderedPageBreak/>
              <w:t>only 50% of the course. This change was attributed to ongoing improvements in the latter two groups.</w:t>
            </w:r>
          </w:p>
          <w:p w14:paraId="258AA58B" w14:textId="77777777" w:rsidR="00E6060C" w:rsidRPr="00E6060C" w:rsidRDefault="00E6060C" w:rsidP="00F15DDF">
            <w:pPr>
              <w:numPr>
                <w:ilvl w:val="0"/>
                <w:numId w:val="61"/>
              </w:numPr>
              <w:ind w:left="101" w:hanging="141"/>
              <w:contextualSpacing/>
            </w:pPr>
            <w:r w:rsidRPr="00E6060C">
              <w:t>The intervention group gave the programme an average satisfaction rating of 87%</w:t>
            </w:r>
          </w:p>
        </w:tc>
        <w:tc>
          <w:tcPr>
            <w:tcW w:w="1700" w:type="dxa"/>
            <w:gridSpan w:val="2"/>
            <w:tcBorders>
              <w:top w:val="single" w:sz="4" w:space="0" w:color="auto"/>
            </w:tcBorders>
          </w:tcPr>
          <w:p w14:paraId="52FD9C1D" w14:textId="77777777" w:rsidR="00E6060C" w:rsidRPr="00E6060C" w:rsidRDefault="00E6060C" w:rsidP="00F15DDF">
            <w:pPr>
              <w:numPr>
                <w:ilvl w:val="0"/>
                <w:numId w:val="60"/>
              </w:numPr>
              <w:ind w:left="176" w:hanging="176"/>
              <w:contextualSpacing/>
            </w:pPr>
            <w:r w:rsidRPr="00E6060C">
              <w:lastRenderedPageBreak/>
              <w:t>6 people didn’t start the intervention they were allocated to (13.6) due to work obligations and busy schedules</w:t>
            </w:r>
          </w:p>
          <w:p w14:paraId="665ADD79" w14:textId="77777777" w:rsidR="00E6060C" w:rsidRPr="00E6060C" w:rsidRDefault="00E6060C" w:rsidP="00F15DDF">
            <w:pPr>
              <w:numPr>
                <w:ilvl w:val="0"/>
                <w:numId w:val="60"/>
              </w:numPr>
              <w:ind w:left="176" w:hanging="176"/>
              <w:contextualSpacing/>
            </w:pPr>
            <w:r w:rsidRPr="00E6060C">
              <w:t>2 (5.3%) terminated the programme prematurely due to scheduling problems or work commitments</w:t>
            </w:r>
          </w:p>
        </w:tc>
      </w:tr>
      <w:tr w:rsidR="00E6060C" w:rsidRPr="00E6060C" w14:paraId="3B40EBBA" w14:textId="77777777" w:rsidTr="00E6060C">
        <w:tc>
          <w:tcPr>
            <w:tcW w:w="567" w:type="dxa"/>
          </w:tcPr>
          <w:p w14:paraId="67AD0F8F" w14:textId="77777777" w:rsidR="00E6060C" w:rsidRPr="00E6060C" w:rsidRDefault="00E6060C" w:rsidP="00E6060C">
            <w:pPr>
              <w:contextualSpacing/>
            </w:pPr>
            <w:r w:rsidRPr="00E6060C">
              <w:t>26</w:t>
            </w:r>
          </w:p>
        </w:tc>
        <w:tc>
          <w:tcPr>
            <w:tcW w:w="1406" w:type="dxa"/>
          </w:tcPr>
          <w:p w14:paraId="753AD10A" w14:textId="70D67891" w:rsidR="00E6060C" w:rsidRPr="00E6060C" w:rsidRDefault="00AD462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Biggs, 2011 </w:t>
            </w:r>
          </w:p>
          <w:p w14:paraId="6C7262A4" w14:textId="77777777" w:rsidR="00E6060C" w:rsidRPr="00E6060C" w:rsidRDefault="00E6060C" w:rsidP="00E6060C">
            <w:pPr>
              <w:contextualSpacing/>
              <w:rPr>
                <w:rFonts w:ascii="Calibri" w:hAnsi="Calibri"/>
                <w:b/>
                <w:color w:val="000000"/>
              </w:rPr>
            </w:pPr>
          </w:p>
        </w:tc>
        <w:tc>
          <w:tcPr>
            <w:tcW w:w="1430" w:type="dxa"/>
          </w:tcPr>
          <w:p w14:paraId="7B3F3113" w14:textId="77777777" w:rsidR="00E6060C" w:rsidRPr="00E6060C" w:rsidRDefault="00E6060C" w:rsidP="00E6060C">
            <w:pPr>
              <w:contextualSpacing/>
            </w:pPr>
            <w:r w:rsidRPr="00E6060C">
              <w:t>24.37% (T1)</w:t>
            </w:r>
          </w:p>
        </w:tc>
        <w:tc>
          <w:tcPr>
            <w:tcW w:w="1453" w:type="dxa"/>
          </w:tcPr>
          <w:p w14:paraId="424A9DB6" w14:textId="77777777" w:rsidR="00E6060C" w:rsidRPr="00E6060C" w:rsidRDefault="00E6060C" w:rsidP="00E6060C">
            <w:r w:rsidRPr="00E6060C">
              <w:t>Y</w:t>
            </w:r>
          </w:p>
        </w:tc>
        <w:tc>
          <w:tcPr>
            <w:tcW w:w="1305" w:type="dxa"/>
          </w:tcPr>
          <w:p w14:paraId="43913A0A" w14:textId="77777777" w:rsidR="00E6060C" w:rsidRPr="00E6060C" w:rsidRDefault="00E6060C" w:rsidP="00E6060C">
            <w:r w:rsidRPr="00E6060C">
              <w:t>Y</w:t>
            </w:r>
          </w:p>
        </w:tc>
        <w:tc>
          <w:tcPr>
            <w:tcW w:w="1097" w:type="dxa"/>
          </w:tcPr>
          <w:p w14:paraId="356C7331" w14:textId="77777777" w:rsidR="00E6060C" w:rsidRPr="00E6060C" w:rsidRDefault="00E6060C" w:rsidP="00E6060C">
            <w:r w:rsidRPr="00E6060C">
              <w:t>N</w:t>
            </w:r>
          </w:p>
        </w:tc>
        <w:tc>
          <w:tcPr>
            <w:tcW w:w="1199" w:type="dxa"/>
          </w:tcPr>
          <w:p w14:paraId="1C8BE550" w14:textId="77777777" w:rsidR="00E6060C" w:rsidRPr="00E6060C" w:rsidRDefault="00E6060C" w:rsidP="00E6060C">
            <w:r w:rsidRPr="00E6060C">
              <w:t>Y</w:t>
            </w:r>
          </w:p>
        </w:tc>
        <w:tc>
          <w:tcPr>
            <w:tcW w:w="1483" w:type="dxa"/>
          </w:tcPr>
          <w:p w14:paraId="3DE8DE9E" w14:textId="2C7F6AFE" w:rsidR="00E6060C" w:rsidRPr="00E6060C" w:rsidRDefault="00E6060C" w:rsidP="00E6060C">
            <w:pPr>
              <w:contextualSpacing/>
            </w:pPr>
          </w:p>
        </w:tc>
        <w:tc>
          <w:tcPr>
            <w:tcW w:w="1483" w:type="dxa"/>
          </w:tcPr>
          <w:p w14:paraId="29B121DA" w14:textId="77777777" w:rsidR="00E6060C" w:rsidRPr="00E6060C" w:rsidRDefault="00E6060C" w:rsidP="00E6060C">
            <w:pPr>
              <w:contextualSpacing/>
            </w:pPr>
            <w:r w:rsidRPr="00E6060C">
              <w:t>Y</w:t>
            </w:r>
          </w:p>
          <w:p w14:paraId="0B6C627E" w14:textId="77777777" w:rsidR="00E6060C" w:rsidRPr="00E6060C" w:rsidRDefault="00E6060C" w:rsidP="00E6060C">
            <w:pPr>
              <w:jc w:val="center"/>
            </w:pPr>
          </w:p>
        </w:tc>
        <w:tc>
          <w:tcPr>
            <w:tcW w:w="1624" w:type="dxa"/>
          </w:tcPr>
          <w:p w14:paraId="580B3B63" w14:textId="77777777" w:rsidR="00E6060C" w:rsidRPr="00E6060C" w:rsidRDefault="00E6060C" w:rsidP="00F15DDF">
            <w:pPr>
              <w:numPr>
                <w:ilvl w:val="0"/>
                <w:numId w:val="62"/>
              </w:numPr>
              <w:ind w:left="170" w:hanging="170"/>
              <w:contextualSpacing/>
            </w:pPr>
            <w:r w:rsidRPr="00E6060C">
              <w:t>Lower vigour and dedication reported in dropouts</w:t>
            </w:r>
          </w:p>
          <w:p w14:paraId="41F226F9" w14:textId="77777777" w:rsidR="00E6060C" w:rsidRPr="00E6060C" w:rsidRDefault="00E6060C" w:rsidP="00F15DDF">
            <w:pPr>
              <w:numPr>
                <w:ilvl w:val="0"/>
                <w:numId w:val="62"/>
              </w:numPr>
              <w:ind w:left="170" w:hanging="170"/>
              <w:contextualSpacing/>
            </w:pPr>
            <w:r w:rsidRPr="00E6060C">
              <w:t>Higher work-related burnout in dropouts</w:t>
            </w:r>
          </w:p>
          <w:p w14:paraId="01CDE86A" w14:textId="77777777" w:rsidR="00E6060C" w:rsidRPr="00E6060C" w:rsidRDefault="00E6060C" w:rsidP="00F15DDF">
            <w:pPr>
              <w:numPr>
                <w:ilvl w:val="0"/>
                <w:numId w:val="62"/>
              </w:numPr>
              <w:ind w:left="170" w:hanging="170"/>
              <w:contextualSpacing/>
            </w:pPr>
            <w:r w:rsidRPr="00E6060C">
              <w:t>Age and employment status differ between groups</w:t>
            </w:r>
          </w:p>
        </w:tc>
        <w:tc>
          <w:tcPr>
            <w:tcW w:w="1700" w:type="dxa"/>
            <w:gridSpan w:val="2"/>
          </w:tcPr>
          <w:p w14:paraId="5359E8B3" w14:textId="77777777" w:rsidR="00E6060C" w:rsidRPr="00E6060C" w:rsidRDefault="00E6060C" w:rsidP="00E6060C">
            <w:pPr>
              <w:contextualSpacing/>
            </w:pPr>
            <w:r w:rsidRPr="00E6060C">
              <w:t>-</w:t>
            </w:r>
          </w:p>
        </w:tc>
      </w:tr>
      <w:tr w:rsidR="00E6060C" w:rsidRPr="00E6060C" w14:paraId="3B94C4F2" w14:textId="77777777" w:rsidTr="00E6060C">
        <w:tc>
          <w:tcPr>
            <w:tcW w:w="567" w:type="dxa"/>
          </w:tcPr>
          <w:p w14:paraId="44A0211A" w14:textId="77777777" w:rsidR="00E6060C" w:rsidRPr="00E6060C" w:rsidRDefault="00E6060C" w:rsidP="00E6060C">
            <w:pPr>
              <w:contextualSpacing/>
            </w:pPr>
            <w:r w:rsidRPr="00E6060C">
              <w:t>27</w:t>
            </w:r>
          </w:p>
        </w:tc>
        <w:tc>
          <w:tcPr>
            <w:tcW w:w="1406" w:type="dxa"/>
          </w:tcPr>
          <w:p w14:paraId="4E22B6D0" w14:textId="0995178F" w:rsidR="00E6060C" w:rsidRPr="00E6060C" w:rsidRDefault="004D6C5A"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Calitz 2013</w:t>
            </w:r>
          </w:p>
          <w:p w14:paraId="24CC37A2" w14:textId="77777777" w:rsidR="00E6060C" w:rsidRPr="00E6060C" w:rsidRDefault="00E6060C" w:rsidP="00E6060C">
            <w:pPr>
              <w:contextualSpacing/>
              <w:rPr>
                <w:rFonts w:ascii="Calibri" w:hAnsi="Calibri"/>
              </w:rPr>
            </w:pPr>
          </w:p>
        </w:tc>
        <w:tc>
          <w:tcPr>
            <w:tcW w:w="1430" w:type="dxa"/>
          </w:tcPr>
          <w:p w14:paraId="497F152C" w14:textId="77777777" w:rsidR="00E6060C" w:rsidRPr="00E6060C" w:rsidRDefault="00E6060C" w:rsidP="00E6060C">
            <w:pPr>
              <w:contextualSpacing/>
            </w:pPr>
            <w:r w:rsidRPr="00E6060C">
              <w:lastRenderedPageBreak/>
              <w:t>66.7% (T1)</w:t>
            </w:r>
          </w:p>
        </w:tc>
        <w:tc>
          <w:tcPr>
            <w:tcW w:w="1453" w:type="dxa"/>
          </w:tcPr>
          <w:p w14:paraId="2B5C123A" w14:textId="77777777" w:rsidR="00E6060C" w:rsidRPr="00E6060C" w:rsidRDefault="00E6060C" w:rsidP="00E6060C">
            <w:pPr>
              <w:contextualSpacing/>
            </w:pPr>
            <w:r w:rsidRPr="00E6060C">
              <w:t>Y</w:t>
            </w:r>
          </w:p>
        </w:tc>
        <w:tc>
          <w:tcPr>
            <w:tcW w:w="1305" w:type="dxa"/>
          </w:tcPr>
          <w:p w14:paraId="0633FB5D" w14:textId="77777777" w:rsidR="00E6060C" w:rsidRPr="00E6060C" w:rsidRDefault="00E6060C" w:rsidP="00E6060C">
            <w:pPr>
              <w:contextualSpacing/>
            </w:pPr>
            <w:r w:rsidRPr="00E6060C">
              <w:t>Y</w:t>
            </w:r>
          </w:p>
        </w:tc>
        <w:tc>
          <w:tcPr>
            <w:tcW w:w="1097" w:type="dxa"/>
          </w:tcPr>
          <w:p w14:paraId="133ECC6B" w14:textId="77777777" w:rsidR="00E6060C" w:rsidRPr="00E6060C" w:rsidRDefault="00E6060C" w:rsidP="00E6060C">
            <w:pPr>
              <w:contextualSpacing/>
            </w:pPr>
            <w:r w:rsidRPr="00E6060C">
              <w:t>N</w:t>
            </w:r>
          </w:p>
        </w:tc>
        <w:tc>
          <w:tcPr>
            <w:tcW w:w="1199" w:type="dxa"/>
          </w:tcPr>
          <w:p w14:paraId="6B34F019" w14:textId="77777777" w:rsidR="00E6060C" w:rsidRPr="00E6060C" w:rsidRDefault="00E6060C" w:rsidP="00E6060C">
            <w:pPr>
              <w:contextualSpacing/>
            </w:pPr>
            <w:r w:rsidRPr="00E6060C">
              <w:t>Y</w:t>
            </w:r>
          </w:p>
        </w:tc>
        <w:tc>
          <w:tcPr>
            <w:tcW w:w="1483" w:type="dxa"/>
          </w:tcPr>
          <w:p w14:paraId="68EBD701" w14:textId="77777777" w:rsidR="00E6060C" w:rsidRPr="00E6060C" w:rsidRDefault="00E6060C" w:rsidP="00E6060C">
            <w:pPr>
              <w:contextualSpacing/>
            </w:pPr>
            <w:r w:rsidRPr="00E6060C">
              <w:t>-</w:t>
            </w:r>
          </w:p>
        </w:tc>
        <w:tc>
          <w:tcPr>
            <w:tcW w:w="1483" w:type="dxa"/>
          </w:tcPr>
          <w:p w14:paraId="3AA43F2B" w14:textId="77777777" w:rsidR="00E6060C" w:rsidRPr="00E6060C" w:rsidRDefault="00E6060C" w:rsidP="00E6060C">
            <w:pPr>
              <w:contextualSpacing/>
            </w:pPr>
            <w:r w:rsidRPr="00E6060C">
              <w:t>-</w:t>
            </w:r>
          </w:p>
        </w:tc>
        <w:tc>
          <w:tcPr>
            <w:tcW w:w="1624" w:type="dxa"/>
          </w:tcPr>
          <w:p w14:paraId="4A182D7C" w14:textId="77777777" w:rsidR="00E6060C" w:rsidRPr="00E6060C" w:rsidRDefault="00E6060C" w:rsidP="00E6060C">
            <w:pPr>
              <w:contextualSpacing/>
            </w:pPr>
            <w:r w:rsidRPr="00E6060C">
              <w:t>-</w:t>
            </w:r>
          </w:p>
        </w:tc>
        <w:tc>
          <w:tcPr>
            <w:tcW w:w="1700" w:type="dxa"/>
            <w:gridSpan w:val="2"/>
          </w:tcPr>
          <w:p w14:paraId="1C95D839" w14:textId="77777777" w:rsidR="00E6060C" w:rsidRPr="00E6060C" w:rsidRDefault="00E6060C" w:rsidP="00E6060C">
            <w:pPr>
              <w:contextualSpacing/>
            </w:pPr>
            <w:r w:rsidRPr="00E6060C">
              <w:t>-</w:t>
            </w:r>
          </w:p>
        </w:tc>
      </w:tr>
      <w:tr w:rsidR="00E6060C" w:rsidRPr="00E6060C" w14:paraId="5E3A2480" w14:textId="77777777" w:rsidTr="00E6060C">
        <w:tc>
          <w:tcPr>
            <w:tcW w:w="567" w:type="dxa"/>
          </w:tcPr>
          <w:p w14:paraId="55544145" w14:textId="77777777" w:rsidR="00E6060C" w:rsidRPr="00E6060C" w:rsidRDefault="00E6060C" w:rsidP="00E6060C">
            <w:pPr>
              <w:contextualSpacing/>
            </w:pPr>
            <w:r w:rsidRPr="00E6060C">
              <w:t>28</w:t>
            </w:r>
          </w:p>
        </w:tc>
        <w:tc>
          <w:tcPr>
            <w:tcW w:w="1406" w:type="dxa"/>
          </w:tcPr>
          <w:p w14:paraId="1C58C73D" w14:textId="0BDBE154" w:rsidR="00E6060C" w:rsidRPr="00E6060C" w:rsidRDefault="004D6C5A" w:rsidP="00E6060C">
            <w:pPr>
              <w:contextualSpacing/>
            </w:pPr>
            <w:r>
              <w:t>*</w:t>
            </w:r>
            <w:r w:rsidR="00E6060C" w:rsidRPr="00E6060C">
              <w:t>Hengel, et al., 2012</w:t>
            </w:r>
          </w:p>
          <w:p w14:paraId="14E03A77" w14:textId="77777777" w:rsidR="00E6060C" w:rsidRPr="00E6060C" w:rsidRDefault="00E6060C" w:rsidP="00E6060C">
            <w:pPr>
              <w:contextualSpacing/>
            </w:pPr>
          </w:p>
        </w:tc>
        <w:tc>
          <w:tcPr>
            <w:tcW w:w="1430" w:type="dxa"/>
          </w:tcPr>
          <w:p w14:paraId="792FAFC2" w14:textId="77777777" w:rsidR="00E6060C" w:rsidRPr="00E6060C" w:rsidRDefault="00E6060C" w:rsidP="00E6060C">
            <w:pPr>
              <w:contextualSpacing/>
            </w:pPr>
            <w:r w:rsidRPr="00E6060C">
              <w:t>Int:73% (T2); 73% (T3); 76% (T4)</w:t>
            </w:r>
          </w:p>
          <w:p w14:paraId="35769F16" w14:textId="77777777" w:rsidR="00E6060C" w:rsidRPr="00E6060C" w:rsidRDefault="00E6060C" w:rsidP="00E6060C">
            <w:pPr>
              <w:contextualSpacing/>
            </w:pPr>
            <w:r w:rsidRPr="00E6060C">
              <w:t xml:space="preserve">Con: 80% (T2); </w:t>
            </w:r>
          </w:p>
          <w:p w14:paraId="22C1E157" w14:textId="77777777" w:rsidR="00E6060C" w:rsidRPr="00E6060C" w:rsidRDefault="00E6060C" w:rsidP="00E6060C">
            <w:pPr>
              <w:contextualSpacing/>
            </w:pPr>
            <w:r w:rsidRPr="00E6060C">
              <w:t>77% (T3); 70% (T4)</w:t>
            </w:r>
          </w:p>
        </w:tc>
        <w:tc>
          <w:tcPr>
            <w:tcW w:w="1453" w:type="dxa"/>
          </w:tcPr>
          <w:p w14:paraId="02EE91FD" w14:textId="77777777" w:rsidR="00E6060C" w:rsidRPr="00E6060C" w:rsidRDefault="00E6060C" w:rsidP="00E6060C">
            <w:pPr>
              <w:contextualSpacing/>
            </w:pPr>
            <w:r w:rsidRPr="00E6060C">
              <w:t>Y</w:t>
            </w:r>
          </w:p>
        </w:tc>
        <w:tc>
          <w:tcPr>
            <w:tcW w:w="1305" w:type="dxa"/>
          </w:tcPr>
          <w:p w14:paraId="1563400C" w14:textId="77777777" w:rsidR="00E6060C" w:rsidRPr="00E6060C" w:rsidRDefault="00E6060C" w:rsidP="00E6060C">
            <w:pPr>
              <w:contextualSpacing/>
            </w:pPr>
            <w:r w:rsidRPr="00E6060C">
              <w:t>Y</w:t>
            </w:r>
          </w:p>
        </w:tc>
        <w:tc>
          <w:tcPr>
            <w:tcW w:w="1097" w:type="dxa"/>
          </w:tcPr>
          <w:p w14:paraId="1B9CDB7D" w14:textId="77777777" w:rsidR="00E6060C" w:rsidRPr="00E6060C" w:rsidRDefault="00E6060C" w:rsidP="00E6060C">
            <w:pPr>
              <w:contextualSpacing/>
            </w:pPr>
            <w:r w:rsidRPr="00E6060C">
              <w:t>N</w:t>
            </w:r>
          </w:p>
        </w:tc>
        <w:tc>
          <w:tcPr>
            <w:tcW w:w="1199" w:type="dxa"/>
          </w:tcPr>
          <w:p w14:paraId="6B9D0DB2" w14:textId="77777777" w:rsidR="00E6060C" w:rsidRPr="00E6060C" w:rsidRDefault="00E6060C" w:rsidP="00E6060C">
            <w:pPr>
              <w:contextualSpacing/>
            </w:pPr>
            <w:r w:rsidRPr="00E6060C">
              <w:t>Y</w:t>
            </w:r>
          </w:p>
        </w:tc>
        <w:tc>
          <w:tcPr>
            <w:tcW w:w="1483" w:type="dxa"/>
          </w:tcPr>
          <w:p w14:paraId="032343DA" w14:textId="77777777" w:rsidR="00E6060C" w:rsidRPr="00E6060C" w:rsidRDefault="00E6060C" w:rsidP="00E6060C">
            <w:pPr>
              <w:contextualSpacing/>
            </w:pPr>
            <w:r w:rsidRPr="00E6060C">
              <w:t>Int:30% (T3)</w:t>
            </w:r>
          </w:p>
          <w:p w14:paraId="7AEEC21B" w14:textId="77777777" w:rsidR="00E6060C" w:rsidRPr="00E6060C" w:rsidRDefault="00E6060C" w:rsidP="00E6060C">
            <w:pPr>
              <w:contextualSpacing/>
            </w:pPr>
            <w:r w:rsidRPr="00E6060C">
              <w:t>Con:24% (T3)</w:t>
            </w:r>
          </w:p>
          <w:p w14:paraId="349983B1" w14:textId="77777777" w:rsidR="00E6060C" w:rsidRPr="00E6060C" w:rsidRDefault="00E6060C" w:rsidP="00E6060C">
            <w:pPr>
              <w:contextualSpacing/>
            </w:pPr>
          </w:p>
        </w:tc>
        <w:tc>
          <w:tcPr>
            <w:tcW w:w="1483" w:type="dxa"/>
          </w:tcPr>
          <w:p w14:paraId="005DEDDA" w14:textId="77777777" w:rsidR="00E6060C" w:rsidRPr="00E6060C" w:rsidRDefault="00E6060C" w:rsidP="00E6060C">
            <w:pPr>
              <w:contextualSpacing/>
            </w:pPr>
            <w:r w:rsidRPr="00E6060C">
              <w:t>Y</w:t>
            </w:r>
          </w:p>
        </w:tc>
        <w:tc>
          <w:tcPr>
            <w:tcW w:w="1624" w:type="dxa"/>
          </w:tcPr>
          <w:p w14:paraId="2E7A81CA" w14:textId="77777777" w:rsidR="00E6060C" w:rsidRPr="00E6060C" w:rsidRDefault="00E6060C" w:rsidP="00E6060C">
            <w:pPr>
              <w:contextualSpacing/>
            </w:pPr>
            <w:r w:rsidRPr="00E6060C">
              <w:t>Non-completers were higher educated than completers</w:t>
            </w:r>
          </w:p>
        </w:tc>
        <w:tc>
          <w:tcPr>
            <w:tcW w:w="1700" w:type="dxa"/>
            <w:gridSpan w:val="2"/>
          </w:tcPr>
          <w:p w14:paraId="2CD1E1B3" w14:textId="77777777" w:rsidR="00E6060C" w:rsidRPr="00E6060C" w:rsidRDefault="00E6060C" w:rsidP="00F15DDF">
            <w:pPr>
              <w:numPr>
                <w:ilvl w:val="0"/>
                <w:numId w:val="63"/>
              </w:numPr>
              <w:ind w:left="176" w:hanging="176"/>
              <w:contextualSpacing/>
            </w:pPr>
            <w:r w:rsidRPr="00E6060C">
              <w:t>Sick leave during measurement periods</w:t>
            </w:r>
          </w:p>
          <w:p w14:paraId="0ACC648D" w14:textId="77777777" w:rsidR="00E6060C" w:rsidRPr="00E6060C" w:rsidRDefault="00E6060C" w:rsidP="00F15DDF">
            <w:pPr>
              <w:numPr>
                <w:ilvl w:val="0"/>
                <w:numId w:val="63"/>
              </w:numPr>
              <w:ind w:left="176" w:hanging="176"/>
              <w:contextualSpacing/>
            </w:pPr>
            <w:r w:rsidRPr="00E6060C">
              <w:t>Redundancy</w:t>
            </w:r>
          </w:p>
        </w:tc>
      </w:tr>
      <w:tr w:rsidR="00E6060C" w:rsidRPr="00E6060C" w14:paraId="31C9691C" w14:textId="77777777" w:rsidTr="00E6060C">
        <w:tc>
          <w:tcPr>
            <w:tcW w:w="567" w:type="dxa"/>
          </w:tcPr>
          <w:p w14:paraId="779733F0" w14:textId="77777777" w:rsidR="00E6060C" w:rsidRPr="00E6060C" w:rsidRDefault="00E6060C" w:rsidP="00E6060C">
            <w:pPr>
              <w:contextualSpacing/>
            </w:pPr>
            <w:r w:rsidRPr="00E6060C">
              <w:t>29</w:t>
            </w:r>
          </w:p>
        </w:tc>
        <w:tc>
          <w:tcPr>
            <w:tcW w:w="1406" w:type="dxa"/>
          </w:tcPr>
          <w:p w14:paraId="7EB07E89" w14:textId="1A35497B" w:rsidR="00E6060C" w:rsidRPr="00E6060C" w:rsidRDefault="004D6C5A" w:rsidP="00E6060C">
            <w:pPr>
              <w:contextualSpacing/>
            </w:pPr>
            <w:r>
              <w:t>*</w:t>
            </w:r>
            <w:r w:rsidR="00E6060C" w:rsidRPr="00E6060C">
              <w:t>Imamura et al., 2015</w:t>
            </w:r>
          </w:p>
        </w:tc>
        <w:tc>
          <w:tcPr>
            <w:tcW w:w="1430" w:type="dxa"/>
          </w:tcPr>
          <w:p w14:paraId="53F353D1" w14:textId="77777777" w:rsidR="00E6060C" w:rsidRPr="00E6060C" w:rsidRDefault="00E6060C" w:rsidP="00E6060C">
            <w:pPr>
              <w:contextualSpacing/>
            </w:pPr>
            <w:r w:rsidRPr="00E6060C">
              <w:t>47.5% (T1);</w:t>
            </w:r>
          </w:p>
          <w:p w14:paraId="38E3511E" w14:textId="77777777" w:rsidR="00E6060C" w:rsidRPr="00E6060C" w:rsidRDefault="00E6060C" w:rsidP="00E6060C">
            <w:pPr>
              <w:contextualSpacing/>
            </w:pPr>
            <w:r w:rsidRPr="00E6060C">
              <w:t>Int: 70.9% (T2);</w:t>
            </w:r>
          </w:p>
          <w:p w14:paraId="03ABBDB9" w14:textId="77777777" w:rsidR="00E6060C" w:rsidRPr="00E6060C" w:rsidRDefault="00E6060C" w:rsidP="00E6060C">
            <w:pPr>
              <w:contextualSpacing/>
            </w:pPr>
            <w:r w:rsidRPr="00E6060C">
              <w:t>Con:88.2% (T2);</w:t>
            </w:r>
          </w:p>
          <w:p w14:paraId="6E9A232B" w14:textId="77777777" w:rsidR="00E6060C" w:rsidRPr="00E6060C" w:rsidRDefault="00E6060C" w:rsidP="00E6060C">
            <w:pPr>
              <w:contextualSpacing/>
            </w:pPr>
            <w:r w:rsidRPr="00E6060C">
              <w:t>Int:71.4% (T3);</w:t>
            </w:r>
          </w:p>
          <w:p w14:paraId="2A4414F8" w14:textId="77777777" w:rsidR="00E6060C" w:rsidRPr="00E6060C" w:rsidRDefault="00E6060C" w:rsidP="00E6060C">
            <w:pPr>
              <w:contextualSpacing/>
            </w:pPr>
            <w:r w:rsidRPr="00E6060C">
              <w:t>Con:84.0% (T3)</w:t>
            </w:r>
          </w:p>
        </w:tc>
        <w:tc>
          <w:tcPr>
            <w:tcW w:w="1453" w:type="dxa"/>
          </w:tcPr>
          <w:p w14:paraId="10E53AC0" w14:textId="77777777" w:rsidR="00E6060C" w:rsidRPr="00E6060C" w:rsidRDefault="00E6060C" w:rsidP="00E6060C">
            <w:pPr>
              <w:contextualSpacing/>
            </w:pPr>
            <w:r w:rsidRPr="00E6060C">
              <w:t>N: Mentions basing the intervention on a Manga (Japanese comic) story in the abstract but this isn’t mentioned anywhere in the paper. How does the Manga story relate to the iCBT intervention?</w:t>
            </w:r>
          </w:p>
        </w:tc>
        <w:tc>
          <w:tcPr>
            <w:tcW w:w="1305" w:type="dxa"/>
          </w:tcPr>
          <w:p w14:paraId="450B8442" w14:textId="77777777" w:rsidR="00E6060C" w:rsidRPr="00E6060C" w:rsidRDefault="00E6060C" w:rsidP="00E6060C">
            <w:pPr>
              <w:contextualSpacing/>
            </w:pPr>
            <w:r w:rsidRPr="00E6060C">
              <w:t>Y</w:t>
            </w:r>
          </w:p>
        </w:tc>
        <w:tc>
          <w:tcPr>
            <w:tcW w:w="1097" w:type="dxa"/>
          </w:tcPr>
          <w:p w14:paraId="65DDADC4" w14:textId="77777777" w:rsidR="00E6060C" w:rsidRPr="00E6060C" w:rsidRDefault="00E6060C" w:rsidP="00E6060C">
            <w:pPr>
              <w:contextualSpacing/>
            </w:pPr>
            <w:r w:rsidRPr="00E6060C">
              <w:t>N</w:t>
            </w:r>
          </w:p>
        </w:tc>
        <w:tc>
          <w:tcPr>
            <w:tcW w:w="1199" w:type="dxa"/>
          </w:tcPr>
          <w:p w14:paraId="04603796" w14:textId="77777777" w:rsidR="00E6060C" w:rsidRPr="00E6060C" w:rsidRDefault="00E6060C" w:rsidP="00E6060C">
            <w:pPr>
              <w:contextualSpacing/>
            </w:pPr>
            <w:r w:rsidRPr="00E6060C">
              <w:t>Y</w:t>
            </w:r>
          </w:p>
        </w:tc>
        <w:tc>
          <w:tcPr>
            <w:tcW w:w="1483" w:type="dxa"/>
          </w:tcPr>
          <w:p w14:paraId="7A4120DF" w14:textId="77777777" w:rsidR="00E6060C" w:rsidRPr="00E6060C" w:rsidRDefault="00E6060C" w:rsidP="00E6060C">
            <w:pPr>
              <w:contextualSpacing/>
            </w:pPr>
            <w:r w:rsidRPr="00E6060C">
              <w:t>29.1 % (T2)</w:t>
            </w:r>
          </w:p>
          <w:p w14:paraId="2F9711BC" w14:textId="77777777" w:rsidR="00E6060C" w:rsidRPr="00E6060C" w:rsidRDefault="00E6060C" w:rsidP="00E6060C">
            <w:pPr>
              <w:contextualSpacing/>
            </w:pPr>
            <w:r w:rsidRPr="00E6060C">
              <w:t>28.6% (T3)</w:t>
            </w:r>
          </w:p>
        </w:tc>
        <w:tc>
          <w:tcPr>
            <w:tcW w:w="1483" w:type="dxa"/>
          </w:tcPr>
          <w:p w14:paraId="5190238D" w14:textId="77777777" w:rsidR="00E6060C" w:rsidRPr="00E6060C" w:rsidRDefault="00E6060C" w:rsidP="00E6060C">
            <w:pPr>
              <w:contextualSpacing/>
            </w:pPr>
            <w:r w:rsidRPr="00E6060C">
              <w:t>Not discussed</w:t>
            </w:r>
          </w:p>
        </w:tc>
        <w:tc>
          <w:tcPr>
            <w:tcW w:w="1624" w:type="dxa"/>
          </w:tcPr>
          <w:p w14:paraId="21B0B24A" w14:textId="77777777" w:rsidR="00E6060C" w:rsidRPr="00E6060C" w:rsidRDefault="00E6060C" w:rsidP="00E6060C">
            <w:pPr>
              <w:contextualSpacing/>
            </w:pPr>
            <w:r w:rsidRPr="00E6060C">
              <w:t>Not discussed</w:t>
            </w:r>
          </w:p>
        </w:tc>
        <w:tc>
          <w:tcPr>
            <w:tcW w:w="1700" w:type="dxa"/>
            <w:gridSpan w:val="2"/>
          </w:tcPr>
          <w:p w14:paraId="12B48119" w14:textId="77777777" w:rsidR="00E6060C" w:rsidRPr="00E6060C" w:rsidRDefault="00E6060C" w:rsidP="00E6060C">
            <w:pPr>
              <w:contextualSpacing/>
            </w:pPr>
            <w:r w:rsidRPr="00E6060C">
              <w:t>Authors report not assessing reasons for attrition</w:t>
            </w:r>
          </w:p>
        </w:tc>
      </w:tr>
      <w:tr w:rsidR="00E6060C" w:rsidRPr="00E6060C" w14:paraId="30BCCC7A" w14:textId="77777777" w:rsidTr="00E6060C">
        <w:tc>
          <w:tcPr>
            <w:tcW w:w="567" w:type="dxa"/>
          </w:tcPr>
          <w:p w14:paraId="16D22686" w14:textId="77777777" w:rsidR="00E6060C" w:rsidRPr="00E6060C" w:rsidRDefault="00E6060C" w:rsidP="00E6060C">
            <w:pPr>
              <w:contextualSpacing/>
            </w:pPr>
            <w:r w:rsidRPr="00E6060C">
              <w:t>30</w:t>
            </w:r>
          </w:p>
        </w:tc>
        <w:tc>
          <w:tcPr>
            <w:tcW w:w="1406" w:type="dxa"/>
          </w:tcPr>
          <w:p w14:paraId="171CA3DF" w14:textId="1B9CE0A0" w:rsidR="00E6060C" w:rsidRPr="00E6060C" w:rsidRDefault="004D6C5A" w:rsidP="00E6060C">
            <w:pPr>
              <w:contextualSpacing/>
            </w:pPr>
            <w:r>
              <w:t>*</w:t>
            </w:r>
            <w:r w:rsidR="00E6060C" w:rsidRPr="00E6060C">
              <w:t>Strijk, et al., 2013</w:t>
            </w:r>
          </w:p>
        </w:tc>
        <w:tc>
          <w:tcPr>
            <w:tcW w:w="1430" w:type="dxa"/>
          </w:tcPr>
          <w:p w14:paraId="40C75689" w14:textId="77777777" w:rsidR="00E6060C" w:rsidRPr="00E6060C" w:rsidRDefault="00E6060C" w:rsidP="00E6060C">
            <w:pPr>
              <w:contextualSpacing/>
            </w:pPr>
            <w:r w:rsidRPr="00E6060C">
              <w:t xml:space="preserve">Int:79.8% (T2); </w:t>
            </w:r>
          </w:p>
          <w:p w14:paraId="3A4FAC46" w14:textId="77777777" w:rsidR="00E6060C" w:rsidRPr="00E6060C" w:rsidRDefault="00E6060C" w:rsidP="00E6060C">
            <w:pPr>
              <w:contextualSpacing/>
            </w:pPr>
            <w:r w:rsidRPr="00E6060C">
              <w:t>68.8% (T3);</w:t>
            </w:r>
          </w:p>
          <w:p w14:paraId="1D90BF7D" w14:textId="77777777" w:rsidR="00E6060C" w:rsidRPr="00E6060C" w:rsidRDefault="00E6060C" w:rsidP="00E6060C">
            <w:pPr>
              <w:contextualSpacing/>
            </w:pPr>
            <w:r w:rsidRPr="00E6060C">
              <w:t>Con=77.7% (T2)</w:t>
            </w:r>
          </w:p>
        </w:tc>
        <w:tc>
          <w:tcPr>
            <w:tcW w:w="1453" w:type="dxa"/>
          </w:tcPr>
          <w:p w14:paraId="550EF1E1" w14:textId="77777777" w:rsidR="00E6060C" w:rsidRPr="00E6060C" w:rsidRDefault="00E6060C" w:rsidP="00E6060C">
            <w:pPr>
              <w:contextualSpacing/>
            </w:pPr>
            <w:r w:rsidRPr="00E6060C">
              <w:t>Y</w:t>
            </w:r>
          </w:p>
        </w:tc>
        <w:tc>
          <w:tcPr>
            <w:tcW w:w="1305" w:type="dxa"/>
          </w:tcPr>
          <w:p w14:paraId="39622BEA" w14:textId="77777777" w:rsidR="00E6060C" w:rsidRPr="00E6060C" w:rsidRDefault="00E6060C" w:rsidP="00E6060C">
            <w:pPr>
              <w:contextualSpacing/>
            </w:pPr>
            <w:r w:rsidRPr="00E6060C">
              <w:t>Y</w:t>
            </w:r>
          </w:p>
        </w:tc>
        <w:tc>
          <w:tcPr>
            <w:tcW w:w="1097" w:type="dxa"/>
          </w:tcPr>
          <w:p w14:paraId="063B8E6C" w14:textId="77777777" w:rsidR="00E6060C" w:rsidRPr="00E6060C" w:rsidRDefault="00E6060C" w:rsidP="00E6060C">
            <w:pPr>
              <w:contextualSpacing/>
            </w:pPr>
            <w:r w:rsidRPr="00E6060C">
              <w:t>N</w:t>
            </w:r>
          </w:p>
        </w:tc>
        <w:tc>
          <w:tcPr>
            <w:tcW w:w="1199" w:type="dxa"/>
          </w:tcPr>
          <w:p w14:paraId="35D3739E" w14:textId="77777777" w:rsidR="00E6060C" w:rsidRPr="00E6060C" w:rsidRDefault="00E6060C" w:rsidP="00E6060C">
            <w:pPr>
              <w:contextualSpacing/>
            </w:pPr>
            <w:r w:rsidRPr="00E6060C">
              <w:t>Y</w:t>
            </w:r>
          </w:p>
        </w:tc>
        <w:tc>
          <w:tcPr>
            <w:tcW w:w="1483" w:type="dxa"/>
          </w:tcPr>
          <w:p w14:paraId="0C073896" w14:textId="77777777" w:rsidR="00E6060C" w:rsidRPr="00E6060C" w:rsidRDefault="00E6060C" w:rsidP="00E6060C">
            <w:pPr>
              <w:contextualSpacing/>
            </w:pPr>
            <w:r w:rsidRPr="00E6060C">
              <w:t>20.2% (T1-T2)</w:t>
            </w:r>
          </w:p>
          <w:p w14:paraId="0C129136" w14:textId="77777777" w:rsidR="00E6060C" w:rsidRPr="00E6060C" w:rsidRDefault="00E6060C" w:rsidP="00E6060C">
            <w:pPr>
              <w:contextualSpacing/>
            </w:pPr>
            <w:r w:rsidRPr="00E6060C">
              <w:t>31.2% (T1-T3)</w:t>
            </w:r>
          </w:p>
          <w:p w14:paraId="3F59795E" w14:textId="77777777" w:rsidR="00E6060C" w:rsidRPr="00E6060C" w:rsidRDefault="00E6060C" w:rsidP="00E6060C">
            <w:pPr>
              <w:contextualSpacing/>
            </w:pPr>
          </w:p>
        </w:tc>
        <w:tc>
          <w:tcPr>
            <w:tcW w:w="1483" w:type="dxa"/>
          </w:tcPr>
          <w:p w14:paraId="6691E031" w14:textId="77777777" w:rsidR="00E6060C" w:rsidRPr="00E6060C" w:rsidRDefault="00E6060C" w:rsidP="00E6060C">
            <w:pPr>
              <w:contextualSpacing/>
            </w:pPr>
            <w:r w:rsidRPr="00E6060C">
              <w:t>Y</w:t>
            </w:r>
          </w:p>
        </w:tc>
        <w:tc>
          <w:tcPr>
            <w:tcW w:w="1624" w:type="dxa"/>
          </w:tcPr>
          <w:p w14:paraId="055297DD" w14:textId="77777777" w:rsidR="00E6060C" w:rsidRPr="00E6060C" w:rsidRDefault="00E6060C" w:rsidP="00E6060C">
            <w:pPr>
              <w:contextualSpacing/>
            </w:pPr>
            <w:r w:rsidRPr="00E6060C">
              <w:t>No significant differences found between groups on any of the variables</w:t>
            </w:r>
          </w:p>
        </w:tc>
        <w:tc>
          <w:tcPr>
            <w:tcW w:w="1700" w:type="dxa"/>
            <w:gridSpan w:val="2"/>
          </w:tcPr>
          <w:p w14:paraId="4C98A784" w14:textId="77777777" w:rsidR="00E6060C" w:rsidRPr="00E6060C" w:rsidRDefault="00E6060C" w:rsidP="00F15DDF">
            <w:pPr>
              <w:numPr>
                <w:ilvl w:val="0"/>
                <w:numId w:val="64"/>
              </w:numPr>
              <w:ind w:left="176" w:hanging="176"/>
              <w:contextualSpacing/>
            </w:pPr>
            <w:r w:rsidRPr="00E6060C">
              <w:t>No time</w:t>
            </w:r>
          </w:p>
          <w:p w14:paraId="175F4F91" w14:textId="77777777" w:rsidR="00E6060C" w:rsidRPr="00E6060C" w:rsidRDefault="00E6060C" w:rsidP="00F15DDF">
            <w:pPr>
              <w:numPr>
                <w:ilvl w:val="0"/>
                <w:numId w:val="64"/>
              </w:numPr>
              <w:ind w:left="176" w:hanging="176"/>
              <w:contextualSpacing/>
            </w:pPr>
            <w:r w:rsidRPr="00E6060C">
              <w:t>No interest / motivation</w:t>
            </w:r>
          </w:p>
          <w:p w14:paraId="3E7C34A2" w14:textId="77777777" w:rsidR="00E6060C" w:rsidRPr="00E6060C" w:rsidRDefault="00E6060C" w:rsidP="00F15DDF">
            <w:pPr>
              <w:numPr>
                <w:ilvl w:val="0"/>
                <w:numId w:val="64"/>
              </w:numPr>
              <w:ind w:left="176" w:hanging="176"/>
              <w:contextualSpacing/>
            </w:pPr>
            <w:r w:rsidRPr="00E6060C">
              <w:t>Health problems</w:t>
            </w:r>
          </w:p>
          <w:p w14:paraId="3DFC0537" w14:textId="77777777" w:rsidR="00E6060C" w:rsidRPr="00E6060C" w:rsidRDefault="00E6060C" w:rsidP="00F15DDF">
            <w:pPr>
              <w:numPr>
                <w:ilvl w:val="0"/>
                <w:numId w:val="64"/>
              </w:numPr>
              <w:ind w:left="176" w:hanging="176"/>
              <w:contextualSpacing/>
            </w:pPr>
            <w:r w:rsidRPr="00E6060C">
              <w:t>Change of job</w:t>
            </w:r>
          </w:p>
          <w:p w14:paraId="0860EB12" w14:textId="77777777" w:rsidR="00E6060C" w:rsidRPr="00E6060C" w:rsidRDefault="00E6060C" w:rsidP="00F15DDF">
            <w:pPr>
              <w:numPr>
                <w:ilvl w:val="0"/>
                <w:numId w:val="64"/>
              </w:numPr>
              <w:ind w:left="176" w:hanging="176"/>
              <w:contextualSpacing/>
            </w:pPr>
            <w:r w:rsidRPr="00E6060C">
              <w:t>‘Other’</w:t>
            </w:r>
          </w:p>
          <w:p w14:paraId="0926CE16" w14:textId="77777777" w:rsidR="00E6060C" w:rsidRPr="00E6060C" w:rsidRDefault="00E6060C" w:rsidP="00F15DDF">
            <w:pPr>
              <w:numPr>
                <w:ilvl w:val="0"/>
                <w:numId w:val="64"/>
              </w:numPr>
              <w:ind w:left="176" w:hanging="176"/>
              <w:contextualSpacing/>
            </w:pPr>
            <w:r w:rsidRPr="00E6060C">
              <w:lastRenderedPageBreak/>
              <w:t>‘Unknown’</w:t>
            </w:r>
          </w:p>
        </w:tc>
      </w:tr>
      <w:tr w:rsidR="00E6060C" w:rsidRPr="00E6060C" w14:paraId="5E51D20F" w14:textId="77777777" w:rsidTr="00E6060C">
        <w:trPr>
          <w:trHeight w:val="1168"/>
        </w:trPr>
        <w:tc>
          <w:tcPr>
            <w:tcW w:w="567" w:type="dxa"/>
          </w:tcPr>
          <w:p w14:paraId="55FD3DC9" w14:textId="77777777" w:rsidR="00E6060C" w:rsidRPr="00E6060C" w:rsidRDefault="00E6060C" w:rsidP="00E6060C">
            <w:pPr>
              <w:contextualSpacing/>
            </w:pPr>
            <w:r w:rsidRPr="00E6060C">
              <w:lastRenderedPageBreak/>
              <w:t>31</w:t>
            </w:r>
          </w:p>
        </w:tc>
        <w:tc>
          <w:tcPr>
            <w:tcW w:w="1406" w:type="dxa"/>
          </w:tcPr>
          <w:p w14:paraId="6F381D36" w14:textId="34D6EB33" w:rsidR="00E6060C" w:rsidRPr="00E6060C" w:rsidRDefault="004D6C5A" w:rsidP="00E6060C">
            <w:pPr>
              <w:contextualSpacing/>
            </w:pPr>
            <w:r>
              <w:t>*</w:t>
            </w:r>
            <w:r w:rsidR="00E6060C" w:rsidRPr="00E6060C">
              <w:t>Van Berkel, et al., 2014</w:t>
            </w:r>
          </w:p>
        </w:tc>
        <w:tc>
          <w:tcPr>
            <w:tcW w:w="1430" w:type="dxa"/>
          </w:tcPr>
          <w:p w14:paraId="56C58E9C" w14:textId="77777777" w:rsidR="00E6060C" w:rsidRPr="00E6060C" w:rsidRDefault="00E6060C" w:rsidP="00E6060C">
            <w:pPr>
              <w:contextualSpacing/>
            </w:pPr>
            <w:r w:rsidRPr="00E6060C">
              <w:t>Int=93.8% (T2 &amp; T3);</w:t>
            </w:r>
          </w:p>
          <w:p w14:paraId="73FCE962" w14:textId="77777777" w:rsidR="00E6060C" w:rsidRPr="00E6060C" w:rsidRDefault="00E6060C" w:rsidP="00E6060C">
            <w:pPr>
              <w:contextualSpacing/>
            </w:pPr>
            <w:r w:rsidRPr="00E6060C">
              <w:t xml:space="preserve">Con=89.1% (T2); </w:t>
            </w:r>
          </w:p>
          <w:p w14:paraId="48925853" w14:textId="77777777" w:rsidR="00E6060C" w:rsidRPr="00E6060C" w:rsidRDefault="00E6060C" w:rsidP="00E6060C">
            <w:pPr>
              <w:contextualSpacing/>
            </w:pPr>
            <w:r w:rsidRPr="00E6060C">
              <w:t>86.8% (T3)</w:t>
            </w:r>
          </w:p>
        </w:tc>
        <w:tc>
          <w:tcPr>
            <w:tcW w:w="1453" w:type="dxa"/>
          </w:tcPr>
          <w:p w14:paraId="31534E95" w14:textId="77777777" w:rsidR="00E6060C" w:rsidRPr="00E6060C" w:rsidRDefault="00E6060C" w:rsidP="00E6060C">
            <w:pPr>
              <w:contextualSpacing/>
            </w:pPr>
            <w:r w:rsidRPr="00E6060C">
              <w:t>Y</w:t>
            </w:r>
          </w:p>
        </w:tc>
        <w:tc>
          <w:tcPr>
            <w:tcW w:w="1305" w:type="dxa"/>
          </w:tcPr>
          <w:p w14:paraId="63FA6937" w14:textId="77777777" w:rsidR="00E6060C" w:rsidRPr="00E6060C" w:rsidRDefault="00E6060C" w:rsidP="00E6060C">
            <w:pPr>
              <w:contextualSpacing/>
            </w:pPr>
            <w:r w:rsidRPr="00E6060C">
              <w:t>Y</w:t>
            </w:r>
          </w:p>
        </w:tc>
        <w:tc>
          <w:tcPr>
            <w:tcW w:w="1097" w:type="dxa"/>
          </w:tcPr>
          <w:p w14:paraId="18A360F0" w14:textId="77777777" w:rsidR="00E6060C" w:rsidRPr="00E6060C" w:rsidRDefault="00E6060C" w:rsidP="00E6060C">
            <w:pPr>
              <w:contextualSpacing/>
            </w:pPr>
            <w:r w:rsidRPr="00E6060C">
              <w:t>N</w:t>
            </w:r>
          </w:p>
        </w:tc>
        <w:tc>
          <w:tcPr>
            <w:tcW w:w="1199" w:type="dxa"/>
          </w:tcPr>
          <w:p w14:paraId="4ECA97A0" w14:textId="77777777" w:rsidR="00E6060C" w:rsidRPr="00E6060C" w:rsidRDefault="00E6060C" w:rsidP="00E6060C">
            <w:pPr>
              <w:contextualSpacing/>
            </w:pPr>
            <w:r w:rsidRPr="00E6060C">
              <w:t>Y</w:t>
            </w:r>
          </w:p>
        </w:tc>
        <w:tc>
          <w:tcPr>
            <w:tcW w:w="1483" w:type="dxa"/>
          </w:tcPr>
          <w:p w14:paraId="4D27B70E" w14:textId="77777777" w:rsidR="00E6060C" w:rsidRPr="00E6060C" w:rsidRDefault="00E6060C" w:rsidP="00E6060C">
            <w:pPr>
              <w:contextualSpacing/>
            </w:pPr>
            <w:r w:rsidRPr="00E6060C">
              <w:t>9.1% (T3)</w:t>
            </w:r>
          </w:p>
        </w:tc>
        <w:tc>
          <w:tcPr>
            <w:tcW w:w="1483" w:type="dxa"/>
          </w:tcPr>
          <w:p w14:paraId="07A67D70" w14:textId="77777777" w:rsidR="00E6060C" w:rsidRPr="00E6060C" w:rsidRDefault="00E6060C" w:rsidP="00E6060C">
            <w:pPr>
              <w:contextualSpacing/>
            </w:pPr>
            <w:r w:rsidRPr="00E6060C">
              <w:t>Y</w:t>
            </w:r>
          </w:p>
        </w:tc>
        <w:tc>
          <w:tcPr>
            <w:tcW w:w="1624" w:type="dxa"/>
          </w:tcPr>
          <w:p w14:paraId="1926F400" w14:textId="77777777" w:rsidR="00E6060C" w:rsidRPr="00E6060C" w:rsidRDefault="00E6060C" w:rsidP="00F15DDF">
            <w:pPr>
              <w:numPr>
                <w:ilvl w:val="0"/>
                <w:numId w:val="61"/>
              </w:numPr>
              <w:contextualSpacing/>
            </w:pPr>
            <w:r w:rsidRPr="00E6060C">
              <w:t>Compliance was not related to the intervention outcome</w:t>
            </w:r>
          </w:p>
          <w:p w14:paraId="066B7454" w14:textId="77777777" w:rsidR="00E6060C" w:rsidRPr="00E6060C" w:rsidRDefault="00E6060C" w:rsidP="00F15DDF">
            <w:pPr>
              <w:numPr>
                <w:ilvl w:val="0"/>
                <w:numId w:val="61"/>
              </w:numPr>
              <w:contextualSpacing/>
            </w:pPr>
            <w:r w:rsidRPr="00E6060C">
              <w:t>Those with a low WE score at baseline reported almost a significant increase in WE at 12 months</w:t>
            </w:r>
          </w:p>
          <w:p w14:paraId="635A6333" w14:textId="77777777" w:rsidR="00E6060C" w:rsidRPr="00E6060C" w:rsidRDefault="00E6060C" w:rsidP="00E6060C">
            <w:pPr>
              <w:ind w:left="360"/>
              <w:contextualSpacing/>
            </w:pPr>
          </w:p>
        </w:tc>
        <w:tc>
          <w:tcPr>
            <w:tcW w:w="1700" w:type="dxa"/>
            <w:gridSpan w:val="2"/>
          </w:tcPr>
          <w:p w14:paraId="1D9C8D92" w14:textId="77777777" w:rsidR="00E6060C" w:rsidRPr="00E6060C" w:rsidRDefault="00E6060C" w:rsidP="00E6060C">
            <w:r w:rsidRPr="00E6060C">
              <w:t>For the intervention group:</w:t>
            </w:r>
          </w:p>
          <w:p w14:paraId="19EFDF0D" w14:textId="77777777" w:rsidR="00E6060C" w:rsidRPr="00E6060C" w:rsidRDefault="00E6060C" w:rsidP="00F15DDF">
            <w:pPr>
              <w:numPr>
                <w:ilvl w:val="0"/>
                <w:numId w:val="60"/>
              </w:numPr>
              <w:ind w:left="176" w:hanging="176"/>
              <w:contextualSpacing/>
            </w:pPr>
            <w:r w:rsidRPr="00E6060C">
              <w:t>Resignation</w:t>
            </w:r>
          </w:p>
          <w:p w14:paraId="224CB45D" w14:textId="77777777" w:rsidR="00E6060C" w:rsidRPr="00E6060C" w:rsidRDefault="00E6060C" w:rsidP="00F15DDF">
            <w:pPr>
              <w:numPr>
                <w:ilvl w:val="0"/>
                <w:numId w:val="60"/>
              </w:numPr>
              <w:ind w:left="176" w:hanging="176"/>
              <w:contextualSpacing/>
            </w:pPr>
            <w:r w:rsidRPr="00E6060C">
              <w:t>No time</w:t>
            </w:r>
          </w:p>
          <w:p w14:paraId="73B027ED" w14:textId="77777777" w:rsidR="00E6060C" w:rsidRPr="00E6060C" w:rsidRDefault="00E6060C" w:rsidP="00F15DDF">
            <w:pPr>
              <w:numPr>
                <w:ilvl w:val="0"/>
                <w:numId w:val="60"/>
              </w:numPr>
              <w:ind w:left="176" w:hanging="176"/>
              <w:contextualSpacing/>
            </w:pPr>
            <w:r w:rsidRPr="00E6060C">
              <w:t>Personal reasons</w:t>
            </w:r>
          </w:p>
          <w:p w14:paraId="47F8AEA0" w14:textId="77777777" w:rsidR="00E6060C" w:rsidRPr="00E6060C" w:rsidRDefault="00E6060C" w:rsidP="00E6060C">
            <w:r w:rsidRPr="00E6060C">
              <w:t>For the control:</w:t>
            </w:r>
          </w:p>
          <w:p w14:paraId="2A500FF6" w14:textId="77777777" w:rsidR="00E6060C" w:rsidRPr="00E6060C" w:rsidRDefault="00E6060C" w:rsidP="00F15DDF">
            <w:pPr>
              <w:numPr>
                <w:ilvl w:val="0"/>
                <w:numId w:val="60"/>
              </w:numPr>
              <w:ind w:left="176" w:hanging="176"/>
              <w:contextualSpacing/>
            </w:pPr>
            <w:r w:rsidRPr="00E6060C">
              <w:t>As above, plus dissatisfaction with the control</w:t>
            </w:r>
          </w:p>
          <w:p w14:paraId="5C81100E" w14:textId="77777777" w:rsidR="00E6060C" w:rsidRPr="00E6060C" w:rsidRDefault="00E6060C" w:rsidP="00F15DDF">
            <w:pPr>
              <w:numPr>
                <w:ilvl w:val="0"/>
                <w:numId w:val="60"/>
              </w:numPr>
              <w:ind w:left="176" w:hanging="176"/>
              <w:contextualSpacing/>
            </w:pPr>
            <w:r w:rsidRPr="00E6060C">
              <w:t>Unknown reasons</w:t>
            </w:r>
          </w:p>
        </w:tc>
      </w:tr>
      <w:tr w:rsidR="00E6060C" w:rsidRPr="00E6060C" w14:paraId="6D9D7B2F" w14:textId="77777777" w:rsidTr="00E6060C">
        <w:trPr>
          <w:gridAfter w:val="1"/>
          <w:wAfter w:w="6" w:type="dxa"/>
        </w:trPr>
        <w:tc>
          <w:tcPr>
            <w:tcW w:w="14741" w:type="dxa"/>
            <w:gridSpan w:val="11"/>
            <w:tcBorders>
              <w:top w:val="nil"/>
              <w:bottom w:val="nil"/>
            </w:tcBorders>
            <w:shd w:val="clear" w:color="auto" w:fill="D9D9D9" w:themeFill="background1" w:themeFillShade="D9"/>
          </w:tcPr>
          <w:p w14:paraId="03F475A6" w14:textId="77777777" w:rsidR="00E6060C" w:rsidRPr="00E6060C" w:rsidRDefault="00E6060C" w:rsidP="00E6060C">
            <w:pPr>
              <w:contextualSpacing/>
              <w:rPr>
                <w:b/>
              </w:rPr>
            </w:pPr>
            <w:r w:rsidRPr="00E6060C">
              <w:rPr>
                <w:b/>
              </w:rPr>
              <w:t>ONGOING HEALTH PROMOTION INTERVENTIONS</w:t>
            </w:r>
          </w:p>
          <w:p w14:paraId="54521FDE" w14:textId="77777777" w:rsidR="00E6060C" w:rsidRPr="00E6060C" w:rsidRDefault="00E6060C" w:rsidP="00E6060C">
            <w:pPr>
              <w:contextualSpacing/>
              <w:rPr>
                <w:b/>
              </w:rPr>
            </w:pPr>
          </w:p>
        </w:tc>
      </w:tr>
      <w:tr w:rsidR="00E6060C" w:rsidRPr="00E6060C" w14:paraId="4A38C0A0" w14:textId="77777777" w:rsidTr="00E6060C">
        <w:tc>
          <w:tcPr>
            <w:tcW w:w="567" w:type="dxa"/>
            <w:shd w:val="clear" w:color="auto" w:fill="D9D9D9" w:themeFill="background1" w:themeFillShade="D9"/>
          </w:tcPr>
          <w:p w14:paraId="4D8BBDB9" w14:textId="77777777" w:rsidR="00E6060C" w:rsidRPr="00E6060C" w:rsidRDefault="00E6060C" w:rsidP="00E6060C">
            <w:pPr>
              <w:contextualSpacing/>
            </w:pPr>
            <w:r w:rsidRPr="00E6060C">
              <w:t>32</w:t>
            </w:r>
          </w:p>
        </w:tc>
        <w:tc>
          <w:tcPr>
            <w:tcW w:w="1406" w:type="dxa"/>
            <w:shd w:val="clear" w:color="auto" w:fill="D9D9D9" w:themeFill="background1" w:themeFillShade="D9"/>
          </w:tcPr>
          <w:p w14:paraId="04FA4198" w14:textId="77777777" w:rsidR="00E6060C" w:rsidRPr="00E6060C" w:rsidRDefault="00E6060C" w:rsidP="00E6060C">
            <w:pPr>
              <w:contextualSpacing/>
            </w:pPr>
            <w:r w:rsidRPr="00E6060C">
              <w:t>Ebert et al., 2014</w:t>
            </w:r>
          </w:p>
        </w:tc>
        <w:tc>
          <w:tcPr>
            <w:tcW w:w="1430" w:type="dxa"/>
            <w:shd w:val="clear" w:color="auto" w:fill="D9D9D9" w:themeFill="background1" w:themeFillShade="D9"/>
          </w:tcPr>
          <w:p w14:paraId="0FB32077" w14:textId="77777777" w:rsidR="00E6060C" w:rsidRPr="00E6060C" w:rsidRDefault="00E6060C" w:rsidP="00E6060C">
            <w:pPr>
              <w:contextualSpacing/>
            </w:pPr>
            <w:r w:rsidRPr="00E6060C">
              <w:t>Aim to recruit 136 to each study group</w:t>
            </w:r>
          </w:p>
        </w:tc>
        <w:tc>
          <w:tcPr>
            <w:tcW w:w="1453" w:type="dxa"/>
            <w:shd w:val="clear" w:color="auto" w:fill="D9D9D9" w:themeFill="background1" w:themeFillShade="D9"/>
          </w:tcPr>
          <w:p w14:paraId="65F12A34" w14:textId="77777777" w:rsidR="00E6060C" w:rsidRPr="00E6060C" w:rsidRDefault="00E6060C" w:rsidP="00E6060C">
            <w:pPr>
              <w:contextualSpacing/>
            </w:pPr>
            <w:r w:rsidRPr="00E6060C">
              <w:t>Y</w:t>
            </w:r>
          </w:p>
        </w:tc>
        <w:tc>
          <w:tcPr>
            <w:tcW w:w="1305" w:type="dxa"/>
            <w:shd w:val="clear" w:color="auto" w:fill="D9D9D9" w:themeFill="background1" w:themeFillShade="D9"/>
          </w:tcPr>
          <w:p w14:paraId="6FECF6D6" w14:textId="77777777" w:rsidR="00E6060C" w:rsidRPr="00E6060C" w:rsidRDefault="00E6060C" w:rsidP="00E6060C">
            <w:pPr>
              <w:contextualSpacing/>
            </w:pPr>
            <w:r w:rsidRPr="00E6060C">
              <w:t>NA</w:t>
            </w:r>
          </w:p>
        </w:tc>
        <w:tc>
          <w:tcPr>
            <w:tcW w:w="1097" w:type="dxa"/>
            <w:shd w:val="clear" w:color="auto" w:fill="D9D9D9" w:themeFill="background1" w:themeFillShade="D9"/>
          </w:tcPr>
          <w:p w14:paraId="70C669CC" w14:textId="77777777" w:rsidR="00E6060C" w:rsidRPr="00E6060C" w:rsidRDefault="00E6060C" w:rsidP="00E6060C">
            <w:pPr>
              <w:contextualSpacing/>
            </w:pPr>
            <w:r w:rsidRPr="00E6060C">
              <w:t>N</w:t>
            </w:r>
          </w:p>
        </w:tc>
        <w:tc>
          <w:tcPr>
            <w:tcW w:w="1199" w:type="dxa"/>
            <w:shd w:val="clear" w:color="auto" w:fill="D9D9D9" w:themeFill="background1" w:themeFillShade="D9"/>
          </w:tcPr>
          <w:p w14:paraId="06D5B345" w14:textId="77777777" w:rsidR="00E6060C" w:rsidRPr="00E6060C" w:rsidRDefault="00E6060C" w:rsidP="00E6060C">
            <w:pPr>
              <w:contextualSpacing/>
            </w:pPr>
            <w:r w:rsidRPr="00E6060C">
              <w:t>Y</w:t>
            </w:r>
          </w:p>
        </w:tc>
        <w:tc>
          <w:tcPr>
            <w:tcW w:w="1483" w:type="dxa"/>
            <w:shd w:val="clear" w:color="auto" w:fill="D9D9D9" w:themeFill="background1" w:themeFillShade="D9"/>
          </w:tcPr>
          <w:p w14:paraId="4F4B10CB" w14:textId="77777777" w:rsidR="00E6060C" w:rsidRPr="00E6060C" w:rsidRDefault="00E6060C" w:rsidP="00E6060C">
            <w:pPr>
              <w:contextualSpacing/>
            </w:pPr>
            <w:r w:rsidRPr="00E6060C">
              <w:t>NA</w:t>
            </w:r>
          </w:p>
        </w:tc>
        <w:tc>
          <w:tcPr>
            <w:tcW w:w="1483" w:type="dxa"/>
            <w:shd w:val="clear" w:color="auto" w:fill="D9D9D9" w:themeFill="background1" w:themeFillShade="D9"/>
          </w:tcPr>
          <w:p w14:paraId="0DD01477" w14:textId="77777777" w:rsidR="00E6060C" w:rsidRPr="00E6060C" w:rsidRDefault="00E6060C" w:rsidP="00E6060C">
            <w:pPr>
              <w:contextualSpacing/>
            </w:pPr>
            <w:r w:rsidRPr="00E6060C">
              <w:t>NA</w:t>
            </w:r>
          </w:p>
        </w:tc>
        <w:tc>
          <w:tcPr>
            <w:tcW w:w="1624" w:type="dxa"/>
            <w:shd w:val="clear" w:color="auto" w:fill="D9D9D9" w:themeFill="background1" w:themeFillShade="D9"/>
          </w:tcPr>
          <w:p w14:paraId="02ADCF1C" w14:textId="77777777" w:rsidR="00E6060C" w:rsidRPr="00E6060C" w:rsidRDefault="00E6060C" w:rsidP="00E6060C">
            <w:pPr>
              <w:contextualSpacing/>
            </w:pPr>
            <w:r w:rsidRPr="00E6060C">
              <w:t>NA</w:t>
            </w:r>
          </w:p>
        </w:tc>
        <w:tc>
          <w:tcPr>
            <w:tcW w:w="1700" w:type="dxa"/>
            <w:gridSpan w:val="2"/>
            <w:shd w:val="clear" w:color="auto" w:fill="D9D9D9" w:themeFill="background1" w:themeFillShade="D9"/>
          </w:tcPr>
          <w:p w14:paraId="60EF0949" w14:textId="77777777" w:rsidR="00E6060C" w:rsidRPr="00E6060C" w:rsidRDefault="00E6060C" w:rsidP="00F15DDF">
            <w:pPr>
              <w:numPr>
                <w:ilvl w:val="0"/>
                <w:numId w:val="41"/>
              </w:numPr>
              <w:ind w:left="208" w:hanging="208"/>
              <w:contextualSpacing/>
            </w:pPr>
            <w:r w:rsidRPr="00E6060C">
              <w:t xml:space="preserve">Potential dropout reasons to be measured </w:t>
            </w:r>
          </w:p>
          <w:p w14:paraId="4D44247D" w14:textId="77777777" w:rsidR="00E6060C" w:rsidRPr="00E6060C" w:rsidRDefault="00E6060C" w:rsidP="00E6060C">
            <w:pPr>
              <w:contextualSpacing/>
            </w:pPr>
          </w:p>
        </w:tc>
      </w:tr>
      <w:tr w:rsidR="00E6060C" w:rsidRPr="00E6060C" w14:paraId="241AB6FA" w14:textId="77777777" w:rsidTr="00E6060C">
        <w:tc>
          <w:tcPr>
            <w:tcW w:w="567" w:type="dxa"/>
            <w:shd w:val="clear" w:color="auto" w:fill="D9D9D9" w:themeFill="background1" w:themeFillShade="D9"/>
          </w:tcPr>
          <w:p w14:paraId="7E42A592" w14:textId="77777777" w:rsidR="00E6060C" w:rsidRPr="00E6060C" w:rsidRDefault="00E6060C" w:rsidP="00E6060C">
            <w:pPr>
              <w:contextualSpacing/>
            </w:pPr>
            <w:r w:rsidRPr="00E6060C">
              <w:t>33</w:t>
            </w:r>
          </w:p>
        </w:tc>
        <w:tc>
          <w:tcPr>
            <w:tcW w:w="1406" w:type="dxa"/>
            <w:shd w:val="clear" w:color="auto" w:fill="D9D9D9" w:themeFill="background1" w:themeFillShade="D9"/>
          </w:tcPr>
          <w:p w14:paraId="5DD6BE02" w14:textId="77777777" w:rsidR="00E6060C" w:rsidRPr="00E6060C" w:rsidRDefault="00E6060C" w:rsidP="00E6060C">
            <w:pPr>
              <w:contextualSpacing/>
            </w:pPr>
            <w:r w:rsidRPr="00E6060C">
              <w:t>Wiezer et al., 2013</w:t>
            </w:r>
          </w:p>
        </w:tc>
        <w:tc>
          <w:tcPr>
            <w:tcW w:w="1430" w:type="dxa"/>
            <w:shd w:val="clear" w:color="auto" w:fill="D9D9D9" w:themeFill="background1" w:themeFillShade="D9"/>
          </w:tcPr>
          <w:p w14:paraId="12444931" w14:textId="77777777" w:rsidR="00E6060C" w:rsidRPr="00E6060C" w:rsidRDefault="00E6060C" w:rsidP="00E6060C">
            <w:pPr>
              <w:contextualSpacing/>
            </w:pPr>
            <w:r w:rsidRPr="00E6060C">
              <w:t>N</w:t>
            </w:r>
          </w:p>
        </w:tc>
        <w:tc>
          <w:tcPr>
            <w:tcW w:w="1453" w:type="dxa"/>
            <w:shd w:val="clear" w:color="auto" w:fill="D9D9D9" w:themeFill="background1" w:themeFillShade="D9"/>
          </w:tcPr>
          <w:p w14:paraId="60B896F2" w14:textId="77777777" w:rsidR="00E6060C" w:rsidRPr="00E6060C" w:rsidRDefault="00E6060C" w:rsidP="00E6060C">
            <w:pPr>
              <w:contextualSpacing/>
            </w:pPr>
            <w:r w:rsidRPr="00E6060C">
              <w:t>Y</w:t>
            </w:r>
          </w:p>
        </w:tc>
        <w:tc>
          <w:tcPr>
            <w:tcW w:w="1305" w:type="dxa"/>
            <w:shd w:val="clear" w:color="auto" w:fill="D9D9D9" w:themeFill="background1" w:themeFillShade="D9"/>
          </w:tcPr>
          <w:p w14:paraId="248399F5" w14:textId="77777777" w:rsidR="00E6060C" w:rsidRPr="00E6060C" w:rsidRDefault="00E6060C" w:rsidP="00E6060C">
            <w:pPr>
              <w:contextualSpacing/>
            </w:pPr>
            <w:r w:rsidRPr="00E6060C">
              <w:t>N</w:t>
            </w:r>
          </w:p>
        </w:tc>
        <w:tc>
          <w:tcPr>
            <w:tcW w:w="1097" w:type="dxa"/>
            <w:shd w:val="clear" w:color="auto" w:fill="D9D9D9" w:themeFill="background1" w:themeFillShade="D9"/>
          </w:tcPr>
          <w:p w14:paraId="67B60FE3" w14:textId="77777777" w:rsidR="00E6060C" w:rsidRPr="00E6060C" w:rsidRDefault="00E6060C" w:rsidP="00E6060C">
            <w:pPr>
              <w:contextualSpacing/>
            </w:pPr>
            <w:r w:rsidRPr="00E6060C">
              <w:t>N</w:t>
            </w:r>
          </w:p>
        </w:tc>
        <w:tc>
          <w:tcPr>
            <w:tcW w:w="1199" w:type="dxa"/>
            <w:shd w:val="clear" w:color="auto" w:fill="D9D9D9" w:themeFill="background1" w:themeFillShade="D9"/>
          </w:tcPr>
          <w:p w14:paraId="4E8C6708" w14:textId="77777777" w:rsidR="00E6060C" w:rsidRPr="00E6060C" w:rsidRDefault="00E6060C" w:rsidP="00E6060C">
            <w:pPr>
              <w:contextualSpacing/>
            </w:pPr>
            <w:r w:rsidRPr="00E6060C">
              <w:t>Y</w:t>
            </w:r>
          </w:p>
        </w:tc>
        <w:tc>
          <w:tcPr>
            <w:tcW w:w="1483" w:type="dxa"/>
            <w:shd w:val="clear" w:color="auto" w:fill="D9D9D9" w:themeFill="background1" w:themeFillShade="D9"/>
          </w:tcPr>
          <w:p w14:paraId="7B598980" w14:textId="77777777" w:rsidR="00E6060C" w:rsidRPr="00E6060C" w:rsidRDefault="00E6060C" w:rsidP="00E6060C">
            <w:pPr>
              <w:contextualSpacing/>
            </w:pPr>
            <w:r w:rsidRPr="00E6060C">
              <w:t>NA</w:t>
            </w:r>
          </w:p>
        </w:tc>
        <w:tc>
          <w:tcPr>
            <w:tcW w:w="1483" w:type="dxa"/>
            <w:shd w:val="clear" w:color="auto" w:fill="D9D9D9" w:themeFill="background1" w:themeFillShade="D9"/>
          </w:tcPr>
          <w:p w14:paraId="34FCED69" w14:textId="77777777" w:rsidR="00E6060C" w:rsidRPr="00E6060C" w:rsidRDefault="00E6060C" w:rsidP="00E6060C">
            <w:pPr>
              <w:contextualSpacing/>
            </w:pPr>
            <w:r w:rsidRPr="00E6060C">
              <w:t>NA</w:t>
            </w:r>
          </w:p>
        </w:tc>
        <w:tc>
          <w:tcPr>
            <w:tcW w:w="1624" w:type="dxa"/>
            <w:shd w:val="clear" w:color="auto" w:fill="D9D9D9" w:themeFill="background1" w:themeFillShade="D9"/>
          </w:tcPr>
          <w:p w14:paraId="662C9D00" w14:textId="77777777" w:rsidR="00E6060C" w:rsidRPr="00E6060C" w:rsidRDefault="00E6060C" w:rsidP="00E6060C">
            <w:pPr>
              <w:contextualSpacing/>
            </w:pPr>
            <w:r w:rsidRPr="00E6060C">
              <w:t>NA</w:t>
            </w:r>
          </w:p>
        </w:tc>
        <w:tc>
          <w:tcPr>
            <w:tcW w:w="1700" w:type="dxa"/>
            <w:gridSpan w:val="2"/>
            <w:shd w:val="clear" w:color="auto" w:fill="D9D9D9" w:themeFill="background1" w:themeFillShade="D9"/>
          </w:tcPr>
          <w:p w14:paraId="588FEA41" w14:textId="77777777" w:rsidR="00E6060C" w:rsidRPr="00E6060C" w:rsidRDefault="00E6060C" w:rsidP="00E6060C">
            <w:pPr>
              <w:contextualSpacing/>
            </w:pPr>
            <w:r w:rsidRPr="00E6060C">
              <w:t>NA</w:t>
            </w:r>
          </w:p>
        </w:tc>
      </w:tr>
    </w:tbl>
    <w:p w14:paraId="2FEA55DC" w14:textId="77777777" w:rsidR="00E6060C" w:rsidRPr="00E6060C" w:rsidRDefault="00E6060C" w:rsidP="00E6060C">
      <w:pPr>
        <w:spacing w:line="240" w:lineRule="auto"/>
        <w:contextualSpacing/>
        <w:rPr>
          <w:i/>
        </w:rPr>
      </w:pPr>
      <w:r w:rsidRPr="00E6060C">
        <w:rPr>
          <w:vertAlign w:val="superscript"/>
        </w:rPr>
        <w:t>*</w:t>
      </w:r>
      <w:r w:rsidRPr="00E6060C">
        <w:t>Studies included in meta-analyses</w:t>
      </w:r>
    </w:p>
    <w:p w14:paraId="0EDF72E5" w14:textId="77777777" w:rsidR="004A1B90" w:rsidRPr="00E6060C" w:rsidRDefault="004A1B90" w:rsidP="004A1B90">
      <w:pPr>
        <w:spacing w:line="240" w:lineRule="auto"/>
        <w:contextualSpacing/>
        <w:rPr>
          <w:sz w:val="20"/>
          <w:szCs w:val="20"/>
        </w:rPr>
      </w:pPr>
      <w:r w:rsidRPr="00E6060C">
        <w:rPr>
          <w:vertAlign w:val="superscript"/>
        </w:rPr>
        <w:t>*</w:t>
      </w:r>
      <w:r w:rsidRPr="00E6060C">
        <w:rPr>
          <w:sz w:val="20"/>
          <w:szCs w:val="20"/>
        </w:rPr>
        <w:t>Studies included in meta-analyses (</w:t>
      </w:r>
      <w:r w:rsidRPr="00E6060C">
        <w:rPr>
          <w:i/>
          <w:sz w:val="20"/>
          <w:szCs w:val="20"/>
        </w:rPr>
        <w:t>K</w:t>
      </w:r>
      <w:r w:rsidRPr="00E6060C">
        <w:rPr>
          <w:sz w:val="20"/>
          <w:szCs w:val="20"/>
        </w:rPr>
        <w:t>=20)</w:t>
      </w:r>
    </w:p>
    <w:p w14:paraId="4BECA5DF" w14:textId="77777777" w:rsidR="00E6060C" w:rsidRPr="00E6060C" w:rsidRDefault="00E6060C" w:rsidP="00E6060C">
      <w:pPr>
        <w:rPr>
          <w:i/>
        </w:rPr>
      </w:pPr>
      <w:r w:rsidRPr="00E6060C">
        <w:rPr>
          <w:i/>
        </w:rPr>
        <w:t>NOTES: NA=Not applicable; N=No; Y=Yes; T1=Time 1; T2=Time 2; T3=Time 3; signif=significant; dept=department</w:t>
      </w:r>
    </w:p>
    <w:p w14:paraId="50A44AC1" w14:textId="77777777" w:rsidR="00E6060C" w:rsidRPr="00E6060C" w:rsidRDefault="00E6060C" w:rsidP="00E6060C"/>
    <w:p w14:paraId="49D4B9C9" w14:textId="77777777" w:rsidR="00E6060C" w:rsidRPr="00E6060C" w:rsidRDefault="00E6060C" w:rsidP="00E6060C">
      <w:pPr>
        <w:rPr>
          <w:rFonts w:asciiTheme="majorHAnsi" w:eastAsiaTheme="majorEastAsia" w:hAnsiTheme="majorHAnsi" w:cstheme="majorBidi"/>
          <w:b/>
          <w:bCs/>
          <w:i/>
        </w:rPr>
      </w:pPr>
      <w:r w:rsidRPr="00E6060C">
        <w:br w:type="page"/>
      </w:r>
    </w:p>
    <w:p w14:paraId="00E82E89" w14:textId="77777777" w:rsidR="00E6060C" w:rsidRPr="00E6060C" w:rsidRDefault="00E6060C" w:rsidP="007B44F8">
      <w:pPr>
        <w:pStyle w:val="Heading2nonumbers"/>
      </w:pPr>
      <w:bookmarkStart w:id="561" w:name="_Toc468286061"/>
      <w:r w:rsidRPr="00E6060C">
        <w:lastRenderedPageBreak/>
        <w:t>Appendix 4f: Intervention implementation details for all studies included in the narrative systematic review and meta-analyses (</w:t>
      </w:r>
      <w:r w:rsidRPr="00E6060C">
        <w:rPr>
          <w:i/>
        </w:rPr>
        <w:t>K</w:t>
      </w:r>
      <w:r w:rsidRPr="00E6060C">
        <w:t>=33)</w:t>
      </w:r>
      <w:bookmarkEnd w:id="561"/>
    </w:p>
    <w:p w14:paraId="664E016E" w14:textId="77777777" w:rsidR="00E6060C" w:rsidRPr="00E6060C" w:rsidRDefault="00E6060C" w:rsidP="00E6060C"/>
    <w:tbl>
      <w:tblPr>
        <w:tblStyle w:val="TableGrid8"/>
        <w:tblW w:w="14021"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18"/>
        <w:gridCol w:w="2268"/>
        <w:gridCol w:w="2268"/>
        <w:gridCol w:w="3372"/>
        <w:gridCol w:w="4112"/>
        <w:gridCol w:w="16"/>
      </w:tblGrid>
      <w:tr w:rsidR="00E6060C" w:rsidRPr="00E6060C" w14:paraId="5767D303" w14:textId="77777777" w:rsidTr="00E6060C">
        <w:trPr>
          <w:gridAfter w:val="1"/>
          <w:wAfter w:w="16" w:type="dxa"/>
          <w:cantSplit/>
          <w:trHeight w:val="536"/>
          <w:tblHeader/>
        </w:trPr>
        <w:tc>
          <w:tcPr>
            <w:tcW w:w="567" w:type="dxa"/>
            <w:tcBorders>
              <w:top w:val="single" w:sz="4" w:space="0" w:color="auto"/>
              <w:bottom w:val="single" w:sz="4" w:space="0" w:color="auto"/>
            </w:tcBorders>
          </w:tcPr>
          <w:p w14:paraId="5999B3A0" w14:textId="77777777" w:rsidR="00E6060C" w:rsidRPr="00E6060C" w:rsidRDefault="00E6060C" w:rsidP="00E6060C">
            <w:pPr>
              <w:contextualSpacing/>
              <w:rPr>
                <w:b/>
              </w:rPr>
            </w:pPr>
            <w:r w:rsidRPr="00E6060C">
              <w:rPr>
                <w:b/>
              </w:rPr>
              <w:t>No.</w:t>
            </w:r>
          </w:p>
        </w:tc>
        <w:tc>
          <w:tcPr>
            <w:tcW w:w="1418" w:type="dxa"/>
            <w:tcBorders>
              <w:top w:val="single" w:sz="4" w:space="0" w:color="auto"/>
              <w:bottom w:val="single" w:sz="4" w:space="0" w:color="auto"/>
            </w:tcBorders>
          </w:tcPr>
          <w:p w14:paraId="788CDE2F" w14:textId="77777777" w:rsidR="00E6060C" w:rsidRPr="00E6060C" w:rsidRDefault="00E6060C" w:rsidP="00E6060C">
            <w:pPr>
              <w:contextualSpacing/>
              <w:rPr>
                <w:b/>
              </w:rPr>
            </w:pPr>
            <w:r w:rsidRPr="00E6060C">
              <w:rPr>
                <w:b/>
              </w:rPr>
              <w:t>Ref</w:t>
            </w:r>
          </w:p>
        </w:tc>
        <w:tc>
          <w:tcPr>
            <w:tcW w:w="7908" w:type="dxa"/>
            <w:gridSpan w:val="3"/>
            <w:tcBorders>
              <w:top w:val="single" w:sz="4" w:space="0" w:color="auto"/>
              <w:bottom w:val="single" w:sz="4" w:space="0" w:color="auto"/>
            </w:tcBorders>
          </w:tcPr>
          <w:p w14:paraId="4F34A1D7" w14:textId="77777777" w:rsidR="00E6060C" w:rsidRPr="00E6060C" w:rsidRDefault="00E6060C" w:rsidP="00E6060C">
            <w:pPr>
              <w:contextualSpacing/>
              <w:jc w:val="center"/>
              <w:rPr>
                <w:b/>
              </w:rPr>
            </w:pPr>
            <w:r w:rsidRPr="00E6060C">
              <w:rPr>
                <w:b/>
              </w:rPr>
              <w:t>Implementation of the intervention</w:t>
            </w:r>
          </w:p>
        </w:tc>
        <w:tc>
          <w:tcPr>
            <w:tcW w:w="4112" w:type="dxa"/>
            <w:vMerge w:val="restart"/>
            <w:tcBorders>
              <w:top w:val="single" w:sz="4" w:space="0" w:color="auto"/>
              <w:bottom w:val="single" w:sz="4" w:space="0" w:color="auto"/>
            </w:tcBorders>
          </w:tcPr>
          <w:p w14:paraId="31319D2F" w14:textId="77777777" w:rsidR="00E6060C" w:rsidRPr="00E6060C" w:rsidRDefault="00E6060C" w:rsidP="00E6060C">
            <w:pPr>
              <w:contextualSpacing/>
              <w:rPr>
                <w:b/>
              </w:rPr>
            </w:pPr>
            <w:r w:rsidRPr="00E6060C">
              <w:rPr>
                <w:b/>
              </w:rPr>
              <w:t>Study limitations not already noted</w:t>
            </w:r>
          </w:p>
        </w:tc>
      </w:tr>
      <w:tr w:rsidR="00E6060C" w:rsidRPr="00E6060C" w14:paraId="43E66835" w14:textId="77777777" w:rsidTr="00E6060C">
        <w:trPr>
          <w:gridAfter w:val="1"/>
          <w:wAfter w:w="16" w:type="dxa"/>
          <w:trHeight w:val="697"/>
        </w:trPr>
        <w:tc>
          <w:tcPr>
            <w:tcW w:w="567" w:type="dxa"/>
            <w:tcBorders>
              <w:top w:val="single" w:sz="4" w:space="0" w:color="auto"/>
              <w:bottom w:val="single" w:sz="4" w:space="0" w:color="auto"/>
            </w:tcBorders>
          </w:tcPr>
          <w:p w14:paraId="45170A1C" w14:textId="77777777" w:rsidR="00E6060C" w:rsidRPr="00E6060C" w:rsidRDefault="00E6060C" w:rsidP="00E6060C">
            <w:pPr>
              <w:contextualSpacing/>
              <w:rPr>
                <w:b/>
              </w:rPr>
            </w:pPr>
          </w:p>
        </w:tc>
        <w:tc>
          <w:tcPr>
            <w:tcW w:w="1418" w:type="dxa"/>
            <w:tcBorders>
              <w:top w:val="single" w:sz="4" w:space="0" w:color="auto"/>
              <w:bottom w:val="single" w:sz="4" w:space="0" w:color="auto"/>
            </w:tcBorders>
          </w:tcPr>
          <w:p w14:paraId="1FEB9CDB" w14:textId="77777777" w:rsidR="00E6060C" w:rsidRPr="00E6060C" w:rsidRDefault="00E6060C" w:rsidP="00E6060C">
            <w:pPr>
              <w:contextualSpacing/>
              <w:rPr>
                <w:b/>
              </w:rPr>
            </w:pPr>
          </w:p>
        </w:tc>
        <w:tc>
          <w:tcPr>
            <w:tcW w:w="2268" w:type="dxa"/>
            <w:tcBorders>
              <w:top w:val="single" w:sz="4" w:space="0" w:color="auto"/>
              <w:bottom w:val="single" w:sz="4" w:space="0" w:color="auto"/>
            </w:tcBorders>
          </w:tcPr>
          <w:p w14:paraId="2CED3861" w14:textId="77777777" w:rsidR="00E6060C" w:rsidRPr="00E6060C" w:rsidRDefault="00E6060C" w:rsidP="00E6060C">
            <w:pPr>
              <w:contextualSpacing/>
              <w:rPr>
                <w:b/>
              </w:rPr>
            </w:pPr>
            <w:r w:rsidRPr="00E6060C">
              <w:rPr>
                <w:b/>
              </w:rPr>
              <w:t xml:space="preserve">Fidelity </w:t>
            </w:r>
          </w:p>
        </w:tc>
        <w:tc>
          <w:tcPr>
            <w:tcW w:w="2268" w:type="dxa"/>
            <w:tcBorders>
              <w:top w:val="single" w:sz="4" w:space="0" w:color="auto"/>
              <w:bottom w:val="single" w:sz="4" w:space="0" w:color="auto"/>
            </w:tcBorders>
          </w:tcPr>
          <w:p w14:paraId="2398AB45" w14:textId="77777777" w:rsidR="00E6060C" w:rsidRPr="00E6060C" w:rsidRDefault="00E6060C" w:rsidP="00E6060C">
            <w:pPr>
              <w:contextualSpacing/>
              <w:rPr>
                <w:b/>
              </w:rPr>
            </w:pPr>
            <w:r w:rsidRPr="00E6060C">
              <w:rPr>
                <w:b/>
              </w:rPr>
              <w:t>Compliance</w:t>
            </w:r>
          </w:p>
        </w:tc>
        <w:tc>
          <w:tcPr>
            <w:tcW w:w="3372" w:type="dxa"/>
            <w:tcBorders>
              <w:top w:val="single" w:sz="4" w:space="0" w:color="auto"/>
              <w:bottom w:val="single" w:sz="4" w:space="0" w:color="auto"/>
            </w:tcBorders>
          </w:tcPr>
          <w:p w14:paraId="32EF3B3A" w14:textId="77777777" w:rsidR="00E6060C" w:rsidRPr="00E6060C" w:rsidRDefault="00E6060C" w:rsidP="00E6060C">
            <w:pPr>
              <w:contextualSpacing/>
              <w:rPr>
                <w:b/>
              </w:rPr>
            </w:pPr>
            <w:r w:rsidRPr="00E6060C">
              <w:rPr>
                <w:b/>
              </w:rPr>
              <w:t>General notes</w:t>
            </w:r>
          </w:p>
        </w:tc>
        <w:tc>
          <w:tcPr>
            <w:tcW w:w="4112" w:type="dxa"/>
            <w:vMerge/>
            <w:tcBorders>
              <w:top w:val="single" w:sz="4" w:space="0" w:color="auto"/>
              <w:bottom w:val="single" w:sz="4" w:space="0" w:color="auto"/>
            </w:tcBorders>
          </w:tcPr>
          <w:p w14:paraId="1EBFECA6" w14:textId="77777777" w:rsidR="00E6060C" w:rsidRPr="00E6060C" w:rsidRDefault="00E6060C" w:rsidP="00E6060C">
            <w:pPr>
              <w:contextualSpacing/>
              <w:rPr>
                <w:b/>
              </w:rPr>
            </w:pPr>
          </w:p>
        </w:tc>
      </w:tr>
      <w:tr w:rsidR="00E6060C" w:rsidRPr="00E6060C" w14:paraId="0A72B144" w14:textId="77777777" w:rsidTr="00E6060C">
        <w:tc>
          <w:tcPr>
            <w:tcW w:w="14021" w:type="dxa"/>
            <w:gridSpan w:val="7"/>
            <w:tcBorders>
              <w:top w:val="nil"/>
              <w:bottom w:val="single" w:sz="4" w:space="0" w:color="auto"/>
            </w:tcBorders>
          </w:tcPr>
          <w:p w14:paraId="7938932A" w14:textId="77777777" w:rsidR="00E6060C" w:rsidRPr="00E6060C" w:rsidRDefault="00E6060C" w:rsidP="00E6060C">
            <w:pPr>
              <w:rPr>
                <w:b/>
                <w:sz w:val="28"/>
                <w:szCs w:val="28"/>
              </w:rPr>
            </w:pPr>
            <w:r w:rsidRPr="00E6060C">
              <w:rPr>
                <w:b/>
                <w:sz w:val="28"/>
                <w:szCs w:val="28"/>
              </w:rPr>
              <w:t>PERSONAL RESOURCE BUILDING INTERVENTIONS</w:t>
            </w:r>
          </w:p>
        </w:tc>
      </w:tr>
      <w:tr w:rsidR="00E6060C" w:rsidRPr="00E6060C" w14:paraId="7A24D339" w14:textId="77777777" w:rsidTr="00E6060C">
        <w:trPr>
          <w:gridAfter w:val="1"/>
          <w:wAfter w:w="16" w:type="dxa"/>
        </w:trPr>
        <w:tc>
          <w:tcPr>
            <w:tcW w:w="567" w:type="dxa"/>
          </w:tcPr>
          <w:p w14:paraId="6D072CAE" w14:textId="77777777" w:rsidR="00E6060C" w:rsidRPr="00E6060C" w:rsidRDefault="00E6060C" w:rsidP="00E6060C">
            <w:pPr>
              <w:contextualSpacing/>
            </w:pPr>
            <w:r w:rsidRPr="00E6060C">
              <w:t>1</w:t>
            </w:r>
          </w:p>
        </w:tc>
        <w:tc>
          <w:tcPr>
            <w:tcW w:w="1418" w:type="dxa"/>
          </w:tcPr>
          <w:p w14:paraId="474A0B24" w14:textId="77777777" w:rsidR="00E6060C" w:rsidRPr="00E6060C" w:rsidRDefault="00E6060C" w:rsidP="00E6060C">
            <w:pPr>
              <w:contextualSpacing/>
            </w:pPr>
            <w:r w:rsidRPr="00E6060C">
              <w:t>Bishop, 2013</w:t>
            </w:r>
          </w:p>
        </w:tc>
        <w:tc>
          <w:tcPr>
            <w:tcW w:w="2268" w:type="dxa"/>
          </w:tcPr>
          <w:p w14:paraId="7E9A4EB3" w14:textId="77777777" w:rsidR="00E6060C" w:rsidRPr="00E6060C" w:rsidRDefault="00E6060C" w:rsidP="00E6060C">
            <w:pPr>
              <w:contextualSpacing/>
            </w:pPr>
            <w:r w:rsidRPr="00E6060C">
              <w:t>Not discussed</w:t>
            </w:r>
          </w:p>
        </w:tc>
        <w:tc>
          <w:tcPr>
            <w:tcW w:w="2268" w:type="dxa"/>
          </w:tcPr>
          <w:p w14:paraId="00CA1514" w14:textId="77777777" w:rsidR="00E6060C" w:rsidRPr="00E6060C" w:rsidRDefault="00E6060C" w:rsidP="00E6060C">
            <w:pPr>
              <w:contextualSpacing/>
            </w:pPr>
            <w:r w:rsidRPr="00E6060C">
              <w:t>Not discussed</w:t>
            </w:r>
          </w:p>
        </w:tc>
        <w:tc>
          <w:tcPr>
            <w:tcW w:w="3372" w:type="dxa"/>
          </w:tcPr>
          <w:p w14:paraId="6397510B" w14:textId="77777777" w:rsidR="00E6060C" w:rsidRPr="00E6060C" w:rsidRDefault="00E6060C" w:rsidP="00F15DDF">
            <w:pPr>
              <w:numPr>
                <w:ilvl w:val="0"/>
                <w:numId w:val="71"/>
              </w:numPr>
              <w:ind w:left="138" w:hanging="138"/>
              <w:contextualSpacing/>
            </w:pPr>
            <w:r w:rsidRPr="00E6060C">
              <w:t>Focus group held to determine what was beneficial about the retreat intervention</w:t>
            </w:r>
          </w:p>
        </w:tc>
        <w:tc>
          <w:tcPr>
            <w:tcW w:w="4112" w:type="dxa"/>
          </w:tcPr>
          <w:p w14:paraId="3F0CF65A" w14:textId="77777777" w:rsidR="00E6060C" w:rsidRPr="00E6060C" w:rsidRDefault="00E6060C" w:rsidP="00F15DDF">
            <w:pPr>
              <w:numPr>
                <w:ilvl w:val="0"/>
                <w:numId w:val="71"/>
              </w:numPr>
              <w:ind w:left="175" w:hanging="175"/>
              <w:contextualSpacing/>
            </w:pPr>
            <w:r w:rsidRPr="00E6060C">
              <w:t>Small voluntary sample of older nurses from one community hospital therefore limited generaliseability</w:t>
            </w:r>
          </w:p>
          <w:p w14:paraId="6F53BA73" w14:textId="77777777" w:rsidR="00E6060C" w:rsidRPr="00E6060C" w:rsidRDefault="00E6060C" w:rsidP="00E6060C">
            <w:pPr>
              <w:contextualSpacing/>
            </w:pPr>
          </w:p>
        </w:tc>
      </w:tr>
      <w:tr w:rsidR="00E6060C" w:rsidRPr="00E6060C" w14:paraId="06365CDC" w14:textId="77777777" w:rsidTr="00E6060C">
        <w:trPr>
          <w:gridAfter w:val="1"/>
          <w:wAfter w:w="16" w:type="dxa"/>
        </w:trPr>
        <w:tc>
          <w:tcPr>
            <w:tcW w:w="567" w:type="dxa"/>
          </w:tcPr>
          <w:p w14:paraId="71C81EE0" w14:textId="77777777" w:rsidR="00E6060C" w:rsidRPr="00E6060C" w:rsidRDefault="00E6060C" w:rsidP="00E6060C">
            <w:pPr>
              <w:contextualSpacing/>
            </w:pPr>
            <w:r w:rsidRPr="00E6060C">
              <w:t>2</w:t>
            </w:r>
          </w:p>
        </w:tc>
        <w:tc>
          <w:tcPr>
            <w:tcW w:w="1418" w:type="dxa"/>
          </w:tcPr>
          <w:p w14:paraId="25556A3E" w14:textId="050CAA9A" w:rsidR="00E6060C" w:rsidRPr="00E6060C" w:rsidRDefault="00276FB0" w:rsidP="00E6060C">
            <w:pPr>
              <w:contextualSpacing/>
            </w:pPr>
            <w:r>
              <w:t>*</w:t>
            </w:r>
            <w:r w:rsidR="00E6060C" w:rsidRPr="00E6060C">
              <w:t>Carter, 2010</w:t>
            </w:r>
          </w:p>
        </w:tc>
        <w:tc>
          <w:tcPr>
            <w:tcW w:w="2268" w:type="dxa"/>
          </w:tcPr>
          <w:p w14:paraId="58D99188" w14:textId="77777777" w:rsidR="00E6060C" w:rsidRPr="00E6060C" w:rsidRDefault="00E6060C" w:rsidP="00E6060C">
            <w:r w:rsidRPr="00E6060C">
              <w:t>Not discussed</w:t>
            </w:r>
          </w:p>
        </w:tc>
        <w:tc>
          <w:tcPr>
            <w:tcW w:w="2268" w:type="dxa"/>
          </w:tcPr>
          <w:p w14:paraId="2DB0F369" w14:textId="77777777" w:rsidR="00E6060C" w:rsidRPr="00E6060C" w:rsidRDefault="00E6060C" w:rsidP="00E6060C">
            <w:r w:rsidRPr="00E6060C">
              <w:t>Not discussed</w:t>
            </w:r>
          </w:p>
        </w:tc>
        <w:tc>
          <w:tcPr>
            <w:tcW w:w="3372" w:type="dxa"/>
          </w:tcPr>
          <w:p w14:paraId="7876D749" w14:textId="77777777" w:rsidR="00E6060C" w:rsidRPr="00E6060C" w:rsidRDefault="00E6060C" w:rsidP="00F15DDF">
            <w:pPr>
              <w:numPr>
                <w:ilvl w:val="0"/>
                <w:numId w:val="65"/>
              </w:numPr>
              <w:ind w:left="138" w:hanging="138"/>
              <w:contextualSpacing/>
            </w:pPr>
            <w:r w:rsidRPr="00E6060C">
              <w:t>Proposed corporate merger</w:t>
            </w:r>
          </w:p>
          <w:p w14:paraId="022E0B0D" w14:textId="77777777" w:rsidR="00E6060C" w:rsidRPr="00E6060C" w:rsidRDefault="00E6060C" w:rsidP="00F15DDF">
            <w:pPr>
              <w:numPr>
                <w:ilvl w:val="0"/>
                <w:numId w:val="65"/>
              </w:numPr>
              <w:ind w:left="138" w:hanging="138"/>
              <w:contextualSpacing/>
            </w:pPr>
            <w:r w:rsidRPr="00E6060C">
              <w:t>Economic downturn at T2</w:t>
            </w:r>
          </w:p>
        </w:tc>
        <w:tc>
          <w:tcPr>
            <w:tcW w:w="4112" w:type="dxa"/>
          </w:tcPr>
          <w:p w14:paraId="3B6AAB31" w14:textId="77777777" w:rsidR="00E6060C" w:rsidRPr="00E6060C" w:rsidRDefault="00E6060C" w:rsidP="00F15DDF">
            <w:pPr>
              <w:numPr>
                <w:ilvl w:val="0"/>
                <w:numId w:val="65"/>
              </w:numPr>
              <w:ind w:left="175" w:hanging="175"/>
              <w:contextualSpacing/>
            </w:pPr>
            <w:r w:rsidRPr="00E6060C">
              <w:t>Performance measures relied on data provided by the participating organisation</w:t>
            </w:r>
          </w:p>
        </w:tc>
      </w:tr>
      <w:tr w:rsidR="00E6060C" w:rsidRPr="00E6060C" w14:paraId="20C5D3A7" w14:textId="77777777" w:rsidTr="00E6060C">
        <w:trPr>
          <w:gridAfter w:val="1"/>
          <w:wAfter w:w="16" w:type="dxa"/>
        </w:trPr>
        <w:tc>
          <w:tcPr>
            <w:tcW w:w="567" w:type="dxa"/>
          </w:tcPr>
          <w:p w14:paraId="6E95172C" w14:textId="77777777" w:rsidR="00E6060C" w:rsidRPr="00E6060C" w:rsidRDefault="00E6060C" w:rsidP="00E6060C">
            <w:pPr>
              <w:contextualSpacing/>
            </w:pPr>
            <w:r w:rsidRPr="00E6060C">
              <w:t>3</w:t>
            </w:r>
          </w:p>
        </w:tc>
        <w:tc>
          <w:tcPr>
            <w:tcW w:w="1418" w:type="dxa"/>
          </w:tcPr>
          <w:p w14:paraId="68A6D61D" w14:textId="64A185BE"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Chen et al., 2009 </w:t>
            </w:r>
          </w:p>
        </w:tc>
        <w:tc>
          <w:tcPr>
            <w:tcW w:w="2268" w:type="dxa"/>
          </w:tcPr>
          <w:p w14:paraId="6370FC5C" w14:textId="77777777" w:rsidR="00E6060C" w:rsidRPr="00E6060C" w:rsidRDefault="00E6060C" w:rsidP="00E6060C">
            <w:r w:rsidRPr="00E6060C">
              <w:t>Not discussed</w:t>
            </w:r>
          </w:p>
        </w:tc>
        <w:tc>
          <w:tcPr>
            <w:tcW w:w="2268" w:type="dxa"/>
          </w:tcPr>
          <w:p w14:paraId="008E4FDC" w14:textId="77777777" w:rsidR="00E6060C" w:rsidRPr="00E6060C" w:rsidRDefault="00E6060C" w:rsidP="00E6060C">
            <w:r w:rsidRPr="00E6060C">
              <w:t>Not discussed</w:t>
            </w:r>
          </w:p>
        </w:tc>
        <w:tc>
          <w:tcPr>
            <w:tcW w:w="3372" w:type="dxa"/>
          </w:tcPr>
          <w:p w14:paraId="6E9A56C1" w14:textId="77777777" w:rsidR="00E6060C" w:rsidRPr="00E6060C" w:rsidRDefault="00E6060C" w:rsidP="00F15DDF">
            <w:pPr>
              <w:numPr>
                <w:ilvl w:val="0"/>
                <w:numId w:val="65"/>
              </w:numPr>
              <w:ind w:left="204" w:hanging="204"/>
              <w:contextualSpacing/>
            </w:pPr>
            <w:r w:rsidRPr="00E6060C">
              <w:t>Process of random assignment not reported</w:t>
            </w:r>
          </w:p>
        </w:tc>
        <w:tc>
          <w:tcPr>
            <w:tcW w:w="4112" w:type="dxa"/>
          </w:tcPr>
          <w:p w14:paraId="31FF0DEC" w14:textId="77777777" w:rsidR="00E6060C" w:rsidRPr="00E6060C" w:rsidRDefault="00E6060C" w:rsidP="00F15DDF">
            <w:pPr>
              <w:numPr>
                <w:ilvl w:val="0"/>
                <w:numId w:val="65"/>
              </w:numPr>
              <w:ind w:left="169" w:hanging="169"/>
              <w:contextualSpacing/>
            </w:pPr>
            <w:r w:rsidRPr="00E6060C">
              <w:t>Measuring quality of measurement of IT usage is difficult</w:t>
            </w:r>
          </w:p>
        </w:tc>
      </w:tr>
      <w:tr w:rsidR="00E6060C" w:rsidRPr="00E6060C" w14:paraId="46478A25" w14:textId="77777777" w:rsidTr="00E6060C">
        <w:trPr>
          <w:gridAfter w:val="1"/>
          <w:wAfter w:w="16" w:type="dxa"/>
        </w:trPr>
        <w:tc>
          <w:tcPr>
            <w:tcW w:w="567" w:type="dxa"/>
          </w:tcPr>
          <w:p w14:paraId="60557AFE" w14:textId="77777777" w:rsidR="00E6060C" w:rsidRPr="00E6060C" w:rsidRDefault="00E6060C" w:rsidP="00E6060C">
            <w:pPr>
              <w:contextualSpacing/>
            </w:pPr>
            <w:r w:rsidRPr="00E6060C">
              <w:t>4</w:t>
            </w:r>
          </w:p>
        </w:tc>
        <w:tc>
          <w:tcPr>
            <w:tcW w:w="1418" w:type="dxa"/>
          </w:tcPr>
          <w:p w14:paraId="4A5C4D7F" w14:textId="77777777" w:rsidR="00E6060C" w:rsidRPr="00E6060C" w:rsidRDefault="00E6060C" w:rsidP="00E6060C">
            <w:pPr>
              <w:contextualSpacing/>
            </w:pPr>
            <w:r w:rsidRPr="00E6060C">
              <w:t>Iljntema, 2014</w:t>
            </w:r>
          </w:p>
        </w:tc>
        <w:tc>
          <w:tcPr>
            <w:tcW w:w="2268" w:type="dxa"/>
          </w:tcPr>
          <w:p w14:paraId="5215D834" w14:textId="77777777" w:rsidR="00E6060C" w:rsidRPr="00E6060C" w:rsidRDefault="00E6060C" w:rsidP="00E6060C">
            <w:pPr>
              <w:contextualSpacing/>
            </w:pPr>
            <w:r w:rsidRPr="00E6060C">
              <w:t>Not yet published</w:t>
            </w:r>
          </w:p>
        </w:tc>
        <w:tc>
          <w:tcPr>
            <w:tcW w:w="2268" w:type="dxa"/>
          </w:tcPr>
          <w:p w14:paraId="2B141F47" w14:textId="77777777" w:rsidR="00E6060C" w:rsidRPr="00E6060C" w:rsidRDefault="00E6060C" w:rsidP="00E6060C">
            <w:pPr>
              <w:contextualSpacing/>
            </w:pPr>
            <w:r w:rsidRPr="00E6060C">
              <w:t>Not yet published</w:t>
            </w:r>
          </w:p>
        </w:tc>
        <w:tc>
          <w:tcPr>
            <w:tcW w:w="3372" w:type="dxa"/>
          </w:tcPr>
          <w:p w14:paraId="3E00BF35" w14:textId="77777777" w:rsidR="00E6060C" w:rsidRPr="00E6060C" w:rsidRDefault="00E6060C" w:rsidP="00F15DDF">
            <w:pPr>
              <w:numPr>
                <w:ilvl w:val="0"/>
                <w:numId w:val="70"/>
              </w:numPr>
              <w:ind w:left="138" w:hanging="138"/>
              <w:contextualSpacing/>
            </w:pPr>
            <w:r w:rsidRPr="00E6060C">
              <w:t>Process evaluation may well be presented in a forthcoming published paper / thesis</w:t>
            </w:r>
          </w:p>
        </w:tc>
        <w:tc>
          <w:tcPr>
            <w:tcW w:w="4112" w:type="dxa"/>
          </w:tcPr>
          <w:p w14:paraId="3DB43AFB" w14:textId="77777777" w:rsidR="00E6060C" w:rsidRPr="00E6060C" w:rsidRDefault="00E6060C" w:rsidP="00F15DDF">
            <w:pPr>
              <w:numPr>
                <w:ilvl w:val="0"/>
                <w:numId w:val="70"/>
              </w:numPr>
              <w:ind w:left="175" w:hanging="175"/>
              <w:contextualSpacing/>
            </w:pPr>
            <w:r w:rsidRPr="00E6060C">
              <w:t>All self-report measures</w:t>
            </w:r>
          </w:p>
        </w:tc>
      </w:tr>
      <w:tr w:rsidR="00E6060C" w:rsidRPr="00E6060C" w14:paraId="6C367340" w14:textId="77777777" w:rsidTr="00E6060C">
        <w:trPr>
          <w:gridAfter w:val="1"/>
          <w:wAfter w:w="16" w:type="dxa"/>
        </w:trPr>
        <w:tc>
          <w:tcPr>
            <w:tcW w:w="567" w:type="dxa"/>
          </w:tcPr>
          <w:p w14:paraId="418B9AE9" w14:textId="77777777" w:rsidR="00E6060C" w:rsidRPr="00E6060C" w:rsidRDefault="00E6060C" w:rsidP="00E6060C">
            <w:pPr>
              <w:contextualSpacing/>
            </w:pPr>
            <w:r w:rsidRPr="00E6060C">
              <w:t>5</w:t>
            </w:r>
          </w:p>
        </w:tc>
        <w:tc>
          <w:tcPr>
            <w:tcW w:w="1418" w:type="dxa"/>
          </w:tcPr>
          <w:p w14:paraId="23C2C4F2" w14:textId="77777777" w:rsidR="00E6060C" w:rsidRPr="00E6060C" w:rsidRDefault="00E6060C" w:rsidP="00E6060C">
            <w:pPr>
              <w:contextualSpacing/>
            </w:pPr>
            <w:r w:rsidRPr="00E6060C">
              <w:t>Maclean, 2013</w:t>
            </w:r>
          </w:p>
        </w:tc>
        <w:tc>
          <w:tcPr>
            <w:tcW w:w="2268" w:type="dxa"/>
          </w:tcPr>
          <w:p w14:paraId="020A4BC3" w14:textId="77777777" w:rsidR="00E6060C" w:rsidRPr="00E6060C" w:rsidRDefault="00E6060C" w:rsidP="00E6060C">
            <w:pPr>
              <w:contextualSpacing/>
            </w:pPr>
            <w:r w:rsidRPr="00E6060C">
              <w:t xml:space="preserve">Carried out as planned. All sessions were audio-recorded and competence and fidelity assessed by an ACT expert. </w:t>
            </w:r>
          </w:p>
        </w:tc>
        <w:tc>
          <w:tcPr>
            <w:tcW w:w="2268" w:type="dxa"/>
          </w:tcPr>
          <w:p w14:paraId="60093521" w14:textId="77777777" w:rsidR="00E6060C" w:rsidRPr="00E6060C" w:rsidRDefault="00E6060C" w:rsidP="00E6060C">
            <w:pPr>
              <w:contextualSpacing/>
            </w:pPr>
            <w:r w:rsidRPr="00E6060C">
              <w:t>36% missed sessions</w:t>
            </w:r>
          </w:p>
        </w:tc>
        <w:tc>
          <w:tcPr>
            <w:tcW w:w="3372" w:type="dxa"/>
          </w:tcPr>
          <w:p w14:paraId="5C482328" w14:textId="77777777" w:rsidR="00E6060C" w:rsidRPr="00E6060C" w:rsidRDefault="00E6060C" w:rsidP="00F15DDF">
            <w:pPr>
              <w:numPr>
                <w:ilvl w:val="0"/>
                <w:numId w:val="49"/>
              </w:numPr>
              <w:ind w:left="175" w:hanging="175"/>
              <w:contextualSpacing/>
            </w:pPr>
            <w:r w:rsidRPr="00E6060C">
              <w:t>Intervention evaluation survey administered to participants – 72% said facilitation was ‘excellent’, 77% summarised the training as ‘very useful’, &amp; 94% would recommend it to a friend.</w:t>
            </w:r>
          </w:p>
          <w:p w14:paraId="5679A326" w14:textId="77777777" w:rsidR="00E6060C" w:rsidRPr="00E6060C" w:rsidRDefault="00E6060C" w:rsidP="00E6060C"/>
        </w:tc>
        <w:tc>
          <w:tcPr>
            <w:tcW w:w="4112" w:type="dxa"/>
          </w:tcPr>
          <w:p w14:paraId="1374DF0B" w14:textId="77777777" w:rsidR="00E6060C" w:rsidRPr="00E6060C" w:rsidRDefault="00E6060C" w:rsidP="00F15DDF">
            <w:pPr>
              <w:numPr>
                <w:ilvl w:val="0"/>
                <w:numId w:val="72"/>
              </w:numPr>
              <w:ind w:left="175" w:hanging="175"/>
              <w:contextualSpacing/>
            </w:pPr>
            <w:r w:rsidRPr="00E6060C">
              <w:t>Risk of bias due to Principal Investigator carrying out the intervention and conducting the analyses</w:t>
            </w:r>
          </w:p>
          <w:p w14:paraId="059D749A" w14:textId="77777777" w:rsidR="00E6060C" w:rsidRPr="00E6060C" w:rsidRDefault="00E6060C" w:rsidP="00F15DDF">
            <w:pPr>
              <w:numPr>
                <w:ilvl w:val="0"/>
                <w:numId w:val="72"/>
              </w:numPr>
              <w:ind w:left="175" w:hanging="175"/>
              <w:contextualSpacing/>
            </w:pPr>
            <w:r w:rsidRPr="00E6060C">
              <w:t>Gender imbalance (92% female in intervention group, 80% female in control)</w:t>
            </w:r>
          </w:p>
          <w:p w14:paraId="048EF5FD" w14:textId="77777777" w:rsidR="00E6060C" w:rsidRPr="00E6060C" w:rsidRDefault="00E6060C" w:rsidP="00F15DDF">
            <w:pPr>
              <w:numPr>
                <w:ilvl w:val="0"/>
                <w:numId w:val="72"/>
              </w:numPr>
              <w:ind w:left="175" w:hanging="175"/>
              <w:contextualSpacing/>
            </w:pPr>
            <w:r w:rsidRPr="00E6060C">
              <w:t>Small sample (Int=25, Con=20)</w:t>
            </w:r>
          </w:p>
          <w:p w14:paraId="7B7FADAB" w14:textId="77777777" w:rsidR="00E6060C" w:rsidRPr="00E6060C" w:rsidRDefault="00E6060C" w:rsidP="00F15DDF">
            <w:pPr>
              <w:numPr>
                <w:ilvl w:val="0"/>
                <w:numId w:val="72"/>
              </w:numPr>
              <w:ind w:left="175" w:hanging="175"/>
              <w:contextualSpacing/>
            </w:pPr>
            <w:r w:rsidRPr="00E6060C">
              <w:t>Few participants reported high stress &amp; low WE</w:t>
            </w:r>
          </w:p>
        </w:tc>
      </w:tr>
      <w:tr w:rsidR="00E6060C" w:rsidRPr="00E6060C" w14:paraId="51BBC0E8" w14:textId="77777777" w:rsidTr="00E6060C">
        <w:trPr>
          <w:gridAfter w:val="1"/>
          <w:wAfter w:w="16" w:type="dxa"/>
        </w:trPr>
        <w:tc>
          <w:tcPr>
            <w:tcW w:w="567" w:type="dxa"/>
          </w:tcPr>
          <w:p w14:paraId="7FF06172" w14:textId="77777777" w:rsidR="00E6060C" w:rsidRPr="00E6060C" w:rsidRDefault="00E6060C" w:rsidP="00E6060C">
            <w:pPr>
              <w:contextualSpacing/>
            </w:pPr>
            <w:r w:rsidRPr="00E6060C">
              <w:lastRenderedPageBreak/>
              <w:t>6</w:t>
            </w:r>
          </w:p>
        </w:tc>
        <w:tc>
          <w:tcPr>
            <w:tcW w:w="1418" w:type="dxa"/>
          </w:tcPr>
          <w:p w14:paraId="43D754B7" w14:textId="6BC6F778"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Ouweneel, et al., 2013</w:t>
            </w:r>
          </w:p>
          <w:p w14:paraId="36D9C586" w14:textId="77777777" w:rsidR="00E6060C" w:rsidRPr="00E6060C" w:rsidRDefault="00E6060C" w:rsidP="00E6060C">
            <w:pPr>
              <w:contextualSpacing/>
            </w:pPr>
          </w:p>
        </w:tc>
        <w:tc>
          <w:tcPr>
            <w:tcW w:w="2268" w:type="dxa"/>
          </w:tcPr>
          <w:p w14:paraId="5B7B85BD" w14:textId="77777777" w:rsidR="00E6060C" w:rsidRPr="00E6060C" w:rsidRDefault="00E6060C" w:rsidP="00E6060C">
            <w:pPr>
              <w:contextualSpacing/>
            </w:pPr>
            <w:r w:rsidRPr="00E6060C">
              <w:t>NA</w:t>
            </w:r>
          </w:p>
        </w:tc>
        <w:tc>
          <w:tcPr>
            <w:tcW w:w="2268" w:type="dxa"/>
          </w:tcPr>
          <w:p w14:paraId="2CC67841" w14:textId="77777777" w:rsidR="00E6060C" w:rsidRPr="00E6060C" w:rsidRDefault="00E6060C" w:rsidP="00E6060C">
            <w:pPr>
              <w:contextualSpacing/>
            </w:pPr>
            <w:r w:rsidRPr="00E6060C">
              <w:t>NA</w:t>
            </w:r>
          </w:p>
        </w:tc>
        <w:tc>
          <w:tcPr>
            <w:tcW w:w="3372" w:type="dxa"/>
          </w:tcPr>
          <w:p w14:paraId="55003239" w14:textId="77777777" w:rsidR="00E6060C" w:rsidRPr="00E6060C" w:rsidRDefault="00E6060C" w:rsidP="00E6060C">
            <w:pPr>
              <w:contextualSpacing/>
            </w:pPr>
            <w:r w:rsidRPr="00E6060C">
              <w:t>-</w:t>
            </w:r>
          </w:p>
        </w:tc>
        <w:tc>
          <w:tcPr>
            <w:tcW w:w="4112" w:type="dxa"/>
          </w:tcPr>
          <w:p w14:paraId="0393A208" w14:textId="77777777" w:rsidR="00E6060C" w:rsidRPr="00E6060C" w:rsidRDefault="00E6060C" w:rsidP="00F15DDF">
            <w:pPr>
              <w:numPr>
                <w:ilvl w:val="0"/>
                <w:numId w:val="76"/>
              </w:numPr>
              <w:ind w:left="261" w:hanging="261"/>
              <w:contextualSpacing/>
            </w:pPr>
            <w:r w:rsidRPr="00E6060C">
              <w:t>Self-selection into intervention and control groups by self-registration online</w:t>
            </w:r>
          </w:p>
        </w:tc>
      </w:tr>
      <w:tr w:rsidR="00E6060C" w:rsidRPr="00E6060C" w14:paraId="6F22F968" w14:textId="77777777" w:rsidTr="00E6060C">
        <w:trPr>
          <w:gridAfter w:val="1"/>
          <w:wAfter w:w="16" w:type="dxa"/>
        </w:trPr>
        <w:tc>
          <w:tcPr>
            <w:tcW w:w="567" w:type="dxa"/>
          </w:tcPr>
          <w:p w14:paraId="2AE4605F" w14:textId="77777777" w:rsidR="00E6060C" w:rsidRPr="00E6060C" w:rsidRDefault="00E6060C" w:rsidP="00E6060C">
            <w:pPr>
              <w:contextualSpacing/>
            </w:pPr>
            <w:r w:rsidRPr="00E6060C">
              <w:t>7</w:t>
            </w:r>
          </w:p>
        </w:tc>
        <w:tc>
          <w:tcPr>
            <w:tcW w:w="1418" w:type="dxa"/>
          </w:tcPr>
          <w:p w14:paraId="1651D90F" w14:textId="29F3A2A6" w:rsidR="00E6060C" w:rsidRPr="00E6060C" w:rsidRDefault="00276FB0" w:rsidP="00E6060C">
            <w:pPr>
              <w:contextualSpacing/>
              <w:rPr>
                <w:rFonts w:ascii="Calibri" w:hAnsi="Calibri"/>
              </w:rPr>
            </w:pPr>
            <w:r>
              <w:rPr>
                <w:rFonts w:ascii="Calibri" w:hAnsi="Calibri"/>
              </w:rPr>
              <w:t>*</w:t>
            </w:r>
            <w:r w:rsidR="00E6060C" w:rsidRPr="00E6060C">
              <w:rPr>
                <w:rFonts w:ascii="Calibri" w:hAnsi="Calibri"/>
              </w:rPr>
              <w:t xml:space="preserve">Sodani et al.,2011 </w:t>
            </w:r>
          </w:p>
        </w:tc>
        <w:tc>
          <w:tcPr>
            <w:tcW w:w="2268" w:type="dxa"/>
          </w:tcPr>
          <w:p w14:paraId="5D00BEEF" w14:textId="77777777" w:rsidR="00E6060C" w:rsidRPr="00E6060C" w:rsidRDefault="00E6060C" w:rsidP="00E6060C">
            <w:r w:rsidRPr="00E6060C">
              <w:t>Not discussed</w:t>
            </w:r>
          </w:p>
        </w:tc>
        <w:tc>
          <w:tcPr>
            <w:tcW w:w="2268" w:type="dxa"/>
          </w:tcPr>
          <w:p w14:paraId="00A9B04B" w14:textId="77777777" w:rsidR="00E6060C" w:rsidRPr="00E6060C" w:rsidRDefault="00E6060C" w:rsidP="00E6060C">
            <w:r w:rsidRPr="00E6060C">
              <w:t>Not discussed</w:t>
            </w:r>
          </w:p>
        </w:tc>
        <w:tc>
          <w:tcPr>
            <w:tcW w:w="3372" w:type="dxa"/>
          </w:tcPr>
          <w:p w14:paraId="08DCDC14" w14:textId="77777777" w:rsidR="00E6060C" w:rsidRPr="00E6060C" w:rsidRDefault="00E6060C" w:rsidP="00F15DDF">
            <w:pPr>
              <w:numPr>
                <w:ilvl w:val="0"/>
                <w:numId w:val="65"/>
              </w:numPr>
              <w:ind w:left="204" w:hanging="204"/>
              <w:contextualSpacing/>
            </w:pPr>
            <w:r w:rsidRPr="00E6060C">
              <w:rPr>
                <w:rFonts w:ascii="Calibri" w:hAnsi="Calibri"/>
                <w:color w:val="000000"/>
              </w:rPr>
              <w:t>Participants suggested the content &amp; presentation of the programme contributed to its success</w:t>
            </w:r>
          </w:p>
        </w:tc>
        <w:tc>
          <w:tcPr>
            <w:tcW w:w="4112" w:type="dxa"/>
          </w:tcPr>
          <w:p w14:paraId="1BF3B2E7" w14:textId="77777777" w:rsidR="00E6060C" w:rsidRPr="00E6060C" w:rsidRDefault="00E6060C" w:rsidP="00F15DDF">
            <w:pPr>
              <w:numPr>
                <w:ilvl w:val="0"/>
                <w:numId w:val="65"/>
              </w:numPr>
              <w:ind w:left="169" w:hanging="169"/>
              <w:contextualSpacing/>
            </w:pPr>
            <w:r w:rsidRPr="00E6060C">
              <w:t>Self-report measures</w:t>
            </w:r>
          </w:p>
        </w:tc>
      </w:tr>
      <w:tr w:rsidR="00E6060C" w:rsidRPr="00E6060C" w14:paraId="43F46F25" w14:textId="77777777" w:rsidTr="00E6060C">
        <w:trPr>
          <w:gridAfter w:val="1"/>
          <w:wAfter w:w="16" w:type="dxa"/>
        </w:trPr>
        <w:tc>
          <w:tcPr>
            <w:tcW w:w="567" w:type="dxa"/>
          </w:tcPr>
          <w:p w14:paraId="2BC6F6CB" w14:textId="77777777" w:rsidR="00E6060C" w:rsidRPr="00E6060C" w:rsidRDefault="00E6060C" w:rsidP="00E6060C">
            <w:pPr>
              <w:contextualSpacing/>
            </w:pPr>
            <w:r w:rsidRPr="00E6060C">
              <w:t>8</w:t>
            </w:r>
          </w:p>
        </w:tc>
        <w:tc>
          <w:tcPr>
            <w:tcW w:w="1418" w:type="dxa"/>
          </w:tcPr>
          <w:p w14:paraId="0AF68A1D" w14:textId="3682D71E" w:rsidR="00E6060C" w:rsidRPr="00E6060C" w:rsidRDefault="00276FB0" w:rsidP="00E6060C">
            <w:pPr>
              <w:contextualSpacing/>
            </w:pPr>
            <w:r>
              <w:t>*</w:t>
            </w:r>
            <w:r w:rsidR="00E6060C" w:rsidRPr="00E6060C">
              <w:t>Vuori et al., 2012</w:t>
            </w:r>
          </w:p>
          <w:p w14:paraId="2F1D2F23" w14:textId="77777777" w:rsidR="00E6060C" w:rsidRPr="00E6060C" w:rsidRDefault="00E6060C" w:rsidP="00E6060C">
            <w:pPr>
              <w:contextualSpacing/>
            </w:pPr>
          </w:p>
        </w:tc>
        <w:tc>
          <w:tcPr>
            <w:tcW w:w="2268" w:type="dxa"/>
          </w:tcPr>
          <w:p w14:paraId="0DA618D3" w14:textId="77777777" w:rsidR="00E6060C" w:rsidRPr="00E6060C" w:rsidRDefault="00E6060C" w:rsidP="00E6060C">
            <w:pPr>
              <w:contextualSpacing/>
            </w:pPr>
            <w:r w:rsidRPr="00E6060C">
              <w:t xml:space="preserve">Yes, the workshops were delivered as five 4 hr sessions or 3 full days. </w:t>
            </w:r>
          </w:p>
        </w:tc>
        <w:tc>
          <w:tcPr>
            <w:tcW w:w="2268" w:type="dxa"/>
          </w:tcPr>
          <w:p w14:paraId="38131897" w14:textId="77777777" w:rsidR="00E6060C" w:rsidRPr="00E6060C" w:rsidRDefault="00E6060C" w:rsidP="00F15DDF">
            <w:pPr>
              <w:numPr>
                <w:ilvl w:val="0"/>
                <w:numId w:val="75"/>
              </w:numPr>
              <w:ind w:left="176" w:hanging="176"/>
              <w:contextualSpacing/>
            </w:pPr>
            <w:r w:rsidRPr="00E6060C">
              <w:t>Checked to see if controls had read info provided</w:t>
            </w:r>
          </w:p>
          <w:p w14:paraId="4FA32CB3" w14:textId="77777777" w:rsidR="00E6060C" w:rsidRPr="00E6060C" w:rsidRDefault="00E6060C" w:rsidP="00F15DDF">
            <w:pPr>
              <w:numPr>
                <w:ilvl w:val="0"/>
                <w:numId w:val="75"/>
              </w:numPr>
              <w:ind w:left="176" w:hanging="176"/>
              <w:contextualSpacing/>
            </w:pPr>
            <w:r w:rsidRPr="00E6060C">
              <w:t xml:space="preserve">6% in the intervention group did not participate at all </w:t>
            </w:r>
          </w:p>
          <w:p w14:paraId="41F6B2AF" w14:textId="77777777" w:rsidR="00E6060C" w:rsidRPr="00E6060C" w:rsidRDefault="00E6060C" w:rsidP="00E6060C">
            <w:pPr>
              <w:ind w:left="176"/>
              <w:contextualSpacing/>
            </w:pPr>
          </w:p>
        </w:tc>
        <w:tc>
          <w:tcPr>
            <w:tcW w:w="3372" w:type="dxa"/>
          </w:tcPr>
          <w:p w14:paraId="3031AD61" w14:textId="77777777" w:rsidR="00E6060C" w:rsidRPr="00E6060C" w:rsidRDefault="00E6060C" w:rsidP="00F15DDF">
            <w:pPr>
              <w:numPr>
                <w:ilvl w:val="0"/>
                <w:numId w:val="75"/>
              </w:numPr>
              <w:ind w:left="204" w:hanging="204"/>
              <w:contextualSpacing/>
            </w:pPr>
            <w:r w:rsidRPr="00E6060C">
              <w:t>Potential crossover effects as participants are from the same organisation</w:t>
            </w:r>
          </w:p>
        </w:tc>
        <w:tc>
          <w:tcPr>
            <w:tcW w:w="4112" w:type="dxa"/>
          </w:tcPr>
          <w:p w14:paraId="7CD538DA" w14:textId="77777777" w:rsidR="00E6060C" w:rsidRPr="00E6060C" w:rsidRDefault="00E6060C" w:rsidP="00F15DDF">
            <w:pPr>
              <w:numPr>
                <w:ilvl w:val="0"/>
                <w:numId w:val="65"/>
              </w:numPr>
              <w:ind w:left="173" w:hanging="173"/>
              <w:contextualSpacing/>
            </w:pPr>
            <w:r w:rsidRPr="00E6060C">
              <w:t>Participants not screened or selected – many were female, white collar workers</w:t>
            </w:r>
          </w:p>
          <w:p w14:paraId="1AF30280" w14:textId="77777777" w:rsidR="00E6060C" w:rsidRPr="00E6060C" w:rsidRDefault="00E6060C" w:rsidP="00F15DDF">
            <w:pPr>
              <w:numPr>
                <w:ilvl w:val="0"/>
                <w:numId w:val="65"/>
              </w:numPr>
              <w:ind w:left="173" w:hanging="173"/>
              <w:contextualSpacing/>
            </w:pPr>
            <w:r w:rsidRPr="00E6060C">
              <w:t>Self-report measures</w:t>
            </w:r>
          </w:p>
          <w:p w14:paraId="77B3B35A" w14:textId="77777777" w:rsidR="00E6060C" w:rsidRPr="00E6060C" w:rsidRDefault="00E6060C" w:rsidP="00E6060C">
            <w:pPr>
              <w:spacing w:after="200" w:line="276" w:lineRule="auto"/>
              <w:ind w:left="173"/>
              <w:contextualSpacing/>
            </w:pPr>
          </w:p>
        </w:tc>
      </w:tr>
      <w:tr w:rsidR="00E6060C" w:rsidRPr="00E6060C" w14:paraId="7A8B8AB4" w14:textId="77777777" w:rsidTr="00E6060C">
        <w:tc>
          <w:tcPr>
            <w:tcW w:w="14021" w:type="dxa"/>
            <w:gridSpan w:val="7"/>
            <w:shd w:val="clear" w:color="auto" w:fill="D9D9D9" w:themeFill="background1" w:themeFillShade="D9"/>
          </w:tcPr>
          <w:p w14:paraId="1358A434" w14:textId="77777777" w:rsidR="00E6060C" w:rsidRPr="00E6060C" w:rsidRDefault="00E6060C" w:rsidP="00E6060C">
            <w:pPr>
              <w:rPr>
                <w:b/>
              </w:rPr>
            </w:pPr>
            <w:r w:rsidRPr="00E6060C">
              <w:rPr>
                <w:b/>
              </w:rPr>
              <w:t>ONGOING PERSONAL RESOURCE BUILDING INTERVENTIONS</w:t>
            </w:r>
          </w:p>
          <w:p w14:paraId="4AA0167D" w14:textId="77777777" w:rsidR="00E6060C" w:rsidRPr="00E6060C" w:rsidRDefault="00E6060C" w:rsidP="00E6060C">
            <w:pPr>
              <w:rPr>
                <w:b/>
              </w:rPr>
            </w:pPr>
          </w:p>
        </w:tc>
      </w:tr>
      <w:tr w:rsidR="00E6060C" w:rsidRPr="00E6060C" w14:paraId="5BF20AB8" w14:textId="77777777" w:rsidTr="00E6060C">
        <w:trPr>
          <w:gridAfter w:val="1"/>
          <w:wAfter w:w="16" w:type="dxa"/>
        </w:trPr>
        <w:tc>
          <w:tcPr>
            <w:tcW w:w="567" w:type="dxa"/>
            <w:shd w:val="clear" w:color="auto" w:fill="D9D9D9" w:themeFill="background1" w:themeFillShade="D9"/>
          </w:tcPr>
          <w:p w14:paraId="56551EAA" w14:textId="77777777" w:rsidR="00E6060C" w:rsidRPr="00E6060C" w:rsidRDefault="00E6060C" w:rsidP="00E6060C">
            <w:pPr>
              <w:contextualSpacing/>
            </w:pPr>
            <w:r w:rsidRPr="00E6060C">
              <w:t>9</w:t>
            </w:r>
          </w:p>
        </w:tc>
        <w:tc>
          <w:tcPr>
            <w:tcW w:w="1418" w:type="dxa"/>
            <w:shd w:val="clear" w:color="auto" w:fill="D9D9D9" w:themeFill="background1" w:themeFillShade="D9"/>
          </w:tcPr>
          <w:p w14:paraId="1A864297" w14:textId="77777777" w:rsidR="00E6060C" w:rsidRPr="00E6060C" w:rsidRDefault="00E6060C" w:rsidP="00E6060C">
            <w:pPr>
              <w:contextualSpacing/>
            </w:pPr>
            <w:r w:rsidRPr="00E6060C">
              <w:t>Schelvis et al., 2013</w:t>
            </w:r>
          </w:p>
        </w:tc>
        <w:tc>
          <w:tcPr>
            <w:tcW w:w="2268" w:type="dxa"/>
            <w:shd w:val="clear" w:color="auto" w:fill="D9D9D9" w:themeFill="background1" w:themeFillShade="D9"/>
          </w:tcPr>
          <w:p w14:paraId="2BB564BD" w14:textId="77777777" w:rsidR="00E6060C" w:rsidRPr="00E6060C" w:rsidRDefault="00E6060C" w:rsidP="00E6060C">
            <w:pPr>
              <w:contextualSpacing/>
            </w:pPr>
            <w:r w:rsidRPr="00E6060C">
              <w:t>Planned</w:t>
            </w:r>
          </w:p>
        </w:tc>
        <w:tc>
          <w:tcPr>
            <w:tcW w:w="2268" w:type="dxa"/>
            <w:shd w:val="clear" w:color="auto" w:fill="D9D9D9" w:themeFill="background1" w:themeFillShade="D9"/>
          </w:tcPr>
          <w:p w14:paraId="68E65DE1" w14:textId="77777777" w:rsidR="00E6060C" w:rsidRPr="00E6060C" w:rsidRDefault="00E6060C" w:rsidP="00E6060C">
            <w:pPr>
              <w:contextualSpacing/>
            </w:pPr>
            <w:r w:rsidRPr="00E6060C">
              <w:t>Planned</w:t>
            </w:r>
          </w:p>
        </w:tc>
        <w:tc>
          <w:tcPr>
            <w:tcW w:w="3372" w:type="dxa"/>
            <w:shd w:val="clear" w:color="auto" w:fill="D9D9D9" w:themeFill="background1" w:themeFillShade="D9"/>
          </w:tcPr>
          <w:p w14:paraId="68AC7BEB" w14:textId="77777777" w:rsidR="00E6060C" w:rsidRPr="00E6060C" w:rsidRDefault="00E6060C" w:rsidP="00F15DDF">
            <w:pPr>
              <w:numPr>
                <w:ilvl w:val="0"/>
                <w:numId w:val="68"/>
              </w:numPr>
              <w:ind w:left="138" w:hanging="138"/>
              <w:contextualSpacing/>
            </w:pPr>
            <w:r w:rsidRPr="00E6060C">
              <w:t>Detailed process evaluation planned</w:t>
            </w:r>
          </w:p>
        </w:tc>
        <w:tc>
          <w:tcPr>
            <w:tcW w:w="4112" w:type="dxa"/>
            <w:shd w:val="clear" w:color="auto" w:fill="D9D9D9" w:themeFill="background1" w:themeFillShade="D9"/>
          </w:tcPr>
          <w:p w14:paraId="3C1AD7E3" w14:textId="77777777" w:rsidR="00E6060C" w:rsidRPr="00E6060C" w:rsidRDefault="00E6060C" w:rsidP="00F15DDF">
            <w:pPr>
              <w:numPr>
                <w:ilvl w:val="0"/>
                <w:numId w:val="65"/>
              </w:numPr>
              <w:ind w:left="175" w:hanging="175"/>
              <w:contextualSpacing/>
            </w:pPr>
            <w:r w:rsidRPr="00E6060C">
              <w:t>Process evaluation planned</w:t>
            </w:r>
          </w:p>
          <w:p w14:paraId="6CD9006B" w14:textId="77777777" w:rsidR="00E6060C" w:rsidRPr="00E6060C" w:rsidRDefault="00E6060C" w:rsidP="00F15DDF">
            <w:pPr>
              <w:numPr>
                <w:ilvl w:val="0"/>
                <w:numId w:val="65"/>
              </w:numPr>
              <w:ind w:left="175" w:hanging="175"/>
              <w:contextualSpacing/>
            </w:pPr>
            <w:r w:rsidRPr="00E6060C">
              <w:t>Experimental groups selected by the schools (one dept.), matched controls selected by the researchers (another dept., same school) -  potential for selection bias and crossover of intervention effects</w:t>
            </w:r>
          </w:p>
        </w:tc>
      </w:tr>
      <w:tr w:rsidR="00E6060C" w:rsidRPr="00E6060C" w14:paraId="63018335" w14:textId="77777777" w:rsidTr="00E6060C">
        <w:trPr>
          <w:gridAfter w:val="1"/>
          <w:wAfter w:w="16" w:type="dxa"/>
        </w:trPr>
        <w:tc>
          <w:tcPr>
            <w:tcW w:w="567" w:type="dxa"/>
            <w:shd w:val="clear" w:color="auto" w:fill="D9D9D9" w:themeFill="background1" w:themeFillShade="D9"/>
          </w:tcPr>
          <w:p w14:paraId="6F922CCD" w14:textId="77777777" w:rsidR="00E6060C" w:rsidRPr="00E6060C" w:rsidRDefault="00E6060C" w:rsidP="00E6060C">
            <w:pPr>
              <w:contextualSpacing/>
            </w:pPr>
            <w:r w:rsidRPr="00E6060C">
              <w:t>10</w:t>
            </w:r>
          </w:p>
        </w:tc>
        <w:tc>
          <w:tcPr>
            <w:tcW w:w="1418" w:type="dxa"/>
            <w:shd w:val="clear" w:color="auto" w:fill="D9D9D9" w:themeFill="background1" w:themeFillShade="D9"/>
          </w:tcPr>
          <w:p w14:paraId="55CDAD42" w14:textId="77777777" w:rsidR="00E6060C" w:rsidRPr="00E6060C" w:rsidRDefault="00E6060C" w:rsidP="00E6060C">
            <w:pPr>
              <w:contextualSpacing/>
            </w:pPr>
            <w:r w:rsidRPr="00E6060C">
              <w:t>Shaw et al., 2014</w:t>
            </w:r>
          </w:p>
        </w:tc>
        <w:tc>
          <w:tcPr>
            <w:tcW w:w="2268" w:type="dxa"/>
            <w:shd w:val="clear" w:color="auto" w:fill="D9D9D9" w:themeFill="background1" w:themeFillShade="D9"/>
          </w:tcPr>
          <w:p w14:paraId="4E7C8F52" w14:textId="77777777" w:rsidR="00E6060C" w:rsidRPr="00E6060C" w:rsidRDefault="00E6060C" w:rsidP="00E6060C">
            <w:pPr>
              <w:contextualSpacing/>
            </w:pPr>
            <w:r w:rsidRPr="00E6060C">
              <w:t>Planned</w:t>
            </w:r>
          </w:p>
        </w:tc>
        <w:tc>
          <w:tcPr>
            <w:tcW w:w="2268" w:type="dxa"/>
            <w:shd w:val="clear" w:color="auto" w:fill="D9D9D9" w:themeFill="background1" w:themeFillShade="D9"/>
          </w:tcPr>
          <w:p w14:paraId="1B932E88" w14:textId="77777777" w:rsidR="00E6060C" w:rsidRPr="00E6060C" w:rsidRDefault="00E6060C" w:rsidP="00E6060C">
            <w:pPr>
              <w:contextualSpacing/>
            </w:pPr>
            <w:r w:rsidRPr="00E6060C">
              <w:t>Planned</w:t>
            </w:r>
          </w:p>
        </w:tc>
        <w:tc>
          <w:tcPr>
            <w:tcW w:w="3372" w:type="dxa"/>
            <w:shd w:val="clear" w:color="auto" w:fill="D9D9D9" w:themeFill="background1" w:themeFillShade="D9"/>
          </w:tcPr>
          <w:p w14:paraId="786CE6E7" w14:textId="77777777" w:rsidR="00E6060C" w:rsidRPr="00E6060C" w:rsidRDefault="00E6060C" w:rsidP="00F15DDF">
            <w:pPr>
              <w:numPr>
                <w:ilvl w:val="0"/>
                <w:numId w:val="66"/>
              </w:numPr>
              <w:ind w:left="138" w:hanging="138"/>
              <w:contextualSpacing/>
            </w:pPr>
            <w:r w:rsidRPr="00E6060C">
              <w:t>Randomisation procedure detailed</w:t>
            </w:r>
          </w:p>
          <w:p w14:paraId="04E32169" w14:textId="77777777" w:rsidR="00E6060C" w:rsidRPr="00E6060C" w:rsidRDefault="00E6060C" w:rsidP="00F15DDF">
            <w:pPr>
              <w:numPr>
                <w:ilvl w:val="0"/>
                <w:numId w:val="66"/>
              </w:numPr>
              <w:ind w:left="138" w:hanging="138"/>
              <w:contextualSpacing/>
            </w:pPr>
            <w:r w:rsidRPr="00E6060C">
              <w:t>Allocation concealed</w:t>
            </w:r>
          </w:p>
          <w:p w14:paraId="1885656E" w14:textId="77777777" w:rsidR="00E6060C" w:rsidRPr="00E6060C" w:rsidRDefault="00E6060C" w:rsidP="00F15DDF">
            <w:pPr>
              <w:numPr>
                <w:ilvl w:val="0"/>
                <w:numId w:val="66"/>
              </w:numPr>
              <w:ind w:left="138" w:hanging="138"/>
              <w:contextualSpacing/>
            </w:pPr>
            <w:r w:rsidRPr="00E6060C">
              <w:lastRenderedPageBreak/>
              <w:t>Process evaluation planned</w:t>
            </w:r>
          </w:p>
        </w:tc>
        <w:tc>
          <w:tcPr>
            <w:tcW w:w="4112" w:type="dxa"/>
            <w:shd w:val="clear" w:color="auto" w:fill="D9D9D9" w:themeFill="background1" w:themeFillShade="D9"/>
          </w:tcPr>
          <w:p w14:paraId="5090EDD9" w14:textId="77777777" w:rsidR="00E6060C" w:rsidRPr="00E6060C" w:rsidRDefault="00E6060C" w:rsidP="00F15DDF">
            <w:pPr>
              <w:numPr>
                <w:ilvl w:val="0"/>
                <w:numId w:val="65"/>
              </w:numPr>
              <w:ind w:left="175" w:hanging="175"/>
              <w:contextualSpacing/>
            </w:pPr>
            <w:r w:rsidRPr="00E6060C">
              <w:lastRenderedPageBreak/>
              <w:t>Self-report measures</w:t>
            </w:r>
          </w:p>
        </w:tc>
      </w:tr>
      <w:tr w:rsidR="00E6060C" w:rsidRPr="00E6060C" w14:paraId="73DC0F32" w14:textId="77777777" w:rsidTr="00E6060C">
        <w:trPr>
          <w:gridAfter w:val="1"/>
          <w:wAfter w:w="16" w:type="dxa"/>
        </w:trPr>
        <w:tc>
          <w:tcPr>
            <w:tcW w:w="567" w:type="dxa"/>
            <w:shd w:val="clear" w:color="auto" w:fill="D9D9D9" w:themeFill="background1" w:themeFillShade="D9"/>
          </w:tcPr>
          <w:p w14:paraId="4C137F3D" w14:textId="77777777" w:rsidR="00E6060C" w:rsidRPr="00E6060C" w:rsidRDefault="00E6060C" w:rsidP="00E6060C">
            <w:pPr>
              <w:contextualSpacing/>
            </w:pPr>
            <w:r w:rsidRPr="00E6060C">
              <w:t>11</w:t>
            </w:r>
          </w:p>
        </w:tc>
        <w:tc>
          <w:tcPr>
            <w:tcW w:w="1418" w:type="dxa"/>
            <w:shd w:val="clear" w:color="auto" w:fill="D9D9D9" w:themeFill="background1" w:themeFillShade="D9"/>
          </w:tcPr>
          <w:p w14:paraId="23053216" w14:textId="77777777" w:rsidR="00E6060C" w:rsidRPr="00E6060C" w:rsidRDefault="00E6060C" w:rsidP="00E6060C">
            <w:pPr>
              <w:contextualSpacing/>
            </w:pPr>
            <w:r w:rsidRPr="00E6060C">
              <w:t>Koolhaas et al., 2010</w:t>
            </w:r>
          </w:p>
        </w:tc>
        <w:tc>
          <w:tcPr>
            <w:tcW w:w="2268" w:type="dxa"/>
            <w:shd w:val="clear" w:color="auto" w:fill="D9D9D9" w:themeFill="background1" w:themeFillShade="D9"/>
          </w:tcPr>
          <w:p w14:paraId="195F3130" w14:textId="77777777" w:rsidR="00E6060C" w:rsidRPr="00E6060C" w:rsidRDefault="00E6060C" w:rsidP="00E6060C">
            <w:pPr>
              <w:contextualSpacing/>
            </w:pPr>
            <w:r w:rsidRPr="00E6060C">
              <w:t>Planned</w:t>
            </w:r>
          </w:p>
        </w:tc>
        <w:tc>
          <w:tcPr>
            <w:tcW w:w="2268" w:type="dxa"/>
            <w:shd w:val="clear" w:color="auto" w:fill="D9D9D9" w:themeFill="background1" w:themeFillShade="D9"/>
          </w:tcPr>
          <w:p w14:paraId="73EEC4F1" w14:textId="77777777" w:rsidR="00E6060C" w:rsidRPr="00E6060C" w:rsidRDefault="00E6060C" w:rsidP="00E6060C">
            <w:pPr>
              <w:contextualSpacing/>
            </w:pPr>
            <w:r w:rsidRPr="00E6060C">
              <w:t>Planned</w:t>
            </w:r>
          </w:p>
        </w:tc>
        <w:tc>
          <w:tcPr>
            <w:tcW w:w="3372" w:type="dxa"/>
            <w:shd w:val="clear" w:color="auto" w:fill="D9D9D9" w:themeFill="background1" w:themeFillShade="D9"/>
          </w:tcPr>
          <w:p w14:paraId="2A064ED5" w14:textId="77777777" w:rsidR="00E6060C" w:rsidRPr="00E6060C" w:rsidRDefault="00E6060C" w:rsidP="00F15DDF">
            <w:pPr>
              <w:numPr>
                <w:ilvl w:val="0"/>
                <w:numId w:val="67"/>
              </w:numPr>
              <w:ind w:left="138" w:hanging="138"/>
              <w:contextualSpacing/>
            </w:pPr>
            <w:r w:rsidRPr="00E6060C">
              <w:t>Process evaluation planned</w:t>
            </w:r>
          </w:p>
          <w:p w14:paraId="4F0B0FD4" w14:textId="77777777" w:rsidR="00E6060C" w:rsidRPr="00E6060C" w:rsidRDefault="00E6060C" w:rsidP="00F15DDF">
            <w:pPr>
              <w:numPr>
                <w:ilvl w:val="0"/>
                <w:numId w:val="67"/>
              </w:numPr>
              <w:ind w:left="138" w:hanging="138"/>
              <w:contextualSpacing/>
            </w:pPr>
            <w:r w:rsidRPr="00E6060C">
              <w:t>Workers will be blinded to the intervention group their supervisors are in</w:t>
            </w:r>
          </w:p>
          <w:p w14:paraId="766B18AC" w14:textId="77777777" w:rsidR="00E6060C" w:rsidRPr="00E6060C" w:rsidRDefault="00E6060C" w:rsidP="00F15DDF">
            <w:pPr>
              <w:numPr>
                <w:ilvl w:val="0"/>
                <w:numId w:val="67"/>
              </w:numPr>
              <w:ind w:left="138" w:hanging="138"/>
              <w:contextualSpacing/>
            </w:pPr>
            <w:r w:rsidRPr="00E6060C">
              <w:t>Workers filled in the questionnaire, not the supervisors who were taking part in the intervention</w:t>
            </w:r>
          </w:p>
        </w:tc>
        <w:tc>
          <w:tcPr>
            <w:tcW w:w="4112" w:type="dxa"/>
            <w:shd w:val="clear" w:color="auto" w:fill="D9D9D9" w:themeFill="background1" w:themeFillShade="D9"/>
          </w:tcPr>
          <w:p w14:paraId="059E6477" w14:textId="77777777" w:rsidR="00E6060C" w:rsidRPr="00E6060C" w:rsidRDefault="00E6060C" w:rsidP="00F15DDF">
            <w:pPr>
              <w:numPr>
                <w:ilvl w:val="0"/>
                <w:numId w:val="65"/>
              </w:numPr>
              <w:ind w:left="175" w:hanging="175"/>
              <w:contextualSpacing/>
            </w:pPr>
            <w:r w:rsidRPr="00E6060C">
              <w:t>All self-report measures</w:t>
            </w:r>
          </w:p>
          <w:p w14:paraId="2880E4F3" w14:textId="77777777" w:rsidR="00E6060C" w:rsidRPr="00E6060C" w:rsidRDefault="00E6060C" w:rsidP="00F15DDF">
            <w:pPr>
              <w:numPr>
                <w:ilvl w:val="0"/>
                <w:numId w:val="65"/>
              </w:numPr>
              <w:ind w:left="175" w:hanging="175"/>
              <w:contextualSpacing/>
            </w:pPr>
            <w:r w:rsidRPr="00E6060C">
              <w:t xml:space="preserve">Variations between supervisors prior to training in terms of capabilities, experience, personality, readiness for change etc. </w:t>
            </w:r>
          </w:p>
        </w:tc>
      </w:tr>
      <w:tr w:rsidR="00E6060C" w:rsidRPr="00E6060C" w14:paraId="2DDC69A7" w14:textId="77777777" w:rsidTr="00E6060C">
        <w:trPr>
          <w:gridAfter w:val="1"/>
          <w:wAfter w:w="16" w:type="dxa"/>
        </w:trPr>
        <w:tc>
          <w:tcPr>
            <w:tcW w:w="567" w:type="dxa"/>
            <w:shd w:val="clear" w:color="auto" w:fill="D9D9D9" w:themeFill="background1" w:themeFillShade="D9"/>
          </w:tcPr>
          <w:p w14:paraId="5C3FF7F5" w14:textId="77777777" w:rsidR="00E6060C" w:rsidRPr="00E6060C" w:rsidRDefault="00E6060C" w:rsidP="00E6060C">
            <w:pPr>
              <w:contextualSpacing/>
            </w:pPr>
            <w:r w:rsidRPr="00E6060C">
              <w:t>12</w:t>
            </w:r>
          </w:p>
        </w:tc>
        <w:tc>
          <w:tcPr>
            <w:tcW w:w="1418" w:type="dxa"/>
            <w:shd w:val="clear" w:color="auto" w:fill="D9D9D9" w:themeFill="background1" w:themeFillShade="D9"/>
          </w:tcPr>
          <w:p w14:paraId="1D186984" w14:textId="4F774BC4" w:rsidR="00E6060C" w:rsidRPr="00E6060C" w:rsidRDefault="00E6060C" w:rsidP="00E6060C">
            <w:pPr>
              <w:contextualSpacing/>
            </w:pPr>
            <w:r w:rsidRPr="00E6060C">
              <w:t>Yuan</w:t>
            </w:r>
            <w:r w:rsidR="00004C6F">
              <w:t xml:space="preserve"> et al.</w:t>
            </w:r>
            <w:r w:rsidRPr="00E6060C">
              <w:t>, 2014</w:t>
            </w:r>
          </w:p>
          <w:p w14:paraId="4C94BBED" w14:textId="77777777" w:rsidR="00E6060C" w:rsidRPr="00E6060C" w:rsidRDefault="00E6060C" w:rsidP="00E6060C">
            <w:pPr>
              <w:contextualSpacing/>
              <w:jc w:val="center"/>
            </w:pPr>
          </w:p>
        </w:tc>
        <w:tc>
          <w:tcPr>
            <w:tcW w:w="2268" w:type="dxa"/>
            <w:shd w:val="clear" w:color="auto" w:fill="D9D9D9" w:themeFill="background1" w:themeFillShade="D9"/>
          </w:tcPr>
          <w:p w14:paraId="00FA5E2D" w14:textId="77777777" w:rsidR="00E6060C" w:rsidRPr="00E6060C" w:rsidRDefault="00E6060C" w:rsidP="00E6060C">
            <w:pPr>
              <w:contextualSpacing/>
            </w:pPr>
            <w:r w:rsidRPr="00E6060C">
              <w:t>Planned</w:t>
            </w:r>
          </w:p>
        </w:tc>
        <w:tc>
          <w:tcPr>
            <w:tcW w:w="2268" w:type="dxa"/>
            <w:shd w:val="clear" w:color="auto" w:fill="D9D9D9" w:themeFill="background1" w:themeFillShade="D9"/>
          </w:tcPr>
          <w:p w14:paraId="1FFB871E" w14:textId="77777777" w:rsidR="00E6060C" w:rsidRPr="00E6060C" w:rsidRDefault="00E6060C" w:rsidP="00E6060C">
            <w:pPr>
              <w:contextualSpacing/>
            </w:pPr>
            <w:r w:rsidRPr="00E6060C">
              <w:t>Planned</w:t>
            </w:r>
          </w:p>
        </w:tc>
        <w:tc>
          <w:tcPr>
            <w:tcW w:w="3372" w:type="dxa"/>
            <w:shd w:val="clear" w:color="auto" w:fill="D9D9D9" w:themeFill="background1" w:themeFillShade="D9"/>
          </w:tcPr>
          <w:p w14:paraId="0F7B482B" w14:textId="77777777" w:rsidR="00E6060C" w:rsidRPr="00E6060C" w:rsidRDefault="00E6060C" w:rsidP="00F15DDF">
            <w:pPr>
              <w:numPr>
                <w:ilvl w:val="0"/>
                <w:numId w:val="69"/>
              </w:numPr>
              <w:ind w:left="138" w:hanging="138"/>
              <w:contextualSpacing/>
            </w:pPr>
            <w:r w:rsidRPr="00E6060C">
              <w:t>Outcome differences  between individuals with different levels of depression will be analysed</w:t>
            </w:r>
          </w:p>
        </w:tc>
        <w:tc>
          <w:tcPr>
            <w:tcW w:w="4112" w:type="dxa"/>
            <w:shd w:val="clear" w:color="auto" w:fill="D9D9D9" w:themeFill="background1" w:themeFillShade="D9"/>
          </w:tcPr>
          <w:p w14:paraId="078C566E" w14:textId="77777777" w:rsidR="00E6060C" w:rsidRPr="00E6060C" w:rsidRDefault="00E6060C" w:rsidP="00F15DDF">
            <w:pPr>
              <w:numPr>
                <w:ilvl w:val="0"/>
                <w:numId w:val="69"/>
              </w:numPr>
              <w:ind w:left="175" w:hanging="175"/>
              <w:contextualSpacing/>
            </w:pPr>
            <w:r w:rsidRPr="00E6060C">
              <w:t>All self-report measures</w:t>
            </w:r>
          </w:p>
        </w:tc>
      </w:tr>
      <w:tr w:rsidR="00E6060C" w:rsidRPr="00E6060C" w14:paraId="2A5E4656" w14:textId="77777777" w:rsidTr="00E6060C">
        <w:tc>
          <w:tcPr>
            <w:tcW w:w="14021" w:type="dxa"/>
            <w:gridSpan w:val="7"/>
            <w:tcBorders>
              <w:top w:val="single" w:sz="4" w:space="0" w:color="auto"/>
              <w:bottom w:val="single" w:sz="4" w:space="0" w:color="auto"/>
            </w:tcBorders>
          </w:tcPr>
          <w:p w14:paraId="7BCE09E3" w14:textId="77777777" w:rsidR="00E6060C" w:rsidRPr="00E6060C" w:rsidRDefault="00E6060C" w:rsidP="00E6060C">
            <w:pPr>
              <w:rPr>
                <w:b/>
                <w:sz w:val="28"/>
                <w:szCs w:val="28"/>
              </w:rPr>
            </w:pPr>
            <w:r w:rsidRPr="00E6060C">
              <w:rPr>
                <w:b/>
                <w:sz w:val="28"/>
                <w:szCs w:val="28"/>
              </w:rPr>
              <w:t>JOB RESOURCE BUILDING INTERVENTIONS</w:t>
            </w:r>
          </w:p>
        </w:tc>
      </w:tr>
      <w:tr w:rsidR="00E6060C" w:rsidRPr="00E6060C" w14:paraId="00580296" w14:textId="77777777" w:rsidTr="00E6060C">
        <w:trPr>
          <w:gridAfter w:val="1"/>
          <w:wAfter w:w="16" w:type="dxa"/>
        </w:trPr>
        <w:tc>
          <w:tcPr>
            <w:tcW w:w="567" w:type="dxa"/>
          </w:tcPr>
          <w:p w14:paraId="7DBD0CA8" w14:textId="77777777" w:rsidR="00E6060C" w:rsidRPr="00E6060C" w:rsidRDefault="00E6060C" w:rsidP="00E6060C">
            <w:pPr>
              <w:contextualSpacing/>
            </w:pPr>
            <w:r w:rsidRPr="00E6060C">
              <w:t>13</w:t>
            </w:r>
          </w:p>
        </w:tc>
        <w:tc>
          <w:tcPr>
            <w:tcW w:w="1418" w:type="dxa"/>
          </w:tcPr>
          <w:p w14:paraId="589B8ACE" w14:textId="5591AB69"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Cifre et al., 2011 </w:t>
            </w:r>
          </w:p>
        </w:tc>
        <w:tc>
          <w:tcPr>
            <w:tcW w:w="2268" w:type="dxa"/>
          </w:tcPr>
          <w:p w14:paraId="6228F1C0" w14:textId="77777777" w:rsidR="00E6060C" w:rsidRPr="00E6060C" w:rsidRDefault="00E6060C" w:rsidP="00E6060C">
            <w:pPr>
              <w:contextualSpacing/>
            </w:pPr>
            <w:r w:rsidRPr="00E6060C">
              <w:t>Not discussed</w:t>
            </w:r>
          </w:p>
        </w:tc>
        <w:tc>
          <w:tcPr>
            <w:tcW w:w="2268" w:type="dxa"/>
          </w:tcPr>
          <w:p w14:paraId="57CF48B0" w14:textId="77777777" w:rsidR="00E6060C" w:rsidRPr="00E6060C" w:rsidRDefault="00E6060C" w:rsidP="00E6060C">
            <w:pPr>
              <w:contextualSpacing/>
            </w:pPr>
            <w:r w:rsidRPr="00E6060C">
              <w:t>Not discussed</w:t>
            </w:r>
          </w:p>
        </w:tc>
        <w:tc>
          <w:tcPr>
            <w:tcW w:w="3372" w:type="dxa"/>
          </w:tcPr>
          <w:p w14:paraId="46245E08" w14:textId="77777777" w:rsidR="00E6060C" w:rsidRPr="00E6060C" w:rsidRDefault="00E6060C" w:rsidP="00E6060C">
            <w:pPr>
              <w:contextualSpacing/>
            </w:pPr>
            <w:r w:rsidRPr="00E6060C">
              <w:t>-</w:t>
            </w:r>
          </w:p>
        </w:tc>
        <w:tc>
          <w:tcPr>
            <w:tcW w:w="4112" w:type="dxa"/>
          </w:tcPr>
          <w:p w14:paraId="7C38276E" w14:textId="77777777" w:rsidR="00E6060C" w:rsidRPr="00E6060C" w:rsidRDefault="00E6060C" w:rsidP="00F15DDF">
            <w:pPr>
              <w:numPr>
                <w:ilvl w:val="0"/>
                <w:numId w:val="73"/>
              </w:numPr>
              <w:ind w:left="174" w:hanging="174"/>
              <w:contextualSpacing/>
            </w:pPr>
            <w:r w:rsidRPr="00E6060C">
              <w:t>Selection area not based exclusively on T1 results</w:t>
            </w:r>
          </w:p>
          <w:p w14:paraId="114D8E97" w14:textId="77777777" w:rsidR="00E6060C" w:rsidRPr="00E6060C" w:rsidRDefault="00E6060C" w:rsidP="00F15DDF">
            <w:pPr>
              <w:numPr>
                <w:ilvl w:val="0"/>
                <w:numId w:val="73"/>
              </w:numPr>
              <w:ind w:left="174" w:hanging="174"/>
              <w:contextualSpacing/>
            </w:pPr>
            <w:r w:rsidRPr="00E6060C">
              <w:t>Management selected the intervention area</w:t>
            </w:r>
          </w:p>
          <w:p w14:paraId="6763F26C" w14:textId="77777777" w:rsidR="00E6060C" w:rsidRPr="00E6060C" w:rsidRDefault="00E6060C" w:rsidP="00F15DDF">
            <w:pPr>
              <w:numPr>
                <w:ilvl w:val="0"/>
                <w:numId w:val="73"/>
              </w:numPr>
              <w:ind w:left="174" w:hanging="174"/>
              <w:contextualSpacing/>
            </w:pPr>
            <w:r w:rsidRPr="00E6060C">
              <w:t>Low sample size</w:t>
            </w:r>
          </w:p>
        </w:tc>
      </w:tr>
      <w:tr w:rsidR="00E6060C" w:rsidRPr="00E6060C" w14:paraId="15A07D84" w14:textId="77777777" w:rsidTr="00E6060C">
        <w:trPr>
          <w:gridAfter w:val="1"/>
          <w:wAfter w:w="16" w:type="dxa"/>
        </w:trPr>
        <w:tc>
          <w:tcPr>
            <w:tcW w:w="567" w:type="dxa"/>
          </w:tcPr>
          <w:p w14:paraId="4B67F6CE" w14:textId="77777777" w:rsidR="00E6060C" w:rsidRPr="00E6060C" w:rsidRDefault="00E6060C" w:rsidP="00E6060C">
            <w:pPr>
              <w:contextualSpacing/>
            </w:pPr>
            <w:r w:rsidRPr="00E6060C">
              <w:t>14</w:t>
            </w:r>
          </w:p>
        </w:tc>
        <w:tc>
          <w:tcPr>
            <w:tcW w:w="1418" w:type="dxa"/>
          </w:tcPr>
          <w:p w14:paraId="6E740D28" w14:textId="707DDCCE"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Coffeng et al., 2014 </w:t>
            </w:r>
          </w:p>
        </w:tc>
        <w:tc>
          <w:tcPr>
            <w:tcW w:w="2268" w:type="dxa"/>
          </w:tcPr>
          <w:p w14:paraId="7529BB54" w14:textId="77777777" w:rsidR="00E6060C" w:rsidRPr="00E6060C" w:rsidRDefault="00E6060C" w:rsidP="00F15DDF">
            <w:pPr>
              <w:numPr>
                <w:ilvl w:val="0"/>
                <w:numId w:val="50"/>
              </w:numPr>
              <w:ind w:left="175" w:hanging="175"/>
              <w:contextualSpacing/>
            </w:pPr>
            <w:r w:rsidRPr="00E6060C">
              <w:t>60% (physical environmental condition)</w:t>
            </w:r>
          </w:p>
          <w:p w14:paraId="5D0472D6" w14:textId="77777777" w:rsidR="00E6060C" w:rsidRPr="00E6060C" w:rsidRDefault="00E6060C" w:rsidP="00F15DDF">
            <w:pPr>
              <w:numPr>
                <w:ilvl w:val="0"/>
                <w:numId w:val="50"/>
              </w:numPr>
              <w:ind w:left="175" w:hanging="175"/>
              <w:contextualSpacing/>
            </w:pPr>
            <w:r w:rsidRPr="00E6060C">
              <w:t>83% (social environmental condition)</w:t>
            </w:r>
          </w:p>
          <w:p w14:paraId="0EB6562F" w14:textId="77777777" w:rsidR="00E6060C" w:rsidRPr="00E6060C" w:rsidRDefault="00E6060C" w:rsidP="00F15DDF">
            <w:pPr>
              <w:numPr>
                <w:ilvl w:val="0"/>
                <w:numId w:val="50"/>
              </w:numPr>
              <w:ind w:left="175" w:hanging="175"/>
              <w:contextualSpacing/>
            </w:pPr>
            <w:r w:rsidRPr="00E6060C">
              <w:t xml:space="preserve">Dose delivered (i.e. were all planned </w:t>
            </w:r>
            <w:r w:rsidRPr="00E6060C">
              <w:lastRenderedPageBreak/>
              <w:t xml:space="preserve">sessions / aspects delivered): </w:t>
            </w:r>
          </w:p>
          <w:p w14:paraId="041505C5" w14:textId="77777777" w:rsidR="00E6060C" w:rsidRPr="00E6060C" w:rsidRDefault="00E6060C" w:rsidP="00E6060C">
            <w:pPr>
              <w:spacing w:after="200" w:line="276" w:lineRule="auto"/>
              <w:ind w:left="175"/>
              <w:contextualSpacing/>
            </w:pPr>
            <w:r w:rsidRPr="00E6060C">
              <w:t>92% (social condition)</w:t>
            </w:r>
          </w:p>
          <w:p w14:paraId="358B0EFD" w14:textId="77777777" w:rsidR="00E6060C" w:rsidRPr="00E6060C" w:rsidRDefault="00E6060C" w:rsidP="00E6060C">
            <w:pPr>
              <w:spacing w:after="200" w:line="276" w:lineRule="auto"/>
              <w:ind w:left="175"/>
              <w:contextualSpacing/>
            </w:pPr>
            <w:r w:rsidRPr="00E6060C">
              <w:t>88% (physical condition)</w:t>
            </w:r>
          </w:p>
        </w:tc>
        <w:tc>
          <w:tcPr>
            <w:tcW w:w="2268" w:type="dxa"/>
          </w:tcPr>
          <w:p w14:paraId="32CAD122" w14:textId="77777777" w:rsidR="00E6060C" w:rsidRPr="00E6060C" w:rsidRDefault="00E6060C" w:rsidP="00E6060C">
            <w:pPr>
              <w:contextualSpacing/>
            </w:pPr>
            <w:r w:rsidRPr="00E6060C">
              <w:lastRenderedPageBreak/>
              <w:t>Reach (attendance/ use of intervention at least once): 45% (physical condition)</w:t>
            </w:r>
          </w:p>
          <w:p w14:paraId="29C5DB4C" w14:textId="77777777" w:rsidR="00E6060C" w:rsidRPr="00E6060C" w:rsidRDefault="00E6060C" w:rsidP="00E6060C">
            <w:pPr>
              <w:contextualSpacing/>
            </w:pPr>
            <w:r w:rsidRPr="00E6060C">
              <w:t>76% (social condition)</w:t>
            </w:r>
          </w:p>
        </w:tc>
        <w:tc>
          <w:tcPr>
            <w:tcW w:w="3372" w:type="dxa"/>
          </w:tcPr>
          <w:p w14:paraId="267AB333" w14:textId="77777777" w:rsidR="00E6060C" w:rsidRPr="00E6060C" w:rsidRDefault="00E6060C" w:rsidP="00F15DDF">
            <w:pPr>
              <w:numPr>
                <w:ilvl w:val="0"/>
                <w:numId w:val="50"/>
              </w:numPr>
              <w:tabs>
                <w:tab w:val="left" w:pos="175"/>
              </w:tabs>
              <w:ind w:left="175" w:hanging="175"/>
              <w:contextualSpacing/>
            </w:pPr>
            <w:r w:rsidRPr="00E6060C">
              <w:t>Satisfaction = 6.9/10 for the combined intervention condition, 6 for the physical intervention, 7 for the social intervention</w:t>
            </w:r>
          </w:p>
          <w:p w14:paraId="4C397508" w14:textId="77777777" w:rsidR="00E6060C" w:rsidRPr="00E6060C" w:rsidRDefault="00E6060C" w:rsidP="00E6060C">
            <w:pPr>
              <w:tabs>
                <w:tab w:val="left" w:pos="175"/>
              </w:tabs>
            </w:pPr>
          </w:p>
        </w:tc>
        <w:tc>
          <w:tcPr>
            <w:tcW w:w="4112" w:type="dxa"/>
          </w:tcPr>
          <w:p w14:paraId="534B9503" w14:textId="77777777" w:rsidR="00E6060C" w:rsidRPr="00E6060C" w:rsidRDefault="00E6060C" w:rsidP="00F15DDF">
            <w:pPr>
              <w:numPr>
                <w:ilvl w:val="0"/>
                <w:numId w:val="50"/>
              </w:numPr>
              <w:ind w:left="174" w:hanging="174"/>
              <w:contextualSpacing/>
            </w:pPr>
            <w:r w:rsidRPr="00E6060C">
              <w:t>One group were 67% male and 57% highly educated, limiting generaliseability</w:t>
            </w:r>
          </w:p>
        </w:tc>
      </w:tr>
      <w:tr w:rsidR="00E6060C" w:rsidRPr="00E6060C" w14:paraId="39E96D0E" w14:textId="77777777" w:rsidTr="00E6060C">
        <w:trPr>
          <w:gridAfter w:val="1"/>
          <w:wAfter w:w="16" w:type="dxa"/>
        </w:trPr>
        <w:tc>
          <w:tcPr>
            <w:tcW w:w="567" w:type="dxa"/>
          </w:tcPr>
          <w:p w14:paraId="48FBFA3C" w14:textId="77777777" w:rsidR="00E6060C" w:rsidRPr="00E6060C" w:rsidRDefault="00E6060C" w:rsidP="00E6060C">
            <w:pPr>
              <w:contextualSpacing/>
            </w:pPr>
            <w:r w:rsidRPr="00E6060C">
              <w:t>15</w:t>
            </w:r>
          </w:p>
        </w:tc>
        <w:tc>
          <w:tcPr>
            <w:tcW w:w="1418" w:type="dxa"/>
          </w:tcPr>
          <w:p w14:paraId="05BB9C01" w14:textId="77777777" w:rsidR="00E6060C" w:rsidRPr="00E6060C" w:rsidRDefault="00E6060C" w:rsidP="00E6060C">
            <w:pPr>
              <w:contextualSpacing/>
            </w:pPr>
            <w:r w:rsidRPr="00E6060C">
              <w:t>Kawakami et al., 2012</w:t>
            </w:r>
          </w:p>
        </w:tc>
        <w:tc>
          <w:tcPr>
            <w:tcW w:w="2268" w:type="dxa"/>
          </w:tcPr>
          <w:p w14:paraId="095C7B6D" w14:textId="77777777" w:rsidR="00E6060C" w:rsidRPr="00E6060C" w:rsidRDefault="00E6060C" w:rsidP="00E6060C">
            <w:pPr>
              <w:contextualSpacing/>
            </w:pPr>
            <w:r w:rsidRPr="00E6060C">
              <w:t>Not discussed</w:t>
            </w:r>
          </w:p>
        </w:tc>
        <w:tc>
          <w:tcPr>
            <w:tcW w:w="2268" w:type="dxa"/>
          </w:tcPr>
          <w:p w14:paraId="3BF7CCC1" w14:textId="77777777" w:rsidR="00E6060C" w:rsidRPr="00E6060C" w:rsidRDefault="00E6060C" w:rsidP="00F15DDF">
            <w:pPr>
              <w:numPr>
                <w:ilvl w:val="0"/>
                <w:numId w:val="74"/>
              </w:numPr>
              <w:ind w:left="174" w:hanging="141"/>
              <w:contextualSpacing/>
            </w:pPr>
            <w:r w:rsidRPr="00E6060C">
              <w:t>Only 50% or less of the intervention group accessed the web resource</w:t>
            </w:r>
          </w:p>
          <w:p w14:paraId="2C76DEE2" w14:textId="77777777" w:rsidR="00E6060C" w:rsidRPr="00E6060C" w:rsidRDefault="00E6060C" w:rsidP="00E6060C">
            <w:pPr>
              <w:contextualSpacing/>
            </w:pPr>
          </w:p>
        </w:tc>
        <w:tc>
          <w:tcPr>
            <w:tcW w:w="3372" w:type="dxa"/>
          </w:tcPr>
          <w:p w14:paraId="6751449D" w14:textId="77777777" w:rsidR="00E6060C" w:rsidRPr="00E6060C" w:rsidRDefault="00E6060C" w:rsidP="00E6060C">
            <w:r w:rsidRPr="00E6060C">
              <w:t>24% of the control obtained info about stress from elsewhere</w:t>
            </w:r>
          </w:p>
        </w:tc>
        <w:tc>
          <w:tcPr>
            <w:tcW w:w="4112" w:type="dxa"/>
          </w:tcPr>
          <w:p w14:paraId="33C223F0" w14:textId="77777777" w:rsidR="00E6060C" w:rsidRPr="00E6060C" w:rsidRDefault="00E6060C" w:rsidP="00E6060C">
            <w:pPr>
              <w:spacing w:after="200" w:line="276" w:lineRule="auto"/>
              <w:ind w:left="174"/>
              <w:contextualSpacing/>
            </w:pPr>
          </w:p>
        </w:tc>
      </w:tr>
      <w:tr w:rsidR="00E6060C" w:rsidRPr="00E6060C" w14:paraId="3F8752AA" w14:textId="77777777" w:rsidTr="00E6060C">
        <w:trPr>
          <w:gridAfter w:val="1"/>
          <w:wAfter w:w="16" w:type="dxa"/>
        </w:trPr>
        <w:tc>
          <w:tcPr>
            <w:tcW w:w="567" w:type="dxa"/>
          </w:tcPr>
          <w:p w14:paraId="4B0974C6" w14:textId="77777777" w:rsidR="00E6060C" w:rsidRPr="00E6060C" w:rsidRDefault="00E6060C" w:rsidP="00E6060C">
            <w:pPr>
              <w:contextualSpacing/>
            </w:pPr>
            <w:r w:rsidRPr="00E6060C">
              <w:t>16</w:t>
            </w:r>
          </w:p>
        </w:tc>
        <w:tc>
          <w:tcPr>
            <w:tcW w:w="1418" w:type="dxa"/>
          </w:tcPr>
          <w:p w14:paraId="44D19CBB" w14:textId="5E7D081F" w:rsidR="00E6060C" w:rsidRPr="00E6060C" w:rsidRDefault="00E6060C" w:rsidP="00E6060C">
            <w:pPr>
              <w:contextualSpacing/>
            </w:pPr>
            <w:r w:rsidRPr="00E6060C">
              <w:t>Martinussen</w:t>
            </w:r>
            <w:r w:rsidR="00E067D9">
              <w:t xml:space="preserve"> et al.</w:t>
            </w:r>
            <w:r w:rsidRPr="00E6060C">
              <w:t>, 2012</w:t>
            </w:r>
          </w:p>
        </w:tc>
        <w:tc>
          <w:tcPr>
            <w:tcW w:w="2268" w:type="dxa"/>
          </w:tcPr>
          <w:p w14:paraId="387692BE" w14:textId="77777777" w:rsidR="00E6060C" w:rsidRPr="00E6060C" w:rsidRDefault="00E6060C" w:rsidP="00E6060C">
            <w:pPr>
              <w:contextualSpacing/>
            </w:pPr>
            <w:r w:rsidRPr="00E6060C">
              <w:t>Not discussed</w:t>
            </w:r>
          </w:p>
        </w:tc>
        <w:tc>
          <w:tcPr>
            <w:tcW w:w="2268" w:type="dxa"/>
          </w:tcPr>
          <w:p w14:paraId="37E85093" w14:textId="77777777" w:rsidR="00E6060C" w:rsidRPr="00E6060C" w:rsidRDefault="00E6060C" w:rsidP="00E6060C">
            <w:pPr>
              <w:contextualSpacing/>
            </w:pPr>
            <w:r w:rsidRPr="00E6060C">
              <w:t>Not discussed</w:t>
            </w:r>
          </w:p>
        </w:tc>
        <w:tc>
          <w:tcPr>
            <w:tcW w:w="3372" w:type="dxa"/>
          </w:tcPr>
          <w:p w14:paraId="6667F12A" w14:textId="77777777" w:rsidR="00E6060C" w:rsidRPr="00E6060C" w:rsidRDefault="00E6060C" w:rsidP="00E6060C">
            <w:pPr>
              <w:contextualSpacing/>
            </w:pPr>
            <w:r w:rsidRPr="00E6060C">
              <w:t>-</w:t>
            </w:r>
          </w:p>
        </w:tc>
        <w:tc>
          <w:tcPr>
            <w:tcW w:w="4112" w:type="dxa"/>
          </w:tcPr>
          <w:p w14:paraId="3C9BC953" w14:textId="77777777" w:rsidR="00E6060C" w:rsidRPr="00E6060C" w:rsidRDefault="00E6060C" w:rsidP="00F15DDF">
            <w:pPr>
              <w:numPr>
                <w:ilvl w:val="0"/>
                <w:numId w:val="77"/>
              </w:numPr>
              <w:ind w:left="169" w:hanging="169"/>
              <w:contextualSpacing/>
            </w:pPr>
            <w:r w:rsidRPr="00E6060C">
              <w:t>No pre-test measures restricting evaluation of the intervention effectiveness</w:t>
            </w:r>
          </w:p>
        </w:tc>
      </w:tr>
      <w:tr w:rsidR="00E6060C" w:rsidRPr="00E6060C" w14:paraId="5C6A2379" w14:textId="77777777" w:rsidTr="00E6060C">
        <w:trPr>
          <w:gridAfter w:val="1"/>
          <w:wAfter w:w="16" w:type="dxa"/>
        </w:trPr>
        <w:tc>
          <w:tcPr>
            <w:tcW w:w="567" w:type="dxa"/>
          </w:tcPr>
          <w:p w14:paraId="457B119C" w14:textId="77777777" w:rsidR="00E6060C" w:rsidRPr="00E6060C" w:rsidRDefault="00E6060C" w:rsidP="00E6060C">
            <w:pPr>
              <w:contextualSpacing/>
            </w:pPr>
            <w:r w:rsidRPr="00E6060C">
              <w:t>17</w:t>
            </w:r>
          </w:p>
        </w:tc>
        <w:tc>
          <w:tcPr>
            <w:tcW w:w="1418" w:type="dxa"/>
          </w:tcPr>
          <w:p w14:paraId="1D5F5CF3" w14:textId="14178005"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Naruse et al., 2014</w:t>
            </w:r>
          </w:p>
        </w:tc>
        <w:tc>
          <w:tcPr>
            <w:tcW w:w="2268" w:type="dxa"/>
          </w:tcPr>
          <w:p w14:paraId="6E7D907E" w14:textId="77777777" w:rsidR="00E6060C" w:rsidRPr="00E6060C" w:rsidRDefault="00E6060C" w:rsidP="00E6060C">
            <w:pPr>
              <w:contextualSpacing/>
            </w:pPr>
            <w:r w:rsidRPr="00E6060C">
              <w:t>Not discussed</w:t>
            </w:r>
          </w:p>
        </w:tc>
        <w:tc>
          <w:tcPr>
            <w:tcW w:w="2268" w:type="dxa"/>
          </w:tcPr>
          <w:p w14:paraId="621D3725" w14:textId="77777777" w:rsidR="00E6060C" w:rsidRPr="00E6060C" w:rsidRDefault="00E6060C" w:rsidP="00E6060C">
            <w:pPr>
              <w:contextualSpacing/>
            </w:pPr>
            <w:r w:rsidRPr="00E6060C">
              <w:t>Not discussed</w:t>
            </w:r>
          </w:p>
        </w:tc>
        <w:tc>
          <w:tcPr>
            <w:tcW w:w="3372" w:type="dxa"/>
          </w:tcPr>
          <w:p w14:paraId="15D96C92" w14:textId="77777777" w:rsidR="00E6060C" w:rsidRPr="00E6060C" w:rsidRDefault="00E6060C" w:rsidP="00F15DDF">
            <w:pPr>
              <w:numPr>
                <w:ilvl w:val="0"/>
                <w:numId w:val="50"/>
              </w:numPr>
              <w:tabs>
                <w:tab w:val="left" w:pos="175"/>
              </w:tabs>
              <w:ind w:left="175" w:hanging="175"/>
              <w:contextualSpacing/>
            </w:pPr>
            <w:r w:rsidRPr="00E6060C">
              <w:t>Intervention agencies selected because they were ‘highly motivated’ to carry out the intervention</w:t>
            </w:r>
          </w:p>
        </w:tc>
        <w:tc>
          <w:tcPr>
            <w:tcW w:w="4112" w:type="dxa"/>
          </w:tcPr>
          <w:p w14:paraId="5126E69E" w14:textId="77777777" w:rsidR="00E6060C" w:rsidRPr="00E6060C" w:rsidRDefault="00E6060C" w:rsidP="00E6060C">
            <w:pPr>
              <w:contextualSpacing/>
            </w:pPr>
            <w:r w:rsidRPr="00E6060C">
              <w:t>-</w:t>
            </w:r>
          </w:p>
        </w:tc>
      </w:tr>
      <w:tr w:rsidR="00E6060C" w:rsidRPr="00E6060C" w14:paraId="4AF4ED2B" w14:textId="77777777" w:rsidTr="00E6060C">
        <w:trPr>
          <w:gridAfter w:val="1"/>
          <w:wAfter w:w="16" w:type="dxa"/>
        </w:trPr>
        <w:tc>
          <w:tcPr>
            <w:tcW w:w="567" w:type="dxa"/>
          </w:tcPr>
          <w:p w14:paraId="6EDFBE42" w14:textId="77777777" w:rsidR="00E6060C" w:rsidRPr="00E6060C" w:rsidRDefault="00E6060C" w:rsidP="00E6060C">
            <w:pPr>
              <w:contextualSpacing/>
            </w:pPr>
            <w:r w:rsidRPr="00E6060C">
              <w:t>18</w:t>
            </w:r>
          </w:p>
        </w:tc>
        <w:tc>
          <w:tcPr>
            <w:tcW w:w="1418" w:type="dxa"/>
          </w:tcPr>
          <w:p w14:paraId="1892D9FF" w14:textId="77777777" w:rsidR="00E6060C" w:rsidRPr="00E6060C" w:rsidRDefault="00E6060C" w:rsidP="00E6060C">
            <w:pPr>
              <w:contextualSpacing/>
            </w:pPr>
            <w:r w:rsidRPr="00E6060C">
              <w:t>Rickard et al., 2012</w:t>
            </w:r>
          </w:p>
        </w:tc>
        <w:tc>
          <w:tcPr>
            <w:tcW w:w="2268" w:type="dxa"/>
          </w:tcPr>
          <w:p w14:paraId="54C1D464" w14:textId="77777777" w:rsidR="00E6060C" w:rsidRPr="00E6060C" w:rsidRDefault="00E6060C" w:rsidP="00E6060C">
            <w:pPr>
              <w:contextualSpacing/>
            </w:pPr>
            <w:r w:rsidRPr="00E6060C">
              <w:t>Not discussed</w:t>
            </w:r>
          </w:p>
        </w:tc>
        <w:tc>
          <w:tcPr>
            <w:tcW w:w="2268" w:type="dxa"/>
          </w:tcPr>
          <w:p w14:paraId="2AFDE87B" w14:textId="77777777" w:rsidR="00E6060C" w:rsidRPr="00E6060C" w:rsidRDefault="00E6060C" w:rsidP="00E6060C">
            <w:pPr>
              <w:contextualSpacing/>
            </w:pPr>
            <w:r w:rsidRPr="00E6060C">
              <w:t>Not discussed</w:t>
            </w:r>
          </w:p>
        </w:tc>
        <w:tc>
          <w:tcPr>
            <w:tcW w:w="3372" w:type="dxa"/>
          </w:tcPr>
          <w:p w14:paraId="69CC7C97" w14:textId="77777777" w:rsidR="00E6060C" w:rsidRPr="00E6060C" w:rsidRDefault="00E6060C" w:rsidP="00E6060C">
            <w:pPr>
              <w:contextualSpacing/>
            </w:pPr>
            <w:r w:rsidRPr="00E6060C">
              <w:t>-</w:t>
            </w:r>
          </w:p>
        </w:tc>
        <w:tc>
          <w:tcPr>
            <w:tcW w:w="4112" w:type="dxa"/>
          </w:tcPr>
          <w:p w14:paraId="64D498C0" w14:textId="77777777" w:rsidR="00E6060C" w:rsidRPr="00E6060C" w:rsidRDefault="00E6060C" w:rsidP="00F15DDF">
            <w:pPr>
              <w:numPr>
                <w:ilvl w:val="0"/>
                <w:numId w:val="98"/>
              </w:numPr>
              <w:ind w:left="175" w:hanging="175"/>
              <w:contextualSpacing/>
              <w:rPr>
                <w:rFonts w:ascii="Calibri" w:hAnsi="Calibri"/>
              </w:rPr>
            </w:pPr>
            <w:r w:rsidRPr="00E6060C">
              <w:rPr>
                <w:rFonts w:ascii="Calibri" w:hAnsi="Calibri"/>
              </w:rPr>
              <w:t>Very small matched sample (n=13, hospital 1; n=19, hospital 2)</w:t>
            </w:r>
          </w:p>
        </w:tc>
      </w:tr>
      <w:tr w:rsidR="00E6060C" w:rsidRPr="00E6060C" w14:paraId="4F1C6DF1" w14:textId="77777777" w:rsidTr="00E6060C">
        <w:tc>
          <w:tcPr>
            <w:tcW w:w="14021" w:type="dxa"/>
            <w:gridSpan w:val="7"/>
            <w:tcBorders>
              <w:top w:val="single" w:sz="4" w:space="0" w:color="auto"/>
              <w:bottom w:val="single" w:sz="4" w:space="0" w:color="auto"/>
            </w:tcBorders>
          </w:tcPr>
          <w:p w14:paraId="313B6848" w14:textId="77777777" w:rsidR="00E6060C" w:rsidRPr="00E6060C" w:rsidRDefault="00E6060C" w:rsidP="00E6060C">
            <w:pPr>
              <w:rPr>
                <w:b/>
                <w:sz w:val="28"/>
                <w:szCs w:val="28"/>
              </w:rPr>
            </w:pPr>
            <w:r w:rsidRPr="00E6060C">
              <w:rPr>
                <w:b/>
                <w:sz w:val="28"/>
                <w:szCs w:val="28"/>
              </w:rPr>
              <w:t>LEADERSHIP TRAINING INTERVENTIONS</w:t>
            </w:r>
          </w:p>
        </w:tc>
      </w:tr>
      <w:tr w:rsidR="00E6060C" w:rsidRPr="00E6060C" w14:paraId="30B9FDCA" w14:textId="77777777" w:rsidTr="00E6060C">
        <w:trPr>
          <w:gridAfter w:val="1"/>
          <w:wAfter w:w="16" w:type="dxa"/>
        </w:trPr>
        <w:tc>
          <w:tcPr>
            <w:tcW w:w="567" w:type="dxa"/>
          </w:tcPr>
          <w:p w14:paraId="10B2A3F3" w14:textId="77777777" w:rsidR="00E6060C" w:rsidRPr="00E6060C" w:rsidRDefault="00E6060C" w:rsidP="00E6060C">
            <w:pPr>
              <w:contextualSpacing/>
            </w:pPr>
            <w:r w:rsidRPr="00E6060C">
              <w:t>19</w:t>
            </w:r>
          </w:p>
        </w:tc>
        <w:tc>
          <w:tcPr>
            <w:tcW w:w="1418" w:type="dxa"/>
          </w:tcPr>
          <w:p w14:paraId="30485C3F" w14:textId="7FFE6DD0" w:rsidR="00E6060C" w:rsidRPr="00E6060C" w:rsidRDefault="00276FB0" w:rsidP="005726FB">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Angelo </w:t>
            </w:r>
            <w:r w:rsidR="005726FB">
              <w:rPr>
                <w:rFonts w:ascii="Calibri" w:hAnsi="Calibri"/>
                <w:color w:val="000000"/>
              </w:rPr>
              <w:t>&amp; Chambel</w:t>
            </w:r>
            <w:r w:rsidR="00E6060C" w:rsidRPr="00E6060C">
              <w:rPr>
                <w:rFonts w:ascii="Calibri" w:hAnsi="Calibri"/>
                <w:color w:val="000000"/>
              </w:rPr>
              <w:t xml:space="preserve">, 2013 </w:t>
            </w:r>
          </w:p>
        </w:tc>
        <w:tc>
          <w:tcPr>
            <w:tcW w:w="2268" w:type="dxa"/>
          </w:tcPr>
          <w:p w14:paraId="6307B4DA" w14:textId="77777777" w:rsidR="00E6060C" w:rsidRPr="00E6060C" w:rsidRDefault="00E6060C" w:rsidP="00E6060C">
            <w:pPr>
              <w:contextualSpacing/>
            </w:pPr>
            <w:r w:rsidRPr="00E6060C">
              <w:t>Not discussed</w:t>
            </w:r>
          </w:p>
        </w:tc>
        <w:tc>
          <w:tcPr>
            <w:tcW w:w="2268" w:type="dxa"/>
          </w:tcPr>
          <w:p w14:paraId="39B1F27A" w14:textId="77777777" w:rsidR="00E6060C" w:rsidRPr="00E6060C" w:rsidRDefault="00E6060C" w:rsidP="00E6060C">
            <w:pPr>
              <w:contextualSpacing/>
            </w:pPr>
            <w:r w:rsidRPr="00E6060C">
              <w:t>Not discussed</w:t>
            </w:r>
          </w:p>
        </w:tc>
        <w:tc>
          <w:tcPr>
            <w:tcW w:w="3372" w:type="dxa"/>
          </w:tcPr>
          <w:p w14:paraId="7AAFFFA5" w14:textId="77777777" w:rsidR="00E6060C" w:rsidRPr="00E6060C" w:rsidRDefault="00E6060C" w:rsidP="00E6060C">
            <w:pPr>
              <w:contextualSpacing/>
            </w:pPr>
            <w:r w:rsidRPr="00E6060C">
              <w:t>-</w:t>
            </w:r>
          </w:p>
        </w:tc>
        <w:tc>
          <w:tcPr>
            <w:tcW w:w="4112" w:type="dxa"/>
          </w:tcPr>
          <w:p w14:paraId="4CEF482A" w14:textId="77777777" w:rsidR="00E6060C" w:rsidRPr="00E6060C" w:rsidRDefault="00E6060C" w:rsidP="00F15DDF">
            <w:pPr>
              <w:numPr>
                <w:ilvl w:val="0"/>
                <w:numId w:val="77"/>
              </w:numPr>
              <w:ind w:left="175" w:hanging="175"/>
              <w:contextualSpacing/>
            </w:pPr>
            <w:r w:rsidRPr="00E6060C">
              <w:t>Small sample size</w:t>
            </w:r>
          </w:p>
          <w:p w14:paraId="12B04A67" w14:textId="77777777" w:rsidR="00E6060C" w:rsidRPr="00E6060C" w:rsidRDefault="00E6060C" w:rsidP="00F15DDF">
            <w:pPr>
              <w:numPr>
                <w:ilvl w:val="0"/>
                <w:numId w:val="77"/>
              </w:numPr>
              <w:ind w:left="175" w:hanging="175"/>
              <w:contextualSpacing/>
            </w:pPr>
            <w:r w:rsidRPr="00E6060C">
              <w:t xml:space="preserve">Lack of physiological, objective measures of stress </w:t>
            </w:r>
          </w:p>
          <w:p w14:paraId="2BECA671" w14:textId="0F72A56C" w:rsidR="00E6060C" w:rsidRPr="00E6060C" w:rsidRDefault="00E6060C" w:rsidP="00F15DDF">
            <w:pPr>
              <w:numPr>
                <w:ilvl w:val="0"/>
                <w:numId w:val="77"/>
              </w:numPr>
              <w:ind w:left="175" w:hanging="175"/>
              <w:contextualSpacing/>
            </w:pPr>
            <w:r w:rsidRPr="00E6060C">
              <w:t>Lack of a 3</w:t>
            </w:r>
            <w:r w:rsidRPr="00E6060C">
              <w:rPr>
                <w:vertAlign w:val="superscript"/>
              </w:rPr>
              <w:t>rd</w:t>
            </w:r>
            <w:r w:rsidRPr="00E6060C">
              <w:t>,</w:t>
            </w:r>
            <w:r w:rsidRPr="00E6060C">
              <w:rPr>
                <w:vertAlign w:val="superscript"/>
              </w:rPr>
              <w:t xml:space="preserve"> </w:t>
            </w:r>
            <w:r w:rsidRPr="00E6060C">
              <w:t>follow up time point</w:t>
            </w:r>
          </w:p>
        </w:tc>
      </w:tr>
      <w:tr w:rsidR="00E6060C" w:rsidRPr="00E6060C" w14:paraId="02C120E0" w14:textId="77777777" w:rsidTr="00E6060C">
        <w:trPr>
          <w:gridAfter w:val="1"/>
          <w:wAfter w:w="16" w:type="dxa"/>
        </w:trPr>
        <w:tc>
          <w:tcPr>
            <w:tcW w:w="567" w:type="dxa"/>
          </w:tcPr>
          <w:p w14:paraId="6A4A05D2" w14:textId="77777777" w:rsidR="00E6060C" w:rsidRPr="00E6060C" w:rsidRDefault="00E6060C" w:rsidP="00E6060C">
            <w:pPr>
              <w:contextualSpacing/>
            </w:pPr>
            <w:r w:rsidRPr="00E6060C">
              <w:lastRenderedPageBreak/>
              <w:t>20</w:t>
            </w:r>
          </w:p>
        </w:tc>
        <w:tc>
          <w:tcPr>
            <w:tcW w:w="1418" w:type="dxa"/>
          </w:tcPr>
          <w:p w14:paraId="34CE4885" w14:textId="4C145C22" w:rsidR="00E6060C" w:rsidRPr="00E6060C" w:rsidRDefault="00276FB0" w:rsidP="00E6060C">
            <w:pPr>
              <w:contextualSpacing/>
              <w:rPr>
                <w:rFonts w:ascii="Calibri" w:hAnsi="Calibri"/>
                <w:color w:val="000000"/>
              </w:rPr>
            </w:pPr>
            <w:r>
              <w:rPr>
                <w:rFonts w:ascii="Calibri" w:hAnsi="Calibri"/>
                <w:color w:val="000000"/>
              </w:rPr>
              <w:t>*</w:t>
            </w:r>
            <w:r w:rsidR="00A54063">
              <w:rPr>
                <w:rFonts w:ascii="Calibri" w:hAnsi="Calibri"/>
                <w:color w:val="000000"/>
              </w:rPr>
              <w:t>Biggs et al., 2014</w:t>
            </w:r>
            <w:r w:rsidR="00E6060C" w:rsidRPr="00E6060C">
              <w:rPr>
                <w:rFonts w:ascii="Calibri" w:hAnsi="Calibri"/>
                <w:color w:val="000000"/>
              </w:rPr>
              <w:t xml:space="preserve"> </w:t>
            </w:r>
          </w:p>
        </w:tc>
        <w:tc>
          <w:tcPr>
            <w:tcW w:w="2268" w:type="dxa"/>
          </w:tcPr>
          <w:p w14:paraId="68C0DA20" w14:textId="77777777" w:rsidR="00E6060C" w:rsidRPr="00E6060C" w:rsidRDefault="00E6060C" w:rsidP="00E6060C">
            <w:r w:rsidRPr="00E6060C">
              <w:t>Not discussed</w:t>
            </w:r>
          </w:p>
        </w:tc>
        <w:tc>
          <w:tcPr>
            <w:tcW w:w="2268" w:type="dxa"/>
          </w:tcPr>
          <w:p w14:paraId="497CE63A" w14:textId="77777777" w:rsidR="00E6060C" w:rsidRPr="00E6060C" w:rsidRDefault="00E6060C" w:rsidP="00E6060C">
            <w:r w:rsidRPr="00E6060C">
              <w:t>Not discussed</w:t>
            </w:r>
          </w:p>
        </w:tc>
        <w:tc>
          <w:tcPr>
            <w:tcW w:w="3372" w:type="dxa"/>
          </w:tcPr>
          <w:p w14:paraId="5799086D" w14:textId="77777777" w:rsidR="00E6060C" w:rsidRPr="00E6060C" w:rsidRDefault="00E6060C" w:rsidP="00E6060C">
            <w:r w:rsidRPr="00E6060C">
              <w:t>-</w:t>
            </w:r>
          </w:p>
        </w:tc>
        <w:tc>
          <w:tcPr>
            <w:tcW w:w="4112" w:type="dxa"/>
          </w:tcPr>
          <w:p w14:paraId="24E510C5" w14:textId="77777777" w:rsidR="00E6060C" w:rsidRPr="00E6060C" w:rsidRDefault="00E6060C" w:rsidP="00E6060C">
            <w:r w:rsidRPr="00E6060C">
              <w:t>-</w:t>
            </w:r>
          </w:p>
        </w:tc>
      </w:tr>
      <w:tr w:rsidR="00E6060C" w:rsidRPr="00E6060C" w14:paraId="6E0EC038" w14:textId="77777777" w:rsidTr="00E6060C">
        <w:trPr>
          <w:gridAfter w:val="1"/>
          <w:wAfter w:w="16" w:type="dxa"/>
        </w:trPr>
        <w:tc>
          <w:tcPr>
            <w:tcW w:w="567" w:type="dxa"/>
          </w:tcPr>
          <w:p w14:paraId="4616D38B" w14:textId="77777777" w:rsidR="00E6060C" w:rsidRPr="00E6060C" w:rsidRDefault="00E6060C" w:rsidP="00E6060C">
            <w:pPr>
              <w:contextualSpacing/>
            </w:pPr>
            <w:r w:rsidRPr="00E6060C">
              <w:t>21</w:t>
            </w:r>
          </w:p>
        </w:tc>
        <w:tc>
          <w:tcPr>
            <w:tcW w:w="1418" w:type="dxa"/>
          </w:tcPr>
          <w:p w14:paraId="74BE4EBE" w14:textId="5375EDD3"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Kmiec, 2010 </w:t>
            </w:r>
          </w:p>
        </w:tc>
        <w:tc>
          <w:tcPr>
            <w:tcW w:w="2268" w:type="dxa"/>
          </w:tcPr>
          <w:p w14:paraId="43DFB84C" w14:textId="77777777" w:rsidR="00E6060C" w:rsidRPr="00E6060C" w:rsidRDefault="00E6060C" w:rsidP="00E6060C">
            <w:pPr>
              <w:contextualSpacing/>
            </w:pPr>
            <w:r w:rsidRPr="00E6060C">
              <w:t>Not discussed</w:t>
            </w:r>
          </w:p>
        </w:tc>
        <w:tc>
          <w:tcPr>
            <w:tcW w:w="2268" w:type="dxa"/>
          </w:tcPr>
          <w:p w14:paraId="78AE1D63" w14:textId="77777777" w:rsidR="00E6060C" w:rsidRPr="00E6060C" w:rsidRDefault="00E6060C" w:rsidP="00E6060C">
            <w:pPr>
              <w:contextualSpacing/>
            </w:pPr>
            <w:r w:rsidRPr="00E6060C">
              <w:t>Not discussed</w:t>
            </w:r>
          </w:p>
        </w:tc>
        <w:tc>
          <w:tcPr>
            <w:tcW w:w="3372" w:type="dxa"/>
          </w:tcPr>
          <w:p w14:paraId="4AAA60BE" w14:textId="77777777" w:rsidR="00E6060C" w:rsidRPr="00E6060C" w:rsidRDefault="00E6060C" w:rsidP="00E6060C">
            <w:pPr>
              <w:contextualSpacing/>
            </w:pPr>
            <w:r w:rsidRPr="00E6060C">
              <w:t>-</w:t>
            </w:r>
          </w:p>
        </w:tc>
        <w:tc>
          <w:tcPr>
            <w:tcW w:w="4112" w:type="dxa"/>
          </w:tcPr>
          <w:p w14:paraId="054E2395" w14:textId="77777777" w:rsidR="00E6060C" w:rsidRPr="00E6060C" w:rsidRDefault="00E6060C" w:rsidP="00E6060C">
            <w:pPr>
              <w:rPr>
                <w:rFonts w:ascii="Calibri" w:hAnsi="Calibri"/>
                <w:color w:val="000000"/>
              </w:rPr>
            </w:pPr>
            <w:r w:rsidRPr="00E6060C">
              <w:rPr>
                <w:rFonts w:ascii="Calibri" w:hAnsi="Calibri"/>
                <w:color w:val="000000"/>
              </w:rPr>
              <w:t xml:space="preserve">First 30 days of intervention: </w:t>
            </w:r>
          </w:p>
          <w:p w14:paraId="21B7B457"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 xml:space="preserve">Pay and technical certification restructuring </w:t>
            </w:r>
          </w:p>
          <w:p w14:paraId="1F8E43B3" w14:textId="77777777" w:rsidR="00E6060C" w:rsidRPr="00E6060C" w:rsidRDefault="00E6060C" w:rsidP="00E6060C">
            <w:pPr>
              <w:rPr>
                <w:rFonts w:ascii="Calibri" w:hAnsi="Calibri"/>
                <w:color w:val="000000"/>
              </w:rPr>
            </w:pPr>
            <w:r w:rsidRPr="00E6060C">
              <w:rPr>
                <w:rFonts w:ascii="Calibri" w:hAnsi="Calibri"/>
                <w:color w:val="000000"/>
              </w:rPr>
              <w:t>Last 30 days of 90 day intervention:</w:t>
            </w:r>
          </w:p>
          <w:p w14:paraId="2FC7F88E" w14:textId="77777777" w:rsidR="00E6060C" w:rsidRPr="00E6060C" w:rsidRDefault="00E6060C" w:rsidP="00F15DDF">
            <w:pPr>
              <w:numPr>
                <w:ilvl w:val="0"/>
                <w:numId w:val="78"/>
              </w:numPr>
              <w:ind w:left="175" w:hanging="175"/>
              <w:contextualSpacing/>
              <w:rPr>
                <w:rFonts w:ascii="Calibri" w:hAnsi="Calibri"/>
                <w:color w:val="000000"/>
              </w:rPr>
            </w:pPr>
            <w:r w:rsidRPr="00E6060C">
              <w:rPr>
                <w:rFonts w:ascii="Calibri" w:hAnsi="Calibri"/>
                <w:color w:val="000000"/>
              </w:rPr>
              <w:t>plant fire occurred</w:t>
            </w:r>
          </w:p>
          <w:p w14:paraId="259720DA"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employees were working excessive overtime hours</w:t>
            </w:r>
          </w:p>
          <w:p w14:paraId="31D406B1"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significant increase in physical labour</w:t>
            </w:r>
          </w:p>
          <w:p w14:paraId="2E117052" w14:textId="77777777" w:rsidR="00E6060C" w:rsidRPr="00E6060C" w:rsidRDefault="00E6060C" w:rsidP="00F15DDF">
            <w:pPr>
              <w:numPr>
                <w:ilvl w:val="0"/>
                <w:numId w:val="37"/>
              </w:numPr>
              <w:ind w:left="209" w:hanging="209"/>
              <w:contextualSpacing/>
              <w:rPr>
                <w:rFonts w:ascii="Calibri" w:hAnsi="Calibri"/>
                <w:color w:val="000000"/>
              </w:rPr>
            </w:pPr>
            <w:r w:rsidRPr="00E6060C">
              <w:rPr>
                <w:rFonts w:ascii="Calibri" w:hAnsi="Calibri"/>
                <w:color w:val="000000"/>
              </w:rPr>
              <w:t>increase in motivational and individual performance problems</w:t>
            </w:r>
          </w:p>
        </w:tc>
      </w:tr>
      <w:tr w:rsidR="00E6060C" w:rsidRPr="00E6060C" w14:paraId="68CDEF1B" w14:textId="77777777" w:rsidTr="00E6060C">
        <w:trPr>
          <w:gridAfter w:val="1"/>
          <w:wAfter w:w="16" w:type="dxa"/>
        </w:trPr>
        <w:tc>
          <w:tcPr>
            <w:tcW w:w="567" w:type="dxa"/>
          </w:tcPr>
          <w:p w14:paraId="46F11AA8" w14:textId="77777777" w:rsidR="00E6060C" w:rsidRPr="00E6060C" w:rsidRDefault="00E6060C" w:rsidP="00E6060C">
            <w:pPr>
              <w:contextualSpacing/>
            </w:pPr>
            <w:r w:rsidRPr="00E6060C">
              <w:t>22</w:t>
            </w:r>
          </w:p>
        </w:tc>
        <w:tc>
          <w:tcPr>
            <w:tcW w:w="1418" w:type="dxa"/>
          </w:tcPr>
          <w:p w14:paraId="2A9871AE" w14:textId="5E2E5DFE" w:rsidR="00E6060C" w:rsidRPr="00E6060C" w:rsidRDefault="00276FB0" w:rsidP="00E6060C">
            <w:pPr>
              <w:contextualSpacing/>
              <w:rPr>
                <w:rFonts w:ascii="Calibri" w:hAnsi="Calibri"/>
              </w:rPr>
            </w:pPr>
            <w:r>
              <w:rPr>
                <w:rFonts w:ascii="Calibri" w:hAnsi="Calibri"/>
              </w:rPr>
              <w:t>*</w:t>
            </w:r>
            <w:r w:rsidR="00E6060C" w:rsidRPr="00E6060C">
              <w:rPr>
                <w:rFonts w:ascii="Calibri" w:hAnsi="Calibri"/>
              </w:rPr>
              <w:t xml:space="preserve">Rigotti et al., 2014 </w:t>
            </w:r>
          </w:p>
        </w:tc>
        <w:tc>
          <w:tcPr>
            <w:tcW w:w="2268" w:type="dxa"/>
          </w:tcPr>
          <w:p w14:paraId="354DE11A" w14:textId="77777777" w:rsidR="00E6060C" w:rsidRPr="00E6060C" w:rsidRDefault="00E6060C" w:rsidP="00F15DDF">
            <w:pPr>
              <w:numPr>
                <w:ilvl w:val="0"/>
                <w:numId w:val="81"/>
              </w:numPr>
              <w:ind w:left="188" w:hanging="188"/>
              <w:contextualSpacing/>
            </w:pPr>
            <w:r w:rsidRPr="00E6060C">
              <w:t>Lack of internet and inability to reach phones led to difficulty communicating with some teams</w:t>
            </w:r>
          </w:p>
          <w:p w14:paraId="07C16177" w14:textId="77777777" w:rsidR="00E6060C" w:rsidRPr="00E6060C" w:rsidRDefault="00E6060C" w:rsidP="00F15DDF">
            <w:pPr>
              <w:numPr>
                <w:ilvl w:val="0"/>
                <w:numId w:val="81"/>
              </w:numPr>
              <w:ind w:left="188" w:hanging="188"/>
              <w:contextualSpacing/>
            </w:pPr>
            <w:r w:rsidRPr="00E6060C">
              <w:t>Heavy employee workloads made it difficult to schedule workshops</w:t>
            </w:r>
          </w:p>
          <w:p w14:paraId="20C4BC7E" w14:textId="77777777" w:rsidR="00E6060C" w:rsidRPr="00E6060C" w:rsidRDefault="00E6060C" w:rsidP="00F15DDF">
            <w:pPr>
              <w:numPr>
                <w:ilvl w:val="0"/>
                <w:numId w:val="81"/>
              </w:numPr>
              <w:ind w:left="188" w:hanging="188"/>
              <w:contextualSpacing/>
            </w:pPr>
            <w:r w:rsidRPr="00E6060C">
              <w:t xml:space="preserve">Commitment varied depending on periods of restructuring and </w:t>
            </w:r>
            <w:r w:rsidRPr="00E6060C">
              <w:lastRenderedPageBreak/>
              <w:t>increased workload and time pressures</w:t>
            </w:r>
          </w:p>
          <w:p w14:paraId="367FF255" w14:textId="77777777" w:rsidR="00E6060C" w:rsidRPr="00E6060C" w:rsidRDefault="00E6060C" w:rsidP="00F15DDF">
            <w:pPr>
              <w:numPr>
                <w:ilvl w:val="0"/>
                <w:numId w:val="81"/>
              </w:numPr>
              <w:ind w:left="188" w:hanging="188"/>
              <w:contextualSpacing/>
            </w:pPr>
            <w:r w:rsidRPr="00E6060C">
              <w:t>Study teams came from different cities making it difficult to schedule workshops, and interventions were tailored to individual teams</w:t>
            </w:r>
          </w:p>
          <w:p w14:paraId="6580886F" w14:textId="77777777" w:rsidR="00E6060C" w:rsidRPr="00E6060C" w:rsidRDefault="00E6060C" w:rsidP="00E6060C"/>
        </w:tc>
        <w:tc>
          <w:tcPr>
            <w:tcW w:w="2268" w:type="dxa"/>
          </w:tcPr>
          <w:p w14:paraId="0EFEF733" w14:textId="77777777" w:rsidR="00E6060C" w:rsidRPr="00E6060C" w:rsidRDefault="00E6060C" w:rsidP="00F15DDF">
            <w:pPr>
              <w:numPr>
                <w:ilvl w:val="0"/>
                <w:numId w:val="81"/>
              </w:numPr>
              <w:ind w:left="188" w:hanging="188"/>
              <w:contextualSpacing/>
            </w:pPr>
            <w:r w:rsidRPr="00E6060C">
              <w:lastRenderedPageBreak/>
              <w:t>Detailed breakdown of how many participated in each aspect of the intervention</w:t>
            </w:r>
          </w:p>
          <w:p w14:paraId="665E1014" w14:textId="77777777" w:rsidR="00E6060C" w:rsidRPr="00E6060C" w:rsidRDefault="00E6060C" w:rsidP="00F15DDF">
            <w:pPr>
              <w:numPr>
                <w:ilvl w:val="0"/>
                <w:numId w:val="81"/>
              </w:numPr>
              <w:ind w:left="188" w:hanging="188"/>
              <w:contextualSpacing/>
            </w:pPr>
            <w:r w:rsidRPr="00E6060C">
              <w:t>Every leader participated in at least one of the leader workshops and most participated in coaching sessions</w:t>
            </w:r>
          </w:p>
          <w:p w14:paraId="419BC414" w14:textId="77777777" w:rsidR="00E6060C" w:rsidRPr="00E6060C" w:rsidRDefault="00E6060C" w:rsidP="00F15DDF">
            <w:pPr>
              <w:numPr>
                <w:ilvl w:val="0"/>
                <w:numId w:val="81"/>
              </w:numPr>
              <w:ind w:left="188" w:hanging="188"/>
              <w:contextualSpacing/>
            </w:pPr>
            <w:r w:rsidRPr="00E6060C">
              <w:t xml:space="preserve">The number of teams which took part in each aspect </w:t>
            </w:r>
            <w:r w:rsidRPr="00E6060C">
              <w:lastRenderedPageBreak/>
              <w:t>of the intervention ranged from approximately 66% (for leader workshops and coaching sessions) to 100% (for team workshops, leader workshop III, &amp; the observation component)</w:t>
            </w:r>
          </w:p>
          <w:p w14:paraId="0FBE13ED" w14:textId="77777777" w:rsidR="00E6060C" w:rsidRPr="00E6060C" w:rsidRDefault="00E6060C" w:rsidP="00F15DDF">
            <w:pPr>
              <w:numPr>
                <w:ilvl w:val="0"/>
                <w:numId w:val="81"/>
              </w:numPr>
              <w:ind w:left="188" w:hanging="188"/>
              <w:contextualSpacing/>
            </w:pPr>
            <w:r w:rsidRPr="00E6060C">
              <w:t>Members of 3 intervention teams did not participate at all</w:t>
            </w:r>
          </w:p>
          <w:p w14:paraId="0A0F2AB7" w14:textId="77777777" w:rsidR="00E6060C" w:rsidRPr="00E6060C" w:rsidRDefault="00E6060C" w:rsidP="00F15DDF">
            <w:pPr>
              <w:numPr>
                <w:ilvl w:val="0"/>
                <w:numId w:val="81"/>
              </w:numPr>
              <w:ind w:left="188" w:hanging="188"/>
              <w:contextualSpacing/>
            </w:pPr>
            <w:r w:rsidRPr="00E6060C">
              <w:t>One team reported 8 members taking part</w:t>
            </w:r>
          </w:p>
          <w:p w14:paraId="02E66A21" w14:textId="77777777" w:rsidR="00E6060C" w:rsidRPr="00E6060C" w:rsidRDefault="00E6060C" w:rsidP="00F15DDF">
            <w:pPr>
              <w:numPr>
                <w:ilvl w:val="0"/>
                <w:numId w:val="81"/>
              </w:numPr>
              <w:ind w:left="188" w:hanging="188"/>
              <w:contextualSpacing/>
            </w:pPr>
            <w:r w:rsidRPr="00E6060C">
              <w:t xml:space="preserve">For leaders, dropout was highest for the diary writing component </w:t>
            </w:r>
          </w:p>
          <w:p w14:paraId="5C821794" w14:textId="77777777" w:rsidR="00E6060C" w:rsidRPr="00E6060C" w:rsidRDefault="00E6060C" w:rsidP="00F15DDF">
            <w:pPr>
              <w:numPr>
                <w:ilvl w:val="0"/>
                <w:numId w:val="81"/>
              </w:numPr>
              <w:ind w:left="188" w:hanging="188"/>
              <w:contextualSpacing/>
            </w:pPr>
            <w:r w:rsidRPr="00E6060C">
              <w:t>Variation between leaders regarding progress between workshops</w:t>
            </w:r>
          </w:p>
        </w:tc>
        <w:tc>
          <w:tcPr>
            <w:tcW w:w="3372" w:type="dxa"/>
          </w:tcPr>
          <w:p w14:paraId="05CF6D53" w14:textId="77777777" w:rsidR="00E6060C" w:rsidRPr="00E6060C" w:rsidRDefault="00E6060C" w:rsidP="00F15DDF">
            <w:pPr>
              <w:numPr>
                <w:ilvl w:val="0"/>
                <w:numId w:val="82"/>
              </w:numPr>
              <w:ind w:left="188" w:hanging="188"/>
              <w:contextualSpacing/>
            </w:pPr>
            <w:r w:rsidRPr="00E6060C">
              <w:lastRenderedPageBreak/>
              <w:t>Authors checked and confirmed that participants had not changed roles over the course of the intervention</w:t>
            </w:r>
          </w:p>
          <w:p w14:paraId="01A1CA7E" w14:textId="77777777" w:rsidR="00E6060C" w:rsidRPr="00E6060C" w:rsidRDefault="00E6060C" w:rsidP="00F15DDF">
            <w:pPr>
              <w:numPr>
                <w:ilvl w:val="0"/>
                <w:numId w:val="82"/>
              </w:numPr>
              <w:ind w:left="188" w:hanging="188"/>
              <w:contextualSpacing/>
            </w:pPr>
            <w:r w:rsidRPr="00E6060C">
              <w:t xml:space="preserve">Detailed evaluation surveys were conducted </w:t>
            </w:r>
          </w:p>
          <w:p w14:paraId="36E2063C" w14:textId="77777777" w:rsidR="00E6060C" w:rsidRPr="00E6060C" w:rsidRDefault="00E6060C" w:rsidP="00F15DDF">
            <w:pPr>
              <w:numPr>
                <w:ilvl w:val="0"/>
                <w:numId w:val="82"/>
              </w:numPr>
              <w:ind w:left="188" w:hanging="188"/>
              <w:contextualSpacing/>
            </w:pPr>
            <w:r w:rsidRPr="00E6060C">
              <w:t>General satisfaction with workshops was indicated, and this was not dependent on which trainer conducted the workshop</w:t>
            </w:r>
          </w:p>
          <w:p w14:paraId="18160A10" w14:textId="77777777" w:rsidR="00E6060C" w:rsidRPr="00E6060C" w:rsidRDefault="00E6060C" w:rsidP="00E6060C">
            <w:r w:rsidRPr="00E6060C">
              <w:t>Findings from post intervention interviews with leaders of both intervention and control groups:</w:t>
            </w:r>
          </w:p>
          <w:p w14:paraId="208CB3B9" w14:textId="77777777" w:rsidR="00E6060C" w:rsidRPr="00E6060C" w:rsidRDefault="00E6060C" w:rsidP="00F15DDF">
            <w:pPr>
              <w:numPr>
                <w:ilvl w:val="0"/>
                <w:numId w:val="82"/>
              </w:numPr>
              <w:ind w:left="188" w:hanging="188"/>
              <w:contextualSpacing/>
            </w:pPr>
            <w:r w:rsidRPr="00E6060C">
              <w:lastRenderedPageBreak/>
              <w:t>Leaders generally reported that the intervention had met its aim to change ‘leaders’ behaviour into a more rewarding and health supporting form’ (pg. 212)</w:t>
            </w:r>
          </w:p>
          <w:p w14:paraId="50D7849E" w14:textId="77777777" w:rsidR="00E6060C" w:rsidRPr="00E6060C" w:rsidRDefault="00E6060C" w:rsidP="00F15DDF">
            <w:pPr>
              <w:numPr>
                <w:ilvl w:val="0"/>
                <w:numId w:val="82"/>
              </w:numPr>
              <w:ind w:left="188" w:hanging="188"/>
              <w:contextualSpacing/>
            </w:pPr>
            <w:r w:rsidRPr="00E6060C">
              <w:t>Leaders least appreciated diary writing</w:t>
            </w:r>
          </w:p>
          <w:p w14:paraId="77077504" w14:textId="77777777" w:rsidR="00E6060C" w:rsidRPr="00E6060C" w:rsidRDefault="00E6060C" w:rsidP="00F15DDF">
            <w:pPr>
              <w:numPr>
                <w:ilvl w:val="0"/>
                <w:numId w:val="82"/>
              </w:numPr>
              <w:ind w:left="188" w:hanging="188"/>
              <w:contextualSpacing/>
            </w:pPr>
            <w:r w:rsidRPr="00E6060C">
              <w:t xml:space="preserve">Leaders’ positive evaluations of intervention goals were related to perceived quality and relevance of the intervention, and the engagement of leaders and their team. </w:t>
            </w:r>
          </w:p>
          <w:p w14:paraId="74210F90" w14:textId="77777777" w:rsidR="00E6060C" w:rsidRPr="00E6060C" w:rsidRDefault="00E6060C" w:rsidP="00F15DDF">
            <w:pPr>
              <w:numPr>
                <w:ilvl w:val="0"/>
                <w:numId w:val="82"/>
              </w:numPr>
              <w:ind w:left="188" w:hanging="188"/>
              <w:contextualSpacing/>
            </w:pPr>
            <w:r w:rsidRPr="00E6060C">
              <w:t>70% of leaders reported changes in work tasks for the team or themselves, during the intervention period</w:t>
            </w:r>
          </w:p>
          <w:p w14:paraId="335F03EB" w14:textId="77777777" w:rsidR="00E6060C" w:rsidRPr="00E6060C" w:rsidRDefault="00E6060C" w:rsidP="00F15DDF">
            <w:pPr>
              <w:numPr>
                <w:ilvl w:val="0"/>
                <w:numId w:val="82"/>
              </w:numPr>
              <w:ind w:left="188" w:hanging="188"/>
              <w:contextualSpacing/>
            </w:pPr>
            <w:r w:rsidRPr="00E6060C">
              <w:t>4 of 10 leaders named coaching as the most positive aspect (this was voluntary) &amp; 3 named education on work, leadership and health</w:t>
            </w:r>
          </w:p>
        </w:tc>
        <w:tc>
          <w:tcPr>
            <w:tcW w:w="4112" w:type="dxa"/>
          </w:tcPr>
          <w:p w14:paraId="5F262AE8" w14:textId="77777777" w:rsidR="00E6060C" w:rsidRPr="00E6060C" w:rsidRDefault="00E6060C" w:rsidP="00F15DDF">
            <w:pPr>
              <w:numPr>
                <w:ilvl w:val="0"/>
                <w:numId w:val="82"/>
              </w:numPr>
              <w:ind w:left="188" w:hanging="188"/>
              <w:contextualSpacing/>
            </w:pPr>
            <w:r w:rsidRPr="00E6060C">
              <w:lastRenderedPageBreak/>
              <w:t>Additional, concurrent projects occurred in 6 organisations (e.g. smoking prohibition, new holiday regulations and planning, downsizing, introduction of new IT systems)</w:t>
            </w:r>
          </w:p>
          <w:p w14:paraId="5648ECA2" w14:textId="77777777" w:rsidR="00E6060C" w:rsidRPr="00E6060C" w:rsidRDefault="00E6060C" w:rsidP="00F15DDF">
            <w:pPr>
              <w:numPr>
                <w:ilvl w:val="0"/>
                <w:numId w:val="82"/>
              </w:numPr>
              <w:ind w:left="188" w:hanging="188"/>
              <w:contextualSpacing/>
            </w:pPr>
            <w:r w:rsidRPr="00E6060C">
              <w:t>33% of leaders reported a lack of resources to fulfil tasks</w:t>
            </w:r>
          </w:p>
          <w:p w14:paraId="46AAE156" w14:textId="77777777" w:rsidR="00E6060C" w:rsidRPr="00E6060C" w:rsidRDefault="00E6060C" w:rsidP="00F15DDF">
            <w:pPr>
              <w:numPr>
                <w:ilvl w:val="0"/>
                <w:numId w:val="82"/>
              </w:numPr>
              <w:ind w:left="188" w:hanging="188"/>
              <w:contextualSpacing/>
            </w:pPr>
            <w:r w:rsidRPr="00E6060C">
              <w:t>54% reported ongoing construction work</w:t>
            </w:r>
          </w:p>
          <w:p w14:paraId="24937BF5" w14:textId="77777777" w:rsidR="00E6060C" w:rsidRPr="00E6060C" w:rsidRDefault="00E6060C" w:rsidP="00F15DDF">
            <w:pPr>
              <w:numPr>
                <w:ilvl w:val="0"/>
                <w:numId w:val="82"/>
              </w:numPr>
              <w:ind w:left="188" w:hanging="188"/>
              <w:contextualSpacing/>
            </w:pPr>
            <w:r w:rsidRPr="00E6060C">
              <w:t>59% moved during the intervention period</w:t>
            </w:r>
          </w:p>
          <w:p w14:paraId="49072611" w14:textId="77777777" w:rsidR="00E6060C" w:rsidRPr="00E6060C" w:rsidRDefault="00E6060C" w:rsidP="00F15DDF">
            <w:pPr>
              <w:numPr>
                <w:ilvl w:val="0"/>
                <w:numId w:val="82"/>
              </w:numPr>
              <w:ind w:left="188" w:hanging="188"/>
              <w:contextualSpacing/>
            </w:pPr>
            <w:r w:rsidRPr="00E6060C">
              <w:t>All teams, except one, reported team changes, which were mostly enlargements</w:t>
            </w:r>
          </w:p>
          <w:p w14:paraId="324C3FA1" w14:textId="77777777" w:rsidR="00E6060C" w:rsidRPr="00E6060C" w:rsidRDefault="00E6060C" w:rsidP="00F15DDF">
            <w:pPr>
              <w:numPr>
                <w:ilvl w:val="0"/>
                <w:numId w:val="82"/>
              </w:numPr>
              <w:ind w:left="188" w:hanging="188"/>
              <w:contextualSpacing/>
            </w:pPr>
            <w:r w:rsidRPr="00E6060C">
              <w:lastRenderedPageBreak/>
              <w:t>In 6 intervention and 4 control teams other health promoting activities were ongoing</w:t>
            </w:r>
          </w:p>
          <w:p w14:paraId="3231DB15" w14:textId="77777777" w:rsidR="00E6060C" w:rsidRPr="00E6060C" w:rsidRDefault="00E6060C" w:rsidP="00F15DDF">
            <w:pPr>
              <w:numPr>
                <w:ilvl w:val="0"/>
                <w:numId w:val="82"/>
              </w:numPr>
              <w:ind w:left="188" w:hanging="188"/>
              <w:contextualSpacing/>
            </w:pPr>
            <w:r w:rsidRPr="00E6060C">
              <w:t>Leaders named hindrances to intervention progress as being time &amp; organisational restructuring</w:t>
            </w:r>
          </w:p>
          <w:p w14:paraId="3DAE7511" w14:textId="77777777" w:rsidR="00E6060C" w:rsidRPr="00E6060C" w:rsidRDefault="00E6060C" w:rsidP="00E6060C">
            <w:pPr>
              <w:spacing w:after="200" w:line="276" w:lineRule="auto"/>
              <w:ind w:left="188"/>
              <w:contextualSpacing/>
            </w:pPr>
          </w:p>
        </w:tc>
      </w:tr>
      <w:tr w:rsidR="00E6060C" w:rsidRPr="00E6060C" w14:paraId="59AB15AF" w14:textId="77777777" w:rsidTr="00E6060C">
        <w:trPr>
          <w:gridAfter w:val="1"/>
          <w:wAfter w:w="16" w:type="dxa"/>
        </w:trPr>
        <w:tc>
          <w:tcPr>
            <w:tcW w:w="567" w:type="dxa"/>
          </w:tcPr>
          <w:p w14:paraId="3F5AC828" w14:textId="77777777" w:rsidR="00E6060C" w:rsidRPr="00E6060C" w:rsidRDefault="00E6060C" w:rsidP="00E6060C">
            <w:pPr>
              <w:contextualSpacing/>
            </w:pPr>
            <w:r w:rsidRPr="00E6060C">
              <w:lastRenderedPageBreak/>
              <w:t>23</w:t>
            </w:r>
          </w:p>
        </w:tc>
        <w:tc>
          <w:tcPr>
            <w:tcW w:w="1418" w:type="dxa"/>
          </w:tcPr>
          <w:p w14:paraId="18BD8F35" w14:textId="13D3C776" w:rsidR="00E6060C" w:rsidRPr="00E6060C" w:rsidRDefault="00276FB0" w:rsidP="00E6060C">
            <w:pPr>
              <w:contextualSpacing/>
              <w:rPr>
                <w:rFonts w:ascii="Calibri" w:hAnsi="Calibri"/>
              </w:rPr>
            </w:pPr>
            <w:r>
              <w:rPr>
                <w:rFonts w:ascii="Calibri" w:hAnsi="Calibri"/>
              </w:rPr>
              <w:t>*</w:t>
            </w:r>
            <w:r w:rsidR="00E6060C" w:rsidRPr="00E6060C">
              <w:rPr>
                <w:rFonts w:ascii="Calibri" w:hAnsi="Calibri"/>
              </w:rPr>
              <w:t>Rigotti et al., 2014</w:t>
            </w:r>
          </w:p>
        </w:tc>
        <w:tc>
          <w:tcPr>
            <w:tcW w:w="2268" w:type="dxa"/>
          </w:tcPr>
          <w:p w14:paraId="3B2BB494" w14:textId="77777777" w:rsidR="00E6060C" w:rsidRPr="00E6060C" w:rsidRDefault="00E6060C" w:rsidP="00F15DDF">
            <w:pPr>
              <w:numPr>
                <w:ilvl w:val="0"/>
                <w:numId w:val="82"/>
              </w:numPr>
              <w:ind w:left="188" w:hanging="188"/>
              <w:contextualSpacing/>
            </w:pPr>
            <w:r w:rsidRPr="00E6060C">
              <w:t>Less variation across teams in how the intervention was conducted than in Germany</w:t>
            </w:r>
          </w:p>
          <w:p w14:paraId="16BB60D1" w14:textId="77777777" w:rsidR="00E6060C" w:rsidRPr="00E6060C" w:rsidRDefault="00E6060C" w:rsidP="00E6060C"/>
        </w:tc>
        <w:tc>
          <w:tcPr>
            <w:tcW w:w="2268" w:type="dxa"/>
          </w:tcPr>
          <w:p w14:paraId="2D7DFD9B" w14:textId="77777777" w:rsidR="00E6060C" w:rsidRPr="00E6060C" w:rsidRDefault="00E6060C" w:rsidP="00F15DDF">
            <w:pPr>
              <w:numPr>
                <w:ilvl w:val="0"/>
                <w:numId w:val="82"/>
              </w:numPr>
              <w:ind w:left="188" w:hanging="188"/>
              <w:contextualSpacing/>
            </w:pPr>
            <w:r w:rsidRPr="00E6060C">
              <w:t>Detailed breakdown of how many participated in each aspect of the intervention</w:t>
            </w:r>
          </w:p>
          <w:p w14:paraId="5576E851" w14:textId="77777777" w:rsidR="00E6060C" w:rsidRPr="00E6060C" w:rsidRDefault="00E6060C" w:rsidP="00F15DDF">
            <w:pPr>
              <w:numPr>
                <w:ilvl w:val="0"/>
                <w:numId w:val="82"/>
              </w:numPr>
              <w:ind w:left="188" w:hanging="188"/>
              <w:contextualSpacing/>
            </w:pPr>
            <w:r w:rsidRPr="00E6060C">
              <w:t>Every leader participated in at least one of the leader workshops and most participated in coaching sessions</w:t>
            </w:r>
          </w:p>
          <w:p w14:paraId="4DBB506E" w14:textId="77777777" w:rsidR="00E6060C" w:rsidRPr="00E6060C" w:rsidRDefault="00E6060C" w:rsidP="00F15DDF">
            <w:pPr>
              <w:numPr>
                <w:ilvl w:val="0"/>
                <w:numId w:val="82"/>
              </w:numPr>
              <w:ind w:left="188" w:hanging="188"/>
              <w:contextualSpacing/>
            </w:pPr>
            <w:r w:rsidRPr="00E6060C">
              <w:t>The number of teams which took part in each aspect of the intervention ranged from approximately 50% (for diary writing) to 100% (for team workshops &amp; the observation component)</w:t>
            </w:r>
          </w:p>
          <w:p w14:paraId="2609601B" w14:textId="77777777" w:rsidR="00E6060C" w:rsidRPr="00E6060C" w:rsidRDefault="00E6060C" w:rsidP="00F15DDF">
            <w:pPr>
              <w:numPr>
                <w:ilvl w:val="0"/>
                <w:numId w:val="82"/>
              </w:numPr>
              <w:ind w:left="188" w:hanging="188"/>
              <w:contextualSpacing/>
            </w:pPr>
            <w:r w:rsidRPr="00E6060C">
              <w:t>Variation between leaders regarding progress between workshops</w:t>
            </w:r>
          </w:p>
          <w:p w14:paraId="50B8C4F9" w14:textId="77777777" w:rsidR="00E6060C" w:rsidRPr="00E6060C" w:rsidRDefault="00E6060C" w:rsidP="00F15DDF">
            <w:pPr>
              <w:numPr>
                <w:ilvl w:val="0"/>
                <w:numId w:val="82"/>
              </w:numPr>
              <w:ind w:left="188" w:hanging="188"/>
              <w:contextualSpacing/>
            </w:pPr>
            <w:r w:rsidRPr="00E6060C">
              <w:lastRenderedPageBreak/>
              <w:t>Less than 50% of leaders volunteered for coaching and only a little above 50% used the diary writing method for self-reflection</w:t>
            </w:r>
          </w:p>
          <w:p w14:paraId="5B696424" w14:textId="77777777" w:rsidR="00E6060C" w:rsidRPr="00E6060C" w:rsidRDefault="00E6060C" w:rsidP="00F15DDF">
            <w:pPr>
              <w:numPr>
                <w:ilvl w:val="0"/>
                <w:numId w:val="82"/>
              </w:numPr>
              <w:ind w:left="188" w:hanging="188"/>
              <w:contextualSpacing/>
            </w:pPr>
            <w:r w:rsidRPr="00E6060C">
              <w:t>Leaders had already participated in other leadership programmes, which may be why participation was lower than in Germany</w:t>
            </w:r>
          </w:p>
          <w:p w14:paraId="75339131" w14:textId="77777777" w:rsidR="00E6060C" w:rsidRPr="00E6060C" w:rsidRDefault="00E6060C" w:rsidP="00E6060C">
            <w:pPr>
              <w:ind w:left="188"/>
              <w:contextualSpacing/>
            </w:pPr>
          </w:p>
        </w:tc>
        <w:tc>
          <w:tcPr>
            <w:tcW w:w="3372" w:type="dxa"/>
          </w:tcPr>
          <w:p w14:paraId="5655F604" w14:textId="77777777" w:rsidR="00E6060C" w:rsidRPr="00E6060C" w:rsidRDefault="00E6060C" w:rsidP="00F15DDF">
            <w:pPr>
              <w:numPr>
                <w:ilvl w:val="0"/>
                <w:numId w:val="82"/>
              </w:numPr>
              <w:ind w:left="188" w:hanging="188"/>
              <w:contextualSpacing/>
            </w:pPr>
            <w:r w:rsidRPr="00E6060C">
              <w:lastRenderedPageBreak/>
              <w:t>Authors checked and confirmed that participants had not changed roles over the course of the intervention</w:t>
            </w:r>
          </w:p>
          <w:p w14:paraId="3ACBE2FA" w14:textId="77777777" w:rsidR="00E6060C" w:rsidRPr="00E6060C" w:rsidRDefault="00E6060C" w:rsidP="00F15DDF">
            <w:pPr>
              <w:numPr>
                <w:ilvl w:val="0"/>
                <w:numId w:val="82"/>
              </w:numPr>
              <w:ind w:left="188" w:hanging="188"/>
              <w:contextualSpacing/>
            </w:pPr>
            <w:r w:rsidRPr="00E6060C">
              <w:t>Detailed evaluation surveys were conducted</w:t>
            </w:r>
          </w:p>
          <w:p w14:paraId="3ACF5D66" w14:textId="77777777" w:rsidR="00E6060C" w:rsidRPr="00E6060C" w:rsidRDefault="00E6060C" w:rsidP="00F15DDF">
            <w:pPr>
              <w:numPr>
                <w:ilvl w:val="0"/>
                <w:numId w:val="82"/>
              </w:numPr>
              <w:ind w:left="188" w:hanging="188"/>
              <w:contextualSpacing/>
            </w:pPr>
            <w:r w:rsidRPr="00E6060C">
              <w:t>General satisfaction with workshops was indicated</w:t>
            </w:r>
          </w:p>
          <w:p w14:paraId="403EDDF5" w14:textId="77777777" w:rsidR="00E6060C" w:rsidRPr="00E6060C" w:rsidRDefault="00E6060C" w:rsidP="00E6060C">
            <w:r w:rsidRPr="00E6060C">
              <w:t>Findings from post intervention interviews with leaders of both intervention and control groups:</w:t>
            </w:r>
          </w:p>
          <w:p w14:paraId="46D5D9EB" w14:textId="77777777" w:rsidR="00E6060C" w:rsidRPr="00E6060C" w:rsidRDefault="00E6060C" w:rsidP="00F15DDF">
            <w:pPr>
              <w:numPr>
                <w:ilvl w:val="0"/>
                <w:numId w:val="82"/>
              </w:numPr>
              <w:ind w:left="188" w:hanging="188"/>
              <w:contextualSpacing/>
            </w:pPr>
            <w:r w:rsidRPr="00E6060C">
              <w:t xml:space="preserve">Leaders generally reported that the intervention had met its aim to change ‘leaders’ behaviour into a more rewarding and health supporting form’ (pg 212), more so than in Germany </w:t>
            </w:r>
          </w:p>
          <w:p w14:paraId="1515E504" w14:textId="77777777" w:rsidR="00E6060C" w:rsidRPr="00E6060C" w:rsidRDefault="00E6060C" w:rsidP="00F15DDF">
            <w:pPr>
              <w:numPr>
                <w:ilvl w:val="0"/>
                <w:numId w:val="82"/>
              </w:numPr>
              <w:ind w:left="188" w:hanging="188"/>
              <w:contextualSpacing/>
            </w:pPr>
            <w:r w:rsidRPr="00E6060C">
              <w:t>Leaders’ positive evaluations of intervention goals were related to perceived quality and relevance of the intervention, and the engagement of leaders and their team.</w:t>
            </w:r>
          </w:p>
          <w:p w14:paraId="03FF795D" w14:textId="77777777" w:rsidR="00E6060C" w:rsidRPr="00E6060C" w:rsidRDefault="00E6060C" w:rsidP="00F15DDF">
            <w:pPr>
              <w:numPr>
                <w:ilvl w:val="0"/>
                <w:numId w:val="82"/>
              </w:numPr>
              <w:ind w:left="188" w:hanging="188"/>
              <w:contextualSpacing/>
            </w:pPr>
            <w:r w:rsidRPr="00E6060C">
              <w:t>Leaders rated the involvement of team members, and health as being the most important aspects of the intervention</w:t>
            </w:r>
          </w:p>
          <w:p w14:paraId="7ADF8D05" w14:textId="77777777" w:rsidR="00E6060C" w:rsidRPr="00E6060C" w:rsidRDefault="00E6060C" w:rsidP="00F15DDF">
            <w:pPr>
              <w:numPr>
                <w:ilvl w:val="0"/>
                <w:numId w:val="82"/>
              </w:numPr>
              <w:ind w:left="188" w:hanging="188"/>
              <w:contextualSpacing/>
            </w:pPr>
            <w:r w:rsidRPr="00E6060C">
              <w:lastRenderedPageBreak/>
              <w:t>Feedback from workshop 1, regarding working conditions, leadership and health, was deemed the most important component</w:t>
            </w:r>
          </w:p>
          <w:p w14:paraId="6D31E768" w14:textId="77777777" w:rsidR="00E6060C" w:rsidRPr="00E6060C" w:rsidRDefault="00E6060C" w:rsidP="00F15DDF">
            <w:pPr>
              <w:numPr>
                <w:ilvl w:val="0"/>
                <w:numId w:val="82"/>
              </w:numPr>
              <w:ind w:left="188" w:hanging="188"/>
              <w:contextualSpacing/>
            </w:pPr>
            <w:r w:rsidRPr="00E6060C">
              <w:t>The action plan created following workshop 1 was also deemed very important</w:t>
            </w:r>
          </w:p>
          <w:p w14:paraId="2E8784E2" w14:textId="77777777" w:rsidR="00E6060C" w:rsidRPr="00E6060C" w:rsidRDefault="00E6060C" w:rsidP="00F15DDF">
            <w:pPr>
              <w:numPr>
                <w:ilvl w:val="0"/>
                <w:numId w:val="82"/>
              </w:numPr>
              <w:ind w:left="188" w:hanging="188"/>
              <w:contextualSpacing/>
            </w:pPr>
            <w:r w:rsidRPr="00E6060C">
              <w:t xml:space="preserve">Leader workshops were valued </w:t>
            </w:r>
          </w:p>
          <w:p w14:paraId="20018E92" w14:textId="77777777" w:rsidR="00E6060C" w:rsidRPr="00E6060C" w:rsidRDefault="00E6060C" w:rsidP="00F15DDF">
            <w:pPr>
              <w:numPr>
                <w:ilvl w:val="0"/>
                <w:numId w:val="82"/>
              </w:numPr>
              <w:ind w:left="188" w:hanging="188"/>
              <w:contextualSpacing/>
            </w:pPr>
            <w:r w:rsidRPr="00E6060C">
              <w:t>Positive effects described included improvements in leadership</w:t>
            </w:r>
          </w:p>
        </w:tc>
        <w:tc>
          <w:tcPr>
            <w:tcW w:w="4112" w:type="dxa"/>
          </w:tcPr>
          <w:p w14:paraId="76C740EA" w14:textId="77777777" w:rsidR="00E6060C" w:rsidRPr="00E6060C" w:rsidRDefault="00E6060C" w:rsidP="00F15DDF">
            <w:pPr>
              <w:numPr>
                <w:ilvl w:val="0"/>
                <w:numId w:val="82"/>
              </w:numPr>
              <w:ind w:left="188" w:hanging="188"/>
              <w:contextualSpacing/>
            </w:pPr>
            <w:r w:rsidRPr="00E6060C">
              <w:lastRenderedPageBreak/>
              <w:t>Leaders reported that the time frame of the intervention was too long (16m), as there were too few activities with long gaps between them, making focus on the intervention difficult</w:t>
            </w:r>
          </w:p>
          <w:p w14:paraId="551254F5" w14:textId="77777777" w:rsidR="00E6060C" w:rsidRPr="00E6060C" w:rsidRDefault="00E6060C" w:rsidP="00F15DDF">
            <w:pPr>
              <w:numPr>
                <w:ilvl w:val="0"/>
                <w:numId w:val="82"/>
              </w:numPr>
              <w:ind w:left="188" w:hanging="188"/>
              <w:contextualSpacing/>
            </w:pPr>
            <w:r w:rsidRPr="00E6060C">
              <w:t>Several leaders reported lack of support from their direct managers</w:t>
            </w:r>
          </w:p>
          <w:p w14:paraId="3B520FE6" w14:textId="77777777" w:rsidR="00E6060C" w:rsidRPr="00E6060C" w:rsidRDefault="00E6060C" w:rsidP="00F15DDF">
            <w:pPr>
              <w:numPr>
                <w:ilvl w:val="0"/>
                <w:numId w:val="82"/>
              </w:numPr>
              <w:ind w:left="188" w:hanging="188"/>
              <w:contextualSpacing/>
            </w:pPr>
            <w:r w:rsidRPr="00E6060C">
              <w:t>Number of team members varied greatly, affecting their ability to participate fully</w:t>
            </w:r>
          </w:p>
          <w:p w14:paraId="5638BCAD" w14:textId="77777777" w:rsidR="00E6060C" w:rsidRPr="00E6060C" w:rsidRDefault="00E6060C" w:rsidP="00E6060C">
            <w:pPr>
              <w:spacing w:after="200" w:line="276" w:lineRule="auto"/>
              <w:ind w:left="188"/>
              <w:contextualSpacing/>
            </w:pPr>
          </w:p>
        </w:tc>
      </w:tr>
      <w:tr w:rsidR="00E6060C" w:rsidRPr="00E6060C" w14:paraId="681AA125" w14:textId="77777777" w:rsidTr="00E6060C">
        <w:tc>
          <w:tcPr>
            <w:tcW w:w="14021" w:type="dxa"/>
            <w:gridSpan w:val="7"/>
            <w:shd w:val="clear" w:color="auto" w:fill="D9D9D9" w:themeFill="background1" w:themeFillShade="D9"/>
          </w:tcPr>
          <w:p w14:paraId="136BB670" w14:textId="77777777" w:rsidR="00E6060C" w:rsidRPr="00E6060C" w:rsidRDefault="00E6060C" w:rsidP="00E6060C">
            <w:pPr>
              <w:rPr>
                <w:rFonts w:ascii="Calibri" w:hAnsi="Calibri"/>
                <w:b/>
                <w:color w:val="000000"/>
              </w:rPr>
            </w:pPr>
            <w:r w:rsidRPr="00E6060C">
              <w:rPr>
                <w:rFonts w:ascii="Calibri" w:hAnsi="Calibri"/>
                <w:b/>
                <w:color w:val="000000"/>
              </w:rPr>
              <w:t>ONGOING LEADERSHIP TRAINING INTERVENTIONS</w:t>
            </w:r>
          </w:p>
          <w:p w14:paraId="2642B4B1" w14:textId="77777777" w:rsidR="00E6060C" w:rsidRPr="00E6060C" w:rsidRDefault="00E6060C" w:rsidP="00E6060C">
            <w:pPr>
              <w:rPr>
                <w:rFonts w:ascii="Calibri" w:hAnsi="Calibri"/>
                <w:b/>
                <w:color w:val="000000"/>
              </w:rPr>
            </w:pPr>
          </w:p>
        </w:tc>
      </w:tr>
      <w:tr w:rsidR="00E6060C" w:rsidRPr="00E6060C" w14:paraId="0A3B783E" w14:textId="77777777" w:rsidTr="00E6060C">
        <w:trPr>
          <w:gridAfter w:val="1"/>
          <w:wAfter w:w="16" w:type="dxa"/>
        </w:trPr>
        <w:tc>
          <w:tcPr>
            <w:tcW w:w="567" w:type="dxa"/>
            <w:shd w:val="clear" w:color="auto" w:fill="D9D9D9" w:themeFill="background1" w:themeFillShade="D9"/>
          </w:tcPr>
          <w:p w14:paraId="60A50725" w14:textId="77777777" w:rsidR="00E6060C" w:rsidRPr="00E6060C" w:rsidRDefault="00E6060C" w:rsidP="00E6060C">
            <w:pPr>
              <w:contextualSpacing/>
            </w:pPr>
            <w:r w:rsidRPr="00E6060C">
              <w:t>24</w:t>
            </w:r>
          </w:p>
        </w:tc>
        <w:tc>
          <w:tcPr>
            <w:tcW w:w="1418" w:type="dxa"/>
            <w:shd w:val="clear" w:color="auto" w:fill="D9D9D9" w:themeFill="background1" w:themeFillShade="D9"/>
          </w:tcPr>
          <w:p w14:paraId="360FF633" w14:textId="77777777" w:rsidR="00E6060C" w:rsidRPr="00E6060C" w:rsidRDefault="00E6060C" w:rsidP="00E6060C">
            <w:pPr>
              <w:contextualSpacing/>
              <w:rPr>
                <w:rFonts w:ascii="Calibri" w:hAnsi="Calibri"/>
                <w:color w:val="000000"/>
              </w:rPr>
            </w:pPr>
            <w:r w:rsidRPr="00E6060C">
              <w:rPr>
                <w:rFonts w:ascii="Calibri" w:hAnsi="Calibri"/>
                <w:color w:val="000000"/>
              </w:rPr>
              <w:t>White et al., 2014</w:t>
            </w:r>
          </w:p>
        </w:tc>
        <w:tc>
          <w:tcPr>
            <w:tcW w:w="2268" w:type="dxa"/>
            <w:shd w:val="clear" w:color="auto" w:fill="D9D9D9" w:themeFill="background1" w:themeFillShade="D9"/>
          </w:tcPr>
          <w:p w14:paraId="1D64E19D" w14:textId="77777777" w:rsidR="00E6060C" w:rsidRPr="00E6060C" w:rsidRDefault="00E6060C" w:rsidP="00E6060C">
            <w:pPr>
              <w:contextualSpacing/>
            </w:pPr>
            <w:r w:rsidRPr="00E6060C">
              <w:t>Not discussed</w:t>
            </w:r>
          </w:p>
        </w:tc>
        <w:tc>
          <w:tcPr>
            <w:tcW w:w="2268" w:type="dxa"/>
            <w:shd w:val="clear" w:color="auto" w:fill="D9D9D9" w:themeFill="background1" w:themeFillShade="D9"/>
          </w:tcPr>
          <w:p w14:paraId="42300AC5" w14:textId="77777777" w:rsidR="00E6060C" w:rsidRPr="00E6060C" w:rsidRDefault="00E6060C" w:rsidP="00E6060C">
            <w:pPr>
              <w:contextualSpacing/>
            </w:pPr>
            <w:r w:rsidRPr="00E6060C">
              <w:t>Not discussed</w:t>
            </w:r>
          </w:p>
        </w:tc>
        <w:tc>
          <w:tcPr>
            <w:tcW w:w="3372" w:type="dxa"/>
            <w:shd w:val="clear" w:color="auto" w:fill="D9D9D9" w:themeFill="background1" w:themeFillShade="D9"/>
          </w:tcPr>
          <w:p w14:paraId="4819ED06" w14:textId="77777777" w:rsidR="00E6060C" w:rsidRPr="00E6060C" w:rsidRDefault="00E6060C" w:rsidP="00E6060C">
            <w:pPr>
              <w:contextualSpacing/>
            </w:pPr>
            <w:r w:rsidRPr="00E6060C">
              <w:t>Not discussed</w:t>
            </w:r>
          </w:p>
        </w:tc>
        <w:tc>
          <w:tcPr>
            <w:tcW w:w="4112" w:type="dxa"/>
            <w:shd w:val="clear" w:color="auto" w:fill="D9D9D9" w:themeFill="background1" w:themeFillShade="D9"/>
          </w:tcPr>
          <w:p w14:paraId="25A6E7A2" w14:textId="77777777" w:rsidR="00E6060C" w:rsidRPr="00E6060C" w:rsidRDefault="00E6060C" w:rsidP="00F15DDF">
            <w:pPr>
              <w:numPr>
                <w:ilvl w:val="0"/>
                <w:numId w:val="37"/>
              </w:numPr>
              <w:ind w:left="175" w:hanging="175"/>
              <w:contextualSpacing/>
              <w:rPr>
                <w:rFonts w:ascii="Calibri" w:hAnsi="Calibri"/>
                <w:color w:val="000000"/>
              </w:rPr>
            </w:pPr>
            <w:r w:rsidRPr="00E6060C">
              <w:rPr>
                <w:rFonts w:ascii="Calibri" w:hAnsi="Calibri"/>
                <w:color w:val="000000"/>
              </w:rPr>
              <w:t>Cross-sectional study (though a 12 month follow-up is planned)</w:t>
            </w:r>
          </w:p>
          <w:p w14:paraId="0F10ED46" w14:textId="77777777" w:rsidR="00E6060C" w:rsidRPr="00E6060C" w:rsidRDefault="00E6060C" w:rsidP="00F15DDF">
            <w:pPr>
              <w:numPr>
                <w:ilvl w:val="0"/>
                <w:numId w:val="37"/>
              </w:numPr>
              <w:ind w:left="175" w:hanging="175"/>
              <w:contextualSpacing/>
              <w:rPr>
                <w:rFonts w:ascii="Calibri" w:hAnsi="Calibri"/>
                <w:color w:val="000000"/>
              </w:rPr>
            </w:pPr>
            <w:r w:rsidRPr="00E6060C">
              <w:rPr>
                <w:rFonts w:ascii="Calibri" w:hAnsi="Calibri"/>
                <w:color w:val="000000"/>
              </w:rPr>
              <w:t>Non-probability quota sampling for recruiting the control group</w:t>
            </w:r>
          </w:p>
          <w:p w14:paraId="176B4B7B" w14:textId="77777777" w:rsidR="00E6060C" w:rsidRPr="00E6060C" w:rsidRDefault="00E6060C" w:rsidP="00F15DDF">
            <w:pPr>
              <w:numPr>
                <w:ilvl w:val="0"/>
                <w:numId w:val="37"/>
              </w:numPr>
              <w:ind w:left="175" w:hanging="175"/>
              <w:contextualSpacing/>
              <w:rPr>
                <w:rFonts w:ascii="Calibri" w:hAnsi="Calibri"/>
                <w:color w:val="000000"/>
              </w:rPr>
            </w:pPr>
            <w:r w:rsidRPr="00E6060C">
              <w:rPr>
                <w:rFonts w:ascii="Calibri" w:hAnsi="Calibri"/>
                <w:color w:val="000000"/>
              </w:rPr>
              <w:t>Positive report bias from intervention group</w:t>
            </w:r>
          </w:p>
        </w:tc>
      </w:tr>
    </w:tbl>
    <w:p w14:paraId="3E4AA01B" w14:textId="77777777" w:rsidR="002A5A6B" w:rsidRDefault="002A5A6B">
      <w:r>
        <w:br w:type="page"/>
      </w:r>
    </w:p>
    <w:tbl>
      <w:tblPr>
        <w:tblStyle w:val="TableGrid8"/>
        <w:tblW w:w="14021"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18"/>
        <w:gridCol w:w="2268"/>
        <w:gridCol w:w="2268"/>
        <w:gridCol w:w="3372"/>
        <w:gridCol w:w="4112"/>
        <w:gridCol w:w="16"/>
      </w:tblGrid>
      <w:tr w:rsidR="00E6060C" w:rsidRPr="00E6060C" w14:paraId="2C7D8164" w14:textId="77777777" w:rsidTr="00E6060C">
        <w:tc>
          <w:tcPr>
            <w:tcW w:w="14021" w:type="dxa"/>
            <w:gridSpan w:val="7"/>
            <w:tcBorders>
              <w:top w:val="single" w:sz="4" w:space="0" w:color="auto"/>
              <w:bottom w:val="single" w:sz="4" w:space="0" w:color="auto"/>
            </w:tcBorders>
          </w:tcPr>
          <w:p w14:paraId="26808BBC" w14:textId="64A237FC" w:rsidR="00E6060C" w:rsidRPr="00E6060C" w:rsidRDefault="00E6060C" w:rsidP="00E6060C">
            <w:pPr>
              <w:rPr>
                <w:b/>
                <w:sz w:val="28"/>
                <w:szCs w:val="28"/>
              </w:rPr>
            </w:pPr>
            <w:r w:rsidRPr="00E6060C">
              <w:rPr>
                <w:b/>
                <w:sz w:val="28"/>
                <w:szCs w:val="28"/>
              </w:rPr>
              <w:lastRenderedPageBreak/>
              <w:t>HEALTH PROMOTION INTERVENTIONS</w:t>
            </w:r>
          </w:p>
        </w:tc>
      </w:tr>
      <w:tr w:rsidR="00E6060C" w:rsidRPr="00E6060C" w14:paraId="51E9065D" w14:textId="77777777" w:rsidTr="00E6060C">
        <w:trPr>
          <w:gridAfter w:val="1"/>
          <w:wAfter w:w="16" w:type="dxa"/>
        </w:trPr>
        <w:tc>
          <w:tcPr>
            <w:tcW w:w="567" w:type="dxa"/>
          </w:tcPr>
          <w:p w14:paraId="65D9A7DA" w14:textId="77777777" w:rsidR="00E6060C" w:rsidRPr="00E6060C" w:rsidRDefault="00E6060C" w:rsidP="00E6060C">
            <w:pPr>
              <w:contextualSpacing/>
            </w:pPr>
            <w:r w:rsidRPr="00E6060C">
              <w:t>25</w:t>
            </w:r>
          </w:p>
        </w:tc>
        <w:tc>
          <w:tcPr>
            <w:tcW w:w="1418" w:type="dxa"/>
          </w:tcPr>
          <w:p w14:paraId="6A093DD2" w14:textId="4DBCDBD8" w:rsidR="00E6060C" w:rsidRPr="00E6060C" w:rsidRDefault="00276FB0" w:rsidP="00E6060C">
            <w:pPr>
              <w:contextualSpacing/>
            </w:pPr>
            <w:r>
              <w:t>*</w:t>
            </w:r>
            <w:r w:rsidR="00E6060C" w:rsidRPr="00E6060C">
              <w:t>Aikens et al., 2014</w:t>
            </w:r>
          </w:p>
        </w:tc>
        <w:tc>
          <w:tcPr>
            <w:tcW w:w="2268" w:type="dxa"/>
          </w:tcPr>
          <w:p w14:paraId="7F958324" w14:textId="77777777" w:rsidR="00E6060C" w:rsidRPr="00E6060C" w:rsidRDefault="00E6060C" w:rsidP="00E6060C">
            <w:pPr>
              <w:contextualSpacing/>
            </w:pPr>
            <w:r w:rsidRPr="00E6060C">
              <w:t>Both groups were predominantly meditation naïve; only one had prior MBSR experience</w:t>
            </w:r>
          </w:p>
        </w:tc>
        <w:tc>
          <w:tcPr>
            <w:tcW w:w="2268" w:type="dxa"/>
          </w:tcPr>
          <w:p w14:paraId="25D504D3" w14:textId="77777777" w:rsidR="00E6060C" w:rsidRPr="00E6060C" w:rsidRDefault="00E6060C" w:rsidP="00F15DDF">
            <w:pPr>
              <w:numPr>
                <w:ilvl w:val="0"/>
                <w:numId w:val="93"/>
              </w:numPr>
              <w:ind w:left="175" w:hanging="175"/>
              <w:contextualSpacing/>
            </w:pPr>
            <w:r w:rsidRPr="00E6060C">
              <w:t>17.6% completed 50% of the course material and attended ‘an average’ of 6.33 (of 8) class meetings</w:t>
            </w:r>
          </w:p>
          <w:p w14:paraId="7826D928" w14:textId="77777777" w:rsidR="00E6060C" w:rsidRPr="00E6060C" w:rsidRDefault="00E6060C" w:rsidP="00F15DDF">
            <w:pPr>
              <w:numPr>
                <w:ilvl w:val="0"/>
                <w:numId w:val="93"/>
              </w:numPr>
              <w:ind w:left="175" w:hanging="175"/>
              <w:contextualSpacing/>
            </w:pPr>
            <w:r w:rsidRPr="00E6060C">
              <w:t xml:space="preserve">The rest (82.4%) reported completing 75-100% of the material and attended, on average, 7.4 class meetings </w:t>
            </w:r>
          </w:p>
          <w:p w14:paraId="0565D0D1" w14:textId="77777777" w:rsidR="00E6060C" w:rsidRPr="00E6060C" w:rsidRDefault="00E6060C" w:rsidP="00F15DDF">
            <w:pPr>
              <w:numPr>
                <w:ilvl w:val="0"/>
                <w:numId w:val="93"/>
              </w:numPr>
              <w:ind w:left="175" w:hanging="175"/>
              <w:contextualSpacing/>
            </w:pPr>
            <w:r w:rsidRPr="00E6060C">
              <w:t>Mindfulness exercises were practised less often as the weeks passed (range 4.5-3.8), but averaged 13 mins a day (1.5 hrs a week)</w:t>
            </w:r>
          </w:p>
        </w:tc>
        <w:tc>
          <w:tcPr>
            <w:tcW w:w="3372" w:type="dxa"/>
          </w:tcPr>
          <w:p w14:paraId="2E088A04" w14:textId="77777777" w:rsidR="00E6060C" w:rsidRPr="00E6060C" w:rsidRDefault="00E6060C" w:rsidP="00F15DDF">
            <w:pPr>
              <w:numPr>
                <w:ilvl w:val="0"/>
                <w:numId w:val="93"/>
              </w:numPr>
              <w:contextualSpacing/>
            </w:pPr>
            <w:r w:rsidRPr="00E6060C">
              <w:t>The company (The Dow Chemical Company) announced the largest layoffs in their history during this intervention; the first layoffs occurred two weeks before the baseline assessment and the second set of layoffs occurred during implementation of follow up measures</w:t>
            </w:r>
          </w:p>
        </w:tc>
        <w:tc>
          <w:tcPr>
            <w:tcW w:w="4112" w:type="dxa"/>
          </w:tcPr>
          <w:p w14:paraId="18A375C0" w14:textId="77777777" w:rsidR="00E6060C" w:rsidRPr="00E6060C" w:rsidRDefault="00E6060C" w:rsidP="00F15DDF">
            <w:pPr>
              <w:numPr>
                <w:ilvl w:val="0"/>
                <w:numId w:val="93"/>
              </w:numPr>
              <w:contextualSpacing/>
            </w:pPr>
            <w:r w:rsidRPr="00E6060C">
              <w:t>12 month follow up was not completed to prevent overburdening employees</w:t>
            </w:r>
          </w:p>
        </w:tc>
      </w:tr>
      <w:tr w:rsidR="00E6060C" w:rsidRPr="00E6060C" w14:paraId="03B9CED8" w14:textId="77777777" w:rsidTr="00E6060C">
        <w:trPr>
          <w:gridAfter w:val="1"/>
          <w:wAfter w:w="16" w:type="dxa"/>
        </w:trPr>
        <w:tc>
          <w:tcPr>
            <w:tcW w:w="567" w:type="dxa"/>
          </w:tcPr>
          <w:p w14:paraId="73A5FFCA" w14:textId="77777777" w:rsidR="00E6060C" w:rsidRPr="00E6060C" w:rsidRDefault="00E6060C" w:rsidP="00E6060C">
            <w:pPr>
              <w:contextualSpacing/>
            </w:pPr>
            <w:r w:rsidRPr="00E6060C">
              <w:t>26</w:t>
            </w:r>
          </w:p>
        </w:tc>
        <w:tc>
          <w:tcPr>
            <w:tcW w:w="1418" w:type="dxa"/>
          </w:tcPr>
          <w:p w14:paraId="4252D8B3" w14:textId="2071D46D"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 xml:space="preserve">Biggs, 2011 </w:t>
            </w:r>
          </w:p>
          <w:p w14:paraId="7F502FA7" w14:textId="77777777" w:rsidR="00E6060C" w:rsidRPr="00E6060C" w:rsidRDefault="00E6060C" w:rsidP="00E6060C">
            <w:pPr>
              <w:contextualSpacing/>
              <w:rPr>
                <w:rFonts w:ascii="Calibri" w:hAnsi="Calibri"/>
                <w:b/>
                <w:color w:val="000000"/>
              </w:rPr>
            </w:pPr>
          </w:p>
        </w:tc>
        <w:tc>
          <w:tcPr>
            <w:tcW w:w="2268" w:type="dxa"/>
          </w:tcPr>
          <w:p w14:paraId="424117B3" w14:textId="77777777" w:rsidR="00E6060C" w:rsidRPr="00E6060C" w:rsidRDefault="00E6060C" w:rsidP="00F15DDF">
            <w:pPr>
              <w:numPr>
                <w:ilvl w:val="0"/>
                <w:numId w:val="80"/>
              </w:numPr>
              <w:ind w:left="188" w:hanging="188"/>
              <w:contextualSpacing/>
            </w:pPr>
            <w:r w:rsidRPr="00E6060C">
              <w:t>Financial constraints and impracticality of removing staff from operational duties meant the time available to conduct the intervention was limited, and only 1 of each workshop per site was possible</w:t>
            </w:r>
          </w:p>
          <w:p w14:paraId="5636F595" w14:textId="77777777" w:rsidR="00E6060C" w:rsidRPr="00E6060C" w:rsidRDefault="00E6060C" w:rsidP="00F15DDF">
            <w:pPr>
              <w:numPr>
                <w:ilvl w:val="0"/>
                <w:numId w:val="80"/>
              </w:numPr>
              <w:ind w:left="188" w:hanging="188"/>
              <w:contextualSpacing/>
            </w:pPr>
            <w:r w:rsidRPr="00E6060C">
              <w:lastRenderedPageBreak/>
              <w:t>Exposure to the intervention was not uniform across participants as there was a high degree of disruption during sessions due to employees being called out of sessions to return to work / attend emergencies</w:t>
            </w:r>
          </w:p>
          <w:p w14:paraId="157840E1" w14:textId="77777777" w:rsidR="00E6060C" w:rsidRPr="00E6060C" w:rsidRDefault="00E6060C" w:rsidP="00E6060C"/>
        </w:tc>
        <w:tc>
          <w:tcPr>
            <w:tcW w:w="2268" w:type="dxa"/>
          </w:tcPr>
          <w:p w14:paraId="415DB2DB" w14:textId="77777777" w:rsidR="00E6060C" w:rsidRPr="00E6060C" w:rsidRDefault="00E6060C" w:rsidP="00E6060C">
            <w:r w:rsidRPr="00E6060C">
              <w:lastRenderedPageBreak/>
              <w:t>Not discussed</w:t>
            </w:r>
          </w:p>
        </w:tc>
        <w:tc>
          <w:tcPr>
            <w:tcW w:w="3372" w:type="dxa"/>
          </w:tcPr>
          <w:p w14:paraId="42A36176" w14:textId="77777777" w:rsidR="00E6060C" w:rsidRPr="00E6060C" w:rsidRDefault="00E6060C" w:rsidP="00E6060C">
            <w:pPr>
              <w:contextualSpacing/>
            </w:pPr>
            <w:r w:rsidRPr="00E6060C">
              <w:t>-</w:t>
            </w:r>
          </w:p>
        </w:tc>
        <w:tc>
          <w:tcPr>
            <w:tcW w:w="4112" w:type="dxa"/>
          </w:tcPr>
          <w:p w14:paraId="10DEC6E9" w14:textId="77777777" w:rsidR="00E6060C" w:rsidRPr="00E6060C" w:rsidRDefault="00E6060C" w:rsidP="00F15DDF">
            <w:pPr>
              <w:numPr>
                <w:ilvl w:val="0"/>
                <w:numId w:val="79"/>
              </w:numPr>
              <w:contextualSpacing/>
            </w:pPr>
            <w:r w:rsidRPr="00E6060C">
              <w:t>High turnover and personnel relocations therefore response rate may not be accurate</w:t>
            </w:r>
          </w:p>
          <w:p w14:paraId="4D81805B" w14:textId="77777777" w:rsidR="00E6060C" w:rsidRPr="00E6060C" w:rsidRDefault="00E6060C" w:rsidP="00F15DDF">
            <w:pPr>
              <w:numPr>
                <w:ilvl w:val="0"/>
                <w:numId w:val="79"/>
              </w:numPr>
              <w:contextualSpacing/>
            </w:pPr>
            <w:r w:rsidRPr="00E6060C">
              <w:t xml:space="preserve">Not all surveys may have been delivered to potential participants due to reliance on internal mail system. </w:t>
            </w:r>
          </w:p>
          <w:p w14:paraId="7C26073C" w14:textId="77777777" w:rsidR="00E6060C" w:rsidRPr="00E6060C" w:rsidRDefault="00E6060C" w:rsidP="00F15DDF">
            <w:pPr>
              <w:numPr>
                <w:ilvl w:val="0"/>
                <w:numId w:val="79"/>
              </w:numPr>
              <w:contextualSpacing/>
            </w:pPr>
            <w:r w:rsidRPr="00E6060C">
              <w:t>Limitation to which managers could engage with the intervention due to resource constraints</w:t>
            </w:r>
          </w:p>
          <w:p w14:paraId="59F08361" w14:textId="77777777" w:rsidR="00E6060C" w:rsidRPr="00E6060C" w:rsidRDefault="00E6060C" w:rsidP="00F15DDF">
            <w:pPr>
              <w:numPr>
                <w:ilvl w:val="0"/>
                <w:numId w:val="79"/>
              </w:numPr>
              <w:contextualSpacing/>
            </w:pPr>
            <w:r w:rsidRPr="00E6060C">
              <w:lastRenderedPageBreak/>
              <w:t>Employees expressed mistrust throughout the intervention (e.g. intervention was a management attempt to modify employees)</w:t>
            </w:r>
          </w:p>
          <w:p w14:paraId="7AED005E" w14:textId="77777777" w:rsidR="00E6060C" w:rsidRPr="00E6060C" w:rsidRDefault="00E6060C" w:rsidP="00F15DDF">
            <w:pPr>
              <w:numPr>
                <w:ilvl w:val="0"/>
                <w:numId w:val="79"/>
              </w:numPr>
              <w:contextualSpacing/>
            </w:pPr>
            <w:r w:rsidRPr="00E6060C">
              <w:t xml:space="preserve">Dissonance between messages communicated through the intervention (e.g. to improve organisational communication) and managerial actions </w:t>
            </w:r>
          </w:p>
          <w:p w14:paraId="71341812" w14:textId="77777777" w:rsidR="00E6060C" w:rsidRPr="00E6060C" w:rsidRDefault="00E6060C" w:rsidP="00F15DDF">
            <w:pPr>
              <w:numPr>
                <w:ilvl w:val="0"/>
                <w:numId w:val="79"/>
              </w:numPr>
              <w:contextualSpacing/>
            </w:pPr>
            <w:r w:rsidRPr="00E6060C">
              <w:t>‘Project fatigue’ due to several concurrent smaller projects and scepticism that change could be produced by the intervention</w:t>
            </w:r>
          </w:p>
          <w:p w14:paraId="768C698A" w14:textId="77777777" w:rsidR="00E6060C" w:rsidRPr="00E6060C" w:rsidRDefault="00E6060C" w:rsidP="00F15DDF">
            <w:pPr>
              <w:numPr>
                <w:ilvl w:val="0"/>
                <w:numId w:val="79"/>
              </w:numPr>
              <w:contextualSpacing/>
            </w:pPr>
            <w:r w:rsidRPr="00E6060C">
              <w:t>Author acknowledges possibility of crossover effects despite the groups being located on geographically different sites, perhaps via feedback based on survey results.</w:t>
            </w:r>
          </w:p>
        </w:tc>
      </w:tr>
      <w:tr w:rsidR="00E6060C" w:rsidRPr="00E6060C" w14:paraId="12563623" w14:textId="77777777" w:rsidTr="00E6060C">
        <w:trPr>
          <w:gridAfter w:val="1"/>
          <w:wAfter w:w="16" w:type="dxa"/>
        </w:trPr>
        <w:tc>
          <w:tcPr>
            <w:tcW w:w="567" w:type="dxa"/>
          </w:tcPr>
          <w:p w14:paraId="0A40E3C1" w14:textId="77777777" w:rsidR="00E6060C" w:rsidRPr="00E6060C" w:rsidRDefault="00E6060C" w:rsidP="00E6060C">
            <w:pPr>
              <w:contextualSpacing/>
            </w:pPr>
            <w:r w:rsidRPr="00E6060C">
              <w:lastRenderedPageBreak/>
              <w:t>27</w:t>
            </w:r>
          </w:p>
        </w:tc>
        <w:tc>
          <w:tcPr>
            <w:tcW w:w="1418" w:type="dxa"/>
          </w:tcPr>
          <w:p w14:paraId="766E07D3" w14:textId="69A8B11A" w:rsidR="00E6060C" w:rsidRPr="00E6060C" w:rsidRDefault="00276FB0" w:rsidP="00E6060C">
            <w:pPr>
              <w:contextualSpacing/>
              <w:rPr>
                <w:rFonts w:ascii="Calibri" w:hAnsi="Calibri"/>
                <w:color w:val="000000"/>
              </w:rPr>
            </w:pPr>
            <w:r>
              <w:rPr>
                <w:rFonts w:ascii="Calibri" w:hAnsi="Calibri"/>
                <w:color w:val="000000"/>
              </w:rPr>
              <w:t>*</w:t>
            </w:r>
            <w:r w:rsidR="00E6060C" w:rsidRPr="00E6060C">
              <w:rPr>
                <w:rFonts w:ascii="Calibri" w:hAnsi="Calibri"/>
                <w:color w:val="000000"/>
              </w:rPr>
              <w:t>Calitz 2013</w:t>
            </w:r>
          </w:p>
          <w:p w14:paraId="762F2A00" w14:textId="77777777" w:rsidR="00E6060C" w:rsidRPr="00E6060C" w:rsidRDefault="00E6060C" w:rsidP="00E6060C">
            <w:pPr>
              <w:contextualSpacing/>
              <w:rPr>
                <w:rFonts w:ascii="Calibri" w:hAnsi="Calibri"/>
              </w:rPr>
            </w:pPr>
          </w:p>
        </w:tc>
        <w:tc>
          <w:tcPr>
            <w:tcW w:w="2268" w:type="dxa"/>
          </w:tcPr>
          <w:p w14:paraId="0A6B480D" w14:textId="77777777" w:rsidR="00E6060C" w:rsidRPr="00E6060C" w:rsidRDefault="00E6060C" w:rsidP="00E6060C">
            <w:r w:rsidRPr="00E6060C">
              <w:t>Not discussed</w:t>
            </w:r>
          </w:p>
        </w:tc>
        <w:tc>
          <w:tcPr>
            <w:tcW w:w="2268" w:type="dxa"/>
          </w:tcPr>
          <w:p w14:paraId="50B7CC8D" w14:textId="77777777" w:rsidR="00E6060C" w:rsidRPr="00E6060C" w:rsidRDefault="00E6060C" w:rsidP="00E6060C">
            <w:r w:rsidRPr="00E6060C">
              <w:t>Not discussed</w:t>
            </w:r>
          </w:p>
        </w:tc>
        <w:tc>
          <w:tcPr>
            <w:tcW w:w="3372" w:type="dxa"/>
          </w:tcPr>
          <w:p w14:paraId="362F0F0C" w14:textId="77777777" w:rsidR="00E6060C" w:rsidRPr="00E6060C" w:rsidRDefault="00E6060C" w:rsidP="00E6060C">
            <w:pPr>
              <w:contextualSpacing/>
            </w:pPr>
            <w:r w:rsidRPr="00E6060C">
              <w:t>-</w:t>
            </w:r>
          </w:p>
        </w:tc>
        <w:tc>
          <w:tcPr>
            <w:tcW w:w="4112" w:type="dxa"/>
          </w:tcPr>
          <w:p w14:paraId="46610052" w14:textId="77777777" w:rsidR="00E6060C" w:rsidRPr="00E6060C" w:rsidRDefault="00E6060C" w:rsidP="00F15DDF">
            <w:pPr>
              <w:numPr>
                <w:ilvl w:val="0"/>
                <w:numId w:val="65"/>
              </w:numPr>
              <w:ind w:left="343" w:hanging="343"/>
              <w:contextualSpacing/>
            </w:pPr>
            <w:r w:rsidRPr="00E6060C">
              <w:t>Self-report measures</w:t>
            </w:r>
          </w:p>
        </w:tc>
      </w:tr>
      <w:tr w:rsidR="00E6060C" w:rsidRPr="00E6060C" w14:paraId="1AF3408E" w14:textId="77777777" w:rsidTr="00E6060C">
        <w:trPr>
          <w:gridAfter w:val="1"/>
          <w:wAfter w:w="16" w:type="dxa"/>
        </w:trPr>
        <w:tc>
          <w:tcPr>
            <w:tcW w:w="567" w:type="dxa"/>
          </w:tcPr>
          <w:p w14:paraId="1067A938" w14:textId="77777777" w:rsidR="00E6060C" w:rsidRPr="00E6060C" w:rsidRDefault="00E6060C" w:rsidP="00E6060C">
            <w:pPr>
              <w:contextualSpacing/>
            </w:pPr>
            <w:r w:rsidRPr="00E6060C">
              <w:t>28</w:t>
            </w:r>
          </w:p>
        </w:tc>
        <w:tc>
          <w:tcPr>
            <w:tcW w:w="1418" w:type="dxa"/>
          </w:tcPr>
          <w:p w14:paraId="73D38E46" w14:textId="535C4993" w:rsidR="00E6060C" w:rsidRPr="00E6060C" w:rsidRDefault="00276FB0" w:rsidP="00E6060C">
            <w:pPr>
              <w:contextualSpacing/>
            </w:pPr>
            <w:r>
              <w:t>*</w:t>
            </w:r>
            <w:r w:rsidR="00E6060C" w:rsidRPr="00E6060C">
              <w:t>Hengel, et al., 2012</w:t>
            </w:r>
          </w:p>
          <w:p w14:paraId="160617D5" w14:textId="77777777" w:rsidR="00E6060C" w:rsidRPr="00E6060C" w:rsidRDefault="00E6060C" w:rsidP="00E6060C">
            <w:pPr>
              <w:contextualSpacing/>
            </w:pPr>
          </w:p>
        </w:tc>
        <w:tc>
          <w:tcPr>
            <w:tcW w:w="2268" w:type="dxa"/>
          </w:tcPr>
          <w:p w14:paraId="02CCF85C" w14:textId="77777777" w:rsidR="00E6060C" w:rsidRPr="00E6060C" w:rsidRDefault="00E6060C" w:rsidP="00F15DDF">
            <w:pPr>
              <w:numPr>
                <w:ilvl w:val="0"/>
                <w:numId w:val="92"/>
              </w:numPr>
              <w:ind w:left="175" w:hanging="175"/>
              <w:contextualSpacing/>
            </w:pPr>
            <w:r w:rsidRPr="00E6060C">
              <w:t xml:space="preserve">Rationale for the intervention was not perfectly conveyed by trainers e.g. physical therapist did not deliver all sessions individually and the empowerment trainer did not always involve the </w:t>
            </w:r>
            <w:r w:rsidRPr="00E6060C">
              <w:lastRenderedPageBreak/>
              <w:t>supervisor in the training sessions</w:t>
            </w:r>
          </w:p>
        </w:tc>
        <w:tc>
          <w:tcPr>
            <w:tcW w:w="2268" w:type="dxa"/>
          </w:tcPr>
          <w:p w14:paraId="0C609AD2" w14:textId="77777777" w:rsidR="00E6060C" w:rsidRPr="00E6060C" w:rsidRDefault="00E6060C" w:rsidP="00F15DDF">
            <w:pPr>
              <w:numPr>
                <w:ilvl w:val="0"/>
                <w:numId w:val="91"/>
              </w:numPr>
              <w:ind w:left="175" w:hanging="175"/>
              <w:contextualSpacing/>
            </w:pPr>
            <w:r w:rsidRPr="00E6060C">
              <w:lastRenderedPageBreak/>
              <w:t>39% attended less than three training sessions</w:t>
            </w:r>
          </w:p>
          <w:p w14:paraId="71202302" w14:textId="77777777" w:rsidR="00E6060C" w:rsidRPr="00E6060C" w:rsidRDefault="00E6060C" w:rsidP="00F15DDF">
            <w:pPr>
              <w:numPr>
                <w:ilvl w:val="0"/>
                <w:numId w:val="91"/>
              </w:numPr>
              <w:ind w:left="175" w:hanging="175"/>
              <w:contextualSpacing/>
            </w:pPr>
            <w:r w:rsidRPr="00E6060C">
              <w:t>Rest-break tool was filled in by less than half of workers</w:t>
            </w:r>
          </w:p>
        </w:tc>
        <w:tc>
          <w:tcPr>
            <w:tcW w:w="3372" w:type="dxa"/>
          </w:tcPr>
          <w:p w14:paraId="78EC07D0" w14:textId="77777777" w:rsidR="00E6060C" w:rsidRPr="00E6060C" w:rsidRDefault="00E6060C" w:rsidP="00F15DDF">
            <w:pPr>
              <w:numPr>
                <w:ilvl w:val="0"/>
                <w:numId w:val="90"/>
              </w:numPr>
              <w:ind w:left="175" w:hanging="175"/>
              <w:contextualSpacing/>
            </w:pPr>
            <w:r w:rsidRPr="00E6060C">
              <w:t>Effect sizes were not influenced by the number of attended training sessions</w:t>
            </w:r>
          </w:p>
          <w:p w14:paraId="11F4B079" w14:textId="77777777" w:rsidR="00E6060C" w:rsidRPr="00E6060C" w:rsidRDefault="00E6060C" w:rsidP="00F15DDF">
            <w:pPr>
              <w:numPr>
                <w:ilvl w:val="0"/>
                <w:numId w:val="90"/>
              </w:numPr>
              <w:ind w:left="175" w:hanging="175"/>
              <w:contextualSpacing/>
            </w:pPr>
            <w:r w:rsidRPr="00E6060C">
              <w:t>Lower satisfaction with the empowerment trainer</w:t>
            </w:r>
          </w:p>
          <w:p w14:paraId="7322D9CF" w14:textId="77777777" w:rsidR="00E6060C" w:rsidRPr="00E6060C" w:rsidRDefault="00E6060C" w:rsidP="00F15DDF">
            <w:pPr>
              <w:numPr>
                <w:ilvl w:val="0"/>
                <w:numId w:val="90"/>
              </w:numPr>
              <w:ind w:left="175" w:hanging="175"/>
              <w:contextualSpacing/>
            </w:pPr>
            <w:r w:rsidRPr="00E6060C">
              <w:t>Low interest demonstrated in using the Rest Break Tool as difficulties were experienced in filling in a weekly status of fatigue and the advice was not always considered feasible in practice</w:t>
            </w:r>
          </w:p>
          <w:p w14:paraId="1B0AE1D2" w14:textId="77777777" w:rsidR="00E6060C" w:rsidRPr="00E6060C" w:rsidRDefault="00E6060C" w:rsidP="00F15DDF">
            <w:pPr>
              <w:numPr>
                <w:ilvl w:val="0"/>
                <w:numId w:val="90"/>
              </w:numPr>
              <w:ind w:left="175" w:hanging="175"/>
              <w:contextualSpacing/>
            </w:pPr>
            <w:r w:rsidRPr="00E6060C">
              <w:lastRenderedPageBreak/>
              <w:t>Workers suggested that involvement of supervisors and management could be useful in empowerment sessions</w:t>
            </w:r>
          </w:p>
          <w:p w14:paraId="0B860671" w14:textId="77777777" w:rsidR="00E6060C" w:rsidRPr="00E6060C" w:rsidRDefault="00E6060C" w:rsidP="00F15DDF">
            <w:pPr>
              <w:numPr>
                <w:ilvl w:val="0"/>
                <w:numId w:val="90"/>
              </w:numPr>
              <w:ind w:left="175" w:hanging="175"/>
              <w:contextualSpacing/>
            </w:pPr>
            <w:r w:rsidRPr="00E6060C">
              <w:t>It could help if management supported greater communication and allowed employees to ask for assistance, creating a shared responsibility between managers and their employees</w:t>
            </w:r>
          </w:p>
          <w:p w14:paraId="2FB1C5AA" w14:textId="77777777" w:rsidR="00E6060C" w:rsidRPr="00E6060C" w:rsidRDefault="00E6060C" w:rsidP="00F15DDF">
            <w:pPr>
              <w:numPr>
                <w:ilvl w:val="0"/>
                <w:numId w:val="90"/>
              </w:numPr>
              <w:ind w:left="175" w:hanging="175"/>
              <w:contextualSpacing/>
            </w:pPr>
            <w:r w:rsidRPr="00E6060C">
              <w:t xml:space="preserve">Carrying out advice offered during empowerment sessions was difficult to achieve due to the recession e.g. taking additional rest breaks when job security was threatened </w:t>
            </w:r>
          </w:p>
        </w:tc>
        <w:tc>
          <w:tcPr>
            <w:tcW w:w="4112" w:type="dxa"/>
          </w:tcPr>
          <w:p w14:paraId="51F8CF77" w14:textId="77777777" w:rsidR="00E6060C" w:rsidRPr="00E6060C" w:rsidRDefault="00E6060C" w:rsidP="00F15DDF">
            <w:pPr>
              <w:numPr>
                <w:ilvl w:val="0"/>
                <w:numId w:val="90"/>
              </w:numPr>
              <w:contextualSpacing/>
            </w:pPr>
            <w:r w:rsidRPr="00E6060C">
              <w:lastRenderedPageBreak/>
              <w:t>Study design was two armed (intervention vs control), therefore a separate evaluation of individual components of the prevention programme was not possible</w:t>
            </w:r>
          </w:p>
          <w:p w14:paraId="513BF7B9" w14:textId="77777777" w:rsidR="00E6060C" w:rsidRPr="00E6060C" w:rsidRDefault="00E6060C" w:rsidP="00F15DDF">
            <w:pPr>
              <w:numPr>
                <w:ilvl w:val="0"/>
                <w:numId w:val="90"/>
              </w:numPr>
              <w:contextualSpacing/>
            </w:pPr>
            <w:r w:rsidRPr="00E6060C">
              <w:t>Loss to follow-up was higher than expected due to the economic crisis and health-related absenteeism of workers; one company had to lay off workers and offer the remaining workers a temporary part time contract</w:t>
            </w:r>
          </w:p>
          <w:p w14:paraId="049B58D7" w14:textId="77777777" w:rsidR="00E6060C" w:rsidRPr="00E6060C" w:rsidRDefault="00E6060C" w:rsidP="00F15DDF">
            <w:pPr>
              <w:numPr>
                <w:ilvl w:val="0"/>
                <w:numId w:val="90"/>
              </w:numPr>
              <w:contextualSpacing/>
            </w:pPr>
            <w:r w:rsidRPr="00E6060C">
              <w:lastRenderedPageBreak/>
              <w:t>Economic crisis may have decreased motivation to attend a prevention programme which didn’t obviously and directly affect productivity</w:t>
            </w:r>
          </w:p>
          <w:p w14:paraId="56ABE168" w14:textId="77777777" w:rsidR="00E6060C" w:rsidRPr="00E6060C" w:rsidRDefault="00E6060C" w:rsidP="00F15DDF">
            <w:pPr>
              <w:numPr>
                <w:ilvl w:val="0"/>
                <w:numId w:val="90"/>
              </w:numPr>
              <w:contextualSpacing/>
            </w:pPr>
            <w:r w:rsidRPr="00E6060C">
              <w:t>Fear of job loss may have caused lack of commitment to the intervention programme</w:t>
            </w:r>
          </w:p>
        </w:tc>
      </w:tr>
      <w:tr w:rsidR="00E6060C" w:rsidRPr="00E6060C" w14:paraId="47C818E3" w14:textId="77777777" w:rsidTr="00E6060C">
        <w:trPr>
          <w:gridAfter w:val="1"/>
          <w:wAfter w:w="16" w:type="dxa"/>
        </w:trPr>
        <w:tc>
          <w:tcPr>
            <w:tcW w:w="567" w:type="dxa"/>
          </w:tcPr>
          <w:p w14:paraId="01003F09" w14:textId="77777777" w:rsidR="00E6060C" w:rsidRPr="00E6060C" w:rsidRDefault="00E6060C" w:rsidP="00E6060C">
            <w:pPr>
              <w:contextualSpacing/>
            </w:pPr>
            <w:r w:rsidRPr="00E6060C">
              <w:lastRenderedPageBreak/>
              <w:t>29</w:t>
            </w:r>
          </w:p>
        </w:tc>
        <w:tc>
          <w:tcPr>
            <w:tcW w:w="1418" w:type="dxa"/>
          </w:tcPr>
          <w:p w14:paraId="017EFFA2" w14:textId="4464D724" w:rsidR="00E6060C" w:rsidRPr="00E6060C" w:rsidRDefault="00276FB0" w:rsidP="00E6060C">
            <w:pPr>
              <w:contextualSpacing/>
            </w:pPr>
            <w:r>
              <w:t>*</w:t>
            </w:r>
            <w:r w:rsidR="00E6060C" w:rsidRPr="00E6060C">
              <w:t>Imamura et al., 2015</w:t>
            </w:r>
          </w:p>
        </w:tc>
        <w:tc>
          <w:tcPr>
            <w:tcW w:w="2268" w:type="dxa"/>
          </w:tcPr>
          <w:p w14:paraId="0021A8A6" w14:textId="77777777" w:rsidR="00E6060C" w:rsidRPr="00E6060C" w:rsidRDefault="00E6060C" w:rsidP="00F15DDF">
            <w:pPr>
              <w:numPr>
                <w:ilvl w:val="0"/>
                <w:numId w:val="102"/>
              </w:numPr>
              <w:contextualSpacing/>
            </w:pPr>
            <w:r w:rsidRPr="00E6060C">
              <w:t>The intervention was implemented online as planned</w:t>
            </w:r>
          </w:p>
          <w:p w14:paraId="264F8929" w14:textId="77777777" w:rsidR="00E6060C" w:rsidRPr="00E6060C" w:rsidRDefault="00E6060C" w:rsidP="00F15DDF">
            <w:pPr>
              <w:numPr>
                <w:ilvl w:val="0"/>
                <w:numId w:val="102"/>
              </w:numPr>
              <w:contextualSpacing/>
            </w:pPr>
            <w:r w:rsidRPr="00E6060C">
              <w:t xml:space="preserve">Participants in the control group could have received information about the intervention from members of the intervention group, causing cross-contamination </w:t>
            </w:r>
          </w:p>
        </w:tc>
        <w:tc>
          <w:tcPr>
            <w:tcW w:w="2268" w:type="dxa"/>
          </w:tcPr>
          <w:p w14:paraId="544DB278" w14:textId="77777777" w:rsidR="00E6060C" w:rsidRPr="00E6060C" w:rsidRDefault="00E6060C" w:rsidP="00F15DDF">
            <w:pPr>
              <w:numPr>
                <w:ilvl w:val="0"/>
                <w:numId w:val="101"/>
              </w:numPr>
              <w:contextualSpacing/>
            </w:pPr>
            <w:r w:rsidRPr="00E6060C">
              <w:t>64.8% (247) participants completed all six sessions</w:t>
            </w:r>
          </w:p>
          <w:p w14:paraId="43C49623" w14:textId="77777777" w:rsidR="00E6060C" w:rsidRPr="00E6060C" w:rsidRDefault="00E6060C" w:rsidP="00F15DDF">
            <w:pPr>
              <w:numPr>
                <w:ilvl w:val="0"/>
                <w:numId w:val="101"/>
              </w:numPr>
              <w:contextualSpacing/>
            </w:pPr>
            <w:r w:rsidRPr="00E6060C">
              <w:t>24.4% (93) submitted all 6 homework assignments</w:t>
            </w:r>
          </w:p>
          <w:p w14:paraId="67C08FCF" w14:textId="77777777" w:rsidR="00E6060C" w:rsidRPr="00E6060C" w:rsidRDefault="00E6060C" w:rsidP="00F15DDF">
            <w:pPr>
              <w:numPr>
                <w:ilvl w:val="0"/>
                <w:numId w:val="101"/>
              </w:numPr>
              <w:contextualSpacing/>
            </w:pPr>
            <w:r w:rsidRPr="00E6060C">
              <w:t>Average number of homework assignments completed: 2.7 per participant</w:t>
            </w:r>
          </w:p>
        </w:tc>
        <w:tc>
          <w:tcPr>
            <w:tcW w:w="3372" w:type="dxa"/>
          </w:tcPr>
          <w:p w14:paraId="6159E2E5" w14:textId="77777777" w:rsidR="00E6060C" w:rsidRPr="00E6060C" w:rsidRDefault="00E6060C" w:rsidP="00E6060C">
            <w:pPr>
              <w:contextualSpacing/>
            </w:pPr>
            <w:r w:rsidRPr="00E6060C">
              <w:t>No transferral of participants between groups occurred</w:t>
            </w:r>
          </w:p>
        </w:tc>
        <w:tc>
          <w:tcPr>
            <w:tcW w:w="4112" w:type="dxa"/>
          </w:tcPr>
          <w:p w14:paraId="50625E35" w14:textId="77777777" w:rsidR="00E6060C" w:rsidRPr="00E6060C" w:rsidRDefault="00E6060C" w:rsidP="00F15DDF">
            <w:pPr>
              <w:numPr>
                <w:ilvl w:val="0"/>
                <w:numId w:val="26"/>
              </w:numPr>
              <w:ind w:left="247" w:hanging="247"/>
              <w:contextualSpacing/>
            </w:pPr>
            <w:r w:rsidRPr="00E6060C">
              <w:t xml:space="preserve">All participants, in both groups, were mostly males, professionals, university graduates, and had their own PCs in the office or home. All participants should have had experience of using PCs and learning via online programmes. Generalisation of the results is thus limited. </w:t>
            </w:r>
          </w:p>
          <w:p w14:paraId="68C4EA1F" w14:textId="77777777" w:rsidR="00E6060C" w:rsidRPr="00E6060C" w:rsidRDefault="00E6060C" w:rsidP="00F15DDF">
            <w:pPr>
              <w:numPr>
                <w:ilvl w:val="0"/>
                <w:numId w:val="26"/>
              </w:numPr>
              <w:ind w:left="247" w:hanging="247"/>
              <w:contextualSpacing/>
            </w:pPr>
            <w:r w:rsidRPr="00E6060C">
              <w:t>Providing stress management tips to the control group may have weakened the effect of the intervention.</w:t>
            </w:r>
          </w:p>
          <w:p w14:paraId="6556A36A" w14:textId="77777777" w:rsidR="00E6060C" w:rsidRPr="00E6060C" w:rsidRDefault="00E6060C" w:rsidP="00F15DDF">
            <w:pPr>
              <w:numPr>
                <w:ilvl w:val="0"/>
                <w:numId w:val="26"/>
              </w:numPr>
              <w:ind w:left="247" w:hanging="247"/>
              <w:contextualSpacing/>
            </w:pPr>
            <w:r w:rsidRPr="00E6060C">
              <w:t>All outcomes were self-report.</w:t>
            </w:r>
          </w:p>
        </w:tc>
      </w:tr>
      <w:tr w:rsidR="00E6060C" w:rsidRPr="00E6060C" w14:paraId="2CD6627D" w14:textId="77777777" w:rsidTr="00E6060C">
        <w:trPr>
          <w:gridAfter w:val="1"/>
          <w:wAfter w:w="16" w:type="dxa"/>
        </w:trPr>
        <w:tc>
          <w:tcPr>
            <w:tcW w:w="567" w:type="dxa"/>
          </w:tcPr>
          <w:p w14:paraId="626F8E36" w14:textId="77777777" w:rsidR="00E6060C" w:rsidRPr="00E6060C" w:rsidRDefault="00E6060C" w:rsidP="00E6060C">
            <w:pPr>
              <w:contextualSpacing/>
            </w:pPr>
            <w:r w:rsidRPr="00E6060C">
              <w:lastRenderedPageBreak/>
              <w:t>30</w:t>
            </w:r>
          </w:p>
        </w:tc>
        <w:tc>
          <w:tcPr>
            <w:tcW w:w="1418" w:type="dxa"/>
          </w:tcPr>
          <w:p w14:paraId="6CAF8DF9" w14:textId="66005BE8" w:rsidR="00E6060C" w:rsidRPr="00E6060C" w:rsidRDefault="00276FB0" w:rsidP="00E6060C">
            <w:pPr>
              <w:contextualSpacing/>
            </w:pPr>
            <w:r>
              <w:t>*</w:t>
            </w:r>
            <w:r w:rsidR="00E6060C" w:rsidRPr="00E6060C">
              <w:t>Strijk, et al., 2013</w:t>
            </w:r>
          </w:p>
        </w:tc>
        <w:tc>
          <w:tcPr>
            <w:tcW w:w="2268" w:type="dxa"/>
          </w:tcPr>
          <w:p w14:paraId="25E679ED" w14:textId="77777777" w:rsidR="00E6060C" w:rsidRPr="00E6060C" w:rsidRDefault="00E6060C" w:rsidP="00F15DDF">
            <w:pPr>
              <w:numPr>
                <w:ilvl w:val="0"/>
                <w:numId w:val="83"/>
              </w:numPr>
              <w:ind w:left="175" w:hanging="175"/>
              <w:contextualSpacing/>
            </w:pPr>
            <w:r w:rsidRPr="00E6060C">
              <w:t>72.3% of planned yoga sessions provided</w:t>
            </w:r>
          </w:p>
          <w:p w14:paraId="15E0454D" w14:textId="77777777" w:rsidR="00E6060C" w:rsidRPr="00E6060C" w:rsidRDefault="00E6060C" w:rsidP="00F15DDF">
            <w:pPr>
              <w:numPr>
                <w:ilvl w:val="0"/>
                <w:numId w:val="83"/>
              </w:numPr>
              <w:ind w:left="175" w:hanging="175"/>
              <w:contextualSpacing/>
            </w:pPr>
            <w:r w:rsidRPr="00E6060C">
              <w:t>96.3% of all planned workout sessions provided</w:t>
            </w:r>
          </w:p>
          <w:p w14:paraId="57CF6A65" w14:textId="77777777" w:rsidR="00E6060C" w:rsidRPr="00E6060C" w:rsidRDefault="00E6060C" w:rsidP="00F15DDF">
            <w:pPr>
              <w:numPr>
                <w:ilvl w:val="0"/>
                <w:numId w:val="83"/>
              </w:numPr>
              <w:ind w:left="175" w:hanging="175"/>
              <w:contextualSpacing/>
            </w:pPr>
            <w:r w:rsidRPr="00E6060C">
              <w:t>100% Personal Vitality Coach (PVC) visits</w:t>
            </w:r>
          </w:p>
          <w:p w14:paraId="4B319336" w14:textId="77777777" w:rsidR="00E6060C" w:rsidRPr="00E6060C" w:rsidRDefault="00E6060C" w:rsidP="00F15DDF">
            <w:pPr>
              <w:numPr>
                <w:ilvl w:val="0"/>
                <w:numId w:val="83"/>
              </w:numPr>
              <w:ind w:left="175" w:hanging="175"/>
              <w:contextualSpacing/>
            </w:pPr>
            <w:r w:rsidRPr="00E6060C">
              <w:t>Protocol time schedules for yoga and workout group sessions were partly followed; in Amsterdam, both were provided every work day; in Leiden, yoga was provided on 2 working days and workout sessions on 4 working days</w:t>
            </w:r>
          </w:p>
          <w:p w14:paraId="47E95562" w14:textId="77777777" w:rsidR="00E6060C" w:rsidRPr="00E6060C" w:rsidRDefault="00E6060C" w:rsidP="00E6060C">
            <w:pPr>
              <w:ind w:left="175" w:hanging="175"/>
            </w:pPr>
            <w:r w:rsidRPr="00E6060C">
              <w:t>PVC visits:</w:t>
            </w:r>
          </w:p>
          <w:p w14:paraId="5D7D777A" w14:textId="77777777" w:rsidR="00E6060C" w:rsidRPr="00E6060C" w:rsidRDefault="00E6060C" w:rsidP="00F15DDF">
            <w:pPr>
              <w:numPr>
                <w:ilvl w:val="0"/>
                <w:numId w:val="84"/>
              </w:numPr>
              <w:ind w:left="175" w:hanging="175"/>
              <w:contextualSpacing/>
            </w:pPr>
            <w:r w:rsidRPr="00E6060C">
              <w:t>mean number of items discussed was 4.3 (SD=1.2) out of 5.</w:t>
            </w:r>
          </w:p>
          <w:p w14:paraId="315D6C39" w14:textId="77777777" w:rsidR="00E6060C" w:rsidRPr="00E6060C" w:rsidRDefault="00E6060C" w:rsidP="00F15DDF">
            <w:pPr>
              <w:numPr>
                <w:ilvl w:val="0"/>
                <w:numId w:val="84"/>
              </w:numPr>
              <w:ind w:left="175" w:hanging="175"/>
              <w:contextualSpacing/>
            </w:pPr>
            <w:r w:rsidRPr="00E6060C">
              <w:t xml:space="preserve">88.8% of visits involved discussion of goal setting and obtaining </w:t>
            </w:r>
            <w:r w:rsidRPr="00E6060C">
              <w:lastRenderedPageBreak/>
              <w:t>confidence in achieving goals</w:t>
            </w:r>
          </w:p>
          <w:p w14:paraId="680D8592" w14:textId="77777777" w:rsidR="00E6060C" w:rsidRPr="00E6060C" w:rsidRDefault="00E6060C" w:rsidP="00F15DDF">
            <w:pPr>
              <w:numPr>
                <w:ilvl w:val="0"/>
                <w:numId w:val="84"/>
              </w:numPr>
              <w:ind w:left="175" w:hanging="175"/>
              <w:contextualSpacing/>
            </w:pPr>
            <w:r w:rsidRPr="00E6060C">
              <w:t>78.2% involved feedback on goals</w:t>
            </w:r>
          </w:p>
          <w:p w14:paraId="69CA1B16" w14:textId="77777777" w:rsidR="00E6060C" w:rsidRPr="00E6060C" w:rsidRDefault="00E6060C" w:rsidP="00F15DDF">
            <w:pPr>
              <w:numPr>
                <w:ilvl w:val="0"/>
                <w:numId w:val="84"/>
              </w:numPr>
              <w:ind w:left="175" w:hanging="175"/>
              <w:contextualSpacing/>
            </w:pPr>
            <w:r w:rsidRPr="00E6060C">
              <w:t>64% of meetings discussed barriers to achieving goals</w:t>
            </w:r>
          </w:p>
          <w:p w14:paraId="097E0E29" w14:textId="77777777" w:rsidR="00E6060C" w:rsidRPr="00E6060C" w:rsidRDefault="00E6060C" w:rsidP="00F15DDF">
            <w:pPr>
              <w:numPr>
                <w:ilvl w:val="0"/>
                <w:numId w:val="84"/>
              </w:numPr>
              <w:ind w:left="175" w:hanging="175"/>
              <w:contextualSpacing/>
            </w:pPr>
            <w:r w:rsidRPr="00E6060C">
              <w:t>65.1% of meetings discussed problem solving</w:t>
            </w:r>
          </w:p>
          <w:p w14:paraId="43F1F557" w14:textId="77777777" w:rsidR="00E6060C" w:rsidRPr="00E6060C" w:rsidRDefault="00E6060C" w:rsidP="00F15DDF">
            <w:pPr>
              <w:numPr>
                <w:ilvl w:val="0"/>
                <w:numId w:val="84"/>
              </w:numPr>
              <w:ind w:left="175" w:hanging="175"/>
              <w:contextualSpacing/>
            </w:pPr>
            <w:r w:rsidRPr="00E6060C">
              <w:t>Amount each item was discussed varied between location and was significantly higher in Amsterdam for feedback on goals, barriers to achieving goals, and problem solving.</w:t>
            </w:r>
          </w:p>
        </w:tc>
        <w:tc>
          <w:tcPr>
            <w:tcW w:w="2268" w:type="dxa"/>
          </w:tcPr>
          <w:p w14:paraId="345DD828" w14:textId="77777777" w:rsidR="00E6060C" w:rsidRPr="00E6060C" w:rsidRDefault="00E6060C" w:rsidP="00E6060C">
            <w:r w:rsidRPr="00E6060C">
              <w:lastRenderedPageBreak/>
              <w:t>Guided yoga sessions:</w:t>
            </w:r>
          </w:p>
          <w:p w14:paraId="0F3A504C" w14:textId="77777777" w:rsidR="00E6060C" w:rsidRPr="00E6060C" w:rsidRDefault="00E6060C" w:rsidP="00F15DDF">
            <w:pPr>
              <w:numPr>
                <w:ilvl w:val="0"/>
                <w:numId w:val="84"/>
              </w:numPr>
              <w:ind w:left="175" w:hanging="175"/>
              <w:contextualSpacing/>
            </w:pPr>
            <w:r w:rsidRPr="00E6060C">
              <w:t>Mean number of attended yoga sessions was 10.4/24 (SD=7.1), with an attendance rate of 51.7% (higher in Leiden)</w:t>
            </w:r>
          </w:p>
          <w:p w14:paraId="4B273E50" w14:textId="77777777" w:rsidR="00E6060C" w:rsidRPr="00E6060C" w:rsidRDefault="00E6060C" w:rsidP="00F15DDF">
            <w:pPr>
              <w:numPr>
                <w:ilvl w:val="0"/>
                <w:numId w:val="84"/>
              </w:numPr>
              <w:ind w:left="175" w:hanging="175"/>
              <w:contextualSpacing/>
            </w:pPr>
            <w:r w:rsidRPr="00E6060C">
              <w:t>70.6% attended at least one yoga session with no differences between location</w:t>
            </w:r>
          </w:p>
          <w:p w14:paraId="3B8E6093" w14:textId="77777777" w:rsidR="00E6060C" w:rsidRPr="00E6060C" w:rsidRDefault="00E6060C" w:rsidP="00E6060C">
            <w:pPr>
              <w:ind w:left="175" w:hanging="175"/>
            </w:pPr>
            <w:r w:rsidRPr="00E6060C">
              <w:t>Guided workout sessions:</w:t>
            </w:r>
          </w:p>
          <w:p w14:paraId="601BB540" w14:textId="77777777" w:rsidR="00E6060C" w:rsidRPr="00E6060C" w:rsidRDefault="00E6060C" w:rsidP="00F15DDF">
            <w:pPr>
              <w:numPr>
                <w:ilvl w:val="0"/>
                <w:numId w:val="84"/>
              </w:numPr>
              <w:ind w:left="175" w:hanging="175"/>
              <w:contextualSpacing/>
            </w:pPr>
            <w:r w:rsidRPr="00E6060C">
              <w:t xml:space="preserve">Mean number of attended workout sessions was 11.1/24 (SD=7.2), with an attendance rate of 44.8% </w:t>
            </w:r>
          </w:p>
          <w:p w14:paraId="22054DE4" w14:textId="77777777" w:rsidR="00E6060C" w:rsidRPr="00E6060C" w:rsidRDefault="00E6060C" w:rsidP="00F15DDF">
            <w:pPr>
              <w:numPr>
                <w:ilvl w:val="0"/>
                <w:numId w:val="84"/>
              </w:numPr>
              <w:ind w:left="175" w:hanging="175"/>
              <w:contextualSpacing/>
            </w:pPr>
            <w:r w:rsidRPr="00E6060C">
              <w:t>63.8% attended at least one workout session, with attendance higher in Amsterdam</w:t>
            </w:r>
          </w:p>
          <w:p w14:paraId="4089DE0C" w14:textId="77777777" w:rsidR="00E6060C" w:rsidRPr="00E6060C" w:rsidRDefault="00E6060C" w:rsidP="00E6060C">
            <w:pPr>
              <w:ind w:left="175" w:hanging="175"/>
            </w:pPr>
            <w:r w:rsidRPr="00E6060C">
              <w:t>PVC visits:</w:t>
            </w:r>
          </w:p>
          <w:p w14:paraId="0418515F" w14:textId="77777777" w:rsidR="00E6060C" w:rsidRPr="00E6060C" w:rsidRDefault="00E6060C" w:rsidP="00F15DDF">
            <w:pPr>
              <w:numPr>
                <w:ilvl w:val="0"/>
                <w:numId w:val="87"/>
              </w:numPr>
              <w:ind w:left="175" w:hanging="175"/>
              <w:contextualSpacing/>
            </w:pPr>
            <w:r w:rsidRPr="00E6060C">
              <w:t xml:space="preserve">Mean no. PVC visits was 2.7 (SD=0.6), and was significantly higher in </w:t>
            </w:r>
            <w:r w:rsidRPr="00E6060C">
              <w:lastRenderedPageBreak/>
              <w:t>Amsterdam than Leiden)</w:t>
            </w:r>
          </w:p>
          <w:p w14:paraId="33F66947" w14:textId="77777777" w:rsidR="00E6060C" w:rsidRPr="00E6060C" w:rsidRDefault="00E6060C" w:rsidP="00F15DDF">
            <w:pPr>
              <w:numPr>
                <w:ilvl w:val="0"/>
                <w:numId w:val="84"/>
              </w:numPr>
              <w:ind w:left="175" w:hanging="175"/>
              <w:contextualSpacing/>
            </w:pPr>
            <w:r w:rsidRPr="00E6060C">
              <w:t>89.6% attended at least one PVC visit, with no differences between location</w:t>
            </w:r>
          </w:p>
          <w:p w14:paraId="0F319260" w14:textId="77777777" w:rsidR="00E6060C" w:rsidRPr="00E6060C" w:rsidRDefault="00E6060C" w:rsidP="00F15DDF">
            <w:pPr>
              <w:numPr>
                <w:ilvl w:val="0"/>
                <w:numId w:val="84"/>
              </w:numPr>
              <w:ind w:left="175" w:hanging="175"/>
              <w:contextualSpacing/>
            </w:pPr>
            <w:r w:rsidRPr="00E6060C">
              <w:t>52% attended all three components at least once, and the figure was higher for Amsterdam (59.2%) than Leiden (36.8%)</w:t>
            </w:r>
          </w:p>
        </w:tc>
        <w:tc>
          <w:tcPr>
            <w:tcW w:w="3372" w:type="dxa"/>
          </w:tcPr>
          <w:p w14:paraId="7BC92E95" w14:textId="77777777" w:rsidR="00E6060C" w:rsidRPr="00E6060C" w:rsidRDefault="00E6060C" w:rsidP="00E6060C">
            <w:pPr>
              <w:contextualSpacing/>
            </w:pPr>
            <w:r w:rsidRPr="00E6060C">
              <w:lastRenderedPageBreak/>
              <w:t>Reasons for not attending yoga sessions included:</w:t>
            </w:r>
          </w:p>
          <w:p w14:paraId="700D15CB" w14:textId="77777777" w:rsidR="00E6060C" w:rsidRPr="00E6060C" w:rsidRDefault="00E6060C" w:rsidP="00F15DDF">
            <w:pPr>
              <w:numPr>
                <w:ilvl w:val="0"/>
                <w:numId w:val="85"/>
              </w:numPr>
              <w:contextualSpacing/>
            </w:pPr>
            <w:r w:rsidRPr="00E6060C">
              <w:t>Lack of time (most reported reason)</w:t>
            </w:r>
          </w:p>
          <w:p w14:paraId="4109FCC4" w14:textId="77777777" w:rsidR="00E6060C" w:rsidRPr="00E6060C" w:rsidRDefault="00E6060C" w:rsidP="00F15DDF">
            <w:pPr>
              <w:numPr>
                <w:ilvl w:val="0"/>
                <w:numId w:val="85"/>
              </w:numPr>
              <w:contextualSpacing/>
            </w:pPr>
            <w:r w:rsidRPr="00E6060C">
              <w:t>Not liking yoga</w:t>
            </w:r>
          </w:p>
          <w:p w14:paraId="3732B3F6" w14:textId="77777777" w:rsidR="00E6060C" w:rsidRPr="00E6060C" w:rsidRDefault="00E6060C" w:rsidP="00F15DDF">
            <w:pPr>
              <w:numPr>
                <w:ilvl w:val="0"/>
                <w:numId w:val="85"/>
              </w:numPr>
              <w:contextualSpacing/>
            </w:pPr>
            <w:r w:rsidRPr="00E6060C">
              <w:t>Health (e.g. musculoskeletal symptoms)</w:t>
            </w:r>
          </w:p>
          <w:p w14:paraId="2F2EA628" w14:textId="77777777" w:rsidR="00E6060C" w:rsidRPr="00E6060C" w:rsidRDefault="00E6060C" w:rsidP="00F15DDF">
            <w:pPr>
              <w:numPr>
                <w:ilvl w:val="0"/>
                <w:numId w:val="85"/>
              </w:numPr>
              <w:contextualSpacing/>
            </w:pPr>
            <w:r w:rsidRPr="00E6060C">
              <w:t>Timing of sessions (esp. a problem in Leiden, where sessions were provided outside of working hours, and limited to 4 sessions a week)</w:t>
            </w:r>
          </w:p>
          <w:p w14:paraId="2BA91271" w14:textId="77777777" w:rsidR="00E6060C" w:rsidRPr="00E6060C" w:rsidRDefault="00E6060C" w:rsidP="00E6060C">
            <w:r w:rsidRPr="00E6060C">
              <w:t>Reasons for not attending a workout session were:</w:t>
            </w:r>
          </w:p>
          <w:p w14:paraId="10353E96" w14:textId="77777777" w:rsidR="00E6060C" w:rsidRPr="00E6060C" w:rsidRDefault="00E6060C" w:rsidP="00F15DDF">
            <w:pPr>
              <w:numPr>
                <w:ilvl w:val="0"/>
                <w:numId w:val="86"/>
              </w:numPr>
              <w:contextualSpacing/>
            </w:pPr>
            <w:r w:rsidRPr="00E6060C">
              <w:t>Lack of time</w:t>
            </w:r>
          </w:p>
          <w:p w14:paraId="65AEC98C" w14:textId="77777777" w:rsidR="00E6060C" w:rsidRPr="00E6060C" w:rsidRDefault="00E6060C" w:rsidP="00F15DDF">
            <w:pPr>
              <w:numPr>
                <w:ilvl w:val="0"/>
                <w:numId w:val="86"/>
              </w:numPr>
              <w:contextualSpacing/>
            </w:pPr>
            <w:r w:rsidRPr="00E6060C">
              <w:t>Workers perception they already exercised enough</w:t>
            </w:r>
          </w:p>
          <w:p w14:paraId="7D76DD84" w14:textId="77777777" w:rsidR="00E6060C" w:rsidRPr="00E6060C" w:rsidRDefault="00E6060C" w:rsidP="00F15DDF">
            <w:pPr>
              <w:numPr>
                <w:ilvl w:val="0"/>
                <w:numId w:val="86"/>
              </w:numPr>
              <w:contextualSpacing/>
            </w:pPr>
            <w:r w:rsidRPr="00E6060C">
              <w:t>Not liking exercise</w:t>
            </w:r>
          </w:p>
          <w:p w14:paraId="541D131A" w14:textId="77777777" w:rsidR="00E6060C" w:rsidRPr="00E6060C" w:rsidRDefault="00E6060C" w:rsidP="00F15DDF">
            <w:pPr>
              <w:numPr>
                <w:ilvl w:val="0"/>
                <w:numId w:val="86"/>
              </w:numPr>
              <w:contextualSpacing/>
            </w:pPr>
            <w:r w:rsidRPr="00E6060C">
              <w:t>Distance to sessions (cited by workers in Leiden)</w:t>
            </w:r>
          </w:p>
          <w:p w14:paraId="7A72B9EA" w14:textId="77777777" w:rsidR="00E6060C" w:rsidRPr="00E6060C" w:rsidRDefault="00E6060C" w:rsidP="00E6060C">
            <w:r w:rsidRPr="00E6060C">
              <w:t>Reasons for not attending a PVC visit:</w:t>
            </w:r>
          </w:p>
          <w:p w14:paraId="1E532E4F" w14:textId="77777777" w:rsidR="00E6060C" w:rsidRPr="00E6060C" w:rsidRDefault="00E6060C" w:rsidP="00F15DDF">
            <w:pPr>
              <w:numPr>
                <w:ilvl w:val="0"/>
                <w:numId w:val="88"/>
              </w:numPr>
              <w:contextualSpacing/>
            </w:pPr>
            <w:r w:rsidRPr="00E6060C">
              <w:t>Time constraints</w:t>
            </w:r>
          </w:p>
          <w:p w14:paraId="7824608A" w14:textId="77777777" w:rsidR="00E6060C" w:rsidRPr="00E6060C" w:rsidRDefault="00E6060C" w:rsidP="00F15DDF">
            <w:pPr>
              <w:numPr>
                <w:ilvl w:val="0"/>
                <w:numId w:val="88"/>
              </w:numPr>
              <w:contextualSpacing/>
            </w:pPr>
            <w:r w:rsidRPr="00E6060C">
              <w:t>Work obligations</w:t>
            </w:r>
          </w:p>
          <w:p w14:paraId="26989827" w14:textId="77777777" w:rsidR="00E6060C" w:rsidRPr="00E6060C" w:rsidRDefault="00E6060C" w:rsidP="00E6060C">
            <w:r w:rsidRPr="00E6060C">
              <w:t>Workers’ overall opinion and satisfaction with the intervention, rated on a scale of 1 (very bad) to 10 (excellent):</w:t>
            </w:r>
          </w:p>
          <w:p w14:paraId="4711DA1F" w14:textId="77777777" w:rsidR="00E6060C" w:rsidRPr="00E6060C" w:rsidRDefault="00E6060C" w:rsidP="00F15DDF">
            <w:pPr>
              <w:numPr>
                <w:ilvl w:val="0"/>
                <w:numId w:val="89"/>
              </w:numPr>
              <w:contextualSpacing/>
            </w:pPr>
            <w:r w:rsidRPr="00E6060C">
              <w:t xml:space="preserve">Higher ratings for yoga and workout sessions were given by those who attended sessions in Leiden rather than </w:t>
            </w:r>
            <w:r w:rsidRPr="00E6060C">
              <w:lastRenderedPageBreak/>
              <w:t>Amsterdam (range 7.7-8.3 across both locations)</w:t>
            </w:r>
          </w:p>
          <w:p w14:paraId="12E9BBD2" w14:textId="77777777" w:rsidR="00E6060C" w:rsidRPr="00E6060C" w:rsidRDefault="00E6060C" w:rsidP="00F15DDF">
            <w:pPr>
              <w:numPr>
                <w:ilvl w:val="0"/>
                <w:numId w:val="89"/>
              </w:numPr>
              <w:contextualSpacing/>
            </w:pPr>
            <w:r w:rsidRPr="00E6060C">
              <w:t>Higher ratings for PVC visits were given by those in Amsterdam (M=7.1, Amsterdam, 6.5, Leiden)</w:t>
            </w:r>
          </w:p>
          <w:p w14:paraId="2BD711A0" w14:textId="77777777" w:rsidR="00E6060C" w:rsidRPr="00E6060C" w:rsidRDefault="00E6060C" w:rsidP="00E6060C"/>
        </w:tc>
        <w:tc>
          <w:tcPr>
            <w:tcW w:w="4112" w:type="dxa"/>
          </w:tcPr>
          <w:p w14:paraId="74CBF2A6" w14:textId="77777777" w:rsidR="00E6060C" w:rsidRPr="00E6060C" w:rsidRDefault="00E6060C" w:rsidP="00F15DDF">
            <w:pPr>
              <w:numPr>
                <w:ilvl w:val="0"/>
                <w:numId w:val="89"/>
              </w:numPr>
              <w:ind w:left="175" w:hanging="175"/>
              <w:contextualSpacing/>
            </w:pPr>
            <w:r w:rsidRPr="00E6060C">
              <w:lastRenderedPageBreak/>
              <w:t>Although upper management supported the interventions at both locations, in Leiden this support was not communicated in writing to supervisors and team leaders</w:t>
            </w:r>
          </w:p>
          <w:p w14:paraId="4F28CE1A" w14:textId="77777777" w:rsidR="00E6060C" w:rsidRPr="00E6060C" w:rsidRDefault="00E6060C" w:rsidP="00F15DDF">
            <w:pPr>
              <w:numPr>
                <w:ilvl w:val="0"/>
                <w:numId w:val="89"/>
              </w:numPr>
              <w:ind w:left="175" w:hanging="175"/>
              <w:contextualSpacing/>
            </w:pPr>
            <w:r w:rsidRPr="00E6060C">
              <w:t>In Leiden, workers needed a bicycle or public transport to get to workout sessions resulting in a time investment workers were unhappy to give</w:t>
            </w:r>
          </w:p>
          <w:p w14:paraId="6B77A8C3" w14:textId="77777777" w:rsidR="00E6060C" w:rsidRPr="00E6060C" w:rsidRDefault="00E6060C" w:rsidP="00F15DDF">
            <w:pPr>
              <w:numPr>
                <w:ilvl w:val="0"/>
                <w:numId w:val="89"/>
              </w:numPr>
              <w:ind w:left="175" w:hanging="175"/>
              <w:contextualSpacing/>
            </w:pPr>
            <w:r w:rsidRPr="00E6060C">
              <w:t>Workers in Leiden already appreciated yoga and exercised more than those in Amsterdam, suggesting sampling bias</w:t>
            </w:r>
          </w:p>
          <w:p w14:paraId="68924191" w14:textId="77777777" w:rsidR="00E6060C" w:rsidRPr="00E6060C" w:rsidRDefault="00E6060C" w:rsidP="00F15DDF">
            <w:pPr>
              <w:numPr>
                <w:ilvl w:val="0"/>
                <w:numId w:val="89"/>
              </w:numPr>
              <w:ind w:left="175" w:hanging="175"/>
              <w:contextualSpacing/>
            </w:pPr>
            <w:r w:rsidRPr="00E6060C">
              <w:t>Training guidance was rated higher in Leiden, which was also an aspect workers considered important, which may be why attendance was higher in Leiden</w:t>
            </w:r>
          </w:p>
          <w:p w14:paraId="4DEA33E9" w14:textId="77777777" w:rsidR="00E6060C" w:rsidRPr="00E6060C" w:rsidRDefault="00E6060C" w:rsidP="00F15DDF">
            <w:pPr>
              <w:numPr>
                <w:ilvl w:val="0"/>
                <w:numId w:val="89"/>
              </w:numPr>
              <w:ind w:left="175" w:hanging="175"/>
              <w:contextualSpacing/>
            </w:pPr>
            <w:r w:rsidRPr="00E6060C">
              <w:t xml:space="preserve">PVC sessions did not always follow protocol in Leiden, hence why visits may have been rated lower here </w:t>
            </w:r>
          </w:p>
        </w:tc>
      </w:tr>
      <w:tr w:rsidR="00E6060C" w:rsidRPr="00E6060C" w14:paraId="62EE08BB" w14:textId="77777777" w:rsidTr="00E6060C">
        <w:trPr>
          <w:gridAfter w:val="1"/>
          <w:wAfter w:w="16" w:type="dxa"/>
          <w:trHeight w:val="1168"/>
        </w:trPr>
        <w:tc>
          <w:tcPr>
            <w:tcW w:w="567" w:type="dxa"/>
          </w:tcPr>
          <w:p w14:paraId="378D1E04" w14:textId="77777777" w:rsidR="00E6060C" w:rsidRPr="00E6060C" w:rsidRDefault="00E6060C" w:rsidP="00E6060C">
            <w:pPr>
              <w:contextualSpacing/>
            </w:pPr>
            <w:r w:rsidRPr="00E6060C">
              <w:t>31</w:t>
            </w:r>
          </w:p>
        </w:tc>
        <w:tc>
          <w:tcPr>
            <w:tcW w:w="1418" w:type="dxa"/>
          </w:tcPr>
          <w:p w14:paraId="3BC559AB" w14:textId="4F4F8321" w:rsidR="00E6060C" w:rsidRPr="00E6060C" w:rsidRDefault="00276FB0" w:rsidP="00E6060C">
            <w:pPr>
              <w:contextualSpacing/>
            </w:pPr>
            <w:r>
              <w:t>*</w:t>
            </w:r>
            <w:r w:rsidR="00E6060C" w:rsidRPr="00E6060C">
              <w:t>Van Berkel, et al., 2014</w:t>
            </w:r>
          </w:p>
        </w:tc>
        <w:tc>
          <w:tcPr>
            <w:tcW w:w="2268" w:type="dxa"/>
          </w:tcPr>
          <w:p w14:paraId="1D0DC346" w14:textId="77777777" w:rsidR="00E6060C" w:rsidRPr="00E6060C" w:rsidRDefault="00E6060C" w:rsidP="00F15DDF">
            <w:pPr>
              <w:numPr>
                <w:ilvl w:val="0"/>
                <w:numId w:val="97"/>
              </w:numPr>
              <w:ind w:left="175" w:hanging="175"/>
              <w:contextualSpacing/>
            </w:pPr>
            <w:r w:rsidRPr="00E6060C">
              <w:t>Mindfulness training was implemented well</w:t>
            </w:r>
          </w:p>
          <w:p w14:paraId="34091937" w14:textId="77777777" w:rsidR="00E6060C" w:rsidRPr="00E6060C" w:rsidRDefault="00E6060C" w:rsidP="00F15DDF">
            <w:pPr>
              <w:numPr>
                <w:ilvl w:val="0"/>
                <w:numId w:val="97"/>
              </w:numPr>
              <w:ind w:left="175" w:hanging="175"/>
              <w:contextualSpacing/>
            </w:pPr>
            <w:r w:rsidRPr="00E6060C">
              <w:t>The e-coaching and homework components were not implemented well</w:t>
            </w:r>
          </w:p>
          <w:p w14:paraId="5C192314" w14:textId="77777777" w:rsidR="00E6060C" w:rsidRPr="00E6060C" w:rsidRDefault="00E6060C" w:rsidP="00F15DDF">
            <w:pPr>
              <w:numPr>
                <w:ilvl w:val="0"/>
                <w:numId w:val="97"/>
              </w:numPr>
              <w:ind w:left="175" w:hanging="175"/>
              <w:contextualSpacing/>
            </w:pPr>
            <w:r w:rsidRPr="00E6060C">
              <w:t xml:space="preserve">The principal mindfulness trainer reported that </w:t>
            </w:r>
            <w:r w:rsidRPr="00E6060C">
              <w:lastRenderedPageBreak/>
              <w:t>protocol was adhered to</w:t>
            </w:r>
          </w:p>
          <w:p w14:paraId="4B6396C6" w14:textId="77777777" w:rsidR="00E6060C" w:rsidRPr="00E6060C" w:rsidRDefault="00E6060C" w:rsidP="00F15DDF">
            <w:pPr>
              <w:numPr>
                <w:ilvl w:val="0"/>
                <w:numId w:val="97"/>
              </w:numPr>
              <w:ind w:left="175" w:hanging="175"/>
              <w:contextualSpacing/>
            </w:pPr>
            <w:r w:rsidRPr="00E6060C">
              <w:t>Trainers differed in how they supported the buddy system; one actively encouraged ‘buddy pairs’ to form as per protocol, whereas others only mentioned it or left it up to the group</w:t>
            </w:r>
          </w:p>
          <w:p w14:paraId="469C01F8" w14:textId="77777777" w:rsidR="00E6060C" w:rsidRPr="00E6060C" w:rsidRDefault="00E6060C" w:rsidP="00F15DDF">
            <w:pPr>
              <w:numPr>
                <w:ilvl w:val="0"/>
                <w:numId w:val="97"/>
              </w:numPr>
              <w:ind w:left="175" w:hanging="175"/>
              <w:contextualSpacing/>
            </w:pPr>
            <w:r w:rsidRPr="00E6060C">
              <w:t>Trainers differed in how they handled the homework; one motivated participants to complete it, which was not part of the protocol.</w:t>
            </w:r>
          </w:p>
          <w:p w14:paraId="6A047157" w14:textId="77777777" w:rsidR="00E6060C" w:rsidRPr="00E6060C" w:rsidRDefault="00E6060C" w:rsidP="00F15DDF">
            <w:pPr>
              <w:numPr>
                <w:ilvl w:val="0"/>
                <w:numId w:val="97"/>
              </w:numPr>
              <w:ind w:left="175" w:hanging="175"/>
              <w:contextualSpacing/>
            </w:pPr>
            <w:r w:rsidRPr="00E6060C">
              <w:t xml:space="preserve">Barriers to adherence to protocol included: the healthy study population (no motivation to engage); the room (poorly furnished); changing group members and thus changing group dynamics; and a </w:t>
            </w:r>
            <w:r w:rsidRPr="00E6060C">
              <w:lastRenderedPageBreak/>
              <w:t>diversity in homework exercises which was too large</w:t>
            </w:r>
          </w:p>
          <w:p w14:paraId="477D062C" w14:textId="77777777" w:rsidR="00E6060C" w:rsidRPr="00E6060C" w:rsidRDefault="00E6060C" w:rsidP="00E6060C"/>
        </w:tc>
        <w:tc>
          <w:tcPr>
            <w:tcW w:w="2268" w:type="dxa"/>
          </w:tcPr>
          <w:p w14:paraId="2262B195" w14:textId="77777777" w:rsidR="00E6060C" w:rsidRPr="00E6060C" w:rsidRDefault="00E6060C" w:rsidP="00E6060C">
            <w:r w:rsidRPr="00E6060C">
              <w:lastRenderedPageBreak/>
              <w:t>Mindfulness component:</w:t>
            </w:r>
          </w:p>
          <w:p w14:paraId="3F4374AD" w14:textId="77777777" w:rsidR="00E6060C" w:rsidRPr="00E6060C" w:rsidRDefault="00E6060C" w:rsidP="00F15DDF">
            <w:pPr>
              <w:numPr>
                <w:ilvl w:val="0"/>
                <w:numId w:val="97"/>
              </w:numPr>
              <w:contextualSpacing/>
            </w:pPr>
            <w:r w:rsidRPr="00E6060C">
              <w:t>81.3% of subjects attended the mindfulness training at least once</w:t>
            </w:r>
          </w:p>
          <w:p w14:paraId="19DFD8A2" w14:textId="77777777" w:rsidR="00E6060C" w:rsidRPr="00E6060C" w:rsidRDefault="00E6060C" w:rsidP="00F15DDF">
            <w:pPr>
              <w:numPr>
                <w:ilvl w:val="0"/>
                <w:numId w:val="97"/>
              </w:numPr>
              <w:contextualSpacing/>
            </w:pPr>
            <w:r w:rsidRPr="00E6060C">
              <w:t>54.5% were highly compliant (6+ of 8 sessions attended)</w:t>
            </w:r>
          </w:p>
          <w:p w14:paraId="3B8672C7" w14:textId="77777777" w:rsidR="00E6060C" w:rsidRPr="00E6060C" w:rsidRDefault="00E6060C" w:rsidP="00E6060C">
            <w:r w:rsidRPr="00E6060C">
              <w:t>E-coaching:</w:t>
            </w:r>
          </w:p>
          <w:p w14:paraId="2FEE116A" w14:textId="77777777" w:rsidR="00E6060C" w:rsidRPr="00E6060C" w:rsidRDefault="00E6060C" w:rsidP="00F15DDF">
            <w:pPr>
              <w:numPr>
                <w:ilvl w:val="0"/>
                <w:numId w:val="97"/>
              </w:numPr>
              <w:contextualSpacing/>
            </w:pPr>
            <w:r w:rsidRPr="00E6060C">
              <w:lastRenderedPageBreak/>
              <w:t>30.4% accessed e-coaching at least once</w:t>
            </w:r>
          </w:p>
          <w:p w14:paraId="5B1ED02B" w14:textId="77777777" w:rsidR="00E6060C" w:rsidRPr="00E6060C" w:rsidRDefault="00E6060C" w:rsidP="00F15DDF">
            <w:pPr>
              <w:numPr>
                <w:ilvl w:val="0"/>
                <w:numId w:val="97"/>
              </w:numPr>
              <w:contextualSpacing/>
            </w:pPr>
            <w:r w:rsidRPr="00E6060C">
              <w:t>1.5 emails were exchanged with the e-coach on average</w:t>
            </w:r>
          </w:p>
          <w:p w14:paraId="4824F875" w14:textId="77777777" w:rsidR="00E6060C" w:rsidRPr="00E6060C" w:rsidRDefault="00E6060C" w:rsidP="00F15DDF">
            <w:pPr>
              <w:numPr>
                <w:ilvl w:val="0"/>
                <w:numId w:val="97"/>
              </w:numPr>
              <w:contextualSpacing/>
            </w:pPr>
            <w:r w:rsidRPr="00E6060C">
              <w:t>6.3% were highly compliant with e-coaching (6+ emails exchanged)</w:t>
            </w:r>
          </w:p>
          <w:p w14:paraId="4D5C7D7D" w14:textId="77777777" w:rsidR="00E6060C" w:rsidRPr="00E6060C" w:rsidRDefault="00E6060C" w:rsidP="00F15DDF">
            <w:pPr>
              <w:numPr>
                <w:ilvl w:val="0"/>
                <w:numId w:val="97"/>
              </w:numPr>
              <w:contextualSpacing/>
            </w:pPr>
            <w:r w:rsidRPr="00E6060C">
              <w:t>Low response to emails reported by the trainer</w:t>
            </w:r>
          </w:p>
          <w:p w14:paraId="70470E35" w14:textId="77777777" w:rsidR="00E6060C" w:rsidRPr="00E6060C" w:rsidRDefault="00E6060C" w:rsidP="00F15DDF">
            <w:pPr>
              <w:numPr>
                <w:ilvl w:val="0"/>
                <w:numId w:val="97"/>
              </w:numPr>
              <w:contextualSpacing/>
            </w:pPr>
            <w:r w:rsidRPr="00E6060C">
              <w:t>Vacations of participants and trainers did not occur simultaneously, hindering email exchange</w:t>
            </w:r>
          </w:p>
          <w:p w14:paraId="70F8F35F" w14:textId="77777777" w:rsidR="00E6060C" w:rsidRPr="00E6060C" w:rsidRDefault="00E6060C" w:rsidP="00E6060C">
            <w:r w:rsidRPr="00E6060C">
              <w:t>Homework:</w:t>
            </w:r>
          </w:p>
          <w:p w14:paraId="199D87EA" w14:textId="77777777" w:rsidR="00E6060C" w:rsidRPr="00E6060C" w:rsidRDefault="00E6060C" w:rsidP="00F15DDF">
            <w:pPr>
              <w:numPr>
                <w:ilvl w:val="0"/>
                <w:numId w:val="97"/>
              </w:numPr>
              <w:contextualSpacing/>
            </w:pPr>
            <w:r w:rsidRPr="00E6060C">
              <w:t>53.6 mins were spent on homework on average per wk</w:t>
            </w:r>
          </w:p>
          <w:p w14:paraId="4B73CDFC" w14:textId="77777777" w:rsidR="00E6060C" w:rsidRPr="00E6060C" w:rsidRDefault="00E6060C" w:rsidP="00F15DDF">
            <w:pPr>
              <w:numPr>
                <w:ilvl w:val="0"/>
                <w:numId w:val="97"/>
              </w:numPr>
              <w:contextualSpacing/>
            </w:pPr>
            <w:r w:rsidRPr="00E6060C">
              <w:t>8.0% were highly compliant with homework exercises</w:t>
            </w:r>
          </w:p>
          <w:p w14:paraId="34B21C4E" w14:textId="77777777" w:rsidR="00E6060C" w:rsidRPr="00E6060C" w:rsidRDefault="00E6060C" w:rsidP="00E6060C">
            <w:r w:rsidRPr="00E6060C">
              <w:t>Other components:</w:t>
            </w:r>
          </w:p>
          <w:p w14:paraId="2FF4BB6C" w14:textId="77777777" w:rsidR="00E6060C" w:rsidRPr="00E6060C" w:rsidRDefault="00E6060C" w:rsidP="00F15DDF">
            <w:pPr>
              <w:numPr>
                <w:ilvl w:val="0"/>
                <w:numId w:val="97"/>
              </w:numPr>
              <w:contextualSpacing/>
            </w:pPr>
            <w:r w:rsidRPr="00E6060C">
              <w:lastRenderedPageBreak/>
              <w:t>68.8% reported accessing the free fruit provided</w:t>
            </w:r>
          </w:p>
          <w:p w14:paraId="5AC6E4F7" w14:textId="77777777" w:rsidR="00E6060C" w:rsidRPr="00E6060C" w:rsidRDefault="00E6060C" w:rsidP="00F15DDF">
            <w:pPr>
              <w:numPr>
                <w:ilvl w:val="0"/>
                <w:numId w:val="97"/>
              </w:numPr>
              <w:contextualSpacing/>
            </w:pPr>
            <w:r w:rsidRPr="00E6060C">
              <w:t>32.2% accessed the buddy system</w:t>
            </w:r>
          </w:p>
          <w:p w14:paraId="1B4AC38E" w14:textId="77777777" w:rsidR="00E6060C" w:rsidRPr="00E6060C" w:rsidRDefault="00E6060C" w:rsidP="00F15DDF">
            <w:pPr>
              <w:numPr>
                <w:ilvl w:val="0"/>
                <w:numId w:val="97"/>
              </w:numPr>
              <w:contextualSpacing/>
            </w:pPr>
            <w:r w:rsidRPr="00E6060C">
              <w:t>4.5% used the lunch walking routes</w:t>
            </w:r>
          </w:p>
          <w:p w14:paraId="1E3CE0AD" w14:textId="77777777" w:rsidR="00E6060C" w:rsidRPr="00E6060C" w:rsidRDefault="00E6060C" w:rsidP="00F15DDF">
            <w:pPr>
              <w:numPr>
                <w:ilvl w:val="0"/>
                <w:numId w:val="97"/>
              </w:numPr>
              <w:contextualSpacing/>
            </w:pPr>
            <w:r w:rsidRPr="00E6060C">
              <w:t>The booklet, audio CD and homework handouts were used ‘sometimes’, on average</w:t>
            </w:r>
          </w:p>
          <w:p w14:paraId="20840845" w14:textId="77777777" w:rsidR="00E6060C" w:rsidRPr="00E6060C" w:rsidRDefault="00E6060C" w:rsidP="00F15DDF">
            <w:pPr>
              <w:numPr>
                <w:ilvl w:val="0"/>
                <w:numId w:val="97"/>
              </w:numPr>
              <w:contextualSpacing/>
            </w:pPr>
            <w:r w:rsidRPr="00E6060C">
              <w:t>The intranet page and e-coaching logbook were used ‘seldom’, on average</w:t>
            </w:r>
          </w:p>
          <w:p w14:paraId="043DF41F" w14:textId="77777777" w:rsidR="00E6060C" w:rsidRPr="00E6060C" w:rsidRDefault="00E6060C" w:rsidP="00E6060C">
            <w:r w:rsidRPr="00E6060C">
              <w:t>Satisfaction with intervention:</w:t>
            </w:r>
          </w:p>
          <w:p w14:paraId="57CAED73" w14:textId="77777777" w:rsidR="00E6060C" w:rsidRPr="00E6060C" w:rsidRDefault="00E6060C" w:rsidP="00F15DDF">
            <w:pPr>
              <w:numPr>
                <w:ilvl w:val="0"/>
                <w:numId w:val="97"/>
              </w:numPr>
              <w:contextualSpacing/>
            </w:pPr>
            <w:r w:rsidRPr="00E6060C">
              <w:t>Appreciation of training (7/10 average) and e-coaching (6.8/10 average), and satisfaction with the quality of the trainer (76.1% were satisfied) and e-</w:t>
            </w:r>
          </w:p>
          <w:p w14:paraId="1F044AB8" w14:textId="77777777" w:rsidR="00E6060C" w:rsidRPr="00E6060C" w:rsidRDefault="00E6060C" w:rsidP="00E6060C">
            <w:pPr>
              <w:spacing w:after="200" w:line="276" w:lineRule="auto"/>
              <w:ind w:left="360"/>
              <w:contextualSpacing/>
            </w:pPr>
            <w:r w:rsidRPr="00E6060C">
              <w:lastRenderedPageBreak/>
              <w:t>coach (64.4% were satisfied), were significantly associated with compliance</w:t>
            </w:r>
          </w:p>
          <w:p w14:paraId="02B32494" w14:textId="77777777" w:rsidR="00E6060C" w:rsidRPr="00E6060C" w:rsidRDefault="00E6060C" w:rsidP="00F15DDF">
            <w:pPr>
              <w:numPr>
                <w:ilvl w:val="0"/>
                <w:numId w:val="97"/>
              </w:numPr>
              <w:contextualSpacing/>
            </w:pPr>
            <w:r w:rsidRPr="00E6060C">
              <w:t>67% considered the training useful, 54.8% found the homework useful and 47.8% found the e-coaching useful</w:t>
            </w:r>
          </w:p>
          <w:p w14:paraId="2D8EE9EE" w14:textId="77777777" w:rsidR="00E6060C" w:rsidRPr="00E6060C" w:rsidRDefault="00E6060C" w:rsidP="00F15DDF">
            <w:pPr>
              <w:numPr>
                <w:ilvl w:val="0"/>
                <w:numId w:val="97"/>
              </w:numPr>
              <w:contextualSpacing/>
            </w:pPr>
            <w:r w:rsidRPr="00E6060C">
              <w:t>67.4% viewed the number of training sessions as ‘just right’, 55.8% considered the number of e-coaching sessions ‘just right’ and 54.7% considered the amount of homework as ‘too much’</w:t>
            </w:r>
          </w:p>
          <w:p w14:paraId="5EB110B9" w14:textId="77777777" w:rsidR="00E6060C" w:rsidRPr="00E6060C" w:rsidRDefault="00E6060C" w:rsidP="00F15DDF">
            <w:pPr>
              <w:numPr>
                <w:ilvl w:val="0"/>
                <w:numId w:val="97"/>
              </w:numPr>
              <w:contextualSpacing/>
            </w:pPr>
            <w:r w:rsidRPr="00E6060C">
              <w:t xml:space="preserve">The majority considered the training and e-coaching as worth the time investment, 47.6% considered the </w:t>
            </w:r>
            <w:r w:rsidRPr="00E6060C">
              <w:lastRenderedPageBreak/>
              <w:t>homework worthwhile</w:t>
            </w:r>
          </w:p>
          <w:p w14:paraId="49DB8211" w14:textId="77777777" w:rsidR="00E6060C" w:rsidRPr="00E6060C" w:rsidRDefault="00E6060C" w:rsidP="00E6060C">
            <w:pPr>
              <w:ind w:left="360"/>
              <w:contextualSpacing/>
            </w:pPr>
          </w:p>
          <w:p w14:paraId="05199F7F" w14:textId="77777777" w:rsidR="00E6060C" w:rsidRPr="00E6060C" w:rsidRDefault="00E6060C" w:rsidP="00E6060C">
            <w:pPr>
              <w:ind w:left="360"/>
              <w:contextualSpacing/>
            </w:pPr>
          </w:p>
        </w:tc>
        <w:tc>
          <w:tcPr>
            <w:tcW w:w="3372" w:type="dxa"/>
          </w:tcPr>
          <w:p w14:paraId="43086C08" w14:textId="77777777" w:rsidR="00E6060C" w:rsidRPr="00E6060C" w:rsidRDefault="00E6060C" w:rsidP="00F15DDF">
            <w:pPr>
              <w:numPr>
                <w:ilvl w:val="0"/>
                <w:numId w:val="96"/>
              </w:numPr>
              <w:contextualSpacing/>
            </w:pPr>
            <w:r w:rsidRPr="00E6060C">
              <w:lastRenderedPageBreak/>
              <w:t>The training course was shorter (8 sessions) and less intense (1.5 hrs a session) than traditional mindfulness training courses (8-10 sessions, 2.5-3 hrs a session)</w:t>
            </w:r>
          </w:p>
          <w:p w14:paraId="35253EC8" w14:textId="77777777" w:rsidR="00E6060C" w:rsidRPr="00E6060C" w:rsidRDefault="00E6060C" w:rsidP="00F15DDF">
            <w:pPr>
              <w:numPr>
                <w:ilvl w:val="0"/>
                <w:numId w:val="96"/>
              </w:numPr>
              <w:contextualSpacing/>
            </w:pPr>
            <w:r w:rsidRPr="00E6060C">
              <w:t>Participants in the intervention were comparable with the source population in terms of age, but more women and those more highly educated participated</w:t>
            </w:r>
          </w:p>
          <w:p w14:paraId="70E64A42" w14:textId="77777777" w:rsidR="00E6060C" w:rsidRPr="00E6060C" w:rsidRDefault="00E6060C" w:rsidP="00F15DDF">
            <w:pPr>
              <w:numPr>
                <w:ilvl w:val="0"/>
                <w:numId w:val="96"/>
              </w:numPr>
              <w:contextualSpacing/>
            </w:pPr>
            <w:r w:rsidRPr="00E6060C">
              <w:lastRenderedPageBreak/>
              <w:t>Factors facilitating the completion of homework included social support at home</w:t>
            </w:r>
          </w:p>
          <w:p w14:paraId="4DBBAA61" w14:textId="77777777" w:rsidR="00E6060C" w:rsidRPr="00E6060C" w:rsidRDefault="00E6060C" w:rsidP="00F15DDF">
            <w:pPr>
              <w:numPr>
                <w:ilvl w:val="0"/>
                <w:numId w:val="96"/>
              </w:numPr>
              <w:contextualSpacing/>
            </w:pPr>
            <w:r w:rsidRPr="00E6060C">
              <w:t>A preference for email communication facilitated e-coaching</w:t>
            </w:r>
          </w:p>
          <w:p w14:paraId="3384345D" w14:textId="77777777" w:rsidR="00E6060C" w:rsidRPr="00E6060C" w:rsidRDefault="00E6060C" w:rsidP="00F15DDF">
            <w:pPr>
              <w:numPr>
                <w:ilvl w:val="0"/>
                <w:numId w:val="96"/>
              </w:numPr>
              <w:contextualSpacing/>
            </w:pPr>
            <w:r w:rsidRPr="00E6060C">
              <w:t>Positive factors related to the provider included a good trainer-participant relationship, the ability to create a confidential group atmosphere, and a ‘mild’ attitude towards noncompliance with homework</w:t>
            </w:r>
          </w:p>
          <w:p w14:paraId="71D9A78D" w14:textId="77777777" w:rsidR="00E6060C" w:rsidRPr="00E6060C" w:rsidRDefault="00E6060C" w:rsidP="00F15DDF">
            <w:pPr>
              <w:numPr>
                <w:ilvl w:val="0"/>
                <w:numId w:val="96"/>
              </w:numPr>
              <w:contextualSpacing/>
            </w:pPr>
            <w:r w:rsidRPr="00E6060C">
              <w:t>Conversely, a barrier to the intervention was a perceived poor trainer-participant relationship, leading to miscommunication and irritation</w:t>
            </w:r>
          </w:p>
          <w:p w14:paraId="45FDCF46" w14:textId="77777777" w:rsidR="00E6060C" w:rsidRPr="00E6060C" w:rsidRDefault="00E6060C" w:rsidP="00F15DDF">
            <w:pPr>
              <w:numPr>
                <w:ilvl w:val="0"/>
                <w:numId w:val="96"/>
              </w:numPr>
              <w:contextualSpacing/>
            </w:pPr>
            <w:r w:rsidRPr="00E6060C">
              <w:t>Individuals reported not feeling at ease doing the exercises at work due to a lack of privacy and understanding by those not taking part</w:t>
            </w:r>
          </w:p>
          <w:p w14:paraId="35057E6E" w14:textId="77777777" w:rsidR="00E6060C" w:rsidRPr="00E6060C" w:rsidRDefault="00E6060C" w:rsidP="00F15DDF">
            <w:pPr>
              <w:numPr>
                <w:ilvl w:val="0"/>
                <w:numId w:val="96"/>
              </w:numPr>
              <w:contextualSpacing/>
            </w:pPr>
            <w:r w:rsidRPr="00E6060C">
              <w:t xml:space="preserve">Trainers were reported to differ in implementation, with some talking more or less, some focusing on negative rather than positive aspects, </w:t>
            </w:r>
            <w:r w:rsidRPr="00E6060C">
              <w:lastRenderedPageBreak/>
              <w:t>and some using ‘vague’ language</w:t>
            </w:r>
          </w:p>
          <w:p w14:paraId="2ED01F2C" w14:textId="77777777" w:rsidR="00E6060C" w:rsidRPr="00E6060C" w:rsidRDefault="00E6060C" w:rsidP="00F15DDF">
            <w:pPr>
              <w:numPr>
                <w:ilvl w:val="0"/>
                <w:numId w:val="96"/>
              </w:numPr>
              <w:contextualSpacing/>
            </w:pPr>
            <w:r w:rsidRPr="00E6060C">
              <w:t>Some participants felt the trainers weren’t responsive to e-coaching and didn’t enjoy it, and were disappointed that responses sometimes took a while to be sent</w:t>
            </w:r>
          </w:p>
          <w:p w14:paraId="0148B354" w14:textId="77777777" w:rsidR="00E6060C" w:rsidRPr="00E6060C" w:rsidRDefault="00E6060C" w:rsidP="00F15DDF">
            <w:pPr>
              <w:numPr>
                <w:ilvl w:val="0"/>
                <w:numId w:val="96"/>
              </w:numPr>
              <w:contextualSpacing/>
            </w:pPr>
            <w:r w:rsidRPr="00E6060C">
              <w:t>More general facilitators of the programme included the fact it was free, and a positive immediate feeling following sessions</w:t>
            </w:r>
          </w:p>
          <w:p w14:paraId="5D1456E9" w14:textId="77777777" w:rsidR="00E6060C" w:rsidRPr="00E6060C" w:rsidRDefault="00E6060C" w:rsidP="00F15DDF">
            <w:pPr>
              <w:numPr>
                <w:ilvl w:val="0"/>
                <w:numId w:val="96"/>
              </w:numPr>
              <w:contextualSpacing/>
            </w:pPr>
            <w:r w:rsidRPr="00E6060C">
              <w:t xml:space="preserve">General barriers to participation were the disappearance of the positive immediate effect with time, the unattractive layout of the e-coaching logbook, the lack of individual attention, the location of the free fruit, and the unclear and inconsistent communication about the programme  </w:t>
            </w:r>
          </w:p>
        </w:tc>
        <w:tc>
          <w:tcPr>
            <w:tcW w:w="4112" w:type="dxa"/>
          </w:tcPr>
          <w:p w14:paraId="705707BA" w14:textId="77777777" w:rsidR="00E6060C" w:rsidRPr="00E6060C" w:rsidRDefault="00E6060C" w:rsidP="00F15DDF">
            <w:pPr>
              <w:numPr>
                <w:ilvl w:val="0"/>
                <w:numId w:val="95"/>
              </w:numPr>
              <w:contextualSpacing/>
            </w:pPr>
            <w:r w:rsidRPr="00E6060C">
              <w:lastRenderedPageBreak/>
              <w:t>The study population for MBSR is usually a patient group; it has not traditionally been used for health prevention and promotion, hence the healthy population in this study may have been too ‘well’ to experience the effects</w:t>
            </w:r>
          </w:p>
          <w:p w14:paraId="55D06321" w14:textId="77777777" w:rsidR="00E6060C" w:rsidRPr="00E6060C" w:rsidRDefault="00E6060C" w:rsidP="00F15DDF">
            <w:pPr>
              <w:numPr>
                <w:ilvl w:val="0"/>
                <w:numId w:val="95"/>
              </w:numPr>
              <w:contextualSpacing/>
            </w:pPr>
            <w:r w:rsidRPr="00E6060C">
              <w:t>Working hours were not flexible, preventing some from participating</w:t>
            </w:r>
          </w:p>
          <w:p w14:paraId="3677CCDE" w14:textId="77777777" w:rsidR="00E6060C" w:rsidRPr="00E6060C" w:rsidRDefault="00E6060C" w:rsidP="00F15DDF">
            <w:pPr>
              <w:numPr>
                <w:ilvl w:val="0"/>
                <w:numId w:val="95"/>
              </w:numPr>
              <w:contextualSpacing/>
            </w:pPr>
            <w:r w:rsidRPr="00E6060C">
              <w:t xml:space="preserve">Outsourcing of individuals, departments, job insecurity and </w:t>
            </w:r>
            <w:r w:rsidRPr="00E6060C">
              <w:lastRenderedPageBreak/>
              <w:t>reorganisations impeded motivation to comply with the programme</w:t>
            </w:r>
          </w:p>
          <w:p w14:paraId="2CFB3F5C" w14:textId="77777777" w:rsidR="00E6060C" w:rsidRPr="00E6060C" w:rsidRDefault="00E6060C" w:rsidP="00F15DDF">
            <w:pPr>
              <w:numPr>
                <w:ilvl w:val="0"/>
                <w:numId w:val="95"/>
              </w:numPr>
              <w:contextualSpacing/>
            </w:pPr>
            <w:r w:rsidRPr="00E6060C">
              <w:t>Compliance and fidelity were measured by self-report only, which may be influenced by recall bias</w:t>
            </w:r>
          </w:p>
          <w:p w14:paraId="3DBA76AD" w14:textId="77777777" w:rsidR="00E6060C" w:rsidRPr="00E6060C" w:rsidRDefault="00E6060C" w:rsidP="00F15DDF">
            <w:pPr>
              <w:numPr>
                <w:ilvl w:val="0"/>
                <w:numId w:val="95"/>
              </w:numPr>
              <w:contextualSpacing/>
            </w:pPr>
            <w:r w:rsidRPr="00E6060C">
              <w:t>Women and highly educated workers were over-represented compared to the source population</w:t>
            </w:r>
          </w:p>
          <w:p w14:paraId="3567A4EA" w14:textId="77777777" w:rsidR="00E6060C" w:rsidRPr="00E6060C" w:rsidRDefault="00E6060C" w:rsidP="00F15DDF">
            <w:pPr>
              <w:numPr>
                <w:ilvl w:val="0"/>
                <w:numId w:val="95"/>
              </w:numPr>
              <w:contextualSpacing/>
            </w:pPr>
            <w:r w:rsidRPr="00E6060C">
              <w:t>The content of the intervention was adapted for the target population with scientific professions, therefore the findings are limited to this group</w:t>
            </w:r>
          </w:p>
          <w:p w14:paraId="642E6538" w14:textId="77777777" w:rsidR="00E6060C" w:rsidRPr="00E6060C" w:rsidRDefault="00E6060C" w:rsidP="00E6060C"/>
        </w:tc>
      </w:tr>
      <w:tr w:rsidR="00E6060C" w:rsidRPr="00E6060C" w14:paraId="6F17187D" w14:textId="77777777" w:rsidTr="00E6060C">
        <w:tc>
          <w:tcPr>
            <w:tcW w:w="14021" w:type="dxa"/>
            <w:gridSpan w:val="7"/>
            <w:shd w:val="clear" w:color="auto" w:fill="D9D9D9" w:themeFill="background1" w:themeFillShade="D9"/>
          </w:tcPr>
          <w:p w14:paraId="60D1E3A5" w14:textId="77777777" w:rsidR="00E6060C" w:rsidRPr="00E6060C" w:rsidRDefault="00E6060C" w:rsidP="00E6060C">
            <w:pPr>
              <w:rPr>
                <w:b/>
              </w:rPr>
            </w:pPr>
            <w:r w:rsidRPr="00E6060C">
              <w:rPr>
                <w:b/>
              </w:rPr>
              <w:lastRenderedPageBreak/>
              <w:t>ONGOING HEALTH PROMOTION INTERVENTIONS</w:t>
            </w:r>
          </w:p>
        </w:tc>
      </w:tr>
      <w:tr w:rsidR="00E6060C" w:rsidRPr="00E6060C" w14:paraId="594F69D2" w14:textId="77777777" w:rsidTr="00E6060C">
        <w:trPr>
          <w:gridAfter w:val="1"/>
          <w:wAfter w:w="16" w:type="dxa"/>
        </w:trPr>
        <w:tc>
          <w:tcPr>
            <w:tcW w:w="567" w:type="dxa"/>
            <w:shd w:val="clear" w:color="auto" w:fill="D9D9D9" w:themeFill="background1" w:themeFillShade="D9"/>
          </w:tcPr>
          <w:p w14:paraId="641374A9" w14:textId="77777777" w:rsidR="00E6060C" w:rsidRPr="00E6060C" w:rsidRDefault="00E6060C" w:rsidP="00E6060C">
            <w:pPr>
              <w:contextualSpacing/>
            </w:pPr>
            <w:r w:rsidRPr="00E6060C">
              <w:t>32</w:t>
            </w:r>
          </w:p>
        </w:tc>
        <w:tc>
          <w:tcPr>
            <w:tcW w:w="1418" w:type="dxa"/>
            <w:shd w:val="clear" w:color="auto" w:fill="D9D9D9" w:themeFill="background1" w:themeFillShade="D9"/>
          </w:tcPr>
          <w:p w14:paraId="596F5DF8" w14:textId="77777777" w:rsidR="00E6060C" w:rsidRPr="00E6060C" w:rsidRDefault="00E6060C" w:rsidP="00E6060C">
            <w:pPr>
              <w:contextualSpacing/>
            </w:pPr>
            <w:r w:rsidRPr="00E6060C">
              <w:t>Ebert et al., 2014</w:t>
            </w:r>
          </w:p>
        </w:tc>
        <w:tc>
          <w:tcPr>
            <w:tcW w:w="2268" w:type="dxa"/>
            <w:shd w:val="clear" w:color="auto" w:fill="D9D9D9" w:themeFill="background1" w:themeFillShade="D9"/>
          </w:tcPr>
          <w:p w14:paraId="2074E67C" w14:textId="77777777" w:rsidR="00E6060C" w:rsidRPr="00E6060C" w:rsidRDefault="00E6060C" w:rsidP="00F15DDF">
            <w:pPr>
              <w:numPr>
                <w:ilvl w:val="0"/>
                <w:numId w:val="100"/>
              </w:numPr>
              <w:contextualSpacing/>
            </w:pPr>
            <w:r w:rsidRPr="00E6060C">
              <w:t>Not planned</w:t>
            </w:r>
          </w:p>
        </w:tc>
        <w:tc>
          <w:tcPr>
            <w:tcW w:w="2268" w:type="dxa"/>
            <w:shd w:val="clear" w:color="auto" w:fill="D9D9D9" w:themeFill="background1" w:themeFillShade="D9"/>
          </w:tcPr>
          <w:p w14:paraId="3FBAF265" w14:textId="77777777" w:rsidR="00E6060C" w:rsidRPr="00E6060C" w:rsidRDefault="00E6060C" w:rsidP="00F15DDF">
            <w:pPr>
              <w:numPr>
                <w:ilvl w:val="0"/>
                <w:numId w:val="100"/>
              </w:numPr>
              <w:contextualSpacing/>
            </w:pPr>
            <w:r w:rsidRPr="00E6060C">
              <w:t>Not planned</w:t>
            </w:r>
          </w:p>
        </w:tc>
        <w:tc>
          <w:tcPr>
            <w:tcW w:w="3372" w:type="dxa"/>
            <w:shd w:val="clear" w:color="auto" w:fill="D9D9D9" w:themeFill="background1" w:themeFillShade="D9"/>
          </w:tcPr>
          <w:p w14:paraId="01F1F43F" w14:textId="77777777" w:rsidR="00E6060C" w:rsidRPr="00E6060C" w:rsidRDefault="00E6060C" w:rsidP="00F15DDF">
            <w:pPr>
              <w:numPr>
                <w:ilvl w:val="0"/>
                <w:numId w:val="99"/>
              </w:numPr>
              <w:ind w:left="175" w:hanging="175"/>
              <w:contextualSpacing/>
            </w:pPr>
            <w:r w:rsidRPr="00E6060C">
              <w:t>Client satisfaction to be measured</w:t>
            </w:r>
          </w:p>
          <w:p w14:paraId="3A33C96A" w14:textId="77777777" w:rsidR="00E6060C" w:rsidRPr="00E6060C" w:rsidRDefault="00E6060C" w:rsidP="00F15DDF">
            <w:pPr>
              <w:numPr>
                <w:ilvl w:val="0"/>
                <w:numId w:val="99"/>
              </w:numPr>
              <w:ind w:left="175" w:hanging="175"/>
              <w:contextualSpacing/>
            </w:pPr>
            <w:r w:rsidRPr="00E6060C">
              <w:t>Cost-effectiveness of the intervention to be assessed</w:t>
            </w:r>
          </w:p>
        </w:tc>
        <w:tc>
          <w:tcPr>
            <w:tcW w:w="4112" w:type="dxa"/>
            <w:shd w:val="clear" w:color="auto" w:fill="D9D9D9" w:themeFill="background1" w:themeFillShade="D9"/>
          </w:tcPr>
          <w:p w14:paraId="6FC2A7A5" w14:textId="77777777" w:rsidR="00E6060C" w:rsidRPr="00E6060C" w:rsidRDefault="00E6060C" w:rsidP="00F15DDF">
            <w:pPr>
              <w:numPr>
                <w:ilvl w:val="0"/>
                <w:numId w:val="41"/>
              </w:numPr>
              <w:ind w:left="208" w:hanging="208"/>
              <w:contextualSpacing/>
            </w:pPr>
            <w:r w:rsidRPr="00E6060C">
              <w:t>Many more measures assessed at T1 than at T2 or T3</w:t>
            </w:r>
          </w:p>
          <w:p w14:paraId="19A6685E" w14:textId="77777777" w:rsidR="00E6060C" w:rsidRPr="00E6060C" w:rsidRDefault="00E6060C" w:rsidP="00F15DDF">
            <w:pPr>
              <w:numPr>
                <w:ilvl w:val="0"/>
                <w:numId w:val="94"/>
              </w:numPr>
              <w:ind w:left="198" w:hanging="198"/>
              <w:contextualSpacing/>
            </w:pPr>
            <w:r w:rsidRPr="00E6060C">
              <w:t>No objective measure of stress (cortisol)</w:t>
            </w:r>
          </w:p>
          <w:p w14:paraId="1FFEA8B4" w14:textId="77777777" w:rsidR="00E6060C" w:rsidRPr="00E6060C" w:rsidRDefault="00E6060C" w:rsidP="00F15DDF">
            <w:pPr>
              <w:numPr>
                <w:ilvl w:val="0"/>
                <w:numId w:val="94"/>
              </w:numPr>
              <w:ind w:left="198" w:hanging="198"/>
              <w:contextualSpacing/>
            </w:pPr>
            <w:r w:rsidRPr="00E6060C">
              <w:t>Self-report only</w:t>
            </w:r>
          </w:p>
          <w:p w14:paraId="079AD0F8" w14:textId="77777777" w:rsidR="00E6060C" w:rsidRPr="00E6060C" w:rsidRDefault="00E6060C" w:rsidP="00F15DDF">
            <w:pPr>
              <w:numPr>
                <w:ilvl w:val="0"/>
                <w:numId w:val="94"/>
              </w:numPr>
              <w:ind w:left="198" w:hanging="198"/>
              <w:contextualSpacing/>
            </w:pPr>
            <w:r w:rsidRPr="00E6060C">
              <w:t>Generaliseable only to those experiencing heightened stress</w:t>
            </w:r>
          </w:p>
        </w:tc>
      </w:tr>
      <w:tr w:rsidR="00E6060C" w:rsidRPr="00E6060C" w14:paraId="3234723A" w14:textId="77777777" w:rsidTr="00E6060C">
        <w:trPr>
          <w:gridAfter w:val="1"/>
          <w:wAfter w:w="16" w:type="dxa"/>
        </w:trPr>
        <w:tc>
          <w:tcPr>
            <w:tcW w:w="567" w:type="dxa"/>
            <w:shd w:val="clear" w:color="auto" w:fill="D9D9D9" w:themeFill="background1" w:themeFillShade="D9"/>
          </w:tcPr>
          <w:p w14:paraId="569B922D" w14:textId="77777777" w:rsidR="00E6060C" w:rsidRPr="00E6060C" w:rsidRDefault="00E6060C" w:rsidP="00E6060C">
            <w:pPr>
              <w:contextualSpacing/>
            </w:pPr>
            <w:r w:rsidRPr="00E6060C">
              <w:t>33</w:t>
            </w:r>
          </w:p>
        </w:tc>
        <w:tc>
          <w:tcPr>
            <w:tcW w:w="1418" w:type="dxa"/>
            <w:shd w:val="clear" w:color="auto" w:fill="D9D9D9" w:themeFill="background1" w:themeFillShade="D9"/>
          </w:tcPr>
          <w:p w14:paraId="2943AFFA" w14:textId="77777777" w:rsidR="00E6060C" w:rsidRPr="00E6060C" w:rsidRDefault="00E6060C" w:rsidP="00E6060C">
            <w:pPr>
              <w:contextualSpacing/>
            </w:pPr>
            <w:r w:rsidRPr="00E6060C">
              <w:t>Wiezer et al., 2013</w:t>
            </w:r>
          </w:p>
        </w:tc>
        <w:tc>
          <w:tcPr>
            <w:tcW w:w="2268" w:type="dxa"/>
            <w:shd w:val="clear" w:color="auto" w:fill="D9D9D9" w:themeFill="background1" w:themeFillShade="D9"/>
          </w:tcPr>
          <w:p w14:paraId="24C2C551" w14:textId="77777777" w:rsidR="00E6060C" w:rsidRPr="00E6060C" w:rsidRDefault="00E6060C" w:rsidP="00E6060C">
            <w:pPr>
              <w:contextualSpacing/>
            </w:pPr>
            <w:r w:rsidRPr="00E6060C">
              <w:t>Not planned</w:t>
            </w:r>
          </w:p>
        </w:tc>
        <w:tc>
          <w:tcPr>
            <w:tcW w:w="2268" w:type="dxa"/>
            <w:shd w:val="clear" w:color="auto" w:fill="D9D9D9" w:themeFill="background1" w:themeFillShade="D9"/>
          </w:tcPr>
          <w:p w14:paraId="5F187071" w14:textId="77777777" w:rsidR="00E6060C" w:rsidRPr="00E6060C" w:rsidRDefault="00E6060C" w:rsidP="00E6060C">
            <w:pPr>
              <w:contextualSpacing/>
            </w:pPr>
            <w:r w:rsidRPr="00E6060C">
              <w:t>Not planned</w:t>
            </w:r>
          </w:p>
        </w:tc>
        <w:tc>
          <w:tcPr>
            <w:tcW w:w="3372" w:type="dxa"/>
            <w:shd w:val="clear" w:color="auto" w:fill="D9D9D9" w:themeFill="background1" w:themeFillShade="D9"/>
          </w:tcPr>
          <w:p w14:paraId="479E8BD9" w14:textId="77777777" w:rsidR="00E6060C" w:rsidRPr="00E6060C" w:rsidRDefault="00E6060C" w:rsidP="00E6060C">
            <w:pPr>
              <w:contextualSpacing/>
            </w:pPr>
            <w:r w:rsidRPr="00E6060C">
              <w:t>-</w:t>
            </w:r>
          </w:p>
        </w:tc>
        <w:tc>
          <w:tcPr>
            <w:tcW w:w="4112" w:type="dxa"/>
            <w:shd w:val="clear" w:color="auto" w:fill="D9D9D9" w:themeFill="background1" w:themeFillShade="D9"/>
          </w:tcPr>
          <w:p w14:paraId="2867D3C8" w14:textId="77777777" w:rsidR="00E6060C" w:rsidRPr="00E6060C" w:rsidRDefault="00E6060C" w:rsidP="00F15DDF">
            <w:pPr>
              <w:numPr>
                <w:ilvl w:val="0"/>
                <w:numId w:val="26"/>
              </w:numPr>
              <w:ind w:left="247" w:hanging="247"/>
              <w:contextualSpacing/>
            </w:pPr>
            <w:r w:rsidRPr="00E6060C">
              <w:t>Is the virtual world authentic, realistic and convincing? (ecological validity)</w:t>
            </w:r>
          </w:p>
        </w:tc>
      </w:tr>
    </w:tbl>
    <w:p w14:paraId="13A2F4EA" w14:textId="77777777" w:rsidR="00276FB0" w:rsidRPr="00E6060C" w:rsidRDefault="00276FB0" w:rsidP="00276FB0">
      <w:pPr>
        <w:spacing w:line="240" w:lineRule="auto"/>
        <w:contextualSpacing/>
        <w:rPr>
          <w:sz w:val="20"/>
          <w:szCs w:val="20"/>
        </w:rPr>
      </w:pPr>
      <w:r w:rsidRPr="00E6060C">
        <w:rPr>
          <w:vertAlign w:val="superscript"/>
        </w:rPr>
        <w:t>*</w:t>
      </w:r>
      <w:r w:rsidRPr="00E6060C">
        <w:rPr>
          <w:sz w:val="20"/>
          <w:szCs w:val="20"/>
        </w:rPr>
        <w:t>Studies included in meta-analyses (</w:t>
      </w:r>
      <w:r w:rsidRPr="00E6060C">
        <w:rPr>
          <w:i/>
          <w:sz w:val="20"/>
          <w:szCs w:val="20"/>
        </w:rPr>
        <w:t>K</w:t>
      </w:r>
      <w:r w:rsidRPr="00E6060C">
        <w:rPr>
          <w:sz w:val="20"/>
          <w:szCs w:val="20"/>
        </w:rPr>
        <w:t>=20)</w:t>
      </w:r>
    </w:p>
    <w:p w14:paraId="56CD9531" w14:textId="77777777" w:rsidR="00E6060C" w:rsidRPr="00E6060C" w:rsidRDefault="00E6060C" w:rsidP="00E6060C">
      <w:pPr>
        <w:spacing w:line="240" w:lineRule="auto"/>
        <w:contextualSpacing/>
      </w:pPr>
      <w:r w:rsidRPr="00E6060C">
        <w:rPr>
          <w:vertAlign w:val="superscript"/>
        </w:rPr>
        <w:t>a</w:t>
      </w:r>
      <w:r w:rsidRPr="00E6060C">
        <w:t>Fidelity refers to whether or not interventions were delivered as designed / planned</w:t>
      </w:r>
    </w:p>
    <w:p w14:paraId="27E16F6A" w14:textId="3EF5C949" w:rsidR="00E6060C" w:rsidRPr="00E6060C" w:rsidRDefault="00E6060C" w:rsidP="00E6060C">
      <w:pPr>
        <w:rPr>
          <w:i/>
        </w:rPr>
      </w:pPr>
      <w:r w:rsidRPr="00E6060C">
        <w:rPr>
          <w:i/>
        </w:rPr>
        <w:t>NOTES: NA=Not applicable; mins=minutes; T1=Time 1; T2=Time 2; T3=Time 3; dept=department</w:t>
      </w:r>
    </w:p>
    <w:p w14:paraId="45BC59A7" w14:textId="77777777" w:rsidR="00E6060C" w:rsidRPr="00E6060C" w:rsidRDefault="00E6060C" w:rsidP="00E6060C"/>
    <w:p w14:paraId="65C846AA" w14:textId="77777777" w:rsidR="00E6060C" w:rsidRPr="00E6060C" w:rsidRDefault="00E6060C" w:rsidP="00E6060C">
      <w:pPr>
        <w:keepNext/>
        <w:keepLines/>
        <w:spacing w:line="276" w:lineRule="auto"/>
        <w:outlineLvl w:val="2"/>
        <w:rPr>
          <w:rFonts w:asciiTheme="majorHAnsi" w:eastAsiaTheme="majorEastAsia" w:hAnsiTheme="majorHAnsi" w:cstheme="majorBidi"/>
          <w:b/>
          <w:bCs/>
          <w:i/>
        </w:rPr>
        <w:sectPr w:rsidR="00E6060C" w:rsidRPr="00E6060C" w:rsidSect="00E6060C">
          <w:pgSz w:w="16838" w:h="11906" w:orient="landscape"/>
          <w:pgMar w:top="1440" w:right="992" w:bottom="1702" w:left="1440" w:header="709" w:footer="709" w:gutter="0"/>
          <w:cols w:space="708"/>
          <w:docGrid w:linePitch="360"/>
        </w:sectPr>
      </w:pPr>
    </w:p>
    <w:p w14:paraId="7BA84022" w14:textId="00FC0A71" w:rsidR="0072579D" w:rsidRPr="0072579D" w:rsidRDefault="00983715" w:rsidP="0072579D">
      <w:pPr>
        <w:pStyle w:val="Heading2nonumbers"/>
        <w:rPr>
          <w:vanish/>
          <w:specVanish/>
        </w:rPr>
      </w:pPr>
      <w:bookmarkStart w:id="562" w:name="_Toc468286062"/>
      <w:r>
        <w:lastRenderedPageBreak/>
        <w:t>Appendix 5:</w:t>
      </w:r>
      <w:r w:rsidR="00E6060C" w:rsidRPr="00E6060C">
        <w:t xml:space="preserve"> Study 2 final staff questionnaire and cover sheet</w:t>
      </w:r>
      <w:bookmarkEnd w:id="562"/>
    </w:p>
    <w:p w14:paraId="2A8242E8" w14:textId="0F9C5652" w:rsidR="00E6060C" w:rsidRPr="0072579D" w:rsidRDefault="00E6060C" w:rsidP="0072579D">
      <w:pPr>
        <w:rPr>
          <w:rFonts w:asciiTheme="majorHAnsi" w:hAnsiTheme="majorHAnsi"/>
          <w:b/>
          <w:sz w:val="28"/>
          <w:szCs w:val="28"/>
        </w:rPr>
      </w:pPr>
      <w:r w:rsidRPr="0072579D">
        <w:rPr>
          <w:rFonts w:asciiTheme="majorHAnsi" w:hAnsiTheme="majorHAnsi"/>
          <w:b/>
          <w:sz w:val="28"/>
          <w:szCs w:val="28"/>
        </w:rPr>
        <w:t xml:space="preserve"> (Post-intervention, June-July 2015)</w:t>
      </w:r>
      <w:r w:rsidR="0072579D" w:rsidRPr="0072579D">
        <w:rPr>
          <w:rFonts w:asciiTheme="majorHAnsi" w:hAnsiTheme="majorHAnsi"/>
          <w:b/>
          <w:sz w:val="28"/>
          <w:szCs w:val="28"/>
        </w:rPr>
        <w:t xml:space="preserve"> </w:t>
      </w:r>
    </w:p>
    <w:p w14:paraId="252994AC" w14:textId="77777777" w:rsidR="0072579D" w:rsidRDefault="0072579D" w:rsidP="00E6060C">
      <w:pPr>
        <w:spacing w:line="360" w:lineRule="auto"/>
        <w:ind w:right="-46"/>
        <w:contextualSpacing/>
      </w:pPr>
    </w:p>
    <w:p w14:paraId="624D9592" w14:textId="52F892EE" w:rsidR="00E6060C" w:rsidRPr="00E6060C" w:rsidRDefault="00E6060C" w:rsidP="00E6060C">
      <w:pPr>
        <w:spacing w:line="360" w:lineRule="auto"/>
        <w:ind w:right="-46"/>
        <w:contextualSpacing/>
      </w:pPr>
      <w:r w:rsidRPr="00E6060C">
        <w:t>For ease of reference, the question numbers pertaining to each of the variables measured in Study 2 are listed in the table below:</w:t>
      </w:r>
    </w:p>
    <w:p w14:paraId="556FF354" w14:textId="77777777" w:rsidR="00E6060C" w:rsidRPr="00E6060C" w:rsidRDefault="00E6060C" w:rsidP="00E6060C">
      <w:pPr>
        <w:spacing w:line="360" w:lineRule="auto"/>
        <w:ind w:right="-1039"/>
        <w:contextualSpacing/>
      </w:pPr>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1630"/>
      </w:tblGrid>
      <w:tr w:rsidR="00E6060C" w:rsidRPr="00E6060C" w14:paraId="33E55E76" w14:textId="77777777" w:rsidTr="00E6060C">
        <w:trPr>
          <w:trHeight w:val="537"/>
        </w:trPr>
        <w:tc>
          <w:tcPr>
            <w:tcW w:w="2848" w:type="dxa"/>
            <w:tcBorders>
              <w:top w:val="single" w:sz="4" w:space="0" w:color="auto"/>
              <w:bottom w:val="single" w:sz="4" w:space="0" w:color="auto"/>
            </w:tcBorders>
          </w:tcPr>
          <w:p w14:paraId="42D6CFEE" w14:textId="77777777" w:rsidR="00E6060C" w:rsidRPr="00E6060C" w:rsidRDefault="00E6060C" w:rsidP="00E6060C">
            <w:pPr>
              <w:spacing w:line="360" w:lineRule="auto"/>
              <w:ind w:right="-1039"/>
              <w:contextualSpacing/>
              <w:rPr>
                <w:b/>
              </w:rPr>
            </w:pPr>
            <w:r w:rsidRPr="00E6060C">
              <w:rPr>
                <w:b/>
              </w:rPr>
              <w:t>Variable</w:t>
            </w:r>
          </w:p>
        </w:tc>
        <w:tc>
          <w:tcPr>
            <w:tcW w:w="1630" w:type="dxa"/>
            <w:tcBorders>
              <w:top w:val="single" w:sz="4" w:space="0" w:color="auto"/>
              <w:bottom w:val="single" w:sz="4" w:space="0" w:color="auto"/>
            </w:tcBorders>
          </w:tcPr>
          <w:p w14:paraId="45F3C550" w14:textId="77777777" w:rsidR="00E6060C" w:rsidRPr="00E6060C" w:rsidRDefault="00E6060C" w:rsidP="00E6060C">
            <w:pPr>
              <w:spacing w:line="360" w:lineRule="auto"/>
              <w:contextualSpacing/>
              <w:jc w:val="center"/>
              <w:rPr>
                <w:b/>
              </w:rPr>
            </w:pPr>
            <w:r w:rsidRPr="00E6060C">
              <w:rPr>
                <w:b/>
              </w:rPr>
              <w:t>Question no.</w:t>
            </w:r>
          </w:p>
        </w:tc>
      </w:tr>
      <w:tr w:rsidR="00E6060C" w:rsidRPr="00E6060C" w14:paraId="6AAA4190" w14:textId="77777777" w:rsidTr="00E6060C">
        <w:trPr>
          <w:trHeight w:val="517"/>
        </w:trPr>
        <w:tc>
          <w:tcPr>
            <w:tcW w:w="2848" w:type="dxa"/>
            <w:tcBorders>
              <w:top w:val="single" w:sz="4" w:space="0" w:color="auto"/>
            </w:tcBorders>
          </w:tcPr>
          <w:p w14:paraId="0165AAE4" w14:textId="77777777" w:rsidR="00E6060C" w:rsidRPr="00E6060C" w:rsidRDefault="00E6060C" w:rsidP="00E6060C">
            <w:pPr>
              <w:spacing w:line="360" w:lineRule="auto"/>
              <w:ind w:right="-1039"/>
              <w:contextualSpacing/>
            </w:pPr>
            <w:r w:rsidRPr="00E6060C">
              <w:t>Social support</w:t>
            </w:r>
          </w:p>
        </w:tc>
        <w:tc>
          <w:tcPr>
            <w:tcW w:w="1630" w:type="dxa"/>
            <w:tcBorders>
              <w:top w:val="single" w:sz="4" w:space="0" w:color="auto"/>
            </w:tcBorders>
          </w:tcPr>
          <w:p w14:paraId="34598E06" w14:textId="77777777" w:rsidR="00E6060C" w:rsidRPr="00E6060C" w:rsidRDefault="00E6060C" w:rsidP="00E6060C">
            <w:pPr>
              <w:spacing w:line="360" w:lineRule="auto"/>
              <w:contextualSpacing/>
              <w:jc w:val="center"/>
            </w:pPr>
            <w:r w:rsidRPr="00E6060C">
              <w:t>4</w:t>
            </w:r>
          </w:p>
        </w:tc>
      </w:tr>
      <w:tr w:rsidR="00E6060C" w:rsidRPr="00E6060C" w14:paraId="3BAC387F" w14:textId="77777777" w:rsidTr="00E6060C">
        <w:trPr>
          <w:trHeight w:val="537"/>
        </w:trPr>
        <w:tc>
          <w:tcPr>
            <w:tcW w:w="2848" w:type="dxa"/>
          </w:tcPr>
          <w:p w14:paraId="20A21E4C" w14:textId="77777777" w:rsidR="00E6060C" w:rsidRPr="00E6060C" w:rsidRDefault="00E6060C" w:rsidP="00E6060C">
            <w:pPr>
              <w:spacing w:line="360" w:lineRule="auto"/>
              <w:ind w:right="-104"/>
              <w:contextualSpacing/>
            </w:pPr>
            <w:r w:rsidRPr="00E6060C">
              <w:t>Influence in decision-making</w:t>
            </w:r>
          </w:p>
        </w:tc>
        <w:tc>
          <w:tcPr>
            <w:tcW w:w="1630" w:type="dxa"/>
          </w:tcPr>
          <w:p w14:paraId="067117D7" w14:textId="77777777" w:rsidR="00E6060C" w:rsidRPr="00E6060C" w:rsidRDefault="00E6060C" w:rsidP="00E6060C">
            <w:pPr>
              <w:spacing w:line="360" w:lineRule="auto"/>
              <w:contextualSpacing/>
              <w:jc w:val="center"/>
            </w:pPr>
            <w:r w:rsidRPr="00E6060C">
              <w:t>6</w:t>
            </w:r>
          </w:p>
        </w:tc>
      </w:tr>
      <w:tr w:rsidR="00E6060C" w:rsidRPr="00E6060C" w14:paraId="54731E64" w14:textId="77777777" w:rsidTr="00E6060C">
        <w:trPr>
          <w:trHeight w:val="517"/>
        </w:trPr>
        <w:tc>
          <w:tcPr>
            <w:tcW w:w="2848" w:type="dxa"/>
          </w:tcPr>
          <w:p w14:paraId="59002C1D" w14:textId="77777777" w:rsidR="00E6060C" w:rsidRPr="00E6060C" w:rsidRDefault="00E6060C" w:rsidP="00E6060C">
            <w:pPr>
              <w:spacing w:line="360" w:lineRule="auto"/>
              <w:ind w:right="-1039"/>
              <w:contextualSpacing/>
            </w:pPr>
            <w:r w:rsidRPr="00E6060C">
              <w:t>Resources and demands</w:t>
            </w:r>
          </w:p>
        </w:tc>
        <w:tc>
          <w:tcPr>
            <w:tcW w:w="1630" w:type="dxa"/>
          </w:tcPr>
          <w:p w14:paraId="76A9356A" w14:textId="77777777" w:rsidR="00E6060C" w:rsidRPr="00E6060C" w:rsidRDefault="00E6060C" w:rsidP="00E6060C">
            <w:pPr>
              <w:spacing w:line="360" w:lineRule="auto"/>
              <w:contextualSpacing/>
              <w:jc w:val="center"/>
            </w:pPr>
            <w:r w:rsidRPr="00E6060C">
              <w:t>2</w:t>
            </w:r>
          </w:p>
        </w:tc>
      </w:tr>
      <w:tr w:rsidR="00E6060C" w:rsidRPr="00E6060C" w14:paraId="7D2ADFC1" w14:textId="77777777" w:rsidTr="00E6060C">
        <w:trPr>
          <w:trHeight w:val="537"/>
        </w:trPr>
        <w:tc>
          <w:tcPr>
            <w:tcW w:w="2848" w:type="dxa"/>
          </w:tcPr>
          <w:p w14:paraId="5F61B7F8" w14:textId="77777777" w:rsidR="00E6060C" w:rsidRPr="00E6060C" w:rsidRDefault="00E6060C" w:rsidP="00E6060C">
            <w:pPr>
              <w:spacing w:line="360" w:lineRule="auto"/>
              <w:ind w:right="-1039"/>
              <w:contextualSpacing/>
            </w:pPr>
            <w:r w:rsidRPr="00E6060C">
              <w:t>Work-related basic needs</w:t>
            </w:r>
          </w:p>
        </w:tc>
        <w:tc>
          <w:tcPr>
            <w:tcW w:w="1630" w:type="dxa"/>
          </w:tcPr>
          <w:p w14:paraId="42DB9689" w14:textId="77777777" w:rsidR="00E6060C" w:rsidRPr="00E6060C" w:rsidRDefault="00E6060C" w:rsidP="00E6060C">
            <w:pPr>
              <w:spacing w:line="360" w:lineRule="auto"/>
              <w:contextualSpacing/>
              <w:jc w:val="center"/>
            </w:pPr>
            <w:r w:rsidRPr="00E6060C">
              <w:t>12</w:t>
            </w:r>
          </w:p>
        </w:tc>
      </w:tr>
      <w:tr w:rsidR="00E6060C" w:rsidRPr="00E6060C" w14:paraId="6AE21A20" w14:textId="77777777" w:rsidTr="00E6060C">
        <w:trPr>
          <w:trHeight w:val="517"/>
        </w:trPr>
        <w:tc>
          <w:tcPr>
            <w:tcW w:w="2848" w:type="dxa"/>
          </w:tcPr>
          <w:p w14:paraId="70D6F515" w14:textId="77777777" w:rsidR="00E6060C" w:rsidRPr="00E6060C" w:rsidRDefault="00E6060C" w:rsidP="00E6060C">
            <w:pPr>
              <w:spacing w:line="360" w:lineRule="auto"/>
              <w:ind w:right="-1039"/>
              <w:contextualSpacing/>
            </w:pPr>
            <w:r w:rsidRPr="00E6060C">
              <w:t>Work engagement</w:t>
            </w:r>
          </w:p>
        </w:tc>
        <w:tc>
          <w:tcPr>
            <w:tcW w:w="1630" w:type="dxa"/>
          </w:tcPr>
          <w:p w14:paraId="01851E25" w14:textId="77777777" w:rsidR="00E6060C" w:rsidRPr="00E6060C" w:rsidRDefault="00E6060C" w:rsidP="00E6060C">
            <w:pPr>
              <w:spacing w:line="360" w:lineRule="auto"/>
              <w:contextualSpacing/>
              <w:jc w:val="center"/>
            </w:pPr>
            <w:r w:rsidRPr="00E6060C">
              <w:t>15</w:t>
            </w:r>
          </w:p>
        </w:tc>
      </w:tr>
      <w:tr w:rsidR="00E6060C" w:rsidRPr="00E6060C" w14:paraId="31EE1B27" w14:textId="77777777" w:rsidTr="00E6060C">
        <w:trPr>
          <w:trHeight w:val="517"/>
        </w:trPr>
        <w:tc>
          <w:tcPr>
            <w:tcW w:w="2848" w:type="dxa"/>
          </w:tcPr>
          <w:p w14:paraId="7F112FAA" w14:textId="2252E6A8" w:rsidR="00E6060C" w:rsidRPr="00E6060C" w:rsidRDefault="001D6140" w:rsidP="00E6060C">
            <w:pPr>
              <w:spacing w:line="360" w:lineRule="auto"/>
              <w:ind w:right="-1039"/>
              <w:contextualSpacing/>
            </w:pPr>
            <w:r>
              <w:t>Well-being</w:t>
            </w:r>
          </w:p>
        </w:tc>
        <w:tc>
          <w:tcPr>
            <w:tcW w:w="1630" w:type="dxa"/>
          </w:tcPr>
          <w:p w14:paraId="515E83AB" w14:textId="77777777" w:rsidR="00E6060C" w:rsidRPr="00E6060C" w:rsidRDefault="00E6060C" w:rsidP="00E6060C">
            <w:pPr>
              <w:spacing w:line="360" w:lineRule="auto"/>
              <w:contextualSpacing/>
              <w:jc w:val="center"/>
            </w:pPr>
            <w:r w:rsidRPr="00E6060C">
              <w:t>13</w:t>
            </w:r>
          </w:p>
        </w:tc>
      </w:tr>
    </w:tbl>
    <w:p w14:paraId="5BB58BB7" w14:textId="77777777" w:rsidR="00E6060C" w:rsidRPr="00E6060C" w:rsidRDefault="00E6060C" w:rsidP="00E6060C">
      <w:r w:rsidRPr="00E6060C">
        <w:br w:type="page"/>
      </w:r>
    </w:p>
    <w:p w14:paraId="5EBDDC05" w14:textId="03F86420" w:rsidR="00E6060C" w:rsidRPr="00E6060C" w:rsidRDefault="00E6060C" w:rsidP="00E6060C">
      <w:pPr>
        <w:ind w:right="-1039"/>
      </w:pPr>
      <w:r w:rsidRPr="00E6060C">
        <w:rPr>
          <w:rFonts w:ascii="Arial" w:eastAsia="Times New Roman" w:hAnsi="Arial" w:cs="Arial"/>
          <w:noProof/>
          <w:sz w:val="16"/>
          <w:szCs w:val="16"/>
          <w:lang w:eastAsia="en-GB"/>
        </w:rPr>
        <w:lastRenderedPageBreak/>
        <w:drawing>
          <wp:inline distT="0" distB="0" distL="0" distR="0" wp14:anchorId="11541CE2" wp14:editId="62E4BE40">
            <wp:extent cx="1647825" cy="6591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7203" cy="666881"/>
                    </a:xfrm>
                    <a:prstGeom prst="rect">
                      <a:avLst/>
                    </a:prstGeom>
                    <a:noFill/>
                    <a:ln>
                      <a:noFill/>
                    </a:ln>
                  </pic:spPr>
                </pic:pic>
              </a:graphicData>
            </a:graphic>
          </wp:inline>
        </w:drawing>
      </w:r>
      <w:r w:rsidRPr="00E6060C">
        <w:rPr>
          <w:rFonts w:ascii="Trebuchet MS" w:eastAsia="Times New Roman" w:hAnsi="Trebuchet MS" w:cs="Times New Roman"/>
          <w:noProof/>
          <w:sz w:val="24"/>
          <w:szCs w:val="24"/>
          <w:lang w:eastAsia="en-GB"/>
        </w:rPr>
        <w:drawing>
          <wp:inline distT="0" distB="0" distL="0" distR="0" wp14:anchorId="7C638745" wp14:editId="11496319">
            <wp:extent cx="2390775" cy="4515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25427" t="9630" r="46651" b="85925"/>
                    <a:stretch>
                      <a:fillRect/>
                    </a:stretch>
                  </pic:blipFill>
                  <pic:spPr bwMode="auto">
                    <a:xfrm>
                      <a:off x="0" y="0"/>
                      <a:ext cx="2390775" cy="451591"/>
                    </a:xfrm>
                    <a:prstGeom prst="rect">
                      <a:avLst/>
                    </a:prstGeom>
                    <a:noFill/>
                    <a:ln>
                      <a:noFill/>
                    </a:ln>
                  </pic:spPr>
                </pic:pic>
              </a:graphicData>
            </a:graphic>
          </wp:inline>
        </w:drawing>
      </w:r>
      <w:r w:rsidRPr="00E6060C">
        <w:rPr>
          <w:rFonts w:ascii="Calibri" w:eastAsia="Calibri" w:hAnsi="Calibri" w:cs="Times New Roman"/>
          <w:noProof/>
          <w:lang w:eastAsia="en-GB"/>
        </w:rPr>
        <w:drawing>
          <wp:inline distT="0" distB="0" distL="0" distR="0" wp14:anchorId="476B6177" wp14:editId="7D86F296">
            <wp:extent cx="17145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l="5832" t="14890" r="66112" b="63110"/>
                    <a:stretch>
                      <a:fillRect/>
                    </a:stretch>
                  </pic:blipFill>
                  <pic:spPr bwMode="auto">
                    <a:xfrm>
                      <a:off x="0" y="0"/>
                      <a:ext cx="1714500" cy="933450"/>
                    </a:xfrm>
                    <a:prstGeom prst="rect">
                      <a:avLst/>
                    </a:prstGeom>
                    <a:noFill/>
                    <a:ln>
                      <a:noFill/>
                    </a:ln>
                  </pic:spPr>
                </pic:pic>
              </a:graphicData>
            </a:graphic>
          </wp:inline>
        </w:drawing>
      </w:r>
    </w:p>
    <w:tbl>
      <w:tblPr>
        <w:tblW w:w="9052" w:type="dxa"/>
        <w:tblInd w:w="108" w:type="dxa"/>
        <w:tblBorders>
          <w:top w:val="single" w:sz="4" w:space="0" w:color="auto"/>
          <w:left w:val="single" w:sz="4" w:space="0" w:color="auto"/>
          <w:bottom w:val="single" w:sz="4" w:space="0" w:color="auto"/>
          <w:right w:val="single" w:sz="4" w:space="0" w:color="auto"/>
        </w:tblBorders>
        <w:shd w:val="clear" w:color="auto" w:fill="92CDDC"/>
        <w:tblLayout w:type="fixed"/>
        <w:tblLook w:val="01E0" w:firstRow="1" w:lastRow="1" w:firstColumn="1" w:lastColumn="1" w:noHBand="0" w:noVBand="0"/>
      </w:tblPr>
      <w:tblGrid>
        <w:gridCol w:w="9052"/>
      </w:tblGrid>
      <w:tr w:rsidR="00E6060C" w:rsidRPr="00E6060C" w14:paraId="25D75C0E" w14:textId="77777777" w:rsidTr="00E6060C">
        <w:trPr>
          <w:trHeight w:val="1063"/>
        </w:trPr>
        <w:tc>
          <w:tcPr>
            <w:tcW w:w="5000" w:type="pct"/>
            <w:tcBorders>
              <w:top w:val="nil"/>
              <w:left w:val="nil"/>
              <w:bottom w:val="nil"/>
              <w:right w:val="nil"/>
            </w:tcBorders>
            <w:shd w:val="clear" w:color="auto" w:fill="auto"/>
          </w:tcPr>
          <w:p w14:paraId="34AEA547" w14:textId="77777777" w:rsidR="00E6060C" w:rsidRPr="00E6060C" w:rsidRDefault="00E6060C" w:rsidP="00E6060C">
            <w:pPr>
              <w:tabs>
                <w:tab w:val="left" w:pos="3147"/>
                <w:tab w:val="left" w:pos="4028"/>
                <w:tab w:val="left" w:pos="9375"/>
                <w:tab w:val="left" w:pos="9954"/>
                <w:tab w:val="left" w:pos="10194"/>
                <w:tab w:val="left" w:pos="11619"/>
              </w:tabs>
              <w:spacing w:after="120" w:line="240" w:lineRule="auto"/>
              <w:contextualSpacing/>
              <w:jc w:val="center"/>
              <w:rPr>
                <w:rFonts w:ascii="Calibri" w:eastAsia="Times New Roman" w:hAnsi="Calibri" w:cs="Arial"/>
                <w:b/>
                <w:sz w:val="28"/>
                <w:szCs w:val="28"/>
              </w:rPr>
            </w:pPr>
          </w:p>
          <w:p w14:paraId="2B075921" w14:textId="77777777" w:rsidR="00E6060C" w:rsidRPr="00E6060C" w:rsidRDefault="00E6060C" w:rsidP="00E6060C">
            <w:pPr>
              <w:tabs>
                <w:tab w:val="left" w:pos="3147"/>
                <w:tab w:val="left" w:pos="4028"/>
                <w:tab w:val="left" w:pos="9375"/>
                <w:tab w:val="left" w:pos="9954"/>
                <w:tab w:val="left" w:pos="10194"/>
                <w:tab w:val="left" w:pos="11619"/>
              </w:tabs>
              <w:spacing w:after="120" w:line="240" w:lineRule="auto"/>
              <w:contextualSpacing/>
              <w:jc w:val="center"/>
              <w:rPr>
                <w:rFonts w:ascii="Calibri" w:eastAsia="Times New Roman" w:hAnsi="Calibri" w:cs="Arial"/>
                <w:b/>
                <w:sz w:val="28"/>
                <w:szCs w:val="28"/>
              </w:rPr>
            </w:pPr>
            <w:r w:rsidRPr="00E6060C">
              <w:rPr>
                <w:rFonts w:ascii="Calibri" w:eastAsia="Times New Roman" w:hAnsi="Calibri" w:cs="Arial"/>
                <w:b/>
                <w:sz w:val="28"/>
                <w:szCs w:val="28"/>
              </w:rPr>
              <w:t>Quality of Hospital Care – Staff Questionnaire</w:t>
            </w:r>
          </w:p>
          <w:p w14:paraId="53F313A4" w14:textId="77777777" w:rsidR="00E6060C" w:rsidRPr="00E6060C" w:rsidRDefault="00E6060C" w:rsidP="00E6060C">
            <w:pPr>
              <w:tabs>
                <w:tab w:val="left" w:pos="3147"/>
                <w:tab w:val="left" w:pos="4028"/>
                <w:tab w:val="left" w:pos="9375"/>
                <w:tab w:val="left" w:pos="9954"/>
                <w:tab w:val="left" w:pos="10194"/>
                <w:tab w:val="left" w:pos="11619"/>
              </w:tabs>
              <w:spacing w:after="120" w:line="240" w:lineRule="auto"/>
              <w:contextualSpacing/>
              <w:jc w:val="center"/>
              <w:rPr>
                <w:rFonts w:ascii="Calibri" w:eastAsia="Times New Roman" w:hAnsi="Calibri" w:cs="Arial"/>
                <w:b/>
                <w:sz w:val="28"/>
                <w:szCs w:val="28"/>
              </w:rPr>
            </w:pPr>
          </w:p>
          <w:p w14:paraId="2F454D73" w14:textId="77777777" w:rsidR="00E6060C" w:rsidRPr="00E6060C" w:rsidRDefault="00E6060C" w:rsidP="00E6060C">
            <w:pPr>
              <w:tabs>
                <w:tab w:val="left" w:pos="3147"/>
                <w:tab w:val="left" w:pos="4028"/>
                <w:tab w:val="left" w:pos="9375"/>
                <w:tab w:val="left" w:pos="9954"/>
                <w:tab w:val="left" w:pos="10194"/>
                <w:tab w:val="left" w:pos="11619"/>
              </w:tabs>
              <w:spacing w:after="120" w:line="240" w:lineRule="auto"/>
              <w:contextualSpacing/>
              <w:jc w:val="center"/>
              <w:rPr>
                <w:rFonts w:ascii="Calibri" w:eastAsia="Times New Roman" w:hAnsi="Calibri" w:cs="Arial"/>
                <w:b/>
                <w:sz w:val="28"/>
                <w:szCs w:val="28"/>
              </w:rPr>
            </w:pPr>
            <w:r w:rsidRPr="00E6060C">
              <w:rPr>
                <w:rFonts w:ascii="Calibri" w:eastAsia="Times New Roman" w:hAnsi="Calibri" w:cs="Arial"/>
                <w:b/>
                <w:sz w:val="28"/>
                <w:szCs w:val="28"/>
              </w:rPr>
              <w:t>Information Sheet</w:t>
            </w:r>
          </w:p>
          <w:p w14:paraId="10B90A93" w14:textId="77777777" w:rsidR="00E6060C" w:rsidRPr="00E6060C" w:rsidRDefault="00E6060C" w:rsidP="00E6060C">
            <w:pPr>
              <w:tabs>
                <w:tab w:val="left" w:pos="3147"/>
                <w:tab w:val="left" w:pos="4028"/>
                <w:tab w:val="left" w:pos="9375"/>
                <w:tab w:val="left" w:pos="9954"/>
                <w:tab w:val="left" w:pos="10194"/>
                <w:tab w:val="left" w:pos="11619"/>
              </w:tabs>
              <w:spacing w:after="120" w:line="240" w:lineRule="auto"/>
              <w:contextualSpacing/>
              <w:rPr>
                <w:rFonts w:ascii="Arial Narrow" w:eastAsia="Times New Roman" w:hAnsi="Arial Narrow" w:cs="Arial"/>
                <w:b/>
                <w:sz w:val="28"/>
                <w:szCs w:val="28"/>
              </w:rPr>
            </w:pPr>
          </w:p>
        </w:tc>
      </w:tr>
    </w:tbl>
    <w:p w14:paraId="51F356D5" w14:textId="77777777" w:rsidR="00E6060C" w:rsidRPr="00E6060C" w:rsidRDefault="00E6060C" w:rsidP="00E6060C">
      <w:pPr>
        <w:spacing w:before="200" w:line="360" w:lineRule="auto"/>
        <w:contextualSpacing/>
        <w:rPr>
          <w:rFonts w:ascii="Calibri" w:eastAsia="Calibri" w:hAnsi="Calibri" w:cs="Arial"/>
        </w:rPr>
      </w:pPr>
    </w:p>
    <w:p w14:paraId="7F5709BC" w14:textId="77777777" w:rsidR="00E6060C" w:rsidRPr="00E6060C" w:rsidRDefault="00E6060C" w:rsidP="00E6060C">
      <w:pPr>
        <w:spacing w:before="200" w:line="360" w:lineRule="auto"/>
        <w:contextualSpacing/>
        <w:rPr>
          <w:rFonts w:ascii="Calibri" w:eastAsia="Calibri" w:hAnsi="Calibri" w:cs="Arial"/>
        </w:rPr>
      </w:pPr>
      <w:r w:rsidRPr="00E6060C">
        <w:rPr>
          <w:rFonts w:ascii="Calibri" w:eastAsia="Calibri" w:hAnsi="Calibri" w:cs="Arial"/>
        </w:rPr>
        <w:t xml:space="preserve">Dear colleague, </w:t>
      </w:r>
    </w:p>
    <w:p w14:paraId="491D61C4" w14:textId="77777777" w:rsidR="00E6060C" w:rsidRPr="00E6060C" w:rsidRDefault="00E6060C" w:rsidP="00E6060C">
      <w:pPr>
        <w:spacing w:before="200" w:line="360" w:lineRule="auto"/>
        <w:contextualSpacing/>
        <w:rPr>
          <w:rFonts w:ascii="Calibri" w:eastAsia="Calibri" w:hAnsi="Calibri" w:cs="Arial"/>
          <w:b/>
          <w:bCs/>
        </w:rPr>
      </w:pPr>
    </w:p>
    <w:p w14:paraId="073C6869" w14:textId="77777777" w:rsidR="00E6060C" w:rsidRPr="00E6060C" w:rsidRDefault="00E6060C" w:rsidP="00E6060C">
      <w:pPr>
        <w:spacing w:before="200" w:line="360" w:lineRule="auto"/>
        <w:contextualSpacing/>
        <w:rPr>
          <w:rFonts w:ascii="Calibri" w:eastAsia="Calibri" w:hAnsi="Calibri" w:cs="Arial"/>
        </w:rPr>
      </w:pPr>
      <w:r w:rsidRPr="00E6060C">
        <w:rPr>
          <w:rFonts w:ascii="Calibri" w:eastAsia="Calibri" w:hAnsi="Calibri" w:cs="Arial"/>
        </w:rPr>
        <w:t xml:space="preserve">Thank you for your interest in this research project.   We would like to invite you to complete a survey about your experience of working on ward **which will identify things that you feel are working well and areas where things could possibly be improved. The aim is to gather information that will help improve the working lives of staff and the care of older patients and their relatives.  </w:t>
      </w:r>
    </w:p>
    <w:p w14:paraId="337E2D35" w14:textId="77777777" w:rsidR="00E6060C" w:rsidRPr="00E6060C" w:rsidRDefault="00E6060C" w:rsidP="00E6060C">
      <w:pPr>
        <w:spacing w:before="200" w:line="360" w:lineRule="auto"/>
        <w:contextualSpacing/>
        <w:rPr>
          <w:rFonts w:ascii="Calibri" w:eastAsia="Calibri" w:hAnsi="Calibri" w:cs="Arial"/>
        </w:rPr>
      </w:pPr>
    </w:p>
    <w:p w14:paraId="0A99126A" w14:textId="0FFE6F29" w:rsidR="00E6060C" w:rsidRPr="00E6060C" w:rsidRDefault="00E6060C" w:rsidP="00E6060C">
      <w:pPr>
        <w:spacing w:before="200" w:line="360" w:lineRule="auto"/>
        <w:contextualSpacing/>
        <w:rPr>
          <w:rFonts w:ascii="Calibri" w:eastAsia="Calibri" w:hAnsi="Calibri" w:cs="Arial"/>
          <w:u w:val="single"/>
        </w:rPr>
      </w:pPr>
      <w:r w:rsidRPr="00E6060C">
        <w:rPr>
          <w:rFonts w:ascii="Calibri" w:eastAsia="Calibri" w:hAnsi="Calibri" w:cs="Arial"/>
        </w:rPr>
        <w:t xml:space="preserve">You may have seen a similar survey last year as it is part of a larger study being conducted by a collaborative partnership between </w:t>
      </w:r>
      <w:r w:rsidR="003555A5">
        <w:rPr>
          <w:rFonts w:ascii="Calibri" w:eastAsia="Calibri" w:hAnsi="Calibri" w:cs="Arial"/>
        </w:rPr>
        <w:t xml:space="preserve">X, </w:t>
      </w:r>
      <w:r w:rsidRPr="00E6060C">
        <w:rPr>
          <w:rFonts w:ascii="Calibri" w:eastAsia="Calibri" w:hAnsi="Calibri" w:cs="Arial"/>
        </w:rPr>
        <w:t xml:space="preserve">De Montfort University, and The University of Sheffield on wards at </w:t>
      </w:r>
      <w:r w:rsidR="003555A5">
        <w:rPr>
          <w:rFonts w:ascii="Calibri" w:eastAsia="Calibri" w:hAnsi="Calibri" w:cs="Arial"/>
        </w:rPr>
        <w:t>X</w:t>
      </w:r>
      <w:r w:rsidRPr="00E6060C">
        <w:rPr>
          <w:rFonts w:ascii="Calibri" w:eastAsia="Calibri" w:hAnsi="Calibri" w:cs="Arial"/>
        </w:rPr>
        <w:t xml:space="preserve">. </w:t>
      </w:r>
      <w:r w:rsidRPr="00E6060C">
        <w:rPr>
          <w:rFonts w:ascii="Calibri" w:eastAsia="Calibri" w:hAnsi="Calibri" w:cs="Arial"/>
          <w:b/>
          <w:u w:val="single"/>
        </w:rPr>
        <w:t>Whether or not you have seen it before, we would be grateful if you would complete it as your responses are important to us.</w:t>
      </w:r>
      <w:r w:rsidRPr="00E6060C">
        <w:rPr>
          <w:rFonts w:ascii="Calibri" w:eastAsia="Calibri" w:hAnsi="Calibri" w:cs="Arial"/>
        </w:rPr>
        <w:t xml:space="preserve"> There is a </w:t>
      </w:r>
      <w:r w:rsidRPr="00E6060C">
        <w:rPr>
          <w:rFonts w:ascii="Calibri" w:eastAsia="Calibri" w:hAnsi="Calibri" w:cs="Arial"/>
          <w:b/>
          <w:u w:val="single"/>
        </w:rPr>
        <w:t>£25 Amazon voucher</w:t>
      </w:r>
      <w:r w:rsidRPr="00E6060C">
        <w:rPr>
          <w:rFonts w:ascii="Calibri" w:eastAsia="Calibri" w:hAnsi="Calibri" w:cs="Arial"/>
        </w:rPr>
        <w:t xml:space="preserve"> to be won by one person on your ward who returns a completed survey.  Please return your completed survey by </w:t>
      </w:r>
      <w:r w:rsidRPr="00E6060C">
        <w:rPr>
          <w:rFonts w:ascii="Calibri" w:eastAsia="Calibri" w:hAnsi="Calibri" w:cs="Arial"/>
          <w:b/>
          <w:u w:val="single"/>
        </w:rPr>
        <w:t>24</w:t>
      </w:r>
      <w:r w:rsidRPr="00E6060C">
        <w:rPr>
          <w:rFonts w:ascii="Calibri" w:eastAsia="Calibri" w:hAnsi="Calibri" w:cs="Arial"/>
          <w:b/>
          <w:u w:val="single"/>
          <w:vertAlign w:val="superscript"/>
        </w:rPr>
        <w:t>th</w:t>
      </w:r>
      <w:r w:rsidRPr="00E6060C">
        <w:rPr>
          <w:rFonts w:ascii="Calibri" w:eastAsia="Calibri" w:hAnsi="Calibri" w:cs="Arial"/>
          <w:b/>
          <w:u w:val="single"/>
        </w:rPr>
        <w:t xml:space="preserve"> July 2015</w:t>
      </w:r>
      <w:r w:rsidRPr="00E6060C">
        <w:rPr>
          <w:rFonts w:ascii="Calibri" w:eastAsia="Calibri" w:hAnsi="Calibri" w:cs="Arial"/>
        </w:rPr>
        <w:t xml:space="preserve"> to be in with a chance of winning.</w:t>
      </w:r>
    </w:p>
    <w:p w14:paraId="2D641CEA" w14:textId="77777777" w:rsidR="00E6060C" w:rsidRPr="00E6060C" w:rsidRDefault="00E6060C" w:rsidP="00E6060C">
      <w:pPr>
        <w:spacing w:before="200" w:line="360" w:lineRule="auto"/>
        <w:contextualSpacing/>
        <w:rPr>
          <w:rFonts w:ascii="Calibri" w:eastAsia="Calibri" w:hAnsi="Calibri" w:cs="Arial"/>
        </w:rPr>
      </w:pPr>
    </w:p>
    <w:p w14:paraId="74B5FD85" w14:textId="77777777" w:rsidR="00E6060C" w:rsidRPr="00E6060C" w:rsidRDefault="00E6060C" w:rsidP="00E6060C">
      <w:pPr>
        <w:spacing w:before="200" w:line="360" w:lineRule="auto"/>
        <w:contextualSpacing/>
        <w:rPr>
          <w:rFonts w:ascii="Calibri" w:eastAsia="Calibri" w:hAnsi="Calibri" w:cs="Arial"/>
          <w:b/>
        </w:rPr>
      </w:pPr>
      <w:r w:rsidRPr="00E6060C">
        <w:rPr>
          <w:rFonts w:ascii="Calibri" w:eastAsia="Calibri" w:hAnsi="Calibri" w:cs="Arial"/>
        </w:rPr>
        <w:t xml:space="preserve">The anonymised survey findings will be analysed by the research team and will contribute to our understanding of staff experience across all the participating wards. Your answers will be kept </w:t>
      </w:r>
      <w:r w:rsidRPr="00E6060C">
        <w:rPr>
          <w:rFonts w:ascii="Calibri" w:eastAsia="Calibri" w:hAnsi="Calibri" w:cs="Arial"/>
          <w:b/>
          <w:bCs/>
        </w:rPr>
        <w:t>strictly confidential</w:t>
      </w:r>
      <w:r w:rsidRPr="00E6060C">
        <w:rPr>
          <w:rFonts w:ascii="Calibri" w:eastAsia="Calibri" w:hAnsi="Calibri" w:cs="Arial"/>
        </w:rPr>
        <w:t xml:space="preserve"> and results will be presented </w:t>
      </w:r>
      <w:r w:rsidRPr="00E6060C">
        <w:rPr>
          <w:rFonts w:ascii="Calibri" w:eastAsia="Calibri" w:hAnsi="Calibri" w:cs="Arial"/>
          <w:b/>
          <w:bCs/>
        </w:rPr>
        <w:t>completely anonymously</w:t>
      </w:r>
      <w:r w:rsidRPr="00E6060C">
        <w:rPr>
          <w:rFonts w:ascii="Calibri" w:eastAsia="Calibri" w:hAnsi="Calibri" w:cs="Arial"/>
        </w:rPr>
        <w:t xml:space="preserve">. You will therefore </w:t>
      </w:r>
      <w:r w:rsidRPr="00E6060C">
        <w:rPr>
          <w:rFonts w:ascii="Calibri" w:eastAsia="Calibri" w:hAnsi="Calibri" w:cs="Arial"/>
          <w:b/>
          <w:bCs/>
        </w:rPr>
        <w:t>not be identifiable</w:t>
      </w:r>
      <w:r w:rsidRPr="00E6060C">
        <w:rPr>
          <w:rFonts w:ascii="Calibri" w:eastAsia="Calibri" w:hAnsi="Calibri" w:cs="Arial"/>
        </w:rPr>
        <w:t xml:space="preserve"> in any reports or publications in which the results may be presented and no one will know who gave what response. </w:t>
      </w:r>
      <w:r w:rsidRPr="00E6060C">
        <w:rPr>
          <w:rFonts w:ascii="Calibri" w:eastAsia="Calibri" w:hAnsi="Calibri" w:cs="Arial"/>
          <w:b/>
          <w:bCs/>
        </w:rPr>
        <w:t>By completing this survey you are agreeing to take part in this study.</w:t>
      </w:r>
      <w:r w:rsidRPr="00E6060C">
        <w:rPr>
          <w:rFonts w:ascii="Calibri" w:eastAsia="Calibri" w:hAnsi="Calibri" w:cs="Arial"/>
        </w:rPr>
        <w:t xml:space="preserve"> </w:t>
      </w:r>
    </w:p>
    <w:p w14:paraId="04CBC038" w14:textId="77777777" w:rsidR="00E6060C" w:rsidRPr="00E6060C" w:rsidRDefault="00E6060C" w:rsidP="00E6060C">
      <w:pPr>
        <w:shd w:val="clear" w:color="auto" w:fill="FFFFFF"/>
        <w:spacing w:before="200" w:line="360" w:lineRule="auto"/>
        <w:contextualSpacing/>
        <w:rPr>
          <w:rFonts w:ascii="Calibri" w:eastAsia="Calibri" w:hAnsi="Calibri" w:cs="Arial"/>
        </w:rPr>
      </w:pPr>
    </w:p>
    <w:p w14:paraId="1799E336" w14:textId="77777777" w:rsidR="00E6060C" w:rsidRPr="00E6060C" w:rsidRDefault="00E6060C" w:rsidP="00E6060C">
      <w:pPr>
        <w:shd w:val="clear" w:color="auto" w:fill="FFFFFF"/>
        <w:spacing w:before="200" w:line="360" w:lineRule="auto"/>
        <w:contextualSpacing/>
        <w:rPr>
          <w:rFonts w:ascii="Calibri" w:eastAsia="Times New Roman" w:hAnsi="Calibri" w:cs="Arial"/>
          <w:lang w:val="en" w:eastAsia="zh-CN"/>
        </w:rPr>
      </w:pPr>
      <w:r w:rsidRPr="00E6060C">
        <w:rPr>
          <w:rFonts w:ascii="Calibri" w:eastAsia="Calibri" w:hAnsi="Calibri" w:cs="Arial"/>
        </w:rPr>
        <w:t xml:space="preserve">If you have any queries about this survey, or if you would like more information, please contact Jayne Brown on landline </w:t>
      </w:r>
      <w:hyperlink r:id="rId56" w:tgtFrame="_blank" w:history="1">
        <w:r w:rsidRPr="00E6060C">
          <w:rPr>
            <w:rFonts w:ascii="Calibri" w:eastAsia="Calibri" w:hAnsi="Calibri" w:cs="Arial"/>
          </w:rPr>
          <w:t>+44 (0) 116 201 3961</w:t>
        </w:r>
      </w:hyperlink>
      <w:r w:rsidRPr="00E6060C">
        <w:rPr>
          <w:rFonts w:ascii="Calibri" w:eastAsia="Calibri" w:hAnsi="Calibri" w:cs="Arial"/>
        </w:rPr>
        <w:t xml:space="preserve">, mobile 07881823529, or email </w:t>
      </w:r>
      <w:hyperlink r:id="rId57" w:history="1">
        <w:r w:rsidRPr="00E6060C">
          <w:rPr>
            <w:rFonts w:ascii="Calibri" w:eastAsia="Times New Roman" w:hAnsi="Calibri" w:cs="Arial"/>
            <w:color w:val="0000FF"/>
            <w:u w:val="single"/>
            <w:lang w:val="en" w:eastAsia="zh-CN"/>
          </w:rPr>
          <w:t>jbrown@dmu.ac.uk</w:t>
        </w:r>
      </w:hyperlink>
      <w:r w:rsidRPr="00E6060C">
        <w:rPr>
          <w:rFonts w:ascii="Calibri" w:eastAsia="Times New Roman" w:hAnsi="Calibri" w:cs="Arial"/>
          <w:lang w:val="en" w:eastAsia="zh-CN"/>
        </w:rPr>
        <w:t xml:space="preserve">. Thank you. </w:t>
      </w:r>
    </w:p>
    <w:p w14:paraId="05AE514F" w14:textId="77777777" w:rsidR="00E6060C" w:rsidRPr="00E6060C" w:rsidRDefault="00E6060C" w:rsidP="00E6060C">
      <w:pPr>
        <w:shd w:val="clear" w:color="auto" w:fill="FFFFFF"/>
        <w:spacing w:before="200" w:line="360" w:lineRule="auto"/>
        <w:contextualSpacing/>
        <w:rPr>
          <w:rFonts w:ascii="Calibri" w:eastAsia="Times New Roman" w:hAnsi="Calibri" w:cs="Arial"/>
          <w:lang w:val="en" w:eastAsia="zh-CN"/>
        </w:rPr>
      </w:pPr>
    </w:p>
    <w:p w14:paraId="0B71EA24" w14:textId="77777777" w:rsidR="00E6060C" w:rsidRPr="00E6060C" w:rsidRDefault="00E6060C" w:rsidP="00E6060C">
      <w:pPr>
        <w:shd w:val="clear" w:color="auto" w:fill="FFFFFF"/>
        <w:spacing w:before="200" w:line="360" w:lineRule="auto"/>
        <w:contextualSpacing/>
        <w:rPr>
          <w:rFonts w:ascii="Calibri" w:eastAsia="Calibri" w:hAnsi="Calibri" w:cs="Arial"/>
          <w:lang w:val="en"/>
        </w:rPr>
      </w:pPr>
      <w:r w:rsidRPr="00E6060C">
        <w:rPr>
          <w:rFonts w:ascii="Calibri" w:eastAsia="Times New Roman" w:hAnsi="Calibri" w:cs="Arial"/>
          <w:lang w:val="en" w:eastAsia="zh-CN"/>
        </w:rPr>
        <w:t xml:space="preserve">The research team. </w:t>
      </w:r>
    </w:p>
    <w:p w14:paraId="2C302186" w14:textId="19610164" w:rsidR="00E6060C" w:rsidRPr="00E6060C" w:rsidRDefault="00E6060C" w:rsidP="0045062E">
      <w:pPr>
        <w:rPr>
          <w:rFonts w:asciiTheme="majorHAnsi" w:eastAsiaTheme="majorEastAsia" w:hAnsiTheme="majorHAnsi" w:cstheme="majorBidi"/>
          <w:b/>
          <w:sz w:val="26"/>
          <w:szCs w:val="26"/>
        </w:rPr>
      </w:pPr>
      <w:r w:rsidRPr="00E6060C">
        <w:rPr>
          <w:noProof/>
          <w:lang w:eastAsia="en-GB"/>
        </w:rPr>
        <w:lastRenderedPageBreak/>
        <mc:AlternateContent>
          <mc:Choice Requires="wps">
            <w:drawing>
              <wp:anchor distT="0" distB="0" distL="114300" distR="114300" simplePos="0" relativeHeight="251661312" behindDoc="0" locked="0" layoutInCell="1" allowOverlap="1" wp14:anchorId="3D1554F6" wp14:editId="76692D91">
                <wp:simplePos x="0" y="0"/>
                <wp:positionH relativeFrom="column">
                  <wp:posOffset>4353560</wp:posOffset>
                </wp:positionH>
                <wp:positionV relativeFrom="paragraph">
                  <wp:posOffset>-612251</wp:posOffset>
                </wp:positionV>
                <wp:extent cx="1866900" cy="285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5750"/>
                        </a:xfrm>
                        <a:prstGeom prst="rect">
                          <a:avLst/>
                        </a:prstGeom>
                        <a:solidFill>
                          <a:srgbClr val="FFFFFF"/>
                        </a:solidFill>
                        <a:ln w="9525">
                          <a:solidFill>
                            <a:srgbClr val="000000"/>
                          </a:solidFill>
                          <a:miter lim="800000"/>
                          <a:headEnd/>
                          <a:tailEnd/>
                        </a:ln>
                      </wps:spPr>
                      <wps:txbx>
                        <w:txbxContent>
                          <w:p w14:paraId="44813057" w14:textId="77777777" w:rsidR="004D1676" w:rsidRDefault="004D1676" w:rsidP="00E6060C">
                            <w:r>
                              <w:t xml:space="preserve">Code: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D1554F6" id="_x0000_s1028" type="#_x0000_t202" style="position:absolute;margin-left:342.8pt;margin-top:-48.2pt;width:147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hiJgIAAE0EAAAOAAAAZHJzL2Uyb0RvYy54bWysVNuO2yAQfa/Uf0C8N3bSXK04q222qSpt&#10;L9JuPwBjHKMCQ4HETr9+B5xNo237UtUPiGGGw8w5M17f9FqRo3BeginpeJRTIgyHWpp9Sb897t4s&#10;KfGBmZopMKKkJ+Hpzeb1q3VnCzGBFlQtHEEQ44vOlrQNwRZZ5nkrNPMjsMKgswGnWUDT7bPasQ7R&#10;tcomeT7POnC1dcCF93h6NzjpJuE3jeDhS9N4EYgqKeYW0urSWsU126xZsXfMtpKf02D/kIVm0uCj&#10;F6g7Fhg5OPkblJbcgYcmjDjoDJpGcpFqwGrG+YtqHlpmRaoFyfH2QpP/f7D88/GrI7Iu6dt8QYlh&#10;GkV6FH0g76Ank8hPZ32BYQ8WA0OPx6hzqtXbe+DfPTGwbZnZi1vnoGsFqzG/cbyZXV0dcHwEqbpP&#10;UOMz7BAgAfWN05E8pIMgOup0umgTU+HxyeV8vsrRxdE3Wc4WsyRexorn29b58EGAJnFTUofaJ3R2&#10;vPchZsOK55D4mAcl651UKhluX22VI0eGfbJLXyrgRZgypCvpajaZDQT8FSJP358gtAzY8Erqki4v&#10;QayItL03dWrHwKQa9piyMmceI3UDiaGv+iTZRZ4K6hMS62Dob5xH3LTgflLSYW+X1P84MCcoUR8N&#10;irMaT6dxGJIxnS0maLhrT3XtYYYjVEkDJcN2G9IARd4M3KKIjUz8RrWHTM4pY88m2s/zFYfi2k5R&#10;v/4CmycAAAD//wMAUEsDBBQABgAIAAAAIQAn9jup4QAAAAsBAAAPAAAAZHJzL2Rvd25yZXYueG1s&#10;TI/BTsMwDIbvSLxDZCQuaEsHXdaWphNCArEbbBNcszZrKxKnJFlX3h5zgqN/f/r9uVxP1rBR+9A7&#10;lLCYJ8A01q7psZWw3z3NMmAhKmyUcaglfOsA6+ryolRF4874psdtbBmVYCiUhC7GoeA81J22Kszd&#10;oJF2R+etijT6ljdenancGn6bJIJb1SNd6NSgHztdf25PVkKWvowfYXP3+l6Lo8njzWp8/vJSXl9N&#10;D/fAop7iHwy/+qQOFTkd3AmbwIwEkS0FoRJmuUiBEZGvckoOlCwXKfCq5P9/qH4AAAD//wMAUEsB&#10;Ai0AFAAGAAgAAAAhALaDOJL+AAAA4QEAABMAAAAAAAAAAAAAAAAAAAAAAFtDb250ZW50X1R5cGVz&#10;XS54bWxQSwECLQAUAAYACAAAACEAOP0h/9YAAACUAQAACwAAAAAAAAAAAAAAAAAvAQAAX3JlbHMv&#10;LnJlbHNQSwECLQAUAAYACAAAACEAHy1IYiYCAABNBAAADgAAAAAAAAAAAAAAAAAuAgAAZHJzL2Uy&#10;b0RvYy54bWxQSwECLQAUAAYACAAAACEAJ/Y7qeEAAAALAQAADwAAAAAAAAAAAAAAAACABAAAZHJz&#10;L2Rvd25yZXYueG1sUEsFBgAAAAAEAAQA8wAAAI4FAAAAAA==&#10;">
                <v:textbox>
                  <w:txbxContent>
                    <w:p w14:paraId="44813057" w14:textId="77777777" w:rsidR="004D1676" w:rsidRDefault="004D1676" w:rsidP="00E6060C">
                      <w:r>
                        <w:t xml:space="preserve">Code: </w:t>
                      </w:r>
                    </w:p>
                  </w:txbxContent>
                </v:textbox>
              </v:shape>
            </w:pict>
          </mc:Fallback>
        </mc:AlternateContent>
      </w:r>
      <w:r w:rsidRPr="00E6060C">
        <w:rPr>
          <w:noProof/>
          <w:sz w:val="16"/>
          <w:szCs w:val="16"/>
          <w:lang w:eastAsia="en-GB"/>
        </w:rPr>
        <w:drawing>
          <wp:inline distT="0" distB="0" distL="0" distR="0" wp14:anchorId="3C060977" wp14:editId="4EA5E263">
            <wp:extent cx="2024063" cy="809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3801" cy="821520"/>
                    </a:xfrm>
                    <a:prstGeom prst="rect">
                      <a:avLst/>
                    </a:prstGeom>
                    <a:noFill/>
                    <a:ln>
                      <a:noFill/>
                    </a:ln>
                  </pic:spPr>
                </pic:pic>
              </a:graphicData>
            </a:graphic>
          </wp:inline>
        </w:drawing>
      </w:r>
      <w:r w:rsidRPr="00E6060C">
        <w:rPr>
          <w:rFonts w:ascii="Trebuchet MS" w:hAnsi="Trebuchet MS" w:cs="Times New Roman"/>
          <w:noProof/>
          <w:lang w:eastAsia="en-GB"/>
        </w:rPr>
        <w:drawing>
          <wp:inline distT="0" distB="0" distL="0" distR="0" wp14:anchorId="4CEAC6BB" wp14:editId="65D6DACF">
            <wp:extent cx="2622175" cy="4953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25427" t="9630" r="46651" b="85925"/>
                    <a:stretch>
                      <a:fillRect/>
                    </a:stretch>
                  </pic:blipFill>
                  <pic:spPr bwMode="auto">
                    <a:xfrm>
                      <a:off x="0" y="0"/>
                      <a:ext cx="2622175" cy="495300"/>
                    </a:xfrm>
                    <a:prstGeom prst="rect">
                      <a:avLst/>
                    </a:prstGeom>
                    <a:noFill/>
                    <a:ln>
                      <a:noFill/>
                    </a:ln>
                  </pic:spPr>
                </pic:pic>
              </a:graphicData>
            </a:graphic>
          </wp:inline>
        </w:drawing>
      </w:r>
      <w:r w:rsidRPr="00E6060C">
        <w:rPr>
          <w:rFonts w:ascii="Calibri" w:eastAsia="Calibri" w:hAnsi="Calibri" w:cs="Times New Roman"/>
          <w:noProof/>
          <w:sz w:val="26"/>
          <w:szCs w:val="26"/>
          <w:lang w:eastAsia="en-GB"/>
        </w:rPr>
        <w:drawing>
          <wp:inline distT="0" distB="0" distL="0" distR="0" wp14:anchorId="7E952018" wp14:editId="39FD4450">
            <wp:extent cx="1714500" cy="933450"/>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l="5832" t="14890" r="66112" b="63110"/>
                    <a:stretch>
                      <a:fillRect/>
                    </a:stretch>
                  </pic:blipFill>
                  <pic:spPr bwMode="auto">
                    <a:xfrm>
                      <a:off x="0" y="0"/>
                      <a:ext cx="1714500" cy="933450"/>
                    </a:xfrm>
                    <a:prstGeom prst="rect">
                      <a:avLst/>
                    </a:prstGeom>
                    <a:noFill/>
                    <a:ln>
                      <a:noFill/>
                    </a:ln>
                  </pic:spPr>
                </pic:pic>
              </a:graphicData>
            </a:graphic>
          </wp:inline>
        </w:drawing>
      </w:r>
    </w:p>
    <w:tbl>
      <w:tblPr>
        <w:tblW w:w="5829" w:type="pct"/>
        <w:tblInd w:w="-743" w:type="dxa"/>
        <w:tblBorders>
          <w:top w:val="single" w:sz="4" w:space="0" w:color="auto"/>
          <w:left w:val="single" w:sz="4" w:space="0" w:color="auto"/>
          <w:bottom w:val="single" w:sz="4" w:space="0" w:color="auto"/>
          <w:right w:val="single" w:sz="4" w:space="0" w:color="auto"/>
        </w:tblBorders>
        <w:shd w:val="clear" w:color="auto" w:fill="92CDDC"/>
        <w:tblLayout w:type="fixed"/>
        <w:tblLook w:val="01E0" w:firstRow="1" w:lastRow="1" w:firstColumn="1" w:lastColumn="1" w:noHBand="0" w:noVBand="0"/>
      </w:tblPr>
      <w:tblGrid>
        <w:gridCol w:w="10523"/>
      </w:tblGrid>
      <w:tr w:rsidR="00E6060C" w:rsidRPr="00E6060C" w14:paraId="010F20C5" w14:textId="77777777" w:rsidTr="00E6060C">
        <w:trPr>
          <w:trHeight w:val="1063"/>
        </w:trPr>
        <w:tc>
          <w:tcPr>
            <w:tcW w:w="5000" w:type="pct"/>
            <w:tcBorders>
              <w:top w:val="nil"/>
              <w:left w:val="nil"/>
              <w:bottom w:val="nil"/>
              <w:right w:val="nil"/>
            </w:tcBorders>
            <w:shd w:val="clear" w:color="auto" w:fill="auto"/>
          </w:tcPr>
          <w:p w14:paraId="4D82DF3B" w14:textId="77777777" w:rsidR="00E6060C" w:rsidRPr="00E6060C" w:rsidRDefault="00E6060C" w:rsidP="00E6060C">
            <w:pPr>
              <w:tabs>
                <w:tab w:val="left" w:pos="4028"/>
              </w:tabs>
              <w:spacing w:after="120"/>
              <w:contextualSpacing/>
              <w:jc w:val="center"/>
              <w:rPr>
                <w:rFonts w:ascii="Arial" w:eastAsia="Times New Roman" w:hAnsi="Arial" w:cs="Arial"/>
                <w:b/>
                <w:sz w:val="28"/>
                <w:szCs w:val="28"/>
              </w:rPr>
            </w:pPr>
            <w:r w:rsidRPr="00E6060C">
              <w:rPr>
                <w:b/>
              </w:rPr>
              <w:t xml:space="preserve"> </w:t>
            </w:r>
          </w:p>
          <w:p w14:paraId="30BAB433" w14:textId="77777777" w:rsidR="00E6060C" w:rsidRPr="00E6060C" w:rsidRDefault="00E6060C" w:rsidP="00E6060C">
            <w:pPr>
              <w:tabs>
                <w:tab w:val="left" w:pos="3147"/>
                <w:tab w:val="left" w:pos="4028"/>
                <w:tab w:val="left" w:pos="9375"/>
                <w:tab w:val="left" w:pos="9954"/>
                <w:tab w:val="left" w:pos="10194"/>
                <w:tab w:val="left" w:pos="11619"/>
              </w:tabs>
              <w:spacing w:after="120"/>
              <w:contextualSpacing/>
              <w:jc w:val="center"/>
              <w:rPr>
                <w:rFonts w:eastAsia="Times New Roman" w:cs="Arial"/>
                <w:b/>
                <w:sz w:val="28"/>
                <w:szCs w:val="28"/>
              </w:rPr>
            </w:pPr>
          </w:p>
          <w:p w14:paraId="059FD33C" w14:textId="77777777" w:rsidR="00E6060C" w:rsidRPr="00E6060C" w:rsidRDefault="00E6060C" w:rsidP="00E6060C">
            <w:pPr>
              <w:tabs>
                <w:tab w:val="left" w:pos="3147"/>
                <w:tab w:val="left" w:pos="4028"/>
                <w:tab w:val="left" w:pos="9375"/>
                <w:tab w:val="left" w:pos="9954"/>
                <w:tab w:val="left" w:pos="10194"/>
                <w:tab w:val="left" w:pos="11619"/>
              </w:tabs>
              <w:spacing w:after="120"/>
              <w:contextualSpacing/>
              <w:jc w:val="center"/>
              <w:rPr>
                <w:rFonts w:eastAsia="Times New Roman" w:cs="Arial"/>
                <w:b/>
                <w:sz w:val="28"/>
                <w:szCs w:val="28"/>
              </w:rPr>
            </w:pPr>
            <w:r w:rsidRPr="00E6060C">
              <w:rPr>
                <w:rFonts w:eastAsia="Times New Roman" w:cs="Arial"/>
                <w:b/>
                <w:sz w:val="28"/>
                <w:szCs w:val="28"/>
              </w:rPr>
              <w:t>EnRICH Project - Quality of Hospital Care – Staff Questionnaire</w:t>
            </w:r>
          </w:p>
          <w:p w14:paraId="5F775BF1" w14:textId="77777777" w:rsidR="00E6060C" w:rsidRPr="00E6060C" w:rsidRDefault="00E6060C" w:rsidP="00E6060C">
            <w:pPr>
              <w:tabs>
                <w:tab w:val="left" w:pos="3147"/>
                <w:tab w:val="left" w:pos="4028"/>
                <w:tab w:val="left" w:pos="9375"/>
                <w:tab w:val="left" w:pos="9954"/>
                <w:tab w:val="left" w:pos="10194"/>
                <w:tab w:val="left" w:pos="11619"/>
              </w:tabs>
              <w:spacing w:after="120"/>
              <w:contextualSpacing/>
              <w:rPr>
                <w:rFonts w:ascii="Arial Narrow" w:eastAsia="Times New Roman" w:hAnsi="Arial Narrow" w:cs="Arial"/>
                <w:b/>
                <w:sz w:val="28"/>
                <w:szCs w:val="28"/>
              </w:rPr>
            </w:pPr>
          </w:p>
        </w:tc>
      </w:tr>
    </w:tbl>
    <w:p w14:paraId="3C68CE7A" w14:textId="77777777" w:rsidR="00E6060C" w:rsidRPr="00E6060C" w:rsidRDefault="00E6060C" w:rsidP="00E6060C">
      <w:pPr>
        <w:ind w:left="-851" w:right="-897"/>
        <w:contextualSpacing/>
        <w:rPr>
          <w:rFonts w:eastAsia="Times" w:cs="Times New Roman"/>
          <w:lang w:eastAsia="en-GB"/>
        </w:rPr>
      </w:pPr>
    </w:p>
    <w:p w14:paraId="1BC5FEE8" w14:textId="77777777" w:rsidR="00E6060C" w:rsidRPr="00E6060C" w:rsidRDefault="00E6060C" w:rsidP="00E6060C">
      <w:pPr>
        <w:ind w:left="-851" w:right="-897"/>
        <w:contextualSpacing/>
        <w:rPr>
          <w:rFonts w:eastAsia="Times" w:cs="Times New Roman"/>
          <w:b/>
          <w:bCs/>
          <w:lang w:val="en-US" w:eastAsia="en-GB"/>
        </w:rPr>
      </w:pPr>
      <w:r w:rsidRPr="00E6060C">
        <w:rPr>
          <w:rFonts w:eastAsia="Times" w:cs="Times New Roman"/>
          <w:lang w:eastAsia="en-GB"/>
        </w:rPr>
        <w:t xml:space="preserve">Hi, in this questionnaire we are interested in the ward where you work and the ward team. Please answer every question, read them carefully and circle the number which best represents your views.  Your views are really important to us. </w:t>
      </w:r>
      <w:r w:rsidRPr="00E6060C">
        <w:rPr>
          <w:rFonts w:eastAsia="Times" w:cs="Times New Roman"/>
          <w:b/>
          <w:bCs/>
          <w:lang w:val="en-US" w:eastAsia="en-GB"/>
        </w:rPr>
        <w:t>Thank you.</w:t>
      </w:r>
    </w:p>
    <w:p w14:paraId="15D0CE65" w14:textId="77777777" w:rsidR="00E6060C" w:rsidRPr="00E6060C" w:rsidRDefault="00E6060C" w:rsidP="00E6060C">
      <w:pPr>
        <w:ind w:left="-851" w:right="-897"/>
        <w:contextualSpacing/>
        <w:rPr>
          <w:rFonts w:eastAsia="Times" w:cs="Times New Roman"/>
          <w:b/>
          <w:bCs/>
          <w:lang w:eastAsia="en-GB"/>
        </w:rPr>
      </w:pPr>
    </w:p>
    <w:tbl>
      <w:tblPr>
        <w:tblW w:w="10809"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5027"/>
        <w:gridCol w:w="993"/>
        <w:gridCol w:w="1133"/>
        <w:gridCol w:w="1209"/>
        <w:gridCol w:w="851"/>
        <w:gridCol w:w="1132"/>
      </w:tblGrid>
      <w:tr w:rsidR="00E6060C" w:rsidRPr="00E6060C" w14:paraId="09277DF2" w14:textId="77777777" w:rsidTr="00E6060C">
        <w:trPr>
          <w:trHeight w:val="476"/>
          <w:jc w:val="center"/>
        </w:trPr>
        <w:tc>
          <w:tcPr>
            <w:tcW w:w="464" w:type="dxa"/>
            <w:tcBorders>
              <w:top w:val="single" w:sz="4" w:space="0" w:color="auto"/>
              <w:bottom w:val="single" w:sz="4" w:space="0" w:color="auto"/>
            </w:tcBorders>
            <w:shd w:val="clear" w:color="auto" w:fill="8EAADB" w:themeFill="accent5" w:themeFillTint="99"/>
          </w:tcPr>
          <w:p w14:paraId="068AB071" w14:textId="77777777" w:rsidR="00E6060C" w:rsidRPr="00E6060C" w:rsidRDefault="00E6060C" w:rsidP="00E6060C">
            <w:pPr>
              <w:tabs>
                <w:tab w:val="left" w:pos="54"/>
              </w:tabs>
              <w:contextualSpacing/>
              <w:rPr>
                <w:rFonts w:eastAsia="Times" w:cs="Times New Roman"/>
                <w:b/>
                <w:bCs/>
                <w:lang w:val="en-US" w:eastAsia="en-GB"/>
              </w:rPr>
            </w:pPr>
            <w:r w:rsidRPr="00E6060C">
              <w:rPr>
                <w:rFonts w:eastAsia="Times" w:cs="Times New Roman"/>
                <w:b/>
                <w:bCs/>
                <w:lang w:val="en-US" w:eastAsia="en-GB"/>
              </w:rPr>
              <w:t>1</w:t>
            </w:r>
          </w:p>
        </w:tc>
        <w:tc>
          <w:tcPr>
            <w:tcW w:w="5027" w:type="dxa"/>
            <w:tcBorders>
              <w:top w:val="single" w:sz="4" w:space="0" w:color="auto"/>
              <w:bottom w:val="single" w:sz="4" w:space="0" w:color="auto"/>
            </w:tcBorders>
            <w:shd w:val="clear" w:color="auto" w:fill="8EAADB" w:themeFill="accent5" w:themeFillTint="99"/>
          </w:tcPr>
          <w:p w14:paraId="119F97ED" w14:textId="77777777" w:rsidR="00E6060C" w:rsidRPr="00E6060C" w:rsidRDefault="00E6060C" w:rsidP="00E6060C">
            <w:pPr>
              <w:tabs>
                <w:tab w:val="left" w:pos="34"/>
              </w:tabs>
              <w:spacing w:after="200" w:line="276" w:lineRule="auto"/>
              <w:contextualSpacing/>
              <w:rPr>
                <w:rFonts w:eastAsia="Times" w:cs="Times New Roman"/>
                <w:b/>
                <w:bCs/>
                <w:lang w:val="en-US" w:eastAsia="en-GB"/>
              </w:rPr>
            </w:pPr>
            <w:r w:rsidRPr="00E6060C">
              <w:rPr>
                <w:rFonts w:eastAsia="Times" w:cs="Times New Roman"/>
                <w:b/>
                <w:bCs/>
                <w:lang w:val="en-US" w:eastAsia="en-GB"/>
              </w:rPr>
              <w:t>The following statements refer to your  ward team.</w:t>
            </w:r>
          </w:p>
          <w:p w14:paraId="32940D68" w14:textId="77777777" w:rsidR="00E6060C" w:rsidRPr="00E6060C" w:rsidRDefault="00E6060C" w:rsidP="00E6060C">
            <w:pPr>
              <w:tabs>
                <w:tab w:val="left" w:pos="34"/>
              </w:tabs>
              <w:spacing w:after="200" w:line="276" w:lineRule="auto"/>
              <w:contextualSpacing/>
              <w:rPr>
                <w:rFonts w:eastAsia="Times" w:cs="Times New Roman"/>
                <w:b/>
                <w:bCs/>
                <w:lang w:val="en-US" w:eastAsia="en-GB"/>
              </w:rPr>
            </w:pPr>
            <w:r w:rsidRPr="00E6060C">
              <w:rPr>
                <w:rFonts w:eastAsia="Times" w:cs="Times New Roman"/>
                <w:b/>
                <w:bCs/>
                <w:lang w:val="en-US" w:eastAsia="en-GB"/>
              </w:rPr>
              <w:t>Please indicate how much you agree with each of the following statements.</w:t>
            </w:r>
          </w:p>
        </w:tc>
        <w:tc>
          <w:tcPr>
            <w:tcW w:w="993" w:type="dxa"/>
            <w:tcBorders>
              <w:top w:val="single" w:sz="4" w:space="0" w:color="auto"/>
              <w:bottom w:val="single" w:sz="4" w:space="0" w:color="auto"/>
            </w:tcBorders>
            <w:shd w:val="clear" w:color="auto" w:fill="8EAADB" w:themeFill="accent5" w:themeFillTint="99"/>
          </w:tcPr>
          <w:p w14:paraId="74D30BFF"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3" w:type="dxa"/>
            <w:tcBorders>
              <w:top w:val="single" w:sz="4" w:space="0" w:color="auto"/>
              <w:bottom w:val="single" w:sz="4" w:space="0" w:color="auto"/>
            </w:tcBorders>
            <w:shd w:val="clear" w:color="auto" w:fill="8EAADB" w:themeFill="accent5" w:themeFillTint="99"/>
          </w:tcPr>
          <w:p w14:paraId="5F801ED6"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09" w:type="dxa"/>
            <w:tcBorders>
              <w:top w:val="single" w:sz="4" w:space="0" w:color="auto"/>
              <w:bottom w:val="single" w:sz="4" w:space="0" w:color="auto"/>
            </w:tcBorders>
            <w:shd w:val="clear" w:color="auto" w:fill="8EAADB" w:themeFill="accent5" w:themeFillTint="99"/>
          </w:tcPr>
          <w:p w14:paraId="512BD27B"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19369140"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2" w:type="dxa"/>
            <w:tcBorders>
              <w:top w:val="single" w:sz="4" w:space="0" w:color="auto"/>
              <w:bottom w:val="single" w:sz="4" w:space="0" w:color="auto"/>
            </w:tcBorders>
            <w:shd w:val="clear" w:color="auto" w:fill="8EAADB" w:themeFill="accent5" w:themeFillTint="99"/>
          </w:tcPr>
          <w:p w14:paraId="5D6F128C"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30476C70" w14:textId="77777777" w:rsidTr="00E6060C">
        <w:trPr>
          <w:jc w:val="center"/>
        </w:trPr>
        <w:tc>
          <w:tcPr>
            <w:tcW w:w="464" w:type="dxa"/>
            <w:tcBorders>
              <w:top w:val="nil"/>
              <w:bottom w:val="nil"/>
            </w:tcBorders>
            <w:shd w:val="clear" w:color="auto" w:fill="auto"/>
            <w:vAlign w:val="center"/>
          </w:tcPr>
          <w:p w14:paraId="4B1774C5"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1</w:t>
            </w:r>
          </w:p>
        </w:tc>
        <w:tc>
          <w:tcPr>
            <w:tcW w:w="5027" w:type="dxa"/>
            <w:tcBorders>
              <w:top w:val="nil"/>
              <w:bottom w:val="nil"/>
            </w:tcBorders>
            <w:shd w:val="clear" w:color="auto" w:fill="auto"/>
            <w:vAlign w:val="center"/>
          </w:tcPr>
          <w:p w14:paraId="5DE78AD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Involving patients and their carers is considered very important on this ward</w:t>
            </w:r>
          </w:p>
        </w:tc>
        <w:tc>
          <w:tcPr>
            <w:tcW w:w="993" w:type="dxa"/>
            <w:tcBorders>
              <w:top w:val="nil"/>
              <w:bottom w:val="nil"/>
            </w:tcBorders>
            <w:shd w:val="clear" w:color="auto" w:fill="auto"/>
            <w:vAlign w:val="center"/>
          </w:tcPr>
          <w:p w14:paraId="16C591A7"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347174B5"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09" w:type="dxa"/>
            <w:tcBorders>
              <w:top w:val="nil"/>
              <w:bottom w:val="nil"/>
            </w:tcBorders>
            <w:shd w:val="clear" w:color="auto" w:fill="auto"/>
            <w:vAlign w:val="center"/>
          </w:tcPr>
          <w:p w14:paraId="7F9710B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168B822"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096CDC2D"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3C34D8B4" w14:textId="77777777" w:rsidTr="00E6060C">
        <w:trPr>
          <w:jc w:val="center"/>
        </w:trPr>
        <w:tc>
          <w:tcPr>
            <w:tcW w:w="464" w:type="dxa"/>
            <w:tcBorders>
              <w:top w:val="nil"/>
              <w:bottom w:val="nil"/>
            </w:tcBorders>
            <w:shd w:val="clear" w:color="auto" w:fill="D9D9D9" w:themeFill="background1" w:themeFillShade="D9"/>
            <w:vAlign w:val="center"/>
          </w:tcPr>
          <w:p w14:paraId="3F17C01B"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2</w:t>
            </w:r>
          </w:p>
        </w:tc>
        <w:tc>
          <w:tcPr>
            <w:tcW w:w="5027" w:type="dxa"/>
            <w:tcBorders>
              <w:top w:val="nil"/>
              <w:bottom w:val="nil"/>
            </w:tcBorders>
            <w:shd w:val="clear" w:color="auto" w:fill="D9D9D9" w:themeFill="background1" w:themeFillShade="D9"/>
            <w:vAlign w:val="center"/>
          </w:tcPr>
          <w:p w14:paraId="0D31A73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have a culture on this ward about caring for patients and supporting them rather than being about ‘doing tasks’</w:t>
            </w:r>
          </w:p>
        </w:tc>
        <w:tc>
          <w:tcPr>
            <w:tcW w:w="993" w:type="dxa"/>
            <w:tcBorders>
              <w:top w:val="nil"/>
              <w:bottom w:val="nil"/>
            </w:tcBorders>
            <w:shd w:val="clear" w:color="auto" w:fill="D9D9D9" w:themeFill="background1" w:themeFillShade="D9"/>
            <w:vAlign w:val="center"/>
          </w:tcPr>
          <w:p w14:paraId="44E90043"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D9D9D9" w:themeFill="background1" w:themeFillShade="D9"/>
            <w:vAlign w:val="center"/>
          </w:tcPr>
          <w:p w14:paraId="39BBD9EA"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09" w:type="dxa"/>
            <w:tcBorders>
              <w:top w:val="nil"/>
              <w:bottom w:val="nil"/>
            </w:tcBorders>
            <w:shd w:val="clear" w:color="auto" w:fill="D9D9D9" w:themeFill="background1" w:themeFillShade="D9"/>
            <w:vAlign w:val="center"/>
          </w:tcPr>
          <w:p w14:paraId="76A3BC19"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0273FFF9"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372FB4B8"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4BCD163E" w14:textId="77777777" w:rsidTr="00E6060C">
        <w:trPr>
          <w:jc w:val="center"/>
        </w:trPr>
        <w:tc>
          <w:tcPr>
            <w:tcW w:w="464" w:type="dxa"/>
            <w:tcBorders>
              <w:top w:val="nil"/>
              <w:bottom w:val="nil"/>
            </w:tcBorders>
            <w:shd w:val="clear" w:color="auto" w:fill="auto"/>
            <w:vAlign w:val="center"/>
          </w:tcPr>
          <w:p w14:paraId="526A4469" w14:textId="77777777" w:rsidR="00E6060C" w:rsidRPr="00E6060C" w:rsidRDefault="00E6060C" w:rsidP="00E6060C">
            <w:pPr>
              <w:widowControl w:val="0"/>
              <w:tabs>
                <w:tab w:val="left" w:pos="576"/>
                <w:tab w:val="left" w:pos="7632"/>
                <w:tab w:val="left" w:pos="8064"/>
                <w:tab w:val="left" w:pos="8496"/>
                <w:tab w:val="left" w:pos="8928"/>
                <w:tab w:val="left" w:pos="9360"/>
              </w:tabs>
              <w:spacing w:before="40" w:after="40"/>
              <w:rPr>
                <w:rFonts w:eastAsia="Times New Roman" w:cs="Times New Roman"/>
                <w:lang w:val="en-AU"/>
              </w:rPr>
            </w:pPr>
            <w:r w:rsidRPr="00E6060C">
              <w:rPr>
                <w:rFonts w:eastAsia="Times New Roman" w:cs="Times New Roman"/>
                <w:lang w:val="en-AU"/>
              </w:rPr>
              <w:t>3</w:t>
            </w:r>
          </w:p>
        </w:tc>
        <w:tc>
          <w:tcPr>
            <w:tcW w:w="5027" w:type="dxa"/>
            <w:tcBorders>
              <w:top w:val="nil"/>
              <w:bottom w:val="nil"/>
            </w:tcBorders>
            <w:shd w:val="clear" w:color="auto" w:fill="auto"/>
            <w:vAlign w:val="center"/>
          </w:tcPr>
          <w:p w14:paraId="51CF53E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Values and expectations for care are communicated to new members of the team</w:t>
            </w:r>
          </w:p>
        </w:tc>
        <w:tc>
          <w:tcPr>
            <w:tcW w:w="993" w:type="dxa"/>
            <w:tcBorders>
              <w:top w:val="nil"/>
              <w:bottom w:val="nil"/>
            </w:tcBorders>
            <w:shd w:val="clear" w:color="auto" w:fill="auto"/>
            <w:vAlign w:val="center"/>
          </w:tcPr>
          <w:p w14:paraId="19D18926"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1687494E"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09" w:type="dxa"/>
            <w:tcBorders>
              <w:top w:val="nil"/>
              <w:bottom w:val="nil"/>
            </w:tcBorders>
            <w:shd w:val="clear" w:color="auto" w:fill="auto"/>
            <w:vAlign w:val="center"/>
          </w:tcPr>
          <w:p w14:paraId="5F13E849"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19C3262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6E9B02F3"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68FD1E02" w14:textId="77777777" w:rsidTr="00E6060C">
        <w:trPr>
          <w:jc w:val="center"/>
        </w:trPr>
        <w:tc>
          <w:tcPr>
            <w:tcW w:w="464" w:type="dxa"/>
            <w:tcBorders>
              <w:top w:val="nil"/>
              <w:bottom w:val="nil"/>
            </w:tcBorders>
            <w:shd w:val="clear" w:color="auto" w:fill="D9D9D9" w:themeFill="background1" w:themeFillShade="D9"/>
            <w:vAlign w:val="center"/>
          </w:tcPr>
          <w:p w14:paraId="15DB2D01"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4</w:t>
            </w:r>
          </w:p>
        </w:tc>
        <w:tc>
          <w:tcPr>
            <w:tcW w:w="5027" w:type="dxa"/>
            <w:tcBorders>
              <w:top w:val="nil"/>
              <w:bottom w:val="nil"/>
            </w:tcBorders>
            <w:shd w:val="clear" w:color="auto" w:fill="D9D9D9" w:themeFill="background1" w:themeFillShade="D9"/>
            <w:vAlign w:val="center"/>
          </w:tcPr>
          <w:p w14:paraId="145A491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psychological aspects of care are highly valued on this ward.</w:t>
            </w:r>
          </w:p>
        </w:tc>
        <w:tc>
          <w:tcPr>
            <w:tcW w:w="993" w:type="dxa"/>
            <w:tcBorders>
              <w:top w:val="nil"/>
              <w:bottom w:val="nil"/>
            </w:tcBorders>
            <w:shd w:val="clear" w:color="auto" w:fill="D9D9D9" w:themeFill="background1" w:themeFillShade="D9"/>
            <w:vAlign w:val="center"/>
          </w:tcPr>
          <w:p w14:paraId="66B2ED5E"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D9D9D9" w:themeFill="background1" w:themeFillShade="D9"/>
            <w:vAlign w:val="center"/>
          </w:tcPr>
          <w:p w14:paraId="79490C35"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09" w:type="dxa"/>
            <w:tcBorders>
              <w:top w:val="nil"/>
              <w:bottom w:val="nil"/>
            </w:tcBorders>
            <w:shd w:val="clear" w:color="auto" w:fill="D9D9D9" w:themeFill="background1" w:themeFillShade="D9"/>
            <w:vAlign w:val="center"/>
          </w:tcPr>
          <w:p w14:paraId="02663E06"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27662DE5"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15FB6923"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28D661D8" w14:textId="77777777" w:rsidTr="00E6060C">
        <w:trPr>
          <w:jc w:val="center"/>
        </w:trPr>
        <w:tc>
          <w:tcPr>
            <w:tcW w:w="464" w:type="dxa"/>
            <w:tcBorders>
              <w:top w:val="nil"/>
              <w:bottom w:val="nil"/>
            </w:tcBorders>
            <w:shd w:val="clear" w:color="auto" w:fill="auto"/>
            <w:vAlign w:val="center"/>
          </w:tcPr>
          <w:p w14:paraId="517518B4"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5</w:t>
            </w:r>
          </w:p>
        </w:tc>
        <w:tc>
          <w:tcPr>
            <w:tcW w:w="5027" w:type="dxa"/>
            <w:tcBorders>
              <w:top w:val="nil"/>
              <w:bottom w:val="nil"/>
            </w:tcBorders>
            <w:shd w:val="clear" w:color="auto" w:fill="auto"/>
            <w:vAlign w:val="center"/>
          </w:tcPr>
          <w:p w14:paraId="14419366"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team share an explicit philosophy of care</w:t>
            </w:r>
          </w:p>
        </w:tc>
        <w:tc>
          <w:tcPr>
            <w:tcW w:w="993" w:type="dxa"/>
            <w:tcBorders>
              <w:top w:val="nil"/>
              <w:bottom w:val="nil"/>
            </w:tcBorders>
            <w:shd w:val="clear" w:color="auto" w:fill="auto"/>
            <w:vAlign w:val="center"/>
          </w:tcPr>
          <w:p w14:paraId="32C07A03"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1D158348"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09" w:type="dxa"/>
            <w:tcBorders>
              <w:top w:val="nil"/>
              <w:bottom w:val="nil"/>
            </w:tcBorders>
            <w:shd w:val="clear" w:color="auto" w:fill="auto"/>
            <w:vAlign w:val="center"/>
          </w:tcPr>
          <w:p w14:paraId="5D5A31DA"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8376A16"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30EDAB6E"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bl>
    <w:p w14:paraId="43746EDD" w14:textId="77777777" w:rsidR="00E6060C" w:rsidRPr="00E6060C" w:rsidRDefault="00E6060C" w:rsidP="00E6060C"/>
    <w:tbl>
      <w:tblPr>
        <w:tblW w:w="10809"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5009"/>
        <w:gridCol w:w="992"/>
        <w:gridCol w:w="1133"/>
        <w:gridCol w:w="1228"/>
        <w:gridCol w:w="851"/>
        <w:gridCol w:w="1132"/>
      </w:tblGrid>
      <w:tr w:rsidR="00E6060C" w:rsidRPr="00E6060C" w14:paraId="4AD150C6" w14:textId="77777777" w:rsidTr="00E6060C">
        <w:trPr>
          <w:trHeight w:val="980"/>
          <w:jc w:val="center"/>
        </w:trPr>
        <w:tc>
          <w:tcPr>
            <w:tcW w:w="464" w:type="dxa"/>
            <w:tcBorders>
              <w:top w:val="single" w:sz="4" w:space="0" w:color="auto"/>
              <w:bottom w:val="single" w:sz="4" w:space="0" w:color="auto"/>
            </w:tcBorders>
            <w:shd w:val="clear" w:color="auto" w:fill="8EAADB" w:themeFill="accent5" w:themeFillTint="99"/>
          </w:tcPr>
          <w:p w14:paraId="64CDF47E" w14:textId="77777777" w:rsidR="00E6060C" w:rsidRPr="00E6060C" w:rsidRDefault="00E6060C" w:rsidP="00E6060C">
            <w:pPr>
              <w:spacing w:after="200" w:line="276" w:lineRule="auto"/>
              <w:contextualSpacing/>
              <w:rPr>
                <w:rFonts w:eastAsia="Times" w:cs="Times New Roman"/>
                <w:b/>
                <w:bCs/>
                <w:lang w:val="en-US" w:eastAsia="en-GB"/>
              </w:rPr>
            </w:pPr>
            <w:r w:rsidRPr="00E6060C">
              <w:rPr>
                <w:rFonts w:eastAsia="Times" w:cs="Times New Roman"/>
                <w:b/>
                <w:bCs/>
                <w:lang w:val="en-US" w:eastAsia="en-GB"/>
              </w:rPr>
              <w:t>2</w:t>
            </w:r>
          </w:p>
        </w:tc>
        <w:tc>
          <w:tcPr>
            <w:tcW w:w="5009" w:type="dxa"/>
            <w:tcBorders>
              <w:top w:val="single" w:sz="4" w:space="0" w:color="auto"/>
              <w:bottom w:val="single" w:sz="4" w:space="0" w:color="auto"/>
            </w:tcBorders>
            <w:shd w:val="clear" w:color="auto" w:fill="8EAADB" w:themeFill="accent5" w:themeFillTint="99"/>
            <w:vAlign w:val="bottom"/>
          </w:tcPr>
          <w:p w14:paraId="4C29684E" w14:textId="77777777" w:rsidR="00E6060C" w:rsidRPr="00E6060C" w:rsidRDefault="00E6060C" w:rsidP="00E6060C">
            <w:pPr>
              <w:spacing w:after="200" w:line="276" w:lineRule="auto"/>
              <w:ind w:left="34"/>
              <w:contextualSpacing/>
              <w:rPr>
                <w:rFonts w:eastAsia="Times" w:cs="Times New Roman"/>
                <w:b/>
                <w:bCs/>
                <w:lang w:val="en-US" w:eastAsia="en-GB"/>
              </w:rPr>
            </w:pPr>
            <w:r w:rsidRPr="00E6060C">
              <w:rPr>
                <w:rFonts w:eastAsia="Times" w:cs="Times New Roman"/>
                <w:b/>
                <w:bCs/>
                <w:lang w:val="en-US" w:eastAsia="en-GB"/>
              </w:rPr>
              <w:t xml:space="preserve">These statements are about the </w:t>
            </w:r>
            <w:r w:rsidRPr="00E6060C">
              <w:rPr>
                <w:rFonts w:eastAsia="Times" w:cs="Times New Roman"/>
                <w:b/>
                <w:bCs/>
                <w:u w:val="single"/>
                <w:lang w:val="en-US" w:eastAsia="en-GB"/>
              </w:rPr>
              <w:t>resources and demands</w:t>
            </w:r>
            <w:r w:rsidRPr="00E6060C">
              <w:rPr>
                <w:rFonts w:eastAsia="Times" w:cs="Times New Roman"/>
                <w:b/>
                <w:bCs/>
                <w:lang w:val="en-US" w:eastAsia="en-GB"/>
              </w:rPr>
              <w:t xml:space="preserve"> for your ward team. How much do you agree with each of these statements?</w:t>
            </w:r>
          </w:p>
        </w:tc>
        <w:tc>
          <w:tcPr>
            <w:tcW w:w="992" w:type="dxa"/>
            <w:tcBorders>
              <w:top w:val="single" w:sz="4" w:space="0" w:color="auto"/>
              <w:bottom w:val="single" w:sz="4" w:space="0" w:color="auto"/>
            </w:tcBorders>
            <w:shd w:val="clear" w:color="auto" w:fill="8EAADB" w:themeFill="accent5" w:themeFillTint="99"/>
          </w:tcPr>
          <w:p w14:paraId="6B934CB4"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3" w:type="dxa"/>
            <w:tcBorders>
              <w:top w:val="single" w:sz="4" w:space="0" w:color="auto"/>
              <w:bottom w:val="single" w:sz="4" w:space="0" w:color="auto"/>
            </w:tcBorders>
            <w:shd w:val="clear" w:color="auto" w:fill="8EAADB" w:themeFill="accent5" w:themeFillTint="99"/>
          </w:tcPr>
          <w:p w14:paraId="0CF28377"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28" w:type="dxa"/>
            <w:tcBorders>
              <w:top w:val="single" w:sz="4" w:space="0" w:color="auto"/>
              <w:bottom w:val="single" w:sz="4" w:space="0" w:color="auto"/>
            </w:tcBorders>
            <w:shd w:val="clear" w:color="auto" w:fill="8EAADB" w:themeFill="accent5" w:themeFillTint="99"/>
          </w:tcPr>
          <w:p w14:paraId="4EAA1943"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6E97FF8C"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2" w:type="dxa"/>
            <w:tcBorders>
              <w:top w:val="single" w:sz="4" w:space="0" w:color="auto"/>
              <w:bottom w:val="single" w:sz="4" w:space="0" w:color="auto"/>
            </w:tcBorders>
            <w:shd w:val="clear" w:color="auto" w:fill="8EAADB" w:themeFill="accent5" w:themeFillTint="99"/>
          </w:tcPr>
          <w:p w14:paraId="58338064"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5DCE3610" w14:textId="77777777" w:rsidTr="00E6060C">
        <w:trPr>
          <w:trHeight w:val="399"/>
          <w:jc w:val="center"/>
        </w:trPr>
        <w:tc>
          <w:tcPr>
            <w:tcW w:w="464" w:type="dxa"/>
            <w:tcBorders>
              <w:top w:val="nil"/>
              <w:bottom w:val="nil"/>
            </w:tcBorders>
            <w:shd w:val="clear" w:color="auto" w:fill="auto"/>
            <w:vAlign w:val="center"/>
          </w:tcPr>
          <w:p w14:paraId="5B148A9A"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1</w:t>
            </w:r>
          </w:p>
        </w:tc>
        <w:tc>
          <w:tcPr>
            <w:tcW w:w="5009" w:type="dxa"/>
            <w:tcBorders>
              <w:top w:val="nil"/>
              <w:bottom w:val="nil"/>
            </w:tcBorders>
            <w:shd w:val="clear" w:color="auto" w:fill="auto"/>
            <w:vAlign w:val="center"/>
          </w:tcPr>
          <w:p w14:paraId="3E162B82" w14:textId="77777777" w:rsidR="00E6060C" w:rsidRPr="00E6060C" w:rsidRDefault="00E6060C" w:rsidP="00E6060C">
            <w:pPr>
              <w:spacing w:before="40" w:after="40"/>
            </w:pPr>
            <w:r w:rsidRPr="00E6060C">
              <w:t>There is too much work to do in too little time</w:t>
            </w:r>
          </w:p>
        </w:tc>
        <w:tc>
          <w:tcPr>
            <w:tcW w:w="992" w:type="dxa"/>
            <w:tcBorders>
              <w:top w:val="nil"/>
              <w:bottom w:val="nil"/>
            </w:tcBorders>
            <w:shd w:val="clear" w:color="auto" w:fill="auto"/>
            <w:vAlign w:val="center"/>
          </w:tcPr>
          <w:p w14:paraId="738FF3D7"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748A623C"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auto"/>
            <w:vAlign w:val="center"/>
          </w:tcPr>
          <w:p w14:paraId="7BE77D9F"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7ACB374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61142B4E"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04CC5729" w14:textId="77777777" w:rsidTr="00E6060C">
        <w:trPr>
          <w:trHeight w:val="399"/>
          <w:jc w:val="center"/>
        </w:trPr>
        <w:tc>
          <w:tcPr>
            <w:tcW w:w="464" w:type="dxa"/>
            <w:tcBorders>
              <w:top w:val="nil"/>
              <w:bottom w:val="nil"/>
            </w:tcBorders>
            <w:shd w:val="clear" w:color="auto" w:fill="D9D9D9" w:themeFill="background1" w:themeFillShade="D9"/>
            <w:vAlign w:val="center"/>
          </w:tcPr>
          <w:p w14:paraId="4AFCDEC6"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2</w:t>
            </w:r>
          </w:p>
        </w:tc>
        <w:tc>
          <w:tcPr>
            <w:tcW w:w="5009" w:type="dxa"/>
            <w:tcBorders>
              <w:top w:val="nil"/>
              <w:bottom w:val="nil"/>
            </w:tcBorders>
            <w:shd w:val="clear" w:color="auto" w:fill="D9D9D9" w:themeFill="background1" w:themeFillShade="D9"/>
            <w:vAlign w:val="center"/>
          </w:tcPr>
          <w:p w14:paraId="61FB3F66" w14:textId="77777777" w:rsidR="00E6060C" w:rsidRPr="00E6060C" w:rsidRDefault="00E6060C" w:rsidP="00E6060C">
            <w:pPr>
              <w:spacing w:before="40" w:after="40"/>
            </w:pPr>
            <w:r w:rsidRPr="00E6060C">
              <w:t xml:space="preserve">We are asked to do work without adequate resources to complete it </w:t>
            </w:r>
          </w:p>
        </w:tc>
        <w:tc>
          <w:tcPr>
            <w:tcW w:w="992" w:type="dxa"/>
            <w:tcBorders>
              <w:top w:val="nil"/>
              <w:bottom w:val="nil"/>
            </w:tcBorders>
            <w:shd w:val="clear" w:color="auto" w:fill="D9D9D9" w:themeFill="background1" w:themeFillShade="D9"/>
            <w:vAlign w:val="center"/>
          </w:tcPr>
          <w:p w14:paraId="7EBC145A"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D9D9D9" w:themeFill="background1" w:themeFillShade="D9"/>
            <w:vAlign w:val="center"/>
          </w:tcPr>
          <w:p w14:paraId="1065BAE8"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D9D9D9" w:themeFill="background1" w:themeFillShade="D9"/>
            <w:vAlign w:val="center"/>
          </w:tcPr>
          <w:p w14:paraId="29C013A6"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48BE981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52DD09C3"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3F7C7046" w14:textId="77777777" w:rsidTr="00E6060C">
        <w:trPr>
          <w:trHeight w:val="399"/>
          <w:jc w:val="center"/>
        </w:trPr>
        <w:tc>
          <w:tcPr>
            <w:tcW w:w="464" w:type="dxa"/>
            <w:tcBorders>
              <w:top w:val="nil"/>
              <w:bottom w:val="nil"/>
            </w:tcBorders>
            <w:shd w:val="clear" w:color="auto" w:fill="auto"/>
            <w:vAlign w:val="center"/>
          </w:tcPr>
          <w:p w14:paraId="2E3860CA"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3</w:t>
            </w:r>
          </w:p>
        </w:tc>
        <w:tc>
          <w:tcPr>
            <w:tcW w:w="5009" w:type="dxa"/>
            <w:tcBorders>
              <w:top w:val="nil"/>
              <w:bottom w:val="nil"/>
            </w:tcBorders>
            <w:shd w:val="clear" w:color="auto" w:fill="auto"/>
            <w:vAlign w:val="center"/>
          </w:tcPr>
          <w:p w14:paraId="43E5F542" w14:textId="77777777" w:rsidR="00E6060C" w:rsidRPr="00E6060C" w:rsidRDefault="00E6060C" w:rsidP="00E6060C">
            <w:pPr>
              <w:spacing w:before="40" w:after="40"/>
            </w:pPr>
            <w:r w:rsidRPr="00E6060C">
              <w:t>We cannot follow best practice in the time available</w:t>
            </w:r>
          </w:p>
        </w:tc>
        <w:tc>
          <w:tcPr>
            <w:tcW w:w="992" w:type="dxa"/>
            <w:tcBorders>
              <w:top w:val="nil"/>
              <w:bottom w:val="nil"/>
            </w:tcBorders>
            <w:shd w:val="clear" w:color="auto" w:fill="auto"/>
            <w:vAlign w:val="center"/>
          </w:tcPr>
          <w:p w14:paraId="67FEB09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30C9022C"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auto"/>
            <w:vAlign w:val="center"/>
          </w:tcPr>
          <w:p w14:paraId="2A6514BF"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02D9B729"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75545637"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6E9CD871" w14:textId="77777777" w:rsidTr="00E6060C">
        <w:trPr>
          <w:trHeight w:val="399"/>
          <w:jc w:val="center"/>
        </w:trPr>
        <w:tc>
          <w:tcPr>
            <w:tcW w:w="464" w:type="dxa"/>
            <w:tcBorders>
              <w:top w:val="nil"/>
              <w:bottom w:val="nil"/>
            </w:tcBorders>
            <w:shd w:val="clear" w:color="auto" w:fill="D9D9D9" w:themeFill="background1" w:themeFillShade="D9"/>
            <w:vAlign w:val="center"/>
          </w:tcPr>
          <w:p w14:paraId="23EBF464"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4</w:t>
            </w:r>
          </w:p>
        </w:tc>
        <w:tc>
          <w:tcPr>
            <w:tcW w:w="5009" w:type="dxa"/>
            <w:tcBorders>
              <w:top w:val="nil"/>
              <w:bottom w:val="nil"/>
            </w:tcBorders>
            <w:shd w:val="clear" w:color="auto" w:fill="D9D9D9" w:themeFill="background1" w:themeFillShade="D9"/>
            <w:vAlign w:val="center"/>
          </w:tcPr>
          <w:p w14:paraId="2E0B5454" w14:textId="77777777" w:rsidR="00E6060C" w:rsidRPr="00E6060C" w:rsidRDefault="00E6060C" w:rsidP="00E6060C">
            <w:pPr>
              <w:spacing w:before="40" w:after="40"/>
            </w:pPr>
            <w:r w:rsidRPr="00E6060C">
              <w:t xml:space="preserve">We have to make trade-offs between the quality of work and cost savings </w:t>
            </w:r>
          </w:p>
        </w:tc>
        <w:tc>
          <w:tcPr>
            <w:tcW w:w="992" w:type="dxa"/>
            <w:tcBorders>
              <w:top w:val="nil"/>
              <w:bottom w:val="nil"/>
            </w:tcBorders>
            <w:shd w:val="clear" w:color="auto" w:fill="D9D9D9" w:themeFill="background1" w:themeFillShade="D9"/>
            <w:vAlign w:val="center"/>
          </w:tcPr>
          <w:p w14:paraId="03AEF69B"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D9D9D9" w:themeFill="background1" w:themeFillShade="D9"/>
            <w:vAlign w:val="center"/>
          </w:tcPr>
          <w:p w14:paraId="6A3754D9"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D9D9D9" w:themeFill="background1" w:themeFillShade="D9"/>
            <w:vAlign w:val="center"/>
          </w:tcPr>
          <w:p w14:paraId="67BF000A"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25717F76"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0E33A710"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0CACDEBD" w14:textId="77777777" w:rsidTr="00E6060C">
        <w:trPr>
          <w:trHeight w:val="399"/>
          <w:jc w:val="center"/>
        </w:trPr>
        <w:tc>
          <w:tcPr>
            <w:tcW w:w="464" w:type="dxa"/>
            <w:tcBorders>
              <w:top w:val="nil"/>
              <w:bottom w:val="nil"/>
            </w:tcBorders>
            <w:shd w:val="clear" w:color="auto" w:fill="auto"/>
            <w:vAlign w:val="center"/>
          </w:tcPr>
          <w:p w14:paraId="122859C5"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5</w:t>
            </w:r>
          </w:p>
        </w:tc>
        <w:tc>
          <w:tcPr>
            <w:tcW w:w="5009" w:type="dxa"/>
            <w:tcBorders>
              <w:top w:val="nil"/>
              <w:bottom w:val="nil"/>
            </w:tcBorders>
            <w:shd w:val="clear" w:color="auto" w:fill="auto"/>
            <w:vAlign w:val="center"/>
          </w:tcPr>
          <w:p w14:paraId="310891A4" w14:textId="77777777" w:rsidR="00E6060C" w:rsidRPr="00E6060C" w:rsidRDefault="00E6060C" w:rsidP="00E6060C">
            <w:pPr>
              <w:spacing w:before="40" w:after="40"/>
              <w:rPr>
                <w:lang w:val="en-US"/>
              </w:rPr>
            </w:pPr>
            <w:r w:rsidRPr="00E6060C">
              <w:rPr>
                <w:lang w:val="en-US"/>
              </w:rPr>
              <w:t>We have sufficient basic equipment and supplies to deliver good level of care</w:t>
            </w:r>
          </w:p>
        </w:tc>
        <w:tc>
          <w:tcPr>
            <w:tcW w:w="992" w:type="dxa"/>
            <w:tcBorders>
              <w:top w:val="nil"/>
              <w:bottom w:val="nil"/>
            </w:tcBorders>
            <w:shd w:val="clear" w:color="auto" w:fill="auto"/>
            <w:vAlign w:val="center"/>
          </w:tcPr>
          <w:p w14:paraId="30C80776"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04D30D4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auto"/>
            <w:vAlign w:val="center"/>
          </w:tcPr>
          <w:p w14:paraId="2FB0A38D"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267F1464"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743E14B2"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3B0EA24C" w14:textId="77777777" w:rsidTr="00E6060C">
        <w:trPr>
          <w:trHeight w:val="399"/>
          <w:jc w:val="center"/>
        </w:trPr>
        <w:tc>
          <w:tcPr>
            <w:tcW w:w="464" w:type="dxa"/>
            <w:tcBorders>
              <w:top w:val="nil"/>
              <w:bottom w:val="nil"/>
            </w:tcBorders>
            <w:shd w:val="clear" w:color="auto" w:fill="D9D9D9" w:themeFill="background1" w:themeFillShade="D9"/>
            <w:vAlign w:val="center"/>
          </w:tcPr>
          <w:p w14:paraId="5EE9A5B1"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lastRenderedPageBreak/>
              <w:t>6</w:t>
            </w:r>
          </w:p>
        </w:tc>
        <w:tc>
          <w:tcPr>
            <w:tcW w:w="5009" w:type="dxa"/>
            <w:tcBorders>
              <w:top w:val="nil"/>
              <w:bottom w:val="nil"/>
            </w:tcBorders>
            <w:shd w:val="clear" w:color="auto" w:fill="D9D9D9" w:themeFill="background1" w:themeFillShade="D9"/>
            <w:vAlign w:val="center"/>
          </w:tcPr>
          <w:p w14:paraId="44865782" w14:textId="77777777" w:rsidR="00E6060C" w:rsidRPr="00E6060C" w:rsidRDefault="00E6060C" w:rsidP="00E6060C">
            <w:pPr>
              <w:spacing w:before="40" w:after="40"/>
              <w:rPr>
                <w:lang w:val="en-US"/>
              </w:rPr>
            </w:pPr>
            <w:r w:rsidRPr="00E6060C">
              <w:rPr>
                <w:lang w:val="en-US"/>
              </w:rPr>
              <w:t>There are adequate support services to allow us to spend time with our patients</w:t>
            </w:r>
          </w:p>
        </w:tc>
        <w:tc>
          <w:tcPr>
            <w:tcW w:w="992" w:type="dxa"/>
            <w:tcBorders>
              <w:top w:val="nil"/>
              <w:bottom w:val="nil"/>
            </w:tcBorders>
            <w:shd w:val="clear" w:color="auto" w:fill="D9D9D9" w:themeFill="background1" w:themeFillShade="D9"/>
            <w:vAlign w:val="center"/>
          </w:tcPr>
          <w:p w14:paraId="70D7F8C1"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D9D9D9" w:themeFill="background1" w:themeFillShade="D9"/>
            <w:vAlign w:val="center"/>
          </w:tcPr>
          <w:p w14:paraId="286EFED9"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D9D9D9" w:themeFill="background1" w:themeFillShade="D9"/>
            <w:vAlign w:val="center"/>
          </w:tcPr>
          <w:p w14:paraId="453392B0"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668F4B31"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22448E2A"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r w:rsidR="00E6060C" w:rsidRPr="00E6060C" w14:paraId="0105D1F6" w14:textId="77777777" w:rsidTr="00E6060C">
        <w:trPr>
          <w:trHeight w:val="399"/>
          <w:jc w:val="center"/>
        </w:trPr>
        <w:tc>
          <w:tcPr>
            <w:tcW w:w="464" w:type="dxa"/>
            <w:tcBorders>
              <w:top w:val="nil"/>
              <w:bottom w:val="nil"/>
            </w:tcBorders>
            <w:shd w:val="clear" w:color="auto" w:fill="auto"/>
            <w:vAlign w:val="center"/>
          </w:tcPr>
          <w:p w14:paraId="3B750A90" w14:textId="77777777" w:rsidR="00E6060C" w:rsidRPr="00E6060C" w:rsidRDefault="00E6060C" w:rsidP="00E6060C">
            <w:pPr>
              <w:spacing w:before="40" w:after="40"/>
              <w:rPr>
                <w:rFonts w:eastAsia="Times New Roman" w:cs="Times New Roman"/>
                <w:lang w:val="en-AU"/>
              </w:rPr>
            </w:pPr>
            <w:r w:rsidRPr="00E6060C">
              <w:rPr>
                <w:rFonts w:eastAsia="Times New Roman" w:cs="Times New Roman"/>
                <w:lang w:val="en-AU"/>
              </w:rPr>
              <w:t>7</w:t>
            </w:r>
          </w:p>
        </w:tc>
        <w:tc>
          <w:tcPr>
            <w:tcW w:w="5009" w:type="dxa"/>
            <w:tcBorders>
              <w:top w:val="nil"/>
              <w:bottom w:val="nil"/>
            </w:tcBorders>
            <w:shd w:val="clear" w:color="auto" w:fill="auto"/>
            <w:vAlign w:val="center"/>
          </w:tcPr>
          <w:p w14:paraId="1422FEB2" w14:textId="77777777" w:rsidR="00E6060C" w:rsidRPr="00E6060C" w:rsidRDefault="00E6060C" w:rsidP="00E6060C">
            <w:pPr>
              <w:spacing w:before="40" w:after="40"/>
              <w:rPr>
                <w:lang w:val="en-US"/>
              </w:rPr>
            </w:pPr>
            <w:r w:rsidRPr="00E6060C">
              <w:rPr>
                <w:lang w:val="en-US"/>
              </w:rPr>
              <w:t>There are sufficient staff with the knowledge and skills to provide quality patient care</w:t>
            </w:r>
          </w:p>
        </w:tc>
        <w:tc>
          <w:tcPr>
            <w:tcW w:w="992" w:type="dxa"/>
            <w:tcBorders>
              <w:top w:val="nil"/>
              <w:bottom w:val="nil"/>
            </w:tcBorders>
            <w:shd w:val="clear" w:color="auto" w:fill="auto"/>
            <w:vAlign w:val="center"/>
          </w:tcPr>
          <w:p w14:paraId="1D91B7FA"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1</w:t>
            </w:r>
          </w:p>
        </w:tc>
        <w:tc>
          <w:tcPr>
            <w:tcW w:w="1133" w:type="dxa"/>
            <w:tcBorders>
              <w:top w:val="nil"/>
              <w:bottom w:val="nil"/>
            </w:tcBorders>
            <w:shd w:val="clear" w:color="auto" w:fill="auto"/>
            <w:vAlign w:val="center"/>
          </w:tcPr>
          <w:p w14:paraId="7A4BA5F8"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2</w:t>
            </w:r>
          </w:p>
        </w:tc>
        <w:tc>
          <w:tcPr>
            <w:tcW w:w="1228" w:type="dxa"/>
            <w:tcBorders>
              <w:top w:val="nil"/>
              <w:bottom w:val="nil"/>
            </w:tcBorders>
            <w:shd w:val="clear" w:color="auto" w:fill="auto"/>
            <w:vAlign w:val="center"/>
          </w:tcPr>
          <w:p w14:paraId="432B051E"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4702AA2"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3E2087C8" w14:textId="77777777" w:rsidR="00E6060C" w:rsidRPr="00E6060C" w:rsidRDefault="00E6060C" w:rsidP="00E6060C">
            <w:pPr>
              <w:spacing w:before="40" w:after="40"/>
              <w:jc w:val="center"/>
              <w:rPr>
                <w:rFonts w:eastAsia="Times" w:cs="Times New Roman"/>
                <w:lang w:eastAsia="en-GB"/>
              </w:rPr>
            </w:pPr>
            <w:r w:rsidRPr="00E6060C">
              <w:rPr>
                <w:rFonts w:eastAsia="Times" w:cs="Times New Roman"/>
                <w:lang w:eastAsia="en-GB"/>
              </w:rPr>
              <w:t>5</w:t>
            </w:r>
          </w:p>
        </w:tc>
      </w:tr>
    </w:tbl>
    <w:p w14:paraId="575476B9" w14:textId="77777777" w:rsidR="00E6060C" w:rsidRPr="00E6060C" w:rsidRDefault="00E6060C" w:rsidP="00E6060C"/>
    <w:tbl>
      <w:tblPr>
        <w:tblW w:w="10794"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4943"/>
        <w:gridCol w:w="993"/>
        <w:gridCol w:w="1134"/>
        <w:gridCol w:w="1275"/>
        <w:gridCol w:w="851"/>
        <w:gridCol w:w="1134"/>
      </w:tblGrid>
      <w:tr w:rsidR="00E6060C" w:rsidRPr="00E6060C" w14:paraId="7D58FC5E" w14:textId="77777777" w:rsidTr="00E6060C">
        <w:trPr>
          <w:cantSplit/>
          <w:trHeight w:val="520"/>
          <w:jc w:val="center"/>
        </w:trPr>
        <w:tc>
          <w:tcPr>
            <w:tcW w:w="464" w:type="dxa"/>
            <w:tcBorders>
              <w:top w:val="single" w:sz="4" w:space="0" w:color="auto"/>
              <w:bottom w:val="single" w:sz="4" w:space="0" w:color="auto"/>
            </w:tcBorders>
            <w:shd w:val="clear" w:color="auto" w:fill="8EAADB" w:themeFill="accent5" w:themeFillTint="99"/>
          </w:tcPr>
          <w:p w14:paraId="5E5B856D" w14:textId="77777777" w:rsidR="00E6060C" w:rsidRPr="00E6060C" w:rsidRDefault="00E6060C" w:rsidP="00E6060C">
            <w:pPr>
              <w:spacing w:after="200" w:line="276" w:lineRule="auto"/>
              <w:contextualSpacing/>
              <w:rPr>
                <w:rFonts w:eastAsia="Times" w:cs="Times New Roman"/>
                <w:b/>
                <w:bCs/>
                <w:lang w:val="en-US" w:eastAsia="en-GB"/>
              </w:rPr>
            </w:pPr>
            <w:r w:rsidRPr="00E6060C">
              <w:rPr>
                <w:rFonts w:eastAsia="Times" w:cs="Times New Roman"/>
                <w:b/>
                <w:bCs/>
                <w:lang w:val="en-US" w:eastAsia="en-GB"/>
              </w:rPr>
              <w:t>3</w:t>
            </w:r>
          </w:p>
        </w:tc>
        <w:tc>
          <w:tcPr>
            <w:tcW w:w="4943" w:type="dxa"/>
            <w:tcBorders>
              <w:top w:val="single" w:sz="4" w:space="0" w:color="auto"/>
              <w:bottom w:val="single" w:sz="4" w:space="0" w:color="auto"/>
            </w:tcBorders>
            <w:shd w:val="clear" w:color="auto" w:fill="8EAADB" w:themeFill="accent5" w:themeFillTint="99"/>
          </w:tcPr>
          <w:p w14:paraId="781A9351" w14:textId="77777777" w:rsidR="00E6060C" w:rsidRPr="00E6060C" w:rsidRDefault="00E6060C" w:rsidP="00E6060C">
            <w:pPr>
              <w:spacing w:after="200" w:line="276" w:lineRule="auto"/>
              <w:ind w:left="34" w:right="-897"/>
              <w:contextualSpacing/>
              <w:rPr>
                <w:rFonts w:eastAsia="Times" w:cs="Times New Roman"/>
                <w:b/>
                <w:lang w:eastAsia="en-GB"/>
              </w:rPr>
            </w:pPr>
            <w:r w:rsidRPr="00E6060C">
              <w:rPr>
                <w:rFonts w:eastAsia="Times" w:cs="Times New Roman"/>
                <w:b/>
                <w:lang w:eastAsia="en-GB"/>
              </w:rPr>
              <w:t xml:space="preserve">These statements are about </w:t>
            </w:r>
            <w:r w:rsidRPr="00E6060C">
              <w:rPr>
                <w:rFonts w:eastAsia="Times" w:cs="Times New Roman"/>
                <w:b/>
                <w:u w:val="single"/>
                <w:lang w:eastAsia="en-GB"/>
              </w:rPr>
              <w:t>support</w:t>
            </w:r>
            <w:r w:rsidRPr="00E6060C">
              <w:rPr>
                <w:rFonts w:eastAsia="Times" w:cs="Times New Roman"/>
                <w:b/>
                <w:lang w:eastAsia="en-GB"/>
              </w:rPr>
              <w:t xml:space="preserve"> within your </w:t>
            </w:r>
          </w:p>
          <w:p w14:paraId="2E9279C5" w14:textId="77777777" w:rsidR="00E6060C" w:rsidRPr="00E6060C" w:rsidRDefault="00E6060C" w:rsidP="00E6060C">
            <w:pPr>
              <w:spacing w:after="200" w:line="276" w:lineRule="auto"/>
              <w:ind w:left="34" w:right="-897"/>
              <w:contextualSpacing/>
              <w:rPr>
                <w:rFonts w:eastAsia="Times" w:cs="Times New Roman"/>
                <w:b/>
                <w:lang w:eastAsia="en-GB"/>
              </w:rPr>
            </w:pPr>
            <w:r w:rsidRPr="00E6060C">
              <w:rPr>
                <w:rFonts w:eastAsia="Times" w:cs="Times New Roman"/>
                <w:b/>
                <w:lang w:eastAsia="en-GB"/>
              </w:rPr>
              <w:t>ward team.</w:t>
            </w:r>
            <w:r w:rsidRPr="00E6060C">
              <w:t xml:space="preserve"> </w:t>
            </w:r>
          </w:p>
          <w:p w14:paraId="44565169" w14:textId="77777777" w:rsidR="00E6060C" w:rsidRPr="00E6060C" w:rsidRDefault="00E6060C" w:rsidP="00E6060C">
            <w:pPr>
              <w:spacing w:after="200" w:line="276" w:lineRule="auto"/>
              <w:contextualSpacing/>
              <w:rPr>
                <w:rFonts w:eastAsia="Times" w:cs="Times New Roman"/>
                <w:b/>
                <w:bCs/>
                <w:lang w:val="en-US" w:eastAsia="en-GB"/>
              </w:rPr>
            </w:pPr>
          </w:p>
        </w:tc>
        <w:tc>
          <w:tcPr>
            <w:tcW w:w="993" w:type="dxa"/>
            <w:tcBorders>
              <w:top w:val="single" w:sz="4" w:space="0" w:color="auto"/>
              <w:bottom w:val="single" w:sz="4" w:space="0" w:color="auto"/>
            </w:tcBorders>
            <w:shd w:val="clear" w:color="auto" w:fill="8EAADB" w:themeFill="accent5" w:themeFillTint="99"/>
          </w:tcPr>
          <w:p w14:paraId="3E7DF0A0"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4" w:type="dxa"/>
            <w:tcBorders>
              <w:top w:val="single" w:sz="4" w:space="0" w:color="auto"/>
              <w:bottom w:val="single" w:sz="4" w:space="0" w:color="auto"/>
            </w:tcBorders>
            <w:shd w:val="clear" w:color="auto" w:fill="8EAADB" w:themeFill="accent5" w:themeFillTint="99"/>
          </w:tcPr>
          <w:p w14:paraId="00850EE8"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75" w:type="dxa"/>
            <w:tcBorders>
              <w:top w:val="single" w:sz="4" w:space="0" w:color="auto"/>
              <w:bottom w:val="single" w:sz="4" w:space="0" w:color="auto"/>
            </w:tcBorders>
            <w:shd w:val="clear" w:color="auto" w:fill="8EAADB" w:themeFill="accent5" w:themeFillTint="99"/>
          </w:tcPr>
          <w:p w14:paraId="0B999986"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1EA368D9"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4" w:type="dxa"/>
            <w:tcBorders>
              <w:top w:val="single" w:sz="4" w:space="0" w:color="auto"/>
              <w:bottom w:val="single" w:sz="4" w:space="0" w:color="auto"/>
            </w:tcBorders>
            <w:shd w:val="clear" w:color="auto" w:fill="8EAADB" w:themeFill="accent5" w:themeFillTint="99"/>
          </w:tcPr>
          <w:p w14:paraId="7DFA1087"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361313B7" w14:textId="77777777" w:rsidTr="00E6060C">
        <w:trPr>
          <w:trHeight w:val="400"/>
          <w:jc w:val="center"/>
        </w:trPr>
        <w:tc>
          <w:tcPr>
            <w:tcW w:w="464" w:type="dxa"/>
            <w:tcBorders>
              <w:top w:val="single" w:sz="4" w:space="0" w:color="auto"/>
              <w:bottom w:val="nil"/>
            </w:tcBorders>
            <w:shd w:val="clear" w:color="auto" w:fill="auto"/>
            <w:vAlign w:val="center"/>
          </w:tcPr>
          <w:p w14:paraId="59D6AB57"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1</w:t>
            </w:r>
          </w:p>
        </w:tc>
        <w:tc>
          <w:tcPr>
            <w:tcW w:w="4943" w:type="dxa"/>
            <w:tcBorders>
              <w:top w:val="single" w:sz="4" w:space="0" w:color="auto"/>
              <w:bottom w:val="nil"/>
            </w:tcBorders>
            <w:shd w:val="clear" w:color="auto" w:fill="auto"/>
            <w:vAlign w:val="center"/>
          </w:tcPr>
          <w:p w14:paraId="1B7818ED"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Colleagues provide each other with emotional support.</w:t>
            </w:r>
          </w:p>
        </w:tc>
        <w:tc>
          <w:tcPr>
            <w:tcW w:w="993" w:type="dxa"/>
            <w:tcBorders>
              <w:top w:val="single" w:sz="4" w:space="0" w:color="auto"/>
              <w:bottom w:val="nil"/>
            </w:tcBorders>
            <w:shd w:val="clear" w:color="auto" w:fill="auto"/>
            <w:vAlign w:val="center"/>
          </w:tcPr>
          <w:p w14:paraId="6960FA4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single" w:sz="4" w:space="0" w:color="auto"/>
              <w:bottom w:val="nil"/>
            </w:tcBorders>
            <w:shd w:val="clear" w:color="auto" w:fill="auto"/>
            <w:vAlign w:val="center"/>
          </w:tcPr>
          <w:p w14:paraId="486EB995"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single" w:sz="4" w:space="0" w:color="auto"/>
              <w:bottom w:val="nil"/>
            </w:tcBorders>
            <w:shd w:val="clear" w:color="auto" w:fill="auto"/>
            <w:vAlign w:val="center"/>
          </w:tcPr>
          <w:p w14:paraId="5AD254A8"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single" w:sz="4" w:space="0" w:color="auto"/>
              <w:bottom w:val="nil"/>
            </w:tcBorders>
            <w:shd w:val="clear" w:color="auto" w:fill="auto"/>
            <w:vAlign w:val="center"/>
          </w:tcPr>
          <w:p w14:paraId="52068E77"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single" w:sz="4" w:space="0" w:color="auto"/>
              <w:bottom w:val="nil"/>
            </w:tcBorders>
            <w:shd w:val="clear" w:color="auto" w:fill="auto"/>
            <w:vAlign w:val="center"/>
          </w:tcPr>
          <w:p w14:paraId="6094587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6E2C9D98" w14:textId="77777777" w:rsidTr="00E6060C">
        <w:trPr>
          <w:trHeight w:val="400"/>
          <w:jc w:val="center"/>
        </w:trPr>
        <w:tc>
          <w:tcPr>
            <w:tcW w:w="464" w:type="dxa"/>
            <w:tcBorders>
              <w:top w:val="nil"/>
              <w:bottom w:val="nil"/>
            </w:tcBorders>
            <w:shd w:val="clear" w:color="auto" w:fill="D9D9D9" w:themeFill="background1" w:themeFillShade="D9"/>
            <w:vAlign w:val="center"/>
          </w:tcPr>
          <w:p w14:paraId="14E833B1"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2</w:t>
            </w:r>
          </w:p>
        </w:tc>
        <w:tc>
          <w:tcPr>
            <w:tcW w:w="4943" w:type="dxa"/>
            <w:tcBorders>
              <w:top w:val="nil"/>
              <w:bottom w:val="nil"/>
            </w:tcBorders>
            <w:shd w:val="clear" w:color="auto" w:fill="D9D9D9" w:themeFill="background1" w:themeFillShade="D9"/>
            <w:vAlign w:val="center"/>
          </w:tcPr>
          <w:p w14:paraId="2B13C97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emotional demands of care giving are acknowledged in this team</w:t>
            </w:r>
          </w:p>
        </w:tc>
        <w:tc>
          <w:tcPr>
            <w:tcW w:w="993" w:type="dxa"/>
            <w:tcBorders>
              <w:top w:val="nil"/>
              <w:bottom w:val="nil"/>
            </w:tcBorders>
            <w:shd w:val="clear" w:color="auto" w:fill="D9D9D9" w:themeFill="background1" w:themeFillShade="D9"/>
            <w:vAlign w:val="center"/>
          </w:tcPr>
          <w:p w14:paraId="3124D4F7"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6D0ACF6F"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52C4CF02"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634658F7"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1CCFE262"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76FFE242" w14:textId="77777777" w:rsidTr="00E6060C">
        <w:trPr>
          <w:trHeight w:val="400"/>
          <w:jc w:val="center"/>
        </w:trPr>
        <w:tc>
          <w:tcPr>
            <w:tcW w:w="464" w:type="dxa"/>
            <w:tcBorders>
              <w:top w:val="nil"/>
              <w:bottom w:val="nil"/>
            </w:tcBorders>
            <w:shd w:val="clear" w:color="auto" w:fill="auto"/>
            <w:vAlign w:val="center"/>
          </w:tcPr>
          <w:p w14:paraId="40A6C1CF"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3</w:t>
            </w:r>
          </w:p>
        </w:tc>
        <w:tc>
          <w:tcPr>
            <w:tcW w:w="4943" w:type="dxa"/>
            <w:tcBorders>
              <w:top w:val="nil"/>
              <w:bottom w:val="nil"/>
            </w:tcBorders>
            <w:shd w:val="clear" w:color="auto" w:fill="auto"/>
            <w:vAlign w:val="center"/>
          </w:tcPr>
          <w:p w14:paraId="58660A2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Members of this ward team feel confident about the competence and abilities of other team members.</w:t>
            </w:r>
          </w:p>
        </w:tc>
        <w:tc>
          <w:tcPr>
            <w:tcW w:w="993" w:type="dxa"/>
            <w:tcBorders>
              <w:top w:val="nil"/>
              <w:bottom w:val="nil"/>
            </w:tcBorders>
            <w:shd w:val="clear" w:color="auto" w:fill="auto"/>
            <w:vAlign w:val="center"/>
          </w:tcPr>
          <w:p w14:paraId="5D9F44FD"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4226962C"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5D5BDDEA"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285D423C"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1CC2C4AD"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34E1C351" w14:textId="77777777" w:rsidTr="00E6060C">
        <w:trPr>
          <w:trHeight w:val="400"/>
          <w:jc w:val="center"/>
        </w:trPr>
        <w:tc>
          <w:tcPr>
            <w:tcW w:w="464" w:type="dxa"/>
            <w:tcBorders>
              <w:top w:val="nil"/>
              <w:bottom w:val="nil"/>
            </w:tcBorders>
            <w:shd w:val="clear" w:color="auto" w:fill="D9D9D9" w:themeFill="background1" w:themeFillShade="D9"/>
            <w:vAlign w:val="center"/>
          </w:tcPr>
          <w:p w14:paraId="5197EDC5"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4</w:t>
            </w:r>
          </w:p>
        </w:tc>
        <w:tc>
          <w:tcPr>
            <w:tcW w:w="4943" w:type="dxa"/>
            <w:tcBorders>
              <w:top w:val="nil"/>
              <w:bottom w:val="nil"/>
            </w:tcBorders>
            <w:shd w:val="clear" w:color="auto" w:fill="D9D9D9" w:themeFill="background1" w:themeFillShade="D9"/>
            <w:vAlign w:val="center"/>
          </w:tcPr>
          <w:p w14:paraId="4C8978B4"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There is a great deal of trust among members of the team</w:t>
            </w:r>
          </w:p>
        </w:tc>
        <w:tc>
          <w:tcPr>
            <w:tcW w:w="993" w:type="dxa"/>
            <w:tcBorders>
              <w:top w:val="nil"/>
              <w:bottom w:val="nil"/>
            </w:tcBorders>
            <w:shd w:val="clear" w:color="auto" w:fill="D9D9D9" w:themeFill="background1" w:themeFillShade="D9"/>
            <w:vAlign w:val="center"/>
          </w:tcPr>
          <w:p w14:paraId="50E87EEF"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025A861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65D71671"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0784D116"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0D55EFEB"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6220C923" w14:textId="77777777" w:rsidTr="00E6060C">
        <w:trPr>
          <w:trHeight w:val="400"/>
          <w:jc w:val="center"/>
        </w:trPr>
        <w:tc>
          <w:tcPr>
            <w:tcW w:w="464" w:type="dxa"/>
            <w:tcBorders>
              <w:top w:val="nil"/>
              <w:bottom w:val="nil"/>
            </w:tcBorders>
            <w:shd w:val="clear" w:color="auto" w:fill="auto"/>
            <w:vAlign w:val="center"/>
          </w:tcPr>
          <w:p w14:paraId="540ED610"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5</w:t>
            </w:r>
          </w:p>
        </w:tc>
        <w:tc>
          <w:tcPr>
            <w:tcW w:w="4943" w:type="dxa"/>
            <w:tcBorders>
              <w:top w:val="nil"/>
              <w:bottom w:val="nil"/>
            </w:tcBorders>
            <w:shd w:val="clear" w:color="auto" w:fill="auto"/>
            <w:vAlign w:val="center"/>
          </w:tcPr>
          <w:p w14:paraId="58370345"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team can really count on each other to help out with any difficult tasks at work</w:t>
            </w:r>
          </w:p>
        </w:tc>
        <w:tc>
          <w:tcPr>
            <w:tcW w:w="993" w:type="dxa"/>
            <w:tcBorders>
              <w:top w:val="nil"/>
              <w:bottom w:val="nil"/>
            </w:tcBorders>
            <w:shd w:val="clear" w:color="auto" w:fill="auto"/>
            <w:vAlign w:val="center"/>
          </w:tcPr>
          <w:p w14:paraId="518557A4"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038005CC"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616B2711"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6C6ADB6"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6F030697"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1BEDC672" w14:textId="77777777" w:rsidTr="00E6060C">
        <w:trPr>
          <w:trHeight w:val="400"/>
          <w:jc w:val="center"/>
        </w:trPr>
        <w:tc>
          <w:tcPr>
            <w:tcW w:w="464" w:type="dxa"/>
            <w:tcBorders>
              <w:top w:val="nil"/>
              <w:bottom w:val="nil"/>
            </w:tcBorders>
            <w:shd w:val="clear" w:color="auto" w:fill="D9D9D9" w:themeFill="background1" w:themeFillShade="D9"/>
            <w:vAlign w:val="center"/>
          </w:tcPr>
          <w:p w14:paraId="1ED12E57"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6</w:t>
            </w:r>
          </w:p>
        </w:tc>
        <w:tc>
          <w:tcPr>
            <w:tcW w:w="4943" w:type="dxa"/>
            <w:tcBorders>
              <w:top w:val="nil"/>
              <w:bottom w:val="nil"/>
            </w:tcBorders>
            <w:shd w:val="clear" w:color="auto" w:fill="D9D9D9" w:themeFill="background1" w:themeFillShade="D9"/>
            <w:vAlign w:val="center"/>
          </w:tcPr>
          <w:p w14:paraId="59EB854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work well with other members of the MDT</w:t>
            </w:r>
          </w:p>
        </w:tc>
        <w:tc>
          <w:tcPr>
            <w:tcW w:w="993" w:type="dxa"/>
            <w:tcBorders>
              <w:top w:val="nil"/>
              <w:bottom w:val="nil"/>
            </w:tcBorders>
            <w:shd w:val="clear" w:color="auto" w:fill="D9D9D9" w:themeFill="background1" w:themeFillShade="D9"/>
            <w:vAlign w:val="center"/>
          </w:tcPr>
          <w:p w14:paraId="3B653EE0"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3629ECCB"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016E044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74A72481"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4B306DB6"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2C19621E" w14:textId="77777777" w:rsidTr="00E6060C">
        <w:trPr>
          <w:trHeight w:val="400"/>
          <w:jc w:val="center"/>
        </w:trPr>
        <w:tc>
          <w:tcPr>
            <w:tcW w:w="464" w:type="dxa"/>
            <w:tcBorders>
              <w:top w:val="nil"/>
              <w:bottom w:val="nil"/>
            </w:tcBorders>
            <w:shd w:val="clear" w:color="auto" w:fill="auto"/>
            <w:vAlign w:val="center"/>
          </w:tcPr>
          <w:p w14:paraId="0BE2C967"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7</w:t>
            </w:r>
          </w:p>
        </w:tc>
        <w:tc>
          <w:tcPr>
            <w:tcW w:w="4943" w:type="dxa"/>
            <w:tcBorders>
              <w:top w:val="nil"/>
              <w:bottom w:val="nil"/>
            </w:tcBorders>
            <w:shd w:val="clear" w:color="auto" w:fill="auto"/>
            <w:vAlign w:val="center"/>
          </w:tcPr>
          <w:p w14:paraId="16551A8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There is good communication among people on the MDT</w:t>
            </w:r>
          </w:p>
        </w:tc>
        <w:tc>
          <w:tcPr>
            <w:tcW w:w="993" w:type="dxa"/>
            <w:tcBorders>
              <w:top w:val="nil"/>
              <w:bottom w:val="nil"/>
            </w:tcBorders>
            <w:shd w:val="clear" w:color="auto" w:fill="auto"/>
            <w:vAlign w:val="center"/>
          </w:tcPr>
          <w:p w14:paraId="59E8A4E2"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4D0A5023"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1FB126FC"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A3143F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7F098AA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bl>
    <w:p w14:paraId="64D5E1F4" w14:textId="77777777" w:rsidR="00E6060C" w:rsidRPr="00E6060C" w:rsidRDefault="00E6060C" w:rsidP="00E6060C"/>
    <w:tbl>
      <w:tblPr>
        <w:tblW w:w="10794"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4943"/>
        <w:gridCol w:w="993"/>
        <w:gridCol w:w="863"/>
        <w:gridCol w:w="1418"/>
        <w:gridCol w:w="850"/>
        <w:gridCol w:w="1263"/>
      </w:tblGrid>
      <w:tr w:rsidR="00E6060C" w:rsidRPr="00E6060C" w14:paraId="0026DE67" w14:textId="77777777" w:rsidTr="00E6060C">
        <w:trPr>
          <w:cantSplit/>
          <w:trHeight w:val="520"/>
          <w:jc w:val="center"/>
        </w:trPr>
        <w:tc>
          <w:tcPr>
            <w:tcW w:w="464" w:type="dxa"/>
            <w:tcBorders>
              <w:top w:val="single" w:sz="4" w:space="0" w:color="auto"/>
              <w:bottom w:val="single" w:sz="4" w:space="0" w:color="auto"/>
            </w:tcBorders>
            <w:shd w:val="clear" w:color="auto" w:fill="8EAADB" w:themeFill="accent5" w:themeFillTint="99"/>
          </w:tcPr>
          <w:p w14:paraId="7C4A2B4C" w14:textId="77777777" w:rsidR="00E6060C" w:rsidRPr="00E6060C" w:rsidRDefault="00E6060C" w:rsidP="00E6060C">
            <w:pPr>
              <w:spacing w:after="200" w:line="276" w:lineRule="auto"/>
              <w:contextualSpacing/>
              <w:rPr>
                <w:rFonts w:eastAsia="Times" w:cs="Times New Roman"/>
                <w:b/>
                <w:bCs/>
                <w:lang w:val="en-US" w:eastAsia="en-GB"/>
              </w:rPr>
            </w:pPr>
            <w:r w:rsidRPr="00E6060C">
              <w:rPr>
                <w:rFonts w:eastAsia="Times" w:cs="Times New Roman"/>
                <w:b/>
                <w:bCs/>
                <w:lang w:val="en-US" w:eastAsia="en-GB"/>
              </w:rPr>
              <w:t>4</w:t>
            </w:r>
          </w:p>
        </w:tc>
        <w:tc>
          <w:tcPr>
            <w:tcW w:w="4943" w:type="dxa"/>
            <w:tcBorders>
              <w:top w:val="single" w:sz="4" w:space="0" w:color="auto"/>
              <w:bottom w:val="single" w:sz="4" w:space="0" w:color="auto"/>
            </w:tcBorders>
            <w:shd w:val="clear" w:color="auto" w:fill="8EAADB" w:themeFill="accent5" w:themeFillTint="99"/>
          </w:tcPr>
          <w:p w14:paraId="446C04C3" w14:textId="77777777" w:rsidR="00E6060C" w:rsidRPr="00E6060C" w:rsidRDefault="00E6060C" w:rsidP="00E6060C">
            <w:pPr>
              <w:spacing w:after="200" w:line="276" w:lineRule="auto"/>
              <w:ind w:left="34" w:right="-897"/>
              <w:contextualSpacing/>
              <w:rPr>
                <w:rFonts w:eastAsia="Times" w:cs="Times New Roman"/>
                <w:b/>
                <w:u w:val="single"/>
                <w:lang w:eastAsia="en-GB"/>
              </w:rPr>
            </w:pPr>
            <w:r w:rsidRPr="00E6060C">
              <w:rPr>
                <w:rFonts w:eastAsia="Times" w:cs="Times New Roman"/>
                <w:b/>
                <w:lang w:eastAsia="en-GB"/>
              </w:rPr>
              <w:t xml:space="preserve">These statements are about the </w:t>
            </w:r>
            <w:r w:rsidRPr="00E6060C">
              <w:rPr>
                <w:rFonts w:eastAsia="Times" w:cs="Times New Roman"/>
                <w:b/>
                <w:u w:val="single"/>
                <w:lang w:eastAsia="en-GB"/>
              </w:rPr>
              <w:t>SUPPORT YOU FEEL</w:t>
            </w:r>
          </w:p>
          <w:p w14:paraId="7EFF73F1" w14:textId="77777777" w:rsidR="00E6060C" w:rsidRPr="00E6060C" w:rsidRDefault="00E6060C" w:rsidP="00E6060C">
            <w:pPr>
              <w:spacing w:after="200" w:line="276" w:lineRule="auto"/>
              <w:ind w:left="34" w:right="-897"/>
              <w:contextualSpacing/>
              <w:rPr>
                <w:b/>
                <w:bCs/>
              </w:rPr>
            </w:pPr>
            <w:r w:rsidRPr="00E6060C">
              <w:rPr>
                <w:rFonts w:eastAsia="Times" w:cs="Times New Roman"/>
                <w:b/>
                <w:u w:val="single"/>
                <w:lang w:eastAsia="en-GB"/>
              </w:rPr>
              <w:t>YOU RECEIVE</w:t>
            </w:r>
            <w:r w:rsidRPr="00E6060C">
              <w:rPr>
                <w:rFonts w:eastAsia="Times" w:cs="Times New Roman"/>
                <w:b/>
                <w:lang w:eastAsia="en-GB"/>
              </w:rPr>
              <w:t xml:space="preserve"> from colleagues. </w:t>
            </w:r>
            <w:r w:rsidRPr="00E6060C">
              <w:rPr>
                <w:b/>
                <w:bCs/>
              </w:rPr>
              <w:t xml:space="preserve">To what extent </w:t>
            </w:r>
          </w:p>
          <w:p w14:paraId="290FF337" w14:textId="77777777" w:rsidR="00E6060C" w:rsidRPr="00E6060C" w:rsidRDefault="00E6060C" w:rsidP="00E6060C">
            <w:pPr>
              <w:spacing w:after="200" w:line="276" w:lineRule="auto"/>
              <w:ind w:left="34" w:right="-897"/>
              <w:contextualSpacing/>
              <w:rPr>
                <w:b/>
                <w:bCs/>
              </w:rPr>
            </w:pPr>
            <w:r w:rsidRPr="00E6060C">
              <w:rPr>
                <w:b/>
                <w:bCs/>
              </w:rPr>
              <w:t>can you…</w:t>
            </w:r>
          </w:p>
          <w:p w14:paraId="63F258D3" w14:textId="77777777" w:rsidR="00E6060C" w:rsidRPr="00E6060C" w:rsidRDefault="00E6060C" w:rsidP="00E6060C">
            <w:pPr>
              <w:spacing w:after="200" w:line="276" w:lineRule="auto"/>
              <w:contextualSpacing/>
              <w:rPr>
                <w:rFonts w:eastAsia="Times" w:cs="Times New Roman"/>
                <w:b/>
                <w:bCs/>
                <w:lang w:val="en-US" w:eastAsia="en-GB"/>
              </w:rPr>
            </w:pPr>
          </w:p>
        </w:tc>
        <w:tc>
          <w:tcPr>
            <w:tcW w:w="993" w:type="dxa"/>
            <w:tcBorders>
              <w:top w:val="single" w:sz="4" w:space="0" w:color="auto"/>
              <w:bottom w:val="single" w:sz="4" w:space="0" w:color="auto"/>
            </w:tcBorders>
            <w:shd w:val="clear" w:color="auto" w:fill="8EAADB" w:themeFill="accent5" w:themeFillTint="99"/>
          </w:tcPr>
          <w:p w14:paraId="63467A4E"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Not at all</w:t>
            </w:r>
          </w:p>
        </w:tc>
        <w:tc>
          <w:tcPr>
            <w:tcW w:w="863" w:type="dxa"/>
            <w:tcBorders>
              <w:top w:val="single" w:sz="4" w:space="0" w:color="auto"/>
              <w:bottom w:val="single" w:sz="4" w:space="0" w:color="auto"/>
            </w:tcBorders>
            <w:shd w:val="clear" w:color="auto" w:fill="8EAADB" w:themeFill="accent5" w:themeFillTint="99"/>
          </w:tcPr>
          <w:p w14:paraId="21CEF281"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To a small extent</w:t>
            </w:r>
          </w:p>
        </w:tc>
        <w:tc>
          <w:tcPr>
            <w:tcW w:w="1418" w:type="dxa"/>
            <w:tcBorders>
              <w:top w:val="single" w:sz="4" w:space="0" w:color="auto"/>
              <w:bottom w:val="single" w:sz="4" w:space="0" w:color="auto"/>
            </w:tcBorders>
            <w:shd w:val="clear" w:color="auto" w:fill="8EAADB" w:themeFill="accent5" w:themeFillTint="99"/>
          </w:tcPr>
          <w:p w14:paraId="1B3A157C"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great nor small extent</w:t>
            </w:r>
          </w:p>
        </w:tc>
        <w:tc>
          <w:tcPr>
            <w:tcW w:w="850" w:type="dxa"/>
            <w:tcBorders>
              <w:top w:val="single" w:sz="4" w:space="0" w:color="auto"/>
              <w:bottom w:val="single" w:sz="4" w:space="0" w:color="auto"/>
            </w:tcBorders>
            <w:shd w:val="clear" w:color="auto" w:fill="8EAADB" w:themeFill="accent5" w:themeFillTint="99"/>
          </w:tcPr>
          <w:p w14:paraId="1E56E8A0"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To a great extent</w:t>
            </w:r>
          </w:p>
        </w:tc>
        <w:tc>
          <w:tcPr>
            <w:tcW w:w="1263" w:type="dxa"/>
            <w:tcBorders>
              <w:top w:val="single" w:sz="4" w:space="0" w:color="auto"/>
              <w:bottom w:val="single" w:sz="4" w:space="0" w:color="auto"/>
            </w:tcBorders>
            <w:shd w:val="clear" w:color="auto" w:fill="8EAADB" w:themeFill="accent5" w:themeFillTint="99"/>
          </w:tcPr>
          <w:p w14:paraId="07270CE8"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Completely</w:t>
            </w:r>
          </w:p>
        </w:tc>
      </w:tr>
      <w:tr w:rsidR="00E6060C" w:rsidRPr="00E6060C" w14:paraId="7E33952A" w14:textId="77777777" w:rsidTr="00E6060C">
        <w:trPr>
          <w:trHeight w:val="400"/>
          <w:jc w:val="center"/>
        </w:trPr>
        <w:tc>
          <w:tcPr>
            <w:tcW w:w="464" w:type="dxa"/>
            <w:tcBorders>
              <w:top w:val="nil"/>
              <w:bottom w:val="nil"/>
            </w:tcBorders>
            <w:shd w:val="clear" w:color="auto" w:fill="auto"/>
            <w:vAlign w:val="center"/>
          </w:tcPr>
          <w:p w14:paraId="6E2EB8C8"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1</w:t>
            </w:r>
          </w:p>
        </w:tc>
        <w:tc>
          <w:tcPr>
            <w:tcW w:w="4943" w:type="dxa"/>
            <w:tcBorders>
              <w:top w:val="nil"/>
              <w:bottom w:val="nil"/>
            </w:tcBorders>
            <w:shd w:val="clear" w:color="auto" w:fill="auto"/>
            <w:vAlign w:val="center"/>
          </w:tcPr>
          <w:p w14:paraId="1173C6A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Count on your colleagues to listen to you when you need to talk about problems at work?</w:t>
            </w:r>
          </w:p>
        </w:tc>
        <w:tc>
          <w:tcPr>
            <w:tcW w:w="993" w:type="dxa"/>
            <w:tcBorders>
              <w:top w:val="nil"/>
              <w:bottom w:val="nil"/>
            </w:tcBorders>
            <w:shd w:val="clear" w:color="auto" w:fill="auto"/>
            <w:vAlign w:val="center"/>
          </w:tcPr>
          <w:p w14:paraId="219979A5"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863" w:type="dxa"/>
            <w:tcBorders>
              <w:top w:val="nil"/>
              <w:bottom w:val="nil"/>
            </w:tcBorders>
            <w:shd w:val="clear" w:color="auto" w:fill="auto"/>
            <w:vAlign w:val="center"/>
          </w:tcPr>
          <w:p w14:paraId="17DC7B85"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418" w:type="dxa"/>
            <w:tcBorders>
              <w:top w:val="nil"/>
              <w:bottom w:val="nil"/>
            </w:tcBorders>
            <w:shd w:val="clear" w:color="auto" w:fill="auto"/>
            <w:vAlign w:val="center"/>
          </w:tcPr>
          <w:p w14:paraId="007B6939"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0" w:type="dxa"/>
            <w:tcBorders>
              <w:top w:val="nil"/>
              <w:bottom w:val="nil"/>
            </w:tcBorders>
            <w:shd w:val="clear" w:color="auto" w:fill="auto"/>
            <w:vAlign w:val="center"/>
          </w:tcPr>
          <w:p w14:paraId="19806343"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263" w:type="dxa"/>
            <w:tcBorders>
              <w:top w:val="nil"/>
              <w:bottom w:val="nil"/>
            </w:tcBorders>
            <w:shd w:val="clear" w:color="auto" w:fill="auto"/>
            <w:vAlign w:val="center"/>
          </w:tcPr>
          <w:p w14:paraId="6D6CB39E"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50DD4FB4" w14:textId="77777777" w:rsidTr="00E6060C">
        <w:trPr>
          <w:trHeight w:val="400"/>
          <w:jc w:val="center"/>
        </w:trPr>
        <w:tc>
          <w:tcPr>
            <w:tcW w:w="464" w:type="dxa"/>
            <w:tcBorders>
              <w:top w:val="nil"/>
              <w:bottom w:val="nil"/>
            </w:tcBorders>
            <w:shd w:val="clear" w:color="auto" w:fill="D9D9D9" w:themeFill="background1" w:themeFillShade="D9"/>
            <w:vAlign w:val="center"/>
          </w:tcPr>
          <w:p w14:paraId="1BEE6FE9"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2</w:t>
            </w:r>
          </w:p>
        </w:tc>
        <w:tc>
          <w:tcPr>
            <w:tcW w:w="4943" w:type="dxa"/>
            <w:tcBorders>
              <w:top w:val="nil"/>
              <w:bottom w:val="nil"/>
            </w:tcBorders>
            <w:shd w:val="clear" w:color="auto" w:fill="D9D9D9" w:themeFill="background1" w:themeFillShade="D9"/>
            <w:vAlign w:val="center"/>
          </w:tcPr>
          <w:p w14:paraId="2547F6AB"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Count on your colleagues to back you up at work?</w:t>
            </w:r>
          </w:p>
        </w:tc>
        <w:tc>
          <w:tcPr>
            <w:tcW w:w="993" w:type="dxa"/>
            <w:tcBorders>
              <w:top w:val="nil"/>
              <w:bottom w:val="nil"/>
            </w:tcBorders>
            <w:shd w:val="clear" w:color="auto" w:fill="D9D9D9" w:themeFill="background1" w:themeFillShade="D9"/>
            <w:vAlign w:val="center"/>
          </w:tcPr>
          <w:p w14:paraId="54CEBA5D"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863" w:type="dxa"/>
            <w:tcBorders>
              <w:top w:val="nil"/>
              <w:bottom w:val="nil"/>
            </w:tcBorders>
            <w:shd w:val="clear" w:color="auto" w:fill="D9D9D9" w:themeFill="background1" w:themeFillShade="D9"/>
            <w:vAlign w:val="center"/>
          </w:tcPr>
          <w:p w14:paraId="19D05D20"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418" w:type="dxa"/>
            <w:tcBorders>
              <w:top w:val="nil"/>
              <w:bottom w:val="nil"/>
            </w:tcBorders>
            <w:shd w:val="clear" w:color="auto" w:fill="D9D9D9" w:themeFill="background1" w:themeFillShade="D9"/>
            <w:vAlign w:val="center"/>
          </w:tcPr>
          <w:p w14:paraId="69915835"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0" w:type="dxa"/>
            <w:tcBorders>
              <w:top w:val="nil"/>
              <w:bottom w:val="nil"/>
            </w:tcBorders>
            <w:shd w:val="clear" w:color="auto" w:fill="D9D9D9" w:themeFill="background1" w:themeFillShade="D9"/>
            <w:vAlign w:val="center"/>
          </w:tcPr>
          <w:p w14:paraId="07F1E351"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263" w:type="dxa"/>
            <w:tcBorders>
              <w:top w:val="nil"/>
              <w:bottom w:val="nil"/>
            </w:tcBorders>
            <w:shd w:val="clear" w:color="auto" w:fill="D9D9D9" w:themeFill="background1" w:themeFillShade="D9"/>
            <w:vAlign w:val="center"/>
          </w:tcPr>
          <w:p w14:paraId="65AA49C7"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r w:rsidR="00E6060C" w:rsidRPr="00E6060C" w14:paraId="717B9852" w14:textId="77777777" w:rsidTr="00E6060C">
        <w:trPr>
          <w:trHeight w:val="400"/>
          <w:jc w:val="center"/>
        </w:trPr>
        <w:tc>
          <w:tcPr>
            <w:tcW w:w="464" w:type="dxa"/>
            <w:tcBorders>
              <w:top w:val="nil"/>
              <w:bottom w:val="nil"/>
            </w:tcBorders>
            <w:shd w:val="clear" w:color="auto" w:fill="auto"/>
            <w:vAlign w:val="center"/>
          </w:tcPr>
          <w:p w14:paraId="55478242" w14:textId="77777777" w:rsidR="00E6060C" w:rsidRPr="00E6060C" w:rsidRDefault="00E6060C" w:rsidP="00E6060C">
            <w:pPr>
              <w:spacing w:beforeLines="40" w:before="96" w:afterLines="40" w:after="96"/>
              <w:contextualSpacing/>
              <w:rPr>
                <w:rFonts w:eastAsia="Times New Roman" w:cs="Times New Roman"/>
                <w:lang w:val="en-AU"/>
              </w:rPr>
            </w:pPr>
            <w:r w:rsidRPr="00E6060C">
              <w:rPr>
                <w:rFonts w:eastAsia="Times New Roman" w:cs="Times New Roman"/>
                <w:lang w:val="en-AU"/>
              </w:rPr>
              <w:t>3</w:t>
            </w:r>
          </w:p>
        </w:tc>
        <w:tc>
          <w:tcPr>
            <w:tcW w:w="4943" w:type="dxa"/>
            <w:tcBorders>
              <w:top w:val="nil"/>
              <w:bottom w:val="nil"/>
            </w:tcBorders>
            <w:shd w:val="clear" w:color="auto" w:fill="auto"/>
            <w:vAlign w:val="center"/>
          </w:tcPr>
          <w:p w14:paraId="335CFDF6"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Count on your colleagues to help you with a difficult task at work?</w:t>
            </w:r>
          </w:p>
        </w:tc>
        <w:tc>
          <w:tcPr>
            <w:tcW w:w="993" w:type="dxa"/>
            <w:tcBorders>
              <w:top w:val="nil"/>
              <w:bottom w:val="nil"/>
            </w:tcBorders>
            <w:shd w:val="clear" w:color="auto" w:fill="auto"/>
            <w:vAlign w:val="center"/>
          </w:tcPr>
          <w:p w14:paraId="118793FF"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1</w:t>
            </w:r>
          </w:p>
        </w:tc>
        <w:tc>
          <w:tcPr>
            <w:tcW w:w="863" w:type="dxa"/>
            <w:tcBorders>
              <w:top w:val="nil"/>
              <w:bottom w:val="nil"/>
            </w:tcBorders>
            <w:shd w:val="clear" w:color="auto" w:fill="auto"/>
            <w:vAlign w:val="center"/>
          </w:tcPr>
          <w:p w14:paraId="19455802"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2</w:t>
            </w:r>
          </w:p>
        </w:tc>
        <w:tc>
          <w:tcPr>
            <w:tcW w:w="1418" w:type="dxa"/>
            <w:tcBorders>
              <w:top w:val="nil"/>
              <w:bottom w:val="nil"/>
            </w:tcBorders>
            <w:shd w:val="clear" w:color="auto" w:fill="auto"/>
            <w:vAlign w:val="center"/>
          </w:tcPr>
          <w:p w14:paraId="144E0B50"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3</w:t>
            </w:r>
          </w:p>
        </w:tc>
        <w:tc>
          <w:tcPr>
            <w:tcW w:w="850" w:type="dxa"/>
            <w:tcBorders>
              <w:top w:val="nil"/>
              <w:bottom w:val="nil"/>
            </w:tcBorders>
            <w:shd w:val="clear" w:color="auto" w:fill="auto"/>
            <w:vAlign w:val="center"/>
          </w:tcPr>
          <w:p w14:paraId="1114B396"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4</w:t>
            </w:r>
          </w:p>
        </w:tc>
        <w:tc>
          <w:tcPr>
            <w:tcW w:w="1263" w:type="dxa"/>
            <w:tcBorders>
              <w:top w:val="nil"/>
              <w:bottom w:val="nil"/>
            </w:tcBorders>
            <w:shd w:val="clear" w:color="auto" w:fill="auto"/>
            <w:vAlign w:val="center"/>
          </w:tcPr>
          <w:p w14:paraId="623A4BD2" w14:textId="77777777" w:rsidR="00E6060C" w:rsidRPr="00E6060C" w:rsidRDefault="00E6060C" w:rsidP="00E6060C">
            <w:pPr>
              <w:spacing w:beforeLines="40" w:before="96" w:afterLines="40" w:after="96"/>
              <w:contextualSpacing/>
              <w:jc w:val="center"/>
              <w:rPr>
                <w:rFonts w:eastAsia="Times" w:cs="Times New Roman"/>
                <w:lang w:eastAsia="en-GB"/>
              </w:rPr>
            </w:pPr>
            <w:r w:rsidRPr="00E6060C">
              <w:rPr>
                <w:rFonts w:eastAsia="Times" w:cs="Times New Roman"/>
                <w:lang w:eastAsia="en-GB"/>
              </w:rPr>
              <w:t>5</w:t>
            </w:r>
          </w:p>
        </w:tc>
      </w:tr>
    </w:tbl>
    <w:p w14:paraId="2D8F643F" w14:textId="77777777" w:rsidR="00E6060C" w:rsidRPr="00E6060C" w:rsidRDefault="00E6060C" w:rsidP="00E6060C"/>
    <w:tbl>
      <w:tblPr>
        <w:tblW w:w="10794"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5000"/>
        <w:gridCol w:w="27"/>
        <w:gridCol w:w="966"/>
        <w:gridCol w:w="27"/>
        <w:gridCol w:w="1106"/>
        <w:gridCol w:w="27"/>
        <w:gridCol w:w="1247"/>
        <w:gridCol w:w="27"/>
        <w:gridCol w:w="824"/>
        <w:gridCol w:w="27"/>
        <w:gridCol w:w="1052"/>
      </w:tblGrid>
      <w:tr w:rsidR="00E6060C" w:rsidRPr="00E6060C" w14:paraId="13FE6188" w14:textId="77777777" w:rsidTr="00E6060C">
        <w:trPr>
          <w:cantSplit/>
          <w:trHeight w:val="520"/>
          <w:jc w:val="center"/>
        </w:trPr>
        <w:tc>
          <w:tcPr>
            <w:tcW w:w="464" w:type="dxa"/>
            <w:tcBorders>
              <w:top w:val="single" w:sz="4" w:space="0" w:color="auto"/>
              <w:bottom w:val="single" w:sz="4" w:space="0" w:color="auto"/>
            </w:tcBorders>
            <w:shd w:val="clear" w:color="auto" w:fill="8EAADB" w:themeFill="accent5" w:themeFillTint="99"/>
          </w:tcPr>
          <w:p w14:paraId="7105926F" w14:textId="77777777" w:rsidR="00E6060C" w:rsidRPr="00E6060C" w:rsidRDefault="00E6060C" w:rsidP="00E6060C">
            <w:pPr>
              <w:spacing w:after="200" w:line="276" w:lineRule="auto"/>
              <w:ind w:right="-754"/>
              <w:contextualSpacing/>
              <w:rPr>
                <w:rFonts w:eastAsia="Times" w:cs="Times New Roman"/>
                <w:b/>
                <w:bCs/>
                <w:lang w:val="en-US" w:eastAsia="en-GB"/>
              </w:rPr>
            </w:pPr>
            <w:r w:rsidRPr="00E6060C">
              <w:rPr>
                <w:rFonts w:eastAsia="Times" w:cs="Times New Roman"/>
                <w:b/>
                <w:bCs/>
                <w:lang w:val="en-US" w:eastAsia="en-GB"/>
              </w:rPr>
              <w:t>5</w:t>
            </w:r>
          </w:p>
        </w:tc>
        <w:tc>
          <w:tcPr>
            <w:tcW w:w="5027" w:type="dxa"/>
            <w:gridSpan w:val="2"/>
            <w:tcBorders>
              <w:top w:val="single" w:sz="4" w:space="0" w:color="auto"/>
              <w:bottom w:val="single" w:sz="4" w:space="0" w:color="auto"/>
            </w:tcBorders>
            <w:shd w:val="clear" w:color="auto" w:fill="8EAADB" w:themeFill="accent5" w:themeFillTint="99"/>
          </w:tcPr>
          <w:p w14:paraId="7DCFAC73" w14:textId="77777777" w:rsidR="00E6060C" w:rsidRPr="00E6060C" w:rsidRDefault="00E6060C" w:rsidP="00E6060C">
            <w:pPr>
              <w:ind w:right="-754"/>
              <w:contextualSpacing/>
              <w:rPr>
                <w:rFonts w:eastAsia="Times" w:cs="Times New Roman"/>
                <w:b/>
                <w:u w:val="single"/>
                <w:lang w:eastAsia="en-GB"/>
              </w:rPr>
            </w:pPr>
            <w:r w:rsidRPr="00E6060C">
              <w:rPr>
                <w:rFonts w:eastAsia="Times" w:cs="Times New Roman"/>
                <w:b/>
                <w:lang w:eastAsia="en-GB"/>
              </w:rPr>
              <w:t xml:space="preserve">These statements are about </w:t>
            </w:r>
            <w:r w:rsidRPr="00E6060C">
              <w:rPr>
                <w:rFonts w:eastAsia="Times" w:cs="Times New Roman"/>
                <w:b/>
                <w:u w:val="single"/>
                <w:lang w:eastAsia="en-GB"/>
              </w:rPr>
              <w:t>decision making</w:t>
            </w:r>
          </w:p>
          <w:p w14:paraId="2317A8FF" w14:textId="77777777" w:rsidR="00E6060C" w:rsidRPr="00E6060C" w:rsidRDefault="00E6060C" w:rsidP="00E6060C">
            <w:pPr>
              <w:ind w:right="-754"/>
              <w:contextualSpacing/>
              <w:rPr>
                <w:rFonts w:eastAsia="Times" w:cs="Times New Roman"/>
                <w:b/>
                <w:lang w:eastAsia="en-GB"/>
              </w:rPr>
            </w:pPr>
            <w:r w:rsidRPr="00E6060C">
              <w:rPr>
                <w:rFonts w:eastAsia="Times" w:cs="Times New Roman"/>
                <w:b/>
                <w:lang w:eastAsia="en-GB"/>
              </w:rPr>
              <w:t xml:space="preserve"> within your ward team.  </w:t>
            </w:r>
          </w:p>
          <w:p w14:paraId="5DBB03CB" w14:textId="77777777" w:rsidR="00E6060C" w:rsidRPr="00E6060C" w:rsidRDefault="00E6060C" w:rsidP="00E6060C">
            <w:pPr>
              <w:spacing w:after="200" w:line="276" w:lineRule="auto"/>
              <w:ind w:left="34" w:right="-754"/>
              <w:contextualSpacing/>
              <w:rPr>
                <w:rFonts w:eastAsia="Times" w:cs="Times New Roman"/>
                <w:lang w:eastAsia="en-GB"/>
              </w:rPr>
            </w:pPr>
          </w:p>
        </w:tc>
        <w:tc>
          <w:tcPr>
            <w:tcW w:w="993" w:type="dxa"/>
            <w:gridSpan w:val="2"/>
            <w:tcBorders>
              <w:top w:val="single" w:sz="4" w:space="0" w:color="auto"/>
              <w:bottom w:val="single" w:sz="4" w:space="0" w:color="auto"/>
            </w:tcBorders>
            <w:shd w:val="clear" w:color="auto" w:fill="8EAADB" w:themeFill="accent5" w:themeFillTint="99"/>
          </w:tcPr>
          <w:p w14:paraId="6A8D75AF"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3" w:type="dxa"/>
            <w:gridSpan w:val="2"/>
            <w:tcBorders>
              <w:top w:val="single" w:sz="4" w:space="0" w:color="auto"/>
              <w:bottom w:val="single" w:sz="4" w:space="0" w:color="auto"/>
            </w:tcBorders>
            <w:shd w:val="clear" w:color="auto" w:fill="8EAADB" w:themeFill="accent5" w:themeFillTint="99"/>
          </w:tcPr>
          <w:p w14:paraId="4FE8ACD7"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74" w:type="dxa"/>
            <w:gridSpan w:val="2"/>
            <w:tcBorders>
              <w:top w:val="single" w:sz="4" w:space="0" w:color="auto"/>
              <w:bottom w:val="single" w:sz="4" w:space="0" w:color="auto"/>
            </w:tcBorders>
            <w:shd w:val="clear" w:color="auto" w:fill="8EAADB" w:themeFill="accent5" w:themeFillTint="99"/>
          </w:tcPr>
          <w:p w14:paraId="2C3B8E05"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gridSpan w:val="2"/>
            <w:tcBorders>
              <w:top w:val="single" w:sz="4" w:space="0" w:color="auto"/>
              <w:bottom w:val="single" w:sz="4" w:space="0" w:color="auto"/>
            </w:tcBorders>
            <w:shd w:val="clear" w:color="auto" w:fill="8EAADB" w:themeFill="accent5" w:themeFillTint="99"/>
          </w:tcPr>
          <w:p w14:paraId="03C42E76"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052" w:type="dxa"/>
            <w:tcBorders>
              <w:top w:val="single" w:sz="4" w:space="0" w:color="auto"/>
              <w:bottom w:val="single" w:sz="4" w:space="0" w:color="auto"/>
            </w:tcBorders>
            <w:shd w:val="clear" w:color="auto" w:fill="8EAADB" w:themeFill="accent5" w:themeFillTint="99"/>
          </w:tcPr>
          <w:p w14:paraId="183713C6"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152E0EDA" w14:textId="77777777" w:rsidTr="00E6060C">
        <w:trPr>
          <w:trHeight w:val="400"/>
          <w:jc w:val="center"/>
        </w:trPr>
        <w:tc>
          <w:tcPr>
            <w:tcW w:w="464" w:type="dxa"/>
            <w:tcBorders>
              <w:top w:val="single" w:sz="4" w:space="0" w:color="auto"/>
              <w:bottom w:val="nil"/>
            </w:tcBorders>
            <w:shd w:val="clear" w:color="auto" w:fill="auto"/>
            <w:vAlign w:val="center"/>
          </w:tcPr>
          <w:p w14:paraId="20F066A4"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w:t>
            </w:r>
          </w:p>
        </w:tc>
        <w:tc>
          <w:tcPr>
            <w:tcW w:w="5000" w:type="dxa"/>
            <w:tcBorders>
              <w:top w:val="single" w:sz="4" w:space="0" w:color="auto"/>
              <w:bottom w:val="nil"/>
            </w:tcBorders>
            <w:shd w:val="clear" w:color="auto" w:fill="auto"/>
            <w:vAlign w:val="center"/>
          </w:tcPr>
          <w:p w14:paraId="419E58F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can influence what goes on in the ward</w:t>
            </w:r>
          </w:p>
        </w:tc>
        <w:tc>
          <w:tcPr>
            <w:tcW w:w="993" w:type="dxa"/>
            <w:gridSpan w:val="2"/>
            <w:tcBorders>
              <w:top w:val="single" w:sz="4" w:space="0" w:color="auto"/>
              <w:bottom w:val="nil"/>
            </w:tcBorders>
            <w:shd w:val="clear" w:color="auto" w:fill="auto"/>
            <w:vAlign w:val="center"/>
          </w:tcPr>
          <w:p w14:paraId="72C7450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3" w:type="dxa"/>
            <w:gridSpan w:val="2"/>
            <w:tcBorders>
              <w:top w:val="single" w:sz="4" w:space="0" w:color="auto"/>
              <w:bottom w:val="nil"/>
            </w:tcBorders>
            <w:shd w:val="clear" w:color="auto" w:fill="auto"/>
            <w:vAlign w:val="center"/>
          </w:tcPr>
          <w:p w14:paraId="61B02D2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4" w:type="dxa"/>
            <w:gridSpan w:val="2"/>
            <w:tcBorders>
              <w:top w:val="single" w:sz="4" w:space="0" w:color="auto"/>
              <w:bottom w:val="nil"/>
            </w:tcBorders>
            <w:shd w:val="clear" w:color="auto" w:fill="auto"/>
            <w:vAlign w:val="center"/>
          </w:tcPr>
          <w:p w14:paraId="3EC21F7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gridSpan w:val="2"/>
            <w:tcBorders>
              <w:top w:val="single" w:sz="4" w:space="0" w:color="auto"/>
              <w:bottom w:val="nil"/>
            </w:tcBorders>
            <w:shd w:val="clear" w:color="auto" w:fill="auto"/>
            <w:vAlign w:val="center"/>
          </w:tcPr>
          <w:p w14:paraId="383F003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079" w:type="dxa"/>
            <w:gridSpan w:val="2"/>
            <w:tcBorders>
              <w:top w:val="single" w:sz="4" w:space="0" w:color="auto"/>
              <w:bottom w:val="nil"/>
            </w:tcBorders>
            <w:shd w:val="clear" w:color="auto" w:fill="auto"/>
            <w:vAlign w:val="center"/>
          </w:tcPr>
          <w:p w14:paraId="63F6FBF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59970D6F" w14:textId="77777777" w:rsidTr="00E6060C">
        <w:trPr>
          <w:trHeight w:val="400"/>
          <w:jc w:val="center"/>
        </w:trPr>
        <w:tc>
          <w:tcPr>
            <w:tcW w:w="464" w:type="dxa"/>
            <w:tcBorders>
              <w:top w:val="nil"/>
              <w:bottom w:val="nil"/>
            </w:tcBorders>
            <w:shd w:val="clear" w:color="auto" w:fill="D9D9D9" w:themeFill="background1" w:themeFillShade="D9"/>
            <w:vAlign w:val="center"/>
          </w:tcPr>
          <w:p w14:paraId="22FC70ED"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2</w:t>
            </w:r>
          </w:p>
        </w:tc>
        <w:tc>
          <w:tcPr>
            <w:tcW w:w="5000" w:type="dxa"/>
            <w:tcBorders>
              <w:top w:val="nil"/>
              <w:bottom w:val="nil"/>
            </w:tcBorders>
            <w:shd w:val="clear" w:color="auto" w:fill="D9D9D9" w:themeFill="background1" w:themeFillShade="D9"/>
            <w:vAlign w:val="center"/>
          </w:tcPr>
          <w:p w14:paraId="4985029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have a say in how work is managed within the ward</w:t>
            </w:r>
          </w:p>
        </w:tc>
        <w:tc>
          <w:tcPr>
            <w:tcW w:w="993" w:type="dxa"/>
            <w:gridSpan w:val="2"/>
            <w:tcBorders>
              <w:top w:val="nil"/>
              <w:bottom w:val="nil"/>
            </w:tcBorders>
            <w:shd w:val="clear" w:color="auto" w:fill="D9D9D9" w:themeFill="background1" w:themeFillShade="D9"/>
            <w:vAlign w:val="center"/>
          </w:tcPr>
          <w:p w14:paraId="0EC2756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3" w:type="dxa"/>
            <w:gridSpan w:val="2"/>
            <w:tcBorders>
              <w:top w:val="nil"/>
              <w:bottom w:val="nil"/>
            </w:tcBorders>
            <w:shd w:val="clear" w:color="auto" w:fill="D9D9D9" w:themeFill="background1" w:themeFillShade="D9"/>
            <w:vAlign w:val="center"/>
          </w:tcPr>
          <w:p w14:paraId="551E38D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4" w:type="dxa"/>
            <w:gridSpan w:val="2"/>
            <w:tcBorders>
              <w:top w:val="nil"/>
              <w:bottom w:val="nil"/>
            </w:tcBorders>
            <w:shd w:val="clear" w:color="auto" w:fill="D9D9D9" w:themeFill="background1" w:themeFillShade="D9"/>
            <w:vAlign w:val="center"/>
          </w:tcPr>
          <w:p w14:paraId="0376B2A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gridSpan w:val="2"/>
            <w:tcBorders>
              <w:top w:val="nil"/>
              <w:bottom w:val="nil"/>
            </w:tcBorders>
            <w:shd w:val="clear" w:color="auto" w:fill="D9D9D9" w:themeFill="background1" w:themeFillShade="D9"/>
            <w:vAlign w:val="center"/>
          </w:tcPr>
          <w:p w14:paraId="7BB136E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079" w:type="dxa"/>
            <w:gridSpan w:val="2"/>
            <w:tcBorders>
              <w:top w:val="nil"/>
              <w:bottom w:val="nil"/>
            </w:tcBorders>
            <w:shd w:val="clear" w:color="auto" w:fill="D9D9D9" w:themeFill="background1" w:themeFillShade="D9"/>
            <w:vAlign w:val="center"/>
          </w:tcPr>
          <w:p w14:paraId="5894A55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AE5C4CA" w14:textId="77777777" w:rsidTr="00E6060C">
        <w:trPr>
          <w:trHeight w:val="400"/>
          <w:jc w:val="center"/>
        </w:trPr>
        <w:tc>
          <w:tcPr>
            <w:tcW w:w="464" w:type="dxa"/>
            <w:tcBorders>
              <w:top w:val="nil"/>
              <w:bottom w:val="nil"/>
            </w:tcBorders>
            <w:shd w:val="clear" w:color="auto" w:fill="auto"/>
            <w:vAlign w:val="center"/>
          </w:tcPr>
          <w:p w14:paraId="12EB4294"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3</w:t>
            </w:r>
          </w:p>
        </w:tc>
        <w:tc>
          <w:tcPr>
            <w:tcW w:w="5000" w:type="dxa"/>
            <w:tcBorders>
              <w:top w:val="nil"/>
              <w:bottom w:val="nil"/>
            </w:tcBorders>
            <w:shd w:val="clear" w:color="auto" w:fill="auto"/>
            <w:vAlign w:val="center"/>
          </w:tcPr>
          <w:p w14:paraId="6665E6C7"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team participate in decisions that affect them on this ward</w:t>
            </w:r>
          </w:p>
        </w:tc>
        <w:tc>
          <w:tcPr>
            <w:tcW w:w="993" w:type="dxa"/>
            <w:gridSpan w:val="2"/>
            <w:tcBorders>
              <w:top w:val="nil"/>
              <w:bottom w:val="nil"/>
            </w:tcBorders>
            <w:shd w:val="clear" w:color="auto" w:fill="auto"/>
            <w:vAlign w:val="center"/>
          </w:tcPr>
          <w:p w14:paraId="6E535747"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3" w:type="dxa"/>
            <w:gridSpan w:val="2"/>
            <w:tcBorders>
              <w:top w:val="nil"/>
              <w:bottom w:val="nil"/>
            </w:tcBorders>
            <w:shd w:val="clear" w:color="auto" w:fill="auto"/>
            <w:vAlign w:val="center"/>
          </w:tcPr>
          <w:p w14:paraId="0E4829B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4" w:type="dxa"/>
            <w:gridSpan w:val="2"/>
            <w:tcBorders>
              <w:top w:val="nil"/>
              <w:bottom w:val="nil"/>
            </w:tcBorders>
            <w:shd w:val="clear" w:color="auto" w:fill="auto"/>
            <w:vAlign w:val="center"/>
          </w:tcPr>
          <w:p w14:paraId="0175331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gridSpan w:val="2"/>
            <w:tcBorders>
              <w:top w:val="nil"/>
              <w:bottom w:val="nil"/>
            </w:tcBorders>
            <w:shd w:val="clear" w:color="auto" w:fill="auto"/>
            <w:vAlign w:val="center"/>
          </w:tcPr>
          <w:p w14:paraId="0836AD0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079" w:type="dxa"/>
            <w:gridSpan w:val="2"/>
            <w:tcBorders>
              <w:top w:val="nil"/>
              <w:bottom w:val="nil"/>
            </w:tcBorders>
            <w:shd w:val="clear" w:color="auto" w:fill="auto"/>
            <w:vAlign w:val="center"/>
          </w:tcPr>
          <w:p w14:paraId="34981EE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73313F50" w14:textId="77777777" w:rsidTr="00E6060C">
        <w:trPr>
          <w:trHeight w:val="400"/>
          <w:jc w:val="center"/>
        </w:trPr>
        <w:tc>
          <w:tcPr>
            <w:tcW w:w="464" w:type="dxa"/>
            <w:tcBorders>
              <w:top w:val="nil"/>
              <w:bottom w:val="nil"/>
            </w:tcBorders>
            <w:shd w:val="clear" w:color="auto" w:fill="D9D9D9" w:themeFill="background1" w:themeFillShade="D9"/>
            <w:vAlign w:val="center"/>
          </w:tcPr>
          <w:p w14:paraId="6BBB652A"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4</w:t>
            </w:r>
          </w:p>
        </w:tc>
        <w:tc>
          <w:tcPr>
            <w:tcW w:w="5000" w:type="dxa"/>
            <w:tcBorders>
              <w:top w:val="nil"/>
              <w:bottom w:val="nil"/>
            </w:tcBorders>
            <w:shd w:val="clear" w:color="auto" w:fill="D9D9D9" w:themeFill="background1" w:themeFillShade="D9"/>
            <w:vAlign w:val="center"/>
          </w:tcPr>
          <w:p w14:paraId="0F24F47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Team members have the freedom to make important work decisions</w:t>
            </w:r>
          </w:p>
        </w:tc>
        <w:tc>
          <w:tcPr>
            <w:tcW w:w="993" w:type="dxa"/>
            <w:gridSpan w:val="2"/>
            <w:tcBorders>
              <w:top w:val="nil"/>
              <w:bottom w:val="nil"/>
            </w:tcBorders>
            <w:shd w:val="clear" w:color="auto" w:fill="D9D9D9" w:themeFill="background1" w:themeFillShade="D9"/>
            <w:vAlign w:val="center"/>
          </w:tcPr>
          <w:p w14:paraId="17C27A6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3" w:type="dxa"/>
            <w:gridSpan w:val="2"/>
            <w:tcBorders>
              <w:top w:val="nil"/>
              <w:bottom w:val="nil"/>
            </w:tcBorders>
            <w:shd w:val="clear" w:color="auto" w:fill="D9D9D9" w:themeFill="background1" w:themeFillShade="D9"/>
            <w:vAlign w:val="center"/>
          </w:tcPr>
          <w:p w14:paraId="1ADDA13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4" w:type="dxa"/>
            <w:gridSpan w:val="2"/>
            <w:tcBorders>
              <w:top w:val="nil"/>
              <w:bottom w:val="nil"/>
            </w:tcBorders>
            <w:shd w:val="clear" w:color="auto" w:fill="D9D9D9" w:themeFill="background1" w:themeFillShade="D9"/>
            <w:vAlign w:val="center"/>
          </w:tcPr>
          <w:p w14:paraId="437ED43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gridSpan w:val="2"/>
            <w:tcBorders>
              <w:top w:val="nil"/>
              <w:bottom w:val="nil"/>
            </w:tcBorders>
            <w:shd w:val="clear" w:color="auto" w:fill="D9D9D9" w:themeFill="background1" w:themeFillShade="D9"/>
            <w:vAlign w:val="center"/>
          </w:tcPr>
          <w:p w14:paraId="739FE08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079" w:type="dxa"/>
            <w:gridSpan w:val="2"/>
            <w:tcBorders>
              <w:top w:val="nil"/>
              <w:bottom w:val="nil"/>
            </w:tcBorders>
            <w:shd w:val="clear" w:color="auto" w:fill="D9D9D9" w:themeFill="background1" w:themeFillShade="D9"/>
            <w:vAlign w:val="center"/>
          </w:tcPr>
          <w:p w14:paraId="57765F4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3F13EEE3" w14:textId="77777777" w:rsidTr="00E6060C">
        <w:trPr>
          <w:trHeight w:val="400"/>
          <w:jc w:val="center"/>
        </w:trPr>
        <w:tc>
          <w:tcPr>
            <w:tcW w:w="464" w:type="dxa"/>
            <w:tcBorders>
              <w:top w:val="nil"/>
              <w:bottom w:val="nil"/>
            </w:tcBorders>
            <w:shd w:val="clear" w:color="auto" w:fill="auto"/>
            <w:vAlign w:val="center"/>
          </w:tcPr>
          <w:p w14:paraId="4356E62F"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lastRenderedPageBreak/>
              <w:t>5</w:t>
            </w:r>
          </w:p>
        </w:tc>
        <w:tc>
          <w:tcPr>
            <w:tcW w:w="5000" w:type="dxa"/>
            <w:tcBorders>
              <w:top w:val="nil"/>
              <w:bottom w:val="nil"/>
            </w:tcBorders>
            <w:shd w:val="clear" w:color="auto" w:fill="auto"/>
            <w:vAlign w:val="center"/>
          </w:tcPr>
          <w:p w14:paraId="77C9784E"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can determine how we do our work</w:t>
            </w:r>
          </w:p>
        </w:tc>
        <w:tc>
          <w:tcPr>
            <w:tcW w:w="993" w:type="dxa"/>
            <w:gridSpan w:val="2"/>
            <w:tcBorders>
              <w:top w:val="nil"/>
              <w:bottom w:val="nil"/>
            </w:tcBorders>
            <w:shd w:val="clear" w:color="auto" w:fill="auto"/>
            <w:vAlign w:val="center"/>
          </w:tcPr>
          <w:p w14:paraId="0719435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3" w:type="dxa"/>
            <w:gridSpan w:val="2"/>
            <w:tcBorders>
              <w:top w:val="nil"/>
              <w:bottom w:val="nil"/>
            </w:tcBorders>
            <w:shd w:val="clear" w:color="auto" w:fill="auto"/>
            <w:vAlign w:val="center"/>
          </w:tcPr>
          <w:p w14:paraId="6F3A50E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4" w:type="dxa"/>
            <w:gridSpan w:val="2"/>
            <w:tcBorders>
              <w:top w:val="nil"/>
              <w:bottom w:val="nil"/>
            </w:tcBorders>
            <w:shd w:val="clear" w:color="auto" w:fill="auto"/>
            <w:vAlign w:val="center"/>
          </w:tcPr>
          <w:p w14:paraId="2B3D988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gridSpan w:val="2"/>
            <w:tcBorders>
              <w:top w:val="nil"/>
              <w:bottom w:val="nil"/>
            </w:tcBorders>
            <w:shd w:val="clear" w:color="auto" w:fill="auto"/>
            <w:vAlign w:val="center"/>
          </w:tcPr>
          <w:p w14:paraId="7510AC3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079" w:type="dxa"/>
            <w:gridSpan w:val="2"/>
            <w:tcBorders>
              <w:top w:val="nil"/>
              <w:bottom w:val="nil"/>
            </w:tcBorders>
            <w:shd w:val="clear" w:color="auto" w:fill="auto"/>
            <w:vAlign w:val="center"/>
          </w:tcPr>
          <w:p w14:paraId="1BAC610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bl>
    <w:p w14:paraId="7AC05905" w14:textId="77777777" w:rsidR="00E6060C" w:rsidRPr="00E6060C" w:rsidRDefault="00E6060C" w:rsidP="00E6060C"/>
    <w:tbl>
      <w:tblPr>
        <w:tblStyle w:val="TableGrid8"/>
        <w:tblW w:w="10728" w:type="dxa"/>
        <w:tblInd w:w="-743" w:type="dxa"/>
        <w:tblLayout w:type="fixed"/>
        <w:tblLook w:val="04A0" w:firstRow="1" w:lastRow="0" w:firstColumn="1" w:lastColumn="0" w:noHBand="0" w:noVBand="1"/>
      </w:tblPr>
      <w:tblGrid>
        <w:gridCol w:w="481"/>
        <w:gridCol w:w="4300"/>
        <w:gridCol w:w="1083"/>
        <w:gridCol w:w="1235"/>
        <w:gridCol w:w="1304"/>
        <w:gridCol w:w="1040"/>
        <w:gridCol w:w="1285"/>
      </w:tblGrid>
      <w:tr w:rsidR="00E6060C" w:rsidRPr="00E6060C" w14:paraId="0CCEED72" w14:textId="77777777" w:rsidTr="00E6060C">
        <w:tc>
          <w:tcPr>
            <w:tcW w:w="481" w:type="dxa"/>
            <w:tcBorders>
              <w:left w:val="nil"/>
              <w:bottom w:val="single" w:sz="4" w:space="0" w:color="auto"/>
              <w:right w:val="nil"/>
            </w:tcBorders>
            <w:shd w:val="clear" w:color="auto" w:fill="B4C6E7" w:themeFill="accent5" w:themeFillTint="66"/>
          </w:tcPr>
          <w:p w14:paraId="40241DDC" w14:textId="77777777" w:rsidR="00E6060C" w:rsidRPr="00E6060C" w:rsidRDefault="00E6060C" w:rsidP="00E6060C">
            <w:pPr>
              <w:spacing w:after="200" w:line="276" w:lineRule="auto"/>
              <w:ind w:right="-754"/>
              <w:contextualSpacing/>
              <w:rPr>
                <w:b/>
              </w:rPr>
            </w:pPr>
            <w:r w:rsidRPr="00E6060C">
              <w:rPr>
                <w:b/>
              </w:rPr>
              <w:t>6</w:t>
            </w:r>
          </w:p>
        </w:tc>
        <w:tc>
          <w:tcPr>
            <w:tcW w:w="4300" w:type="dxa"/>
            <w:tcBorders>
              <w:left w:val="nil"/>
              <w:bottom w:val="single" w:sz="4" w:space="0" w:color="auto"/>
              <w:right w:val="nil"/>
            </w:tcBorders>
            <w:shd w:val="clear" w:color="auto" w:fill="B4C6E7" w:themeFill="accent5" w:themeFillTint="66"/>
          </w:tcPr>
          <w:p w14:paraId="449A634E" w14:textId="77777777" w:rsidR="00E6060C" w:rsidRPr="00E6060C" w:rsidRDefault="00E6060C" w:rsidP="00E6060C">
            <w:pPr>
              <w:spacing w:after="200" w:line="276" w:lineRule="auto"/>
              <w:ind w:right="-754"/>
              <w:contextualSpacing/>
              <w:rPr>
                <w:b/>
                <w:u w:val="single"/>
              </w:rPr>
            </w:pPr>
            <w:r w:rsidRPr="00E6060C">
              <w:rPr>
                <w:b/>
              </w:rPr>
              <w:t xml:space="preserve">These questions are about the </w:t>
            </w:r>
            <w:r w:rsidRPr="00E6060C">
              <w:rPr>
                <w:b/>
                <w:u w:val="single"/>
              </w:rPr>
              <w:t xml:space="preserve">influence </w:t>
            </w:r>
          </w:p>
          <w:p w14:paraId="71E06DC4" w14:textId="77777777" w:rsidR="00E6060C" w:rsidRPr="00E6060C" w:rsidRDefault="00E6060C" w:rsidP="00E6060C">
            <w:pPr>
              <w:spacing w:after="200" w:line="276" w:lineRule="auto"/>
              <w:ind w:right="-754"/>
              <w:contextualSpacing/>
              <w:rPr>
                <w:b/>
              </w:rPr>
            </w:pPr>
            <w:r w:rsidRPr="00E6060C">
              <w:rPr>
                <w:b/>
                <w:u w:val="single"/>
              </w:rPr>
              <w:t>YOU</w:t>
            </w:r>
            <w:r w:rsidRPr="00E6060C">
              <w:rPr>
                <w:b/>
              </w:rPr>
              <w:t xml:space="preserve"> have over decisions at work. To what </w:t>
            </w:r>
          </w:p>
          <w:p w14:paraId="49DFEE84" w14:textId="77777777" w:rsidR="00E6060C" w:rsidRPr="00E6060C" w:rsidRDefault="00E6060C" w:rsidP="00E6060C">
            <w:pPr>
              <w:spacing w:after="200" w:line="276" w:lineRule="auto"/>
              <w:ind w:right="-754"/>
              <w:contextualSpacing/>
              <w:rPr>
                <w:b/>
              </w:rPr>
            </w:pPr>
            <w:r w:rsidRPr="00E6060C">
              <w:rPr>
                <w:b/>
              </w:rPr>
              <w:t>extent…</w:t>
            </w:r>
          </w:p>
          <w:p w14:paraId="2ECE109A" w14:textId="77777777" w:rsidR="00E6060C" w:rsidRPr="00E6060C" w:rsidRDefault="00E6060C" w:rsidP="00E6060C">
            <w:pPr>
              <w:spacing w:after="200" w:line="276" w:lineRule="auto"/>
              <w:contextualSpacing/>
              <w:rPr>
                <w:bCs/>
              </w:rPr>
            </w:pPr>
          </w:p>
        </w:tc>
        <w:tc>
          <w:tcPr>
            <w:tcW w:w="1083" w:type="dxa"/>
            <w:tcBorders>
              <w:left w:val="nil"/>
              <w:bottom w:val="single" w:sz="4" w:space="0" w:color="auto"/>
              <w:right w:val="nil"/>
            </w:tcBorders>
            <w:shd w:val="clear" w:color="auto" w:fill="B4C6E7" w:themeFill="accent5" w:themeFillTint="66"/>
          </w:tcPr>
          <w:p w14:paraId="325FA4D6" w14:textId="77777777" w:rsidR="00E6060C" w:rsidRPr="00E6060C" w:rsidRDefault="00E6060C" w:rsidP="00E6060C">
            <w:pPr>
              <w:spacing w:after="200" w:line="276" w:lineRule="auto"/>
              <w:contextualSpacing/>
              <w:jc w:val="center"/>
              <w:rPr>
                <w:b/>
              </w:rPr>
            </w:pPr>
            <w:r w:rsidRPr="00E6060C">
              <w:rPr>
                <w:b/>
              </w:rPr>
              <w:t>Not at all</w:t>
            </w:r>
          </w:p>
          <w:p w14:paraId="1A4364C2" w14:textId="77777777" w:rsidR="00E6060C" w:rsidRPr="00E6060C" w:rsidRDefault="00E6060C" w:rsidP="00E6060C">
            <w:pPr>
              <w:spacing w:after="200" w:line="276" w:lineRule="auto"/>
              <w:contextualSpacing/>
              <w:jc w:val="center"/>
              <w:rPr>
                <w:b/>
              </w:rPr>
            </w:pPr>
          </w:p>
        </w:tc>
        <w:tc>
          <w:tcPr>
            <w:tcW w:w="1235" w:type="dxa"/>
            <w:tcBorders>
              <w:left w:val="nil"/>
              <w:bottom w:val="single" w:sz="4" w:space="0" w:color="auto"/>
              <w:right w:val="nil"/>
            </w:tcBorders>
            <w:shd w:val="clear" w:color="auto" w:fill="B4C6E7" w:themeFill="accent5" w:themeFillTint="66"/>
          </w:tcPr>
          <w:p w14:paraId="267D371A" w14:textId="77777777" w:rsidR="00E6060C" w:rsidRPr="00E6060C" w:rsidRDefault="00E6060C" w:rsidP="00E6060C">
            <w:pPr>
              <w:spacing w:after="200" w:line="276" w:lineRule="auto"/>
              <w:contextualSpacing/>
              <w:jc w:val="center"/>
              <w:rPr>
                <w:b/>
              </w:rPr>
            </w:pPr>
            <w:r w:rsidRPr="00E6060C">
              <w:rPr>
                <w:b/>
              </w:rPr>
              <w:t>Just a little</w:t>
            </w:r>
          </w:p>
        </w:tc>
        <w:tc>
          <w:tcPr>
            <w:tcW w:w="1304" w:type="dxa"/>
            <w:tcBorders>
              <w:left w:val="nil"/>
              <w:bottom w:val="single" w:sz="4" w:space="0" w:color="auto"/>
              <w:right w:val="nil"/>
            </w:tcBorders>
            <w:shd w:val="clear" w:color="auto" w:fill="B4C6E7" w:themeFill="accent5" w:themeFillTint="66"/>
          </w:tcPr>
          <w:p w14:paraId="2CB7A502" w14:textId="77777777" w:rsidR="00E6060C" w:rsidRPr="00E6060C" w:rsidRDefault="00E6060C" w:rsidP="00E6060C">
            <w:pPr>
              <w:spacing w:after="200" w:line="276" w:lineRule="auto"/>
              <w:contextualSpacing/>
              <w:jc w:val="center"/>
              <w:rPr>
                <w:b/>
              </w:rPr>
            </w:pPr>
            <w:r w:rsidRPr="00E6060C">
              <w:rPr>
                <w:b/>
              </w:rPr>
              <w:t>Moderate amount</w:t>
            </w:r>
          </w:p>
        </w:tc>
        <w:tc>
          <w:tcPr>
            <w:tcW w:w="1040" w:type="dxa"/>
            <w:tcBorders>
              <w:left w:val="nil"/>
              <w:bottom w:val="single" w:sz="4" w:space="0" w:color="auto"/>
              <w:right w:val="nil"/>
            </w:tcBorders>
            <w:shd w:val="clear" w:color="auto" w:fill="B4C6E7" w:themeFill="accent5" w:themeFillTint="66"/>
          </w:tcPr>
          <w:p w14:paraId="1C41F8EC" w14:textId="77777777" w:rsidR="00E6060C" w:rsidRPr="00E6060C" w:rsidRDefault="00E6060C" w:rsidP="00E6060C">
            <w:pPr>
              <w:spacing w:after="200" w:line="276" w:lineRule="auto"/>
              <w:contextualSpacing/>
              <w:jc w:val="center"/>
              <w:rPr>
                <w:b/>
              </w:rPr>
            </w:pPr>
            <w:r w:rsidRPr="00E6060C">
              <w:rPr>
                <w:b/>
              </w:rPr>
              <w:t>Quite a lot</w:t>
            </w:r>
          </w:p>
        </w:tc>
        <w:tc>
          <w:tcPr>
            <w:tcW w:w="1285" w:type="dxa"/>
            <w:tcBorders>
              <w:left w:val="nil"/>
              <w:bottom w:val="single" w:sz="4" w:space="0" w:color="auto"/>
              <w:right w:val="nil"/>
            </w:tcBorders>
            <w:shd w:val="clear" w:color="auto" w:fill="B4C6E7" w:themeFill="accent5" w:themeFillTint="66"/>
          </w:tcPr>
          <w:p w14:paraId="29F73C3E" w14:textId="77777777" w:rsidR="00E6060C" w:rsidRPr="00E6060C" w:rsidRDefault="00E6060C" w:rsidP="00E6060C">
            <w:pPr>
              <w:spacing w:after="200" w:line="276" w:lineRule="auto"/>
              <w:contextualSpacing/>
              <w:jc w:val="center"/>
              <w:rPr>
                <w:b/>
              </w:rPr>
            </w:pPr>
            <w:r w:rsidRPr="00E6060C">
              <w:rPr>
                <w:b/>
              </w:rPr>
              <w:t>A great deal</w:t>
            </w:r>
          </w:p>
        </w:tc>
      </w:tr>
      <w:tr w:rsidR="00E6060C" w:rsidRPr="00E6060C" w14:paraId="44F9019D" w14:textId="77777777" w:rsidTr="00E6060C">
        <w:tc>
          <w:tcPr>
            <w:tcW w:w="481" w:type="dxa"/>
            <w:tcBorders>
              <w:top w:val="single" w:sz="4" w:space="0" w:color="auto"/>
              <w:left w:val="nil"/>
              <w:bottom w:val="nil"/>
              <w:right w:val="nil"/>
            </w:tcBorders>
          </w:tcPr>
          <w:p w14:paraId="7977D67F" w14:textId="77777777" w:rsidR="00E6060C" w:rsidRPr="00E6060C" w:rsidRDefault="00E6060C" w:rsidP="00E6060C">
            <w:pPr>
              <w:spacing w:after="200" w:line="276" w:lineRule="auto"/>
              <w:contextualSpacing/>
              <w:rPr>
                <w:bCs/>
              </w:rPr>
            </w:pPr>
            <w:r w:rsidRPr="00E6060C">
              <w:rPr>
                <w:bCs/>
              </w:rPr>
              <w:t>1</w:t>
            </w:r>
          </w:p>
        </w:tc>
        <w:tc>
          <w:tcPr>
            <w:tcW w:w="4300" w:type="dxa"/>
            <w:tcBorders>
              <w:top w:val="single" w:sz="4" w:space="0" w:color="auto"/>
              <w:left w:val="nil"/>
              <w:bottom w:val="nil"/>
              <w:right w:val="nil"/>
            </w:tcBorders>
          </w:tcPr>
          <w:p w14:paraId="056CCD2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Can you influence what goes on in your work area as a whole?</w:t>
            </w:r>
          </w:p>
        </w:tc>
        <w:tc>
          <w:tcPr>
            <w:tcW w:w="1083" w:type="dxa"/>
            <w:tcBorders>
              <w:top w:val="single" w:sz="4" w:space="0" w:color="auto"/>
              <w:left w:val="nil"/>
              <w:bottom w:val="nil"/>
              <w:right w:val="nil"/>
            </w:tcBorders>
          </w:tcPr>
          <w:p w14:paraId="3A075DA9" w14:textId="77777777" w:rsidR="00E6060C" w:rsidRPr="00E6060C" w:rsidRDefault="00E6060C" w:rsidP="00E6060C">
            <w:pPr>
              <w:spacing w:after="200" w:line="276" w:lineRule="auto"/>
              <w:contextualSpacing/>
              <w:jc w:val="center"/>
              <w:rPr>
                <w:bCs/>
              </w:rPr>
            </w:pPr>
            <w:r w:rsidRPr="00E6060C">
              <w:rPr>
                <w:bCs/>
              </w:rPr>
              <w:t>1</w:t>
            </w:r>
          </w:p>
        </w:tc>
        <w:tc>
          <w:tcPr>
            <w:tcW w:w="1235" w:type="dxa"/>
            <w:tcBorders>
              <w:top w:val="single" w:sz="4" w:space="0" w:color="auto"/>
              <w:left w:val="nil"/>
              <w:bottom w:val="nil"/>
              <w:right w:val="nil"/>
            </w:tcBorders>
          </w:tcPr>
          <w:p w14:paraId="47A0E5F9" w14:textId="77777777" w:rsidR="00E6060C" w:rsidRPr="00E6060C" w:rsidRDefault="00E6060C" w:rsidP="00E6060C">
            <w:pPr>
              <w:spacing w:after="200" w:line="276" w:lineRule="auto"/>
              <w:contextualSpacing/>
              <w:jc w:val="center"/>
              <w:rPr>
                <w:bCs/>
              </w:rPr>
            </w:pPr>
            <w:r w:rsidRPr="00E6060C">
              <w:rPr>
                <w:bCs/>
              </w:rPr>
              <w:t>2</w:t>
            </w:r>
          </w:p>
        </w:tc>
        <w:tc>
          <w:tcPr>
            <w:tcW w:w="1304" w:type="dxa"/>
            <w:tcBorders>
              <w:top w:val="single" w:sz="4" w:space="0" w:color="auto"/>
              <w:left w:val="nil"/>
              <w:bottom w:val="nil"/>
              <w:right w:val="nil"/>
            </w:tcBorders>
          </w:tcPr>
          <w:p w14:paraId="02A36989" w14:textId="77777777" w:rsidR="00E6060C" w:rsidRPr="00E6060C" w:rsidRDefault="00E6060C" w:rsidP="00E6060C">
            <w:pPr>
              <w:spacing w:after="200" w:line="276" w:lineRule="auto"/>
              <w:contextualSpacing/>
              <w:jc w:val="center"/>
              <w:rPr>
                <w:bCs/>
              </w:rPr>
            </w:pPr>
            <w:r w:rsidRPr="00E6060C">
              <w:rPr>
                <w:bCs/>
              </w:rPr>
              <w:t>3</w:t>
            </w:r>
          </w:p>
        </w:tc>
        <w:tc>
          <w:tcPr>
            <w:tcW w:w="1040" w:type="dxa"/>
            <w:tcBorders>
              <w:top w:val="single" w:sz="4" w:space="0" w:color="auto"/>
              <w:left w:val="nil"/>
              <w:bottom w:val="nil"/>
              <w:right w:val="nil"/>
            </w:tcBorders>
          </w:tcPr>
          <w:p w14:paraId="52146BB5" w14:textId="77777777" w:rsidR="00E6060C" w:rsidRPr="00E6060C" w:rsidRDefault="00E6060C" w:rsidP="00E6060C">
            <w:pPr>
              <w:spacing w:after="200" w:line="276" w:lineRule="auto"/>
              <w:contextualSpacing/>
              <w:jc w:val="center"/>
              <w:rPr>
                <w:bCs/>
              </w:rPr>
            </w:pPr>
            <w:r w:rsidRPr="00E6060C">
              <w:rPr>
                <w:bCs/>
              </w:rPr>
              <w:t>4</w:t>
            </w:r>
          </w:p>
        </w:tc>
        <w:tc>
          <w:tcPr>
            <w:tcW w:w="1285" w:type="dxa"/>
            <w:tcBorders>
              <w:top w:val="single" w:sz="4" w:space="0" w:color="auto"/>
              <w:left w:val="nil"/>
              <w:bottom w:val="nil"/>
              <w:right w:val="nil"/>
            </w:tcBorders>
          </w:tcPr>
          <w:p w14:paraId="7474EEC5" w14:textId="77777777" w:rsidR="00E6060C" w:rsidRPr="00E6060C" w:rsidRDefault="00E6060C" w:rsidP="00E6060C">
            <w:pPr>
              <w:spacing w:after="200" w:line="276" w:lineRule="auto"/>
              <w:contextualSpacing/>
              <w:jc w:val="center"/>
              <w:rPr>
                <w:bCs/>
              </w:rPr>
            </w:pPr>
            <w:r w:rsidRPr="00E6060C">
              <w:rPr>
                <w:bCs/>
              </w:rPr>
              <w:t>5</w:t>
            </w:r>
          </w:p>
        </w:tc>
      </w:tr>
      <w:tr w:rsidR="00E6060C" w:rsidRPr="00E6060C" w14:paraId="6B306E5C" w14:textId="77777777" w:rsidTr="00E6060C">
        <w:tc>
          <w:tcPr>
            <w:tcW w:w="481" w:type="dxa"/>
            <w:tcBorders>
              <w:top w:val="nil"/>
              <w:left w:val="nil"/>
              <w:bottom w:val="nil"/>
              <w:right w:val="nil"/>
            </w:tcBorders>
            <w:shd w:val="clear" w:color="auto" w:fill="D9D9D9" w:themeFill="background1" w:themeFillShade="D9"/>
          </w:tcPr>
          <w:p w14:paraId="1FBFBC3A" w14:textId="77777777" w:rsidR="00E6060C" w:rsidRPr="00E6060C" w:rsidRDefault="00E6060C" w:rsidP="00E6060C">
            <w:pPr>
              <w:spacing w:after="200" w:line="276" w:lineRule="auto"/>
              <w:contextualSpacing/>
              <w:rPr>
                <w:bCs/>
              </w:rPr>
            </w:pPr>
            <w:r w:rsidRPr="00E6060C">
              <w:rPr>
                <w:bCs/>
              </w:rPr>
              <w:t>2</w:t>
            </w:r>
          </w:p>
        </w:tc>
        <w:tc>
          <w:tcPr>
            <w:tcW w:w="4300" w:type="dxa"/>
            <w:tcBorders>
              <w:top w:val="nil"/>
              <w:left w:val="nil"/>
              <w:bottom w:val="nil"/>
              <w:right w:val="nil"/>
            </w:tcBorders>
            <w:shd w:val="clear" w:color="auto" w:fill="D9D9D9" w:themeFill="background1" w:themeFillShade="D9"/>
          </w:tcPr>
          <w:p w14:paraId="19A4CEE5"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Does your immediate superior ask for your opinion before making decisions affecting your work?</w:t>
            </w:r>
          </w:p>
        </w:tc>
        <w:tc>
          <w:tcPr>
            <w:tcW w:w="1083" w:type="dxa"/>
            <w:tcBorders>
              <w:top w:val="nil"/>
              <w:left w:val="nil"/>
              <w:bottom w:val="nil"/>
              <w:right w:val="nil"/>
            </w:tcBorders>
            <w:shd w:val="clear" w:color="auto" w:fill="D9D9D9" w:themeFill="background1" w:themeFillShade="D9"/>
          </w:tcPr>
          <w:p w14:paraId="62A1E827" w14:textId="77777777" w:rsidR="00E6060C" w:rsidRPr="00E6060C" w:rsidRDefault="00E6060C" w:rsidP="00E6060C">
            <w:pPr>
              <w:spacing w:after="200" w:line="276" w:lineRule="auto"/>
              <w:contextualSpacing/>
              <w:jc w:val="center"/>
              <w:rPr>
                <w:bCs/>
              </w:rPr>
            </w:pPr>
            <w:r w:rsidRPr="00E6060C">
              <w:rPr>
                <w:bCs/>
              </w:rPr>
              <w:t>1</w:t>
            </w:r>
          </w:p>
        </w:tc>
        <w:tc>
          <w:tcPr>
            <w:tcW w:w="1235" w:type="dxa"/>
            <w:tcBorders>
              <w:top w:val="nil"/>
              <w:left w:val="nil"/>
              <w:bottom w:val="nil"/>
              <w:right w:val="nil"/>
            </w:tcBorders>
            <w:shd w:val="clear" w:color="auto" w:fill="D9D9D9" w:themeFill="background1" w:themeFillShade="D9"/>
          </w:tcPr>
          <w:p w14:paraId="78540C83" w14:textId="77777777" w:rsidR="00E6060C" w:rsidRPr="00E6060C" w:rsidRDefault="00E6060C" w:rsidP="00E6060C">
            <w:pPr>
              <w:spacing w:after="200" w:line="276" w:lineRule="auto"/>
              <w:contextualSpacing/>
              <w:jc w:val="center"/>
              <w:rPr>
                <w:bCs/>
              </w:rPr>
            </w:pPr>
            <w:r w:rsidRPr="00E6060C">
              <w:rPr>
                <w:bCs/>
              </w:rPr>
              <w:t>2</w:t>
            </w:r>
          </w:p>
        </w:tc>
        <w:tc>
          <w:tcPr>
            <w:tcW w:w="1304" w:type="dxa"/>
            <w:tcBorders>
              <w:top w:val="nil"/>
              <w:left w:val="nil"/>
              <w:bottom w:val="nil"/>
              <w:right w:val="nil"/>
            </w:tcBorders>
            <w:shd w:val="clear" w:color="auto" w:fill="D9D9D9" w:themeFill="background1" w:themeFillShade="D9"/>
          </w:tcPr>
          <w:p w14:paraId="4B70F074" w14:textId="77777777" w:rsidR="00E6060C" w:rsidRPr="00E6060C" w:rsidRDefault="00E6060C" w:rsidP="00E6060C">
            <w:pPr>
              <w:spacing w:after="200" w:line="276" w:lineRule="auto"/>
              <w:contextualSpacing/>
              <w:jc w:val="center"/>
              <w:rPr>
                <w:bCs/>
              </w:rPr>
            </w:pPr>
            <w:r w:rsidRPr="00E6060C">
              <w:rPr>
                <w:bCs/>
              </w:rPr>
              <w:t>3</w:t>
            </w:r>
          </w:p>
        </w:tc>
        <w:tc>
          <w:tcPr>
            <w:tcW w:w="1040" w:type="dxa"/>
            <w:tcBorders>
              <w:top w:val="nil"/>
              <w:left w:val="nil"/>
              <w:bottom w:val="nil"/>
              <w:right w:val="nil"/>
            </w:tcBorders>
            <w:shd w:val="clear" w:color="auto" w:fill="D9D9D9" w:themeFill="background1" w:themeFillShade="D9"/>
          </w:tcPr>
          <w:p w14:paraId="46C57D83" w14:textId="77777777" w:rsidR="00E6060C" w:rsidRPr="00E6060C" w:rsidRDefault="00E6060C" w:rsidP="00E6060C">
            <w:pPr>
              <w:spacing w:after="200" w:line="276" w:lineRule="auto"/>
              <w:contextualSpacing/>
              <w:jc w:val="center"/>
              <w:rPr>
                <w:bCs/>
              </w:rPr>
            </w:pPr>
            <w:r w:rsidRPr="00E6060C">
              <w:rPr>
                <w:bCs/>
              </w:rPr>
              <w:t>4</w:t>
            </w:r>
          </w:p>
        </w:tc>
        <w:tc>
          <w:tcPr>
            <w:tcW w:w="1285" w:type="dxa"/>
            <w:tcBorders>
              <w:top w:val="nil"/>
              <w:left w:val="nil"/>
              <w:bottom w:val="nil"/>
              <w:right w:val="nil"/>
            </w:tcBorders>
            <w:shd w:val="clear" w:color="auto" w:fill="D9D9D9" w:themeFill="background1" w:themeFillShade="D9"/>
          </w:tcPr>
          <w:p w14:paraId="216CEF98" w14:textId="77777777" w:rsidR="00E6060C" w:rsidRPr="00E6060C" w:rsidRDefault="00E6060C" w:rsidP="00E6060C">
            <w:pPr>
              <w:spacing w:after="200" w:line="276" w:lineRule="auto"/>
              <w:contextualSpacing/>
              <w:jc w:val="center"/>
              <w:rPr>
                <w:bCs/>
              </w:rPr>
            </w:pPr>
            <w:r w:rsidRPr="00E6060C">
              <w:rPr>
                <w:bCs/>
              </w:rPr>
              <w:t>5</w:t>
            </w:r>
          </w:p>
        </w:tc>
      </w:tr>
      <w:tr w:rsidR="00E6060C" w:rsidRPr="00E6060C" w14:paraId="1E3CB189" w14:textId="77777777" w:rsidTr="00E6060C">
        <w:tc>
          <w:tcPr>
            <w:tcW w:w="481" w:type="dxa"/>
            <w:tcBorders>
              <w:top w:val="nil"/>
              <w:left w:val="nil"/>
              <w:bottom w:val="nil"/>
              <w:right w:val="nil"/>
            </w:tcBorders>
          </w:tcPr>
          <w:p w14:paraId="3C06BEF3" w14:textId="77777777" w:rsidR="00E6060C" w:rsidRPr="00E6060C" w:rsidRDefault="00E6060C" w:rsidP="00E6060C">
            <w:pPr>
              <w:spacing w:after="200" w:line="276" w:lineRule="auto"/>
              <w:contextualSpacing/>
              <w:rPr>
                <w:bCs/>
              </w:rPr>
            </w:pPr>
            <w:r w:rsidRPr="00E6060C">
              <w:rPr>
                <w:bCs/>
              </w:rPr>
              <w:t>3</w:t>
            </w:r>
          </w:p>
        </w:tc>
        <w:tc>
          <w:tcPr>
            <w:tcW w:w="4300" w:type="dxa"/>
            <w:tcBorders>
              <w:top w:val="nil"/>
              <w:left w:val="nil"/>
              <w:bottom w:val="nil"/>
              <w:right w:val="nil"/>
            </w:tcBorders>
          </w:tcPr>
          <w:p w14:paraId="69D8501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Do you have the opportunity to contribute to meetings on new work developments?</w:t>
            </w:r>
          </w:p>
        </w:tc>
        <w:tc>
          <w:tcPr>
            <w:tcW w:w="1083" w:type="dxa"/>
            <w:tcBorders>
              <w:top w:val="nil"/>
              <w:left w:val="nil"/>
              <w:bottom w:val="nil"/>
              <w:right w:val="nil"/>
            </w:tcBorders>
          </w:tcPr>
          <w:p w14:paraId="2A86283A" w14:textId="77777777" w:rsidR="00E6060C" w:rsidRPr="00E6060C" w:rsidRDefault="00E6060C" w:rsidP="00E6060C">
            <w:pPr>
              <w:spacing w:after="200" w:line="276" w:lineRule="auto"/>
              <w:contextualSpacing/>
              <w:jc w:val="center"/>
              <w:rPr>
                <w:bCs/>
              </w:rPr>
            </w:pPr>
            <w:r w:rsidRPr="00E6060C">
              <w:rPr>
                <w:bCs/>
              </w:rPr>
              <w:t>1</w:t>
            </w:r>
          </w:p>
        </w:tc>
        <w:tc>
          <w:tcPr>
            <w:tcW w:w="1235" w:type="dxa"/>
            <w:tcBorders>
              <w:top w:val="nil"/>
              <w:left w:val="nil"/>
              <w:bottom w:val="nil"/>
              <w:right w:val="nil"/>
            </w:tcBorders>
          </w:tcPr>
          <w:p w14:paraId="77C1FBAE" w14:textId="77777777" w:rsidR="00E6060C" w:rsidRPr="00E6060C" w:rsidRDefault="00E6060C" w:rsidP="00E6060C">
            <w:pPr>
              <w:spacing w:after="200" w:line="276" w:lineRule="auto"/>
              <w:contextualSpacing/>
              <w:jc w:val="center"/>
              <w:rPr>
                <w:bCs/>
              </w:rPr>
            </w:pPr>
            <w:r w:rsidRPr="00E6060C">
              <w:rPr>
                <w:bCs/>
              </w:rPr>
              <w:t>2</w:t>
            </w:r>
          </w:p>
        </w:tc>
        <w:tc>
          <w:tcPr>
            <w:tcW w:w="1304" w:type="dxa"/>
            <w:tcBorders>
              <w:top w:val="nil"/>
              <w:left w:val="nil"/>
              <w:bottom w:val="nil"/>
              <w:right w:val="nil"/>
            </w:tcBorders>
          </w:tcPr>
          <w:p w14:paraId="67E12E68" w14:textId="77777777" w:rsidR="00E6060C" w:rsidRPr="00E6060C" w:rsidRDefault="00E6060C" w:rsidP="00E6060C">
            <w:pPr>
              <w:spacing w:after="200" w:line="276" w:lineRule="auto"/>
              <w:contextualSpacing/>
              <w:jc w:val="center"/>
              <w:rPr>
                <w:bCs/>
              </w:rPr>
            </w:pPr>
            <w:r w:rsidRPr="00E6060C">
              <w:rPr>
                <w:bCs/>
              </w:rPr>
              <w:t>3</w:t>
            </w:r>
          </w:p>
        </w:tc>
        <w:tc>
          <w:tcPr>
            <w:tcW w:w="1040" w:type="dxa"/>
            <w:tcBorders>
              <w:top w:val="nil"/>
              <w:left w:val="nil"/>
              <w:bottom w:val="nil"/>
              <w:right w:val="nil"/>
            </w:tcBorders>
          </w:tcPr>
          <w:p w14:paraId="44BE30B6" w14:textId="77777777" w:rsidR="00E6060C" w:rsidRPr="00E6060C" w:rsidRDefault="00E6060C" w:rsidP="00E6060C">
            <w:pPr>
              <w:spacing w:after="200" w:line="276" w:lineRule="auto"/>
              <w:contextualSpacing/>
              <w:jc w:val="center"/>
              <w:rPr>
                <w:bCs/>
              </w:rPr>
            </w:pPr>
            <w:r w:rsidRPr="00E6060C">
              <w:rPr>
                <w:bCs/>
              </w:rPr>
              <w:t>4</w:t>
            </w:r>
          </w:p>
        </w:tc>
        <w:tc>
          <w:tcPr>
            <w:tcW w:w="1285" w:type="dxa"/>
            <w:tcBorders>
              <w:top w:val="nil"/>
              <w:left w:val="nil"/>
              <w:bottom w:val="nil"/>
              <w:right w:val="nil"/>
            </w:tcBorders>
          </w:tcPr>
          <w:p w14:paraId="4F5F834B" w14:textId="77777777" w:rsidR="00E6060C" w:rsidRPr="00E6060C" w:rsidRDefault="00E6060C" w:rsidP="00E6060C">
            <w:pPr>
              <w:spacing w:after="200" w:line="276" w:lineRule="auto"/>
              <w:contextualSpacing/>
              <w:jc w:val="center"/>
              <w:rPr>
                <w:bCs/>
              </w:rPr>
            </w:pPr>
            <w:r w:rsidRPr="00E6060C">
              <w:rPr>
                <w:bCs/>
              </w:rPr>
              <w:t>5</w:t>
            </w:r>
          </w:p>
        </w:tc>
      </w:tr>
    </w:tbl>
    <w:p w14:paraId="19738DB8" w14:textId="77777777" w:rsidR="00E6060C" w:rsidRPr="00E6060C" w:rsidRDefault="00E6060C" w:rsidP="00E6060C"/>
    <w:tbl>
      <w:tblPr>
        <w:tblW w:w="10809"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4943"/>
        <w:gridCol w:w="1010"/>
        <w:gridCol w:w="1134"/>
        <w:gridCol w:w="1275"/>
        <w:gridCol w:w="851"/>
        <w:gridCol w:w="1132"/>
      </w:tblGrid>
      <w:tr w:rsidR="00E6060C" w:rsidRPr="00E6060C" w14:paraId="54FA14A4" w14:textId="77777777" w:rsidTr="00E6060C">
        <w:trPr>
          <w:cantSplit/>
          <w:trHeight w:val="520"/>
          <w:tblHeader/>
          <w:jc w:val="center"/>
        </w:trPr>
        <w:tc>
          <w:tcPr>
            <w:tcW w:w="464" w:type="dxa"/>
            <w:tcBorders>
              <w:top w:val="single" w:sz="4" w:space="0" w:color="auto"/>
              <w:bottom w:val="single" w:sz="4" w:space="0" w:color="auto"/>
            </w:tcBorders>
            <w:shd w:val="clear" w:color="auto" w:fill="8EAADB" w:themeFill="accent5" w:themeFillTint="99"/>
          </w:tcPr>
          <w:p w14:paraId="0110811F" w14:textId="77777777" w:rsidR="00E6060C" w:rsidRPr="00E6060C" w:rsidRDefault="00E6060C" w:rsidP="00E6060C">
            <w:pPr>
              <w:spacing w:after="200" w:line="276" w:lineRule="auto"/>
              <w:ind w:right="-754"/>
              <w:contextualSpacing/>
              <w:rPr>
                <w:rFonts w:eastAsia="Times" w:cs="Times New Roman"/>
                <w:b/>
                <w:lang w:eastAsia="en-GB"/>
              </w:rPr>
            </w:pPr>
            <w:r w:rsidRPr="00E6060C">
              <w:rPr>
                <w:rFonts w:eastAsia="Times" w:cs="Times New Roman"/>
                <w:b/>
                <w:lang w:eastAsia="en-GB"/>
              </w:rPr>
              <w:t>7</w:t>
            </w:r>
          </w:p>
        </w:tc>
        <w:tc>
          <w:tcPr>
            <w:tcW w:w="4943" w:type="dxa"/>
            <w:tcBorders>
              <w:top w:val="single" w:sz="4" w:space="0" w:color="auto"/>
              <w:bottom w:val="single" w:sz="4" w:space="0" w:color="auto"/>
            </w:tcBorders>
            <w:shd w:val="clear" w:color="auto" w:fill="8EAADB" w:themeFill="accent5" w:themeFillTint="99"/>
          </w:tcPr>
          <w:p w14:paraId="71363B5B" w14:textId="77777777" w:rsidR="00E6060C" w:rsidRPr="00E6060C" w:rsidRDefault="00E6060C" w:rsidP="00E6060C">
            <w:pPr>
              <w:spacing w:after="200" w:line="276" w:lineRule="auto"/>
              <w:ind w:right="-754"/>
              <w:contextualSpacing/>
              <w:rPr>
                <w:rFonts w:eastAsia="Times" w:cs="Times New Roman"/>
                <w:b/>
                <w:u w:val="single"/>
                <w:lang w:eastAsia="en-GB"/>
              </w:rPr>
            </w:pPr>
            <w:r w:rsidRPr="00E6060C">
              <w:rPr>
                <w:rFonts w:eastAsia="Times" w:cs="Times New Roman"/>
                <w:b/>
                <w:lang w:eastAsia="en-GB"/>
              </w:rPr>
              <w:t xml:space="preserve">These statements are about </w:t>
            </w:r>
            <w:r w:rsidRPr="00E6060C">
              <w:rPr>
                <w:rFonts w:eastAsia="Times" w:cs="Times New Roman"/>
                <w:b/>
                <w:u w:val="single"/>
                <w:lang w:eastAsia="en-GB"/>
              </w:rPr>
              <w:t>improving practice</w:t>
            </w:r>
          </w:p>
          <w:p w14:paraId="488FFBA2" w14:textId="77777777" w:rsidR="00E6060C" w:rsidRPr="00E6060C" w:rsidRDefault="00E6060C" w:rsidP="00E6060C">
            <w:pPr>
              <w:spacing w:after="200" w:line="276" w:lineRule="auto"/>
              <w:ind w:right="-754"/>
              <w:contextualSpacing/>
              <w:rPr>
                <w:rFonts w:eastAsia="Times" w:cs="Times New Roman"/>
                <w:b/>
                <w:lang w:eastAsia="en-GB"/>
              </w:rPr>
            </w:pPr>
            <w:r w:rsidRPr="00E6060C">
              <w:rPr>
                <w:rFonts w:eastAsia="Times" w:cs="Times New Roman"/>
                <w:b/>
                <w:u w:val="single"/>
                <w:lang w:eastAsia="en-GB"/>
              </w:rPr>
              <w:t>and skills</w:t>
            </w:r>
            <w:r w:rsidRPr="00E6060C">
              <w:rPr>
                <w:rFonts w:eastAsia="Times" w:cs="Times New Roman"/>
                <w:b/>
                <w:lang w:eastAsia="en-GB"/>
              </w:rPr>
              <w:t xml:space="preserve"> within your ward team.</w:t>
            </w:r>
          </w:p>
        </w:tc>
        <w:tc>
          <w:tcPr>
            <w:tcW w:w="1010" w:type="dxa"/>
            <w:tcBorders>
              <w:top w:val="single" w:sz="4" w:space="0" w:color="auto"/>
              <w:bottom w:val="single" w:sz="4" w:space="0" w:color="auto"/>
            </w:tcBorders>
            <w:shd w:val="clear" w:color="auto" w:fill="8EAADB" w:themeFill="accent5" w:themeFillTint="99"/>
          </w:tcPr>
          <w:p w14:paraId="56B558AE"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4" w:type="dxa"/>
            <w:tcBorders>
              <w:top w:val="single" w:sz="4" w:space="0" w:color="auto"/>
              <w:bottom w:val="single" w:sz="4" w:space="0" w:color="auto"/>
            </w:tcBorders>
            <w:shd w:val="clear" w:color="auto" w:fill="8EAADB" w:themeFill="accent5" w:themeFillTint="99"/>
          </w:tcPr>
          <w:p w14:paraId="0617FB75"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75" w:type="dxa"/>
            <w:tcBorders>
              <w:top w:val="single" w:sz="4" w:space="0" w:color="auto"/>
              <w:bottom w:val="single" w:sz="4" w:space="0" w:color="auto"/>
            </w:tcBorders>
            <w:shd w:val="clear" w:color="auto" w:fill="8EAADB" w:themeFill="accent5" w:themeFillTint="99"/>
          </w:tcPr>
          <w:p w14:paraId="61166EB9"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34A2AA64"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2" w:type="dxa"/>
            <w:tcBorders>
              <w:top w:val="single" w:sz="4" w:space="0" w:color="auto"/>
              <w:bottom w:val="single" w:sz="4" w:space="0" w:color="auto"/>
            </w:tcBorders>
            <w:shd w:val="clear" w:color="auto" w:fill="8EAADB" w:themeFill="accent5" w:themeFillTint="99"/>
          </w:tcPr>
          <w:p w14:paraId="5F6F897B"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6C0424FE" w14:textId="77777777" w:rsidTr="00E6060C">
        <w:trPr>
          <w:cantSplit/>
          <w:trHeight w:val="400"/>
          <w:jc w:val="center"/>
        </w:trPr>
        <w:tc>
          <w:tcPr>
            <w:tcW w:w="464" w:type="dxa"/>
            <w:tcBorders>
              <w:top w:val="nil"/>
              <w:bottom w:val="nil"/>
            </w:tcBorders>
            <w:shd w:val="clear" w:color="auto" w:fill="auto"/>
            <w:vAlign w:val="center"/>
          </w:tcPr>
          <w:p w14:paraId="18F6B311"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w:t>
            </w:r>
          </w:p>
        </w:tc>
        <w:tc>
          <w:tcPr>
            <w:tcW w:w="4943" w:type="dxa"/>
            <w:tcBorders>
              <w:top w:val="nil"/>
              <w:bottom w:val="nil"/>
            </w:tcBorders>
            <w:shd w:val="clear" w:color="auto" w:fill="auto"/>
            <w:vAlign w:val="center"/>
          </w:tcPr>
          <w:p w14:paraId="4B4064B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Our team discusses performance objectives</w:t>
            </w:r>
          </w:p>
        </w:tc>
        <w:tc>
          <w:tcPr>
            <w:tcW w:w="1010" w:type="dxa"/>
            <w:tcBorders>
              <w:top w:val="nil"/>
              <w:bottom w:val="nil"/>
            </w:tcBorders>
            <w:shd w:val="clear" w:color="auto" w:fill="auto"/>
            <w:vAlign w:val="center"/>
          </w:tcPr>
          <w:p w14:paraId="0063F27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155A2F27"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3FCFB62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1E8C976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1297FE5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0138F15" w14:textId="77777777" w:rsidTr="00E6060C">
        <w:trPr>
          <w:cantSplit/>
          <w:trHeight w:val="400"/>
          <w:jc w:val="center"/>
        </w:trPr>
        <w:tc>
          <w:tcPr>
            <w:tcW w:w="464" w:type="dxa"/>
            <w:tcBorders>
              <w:top w:val="nil"/>
              <w:bottom w:val="nil"/>
            </w:tcBorders>
            <w:shd w:val="clear" w:color="auto" w:fill="D9D9D9" w:themeFill="background1" w:themeFillShade="D9"/>
            <w:vAlign w:val="center"/>
          </w:tcPr>
          <w:p w14:paraId="760C0D9F"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2</w:t>
            </w:r>
          </w:p>
        </w:tc>
        <w:tc>
          <w:tcPr>
            <w:tcW w:w="4943" w:type="dxa"/>
            <w:tcBorders>
              <w:top w:val="nil"/>
              <w:bottom w:val="nil"/>
            </w:tcBorders>
            <w:shd w:val="clear" w:color="auto" w:fill="D9D9D9" w:themeFill="background1" w:themeFillShade="D9"/>
            <w:vAlign w:val="center"/>
          </w:tcPr>
          <w:p w14:paraId="47737596"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discuss ways to make our team vision a reality</w:t>
            </w:r>
          </w:p>
        </w:tc>
        <w:tc>
          <w:tcPr>
            <w:tcW w:w="1010" w:type="dxa"/>
            <w:tcBorders>
              <w:top w:val="nil"/>
              <w:bottom w:val="nil"/>
            </w:tcBorders>
            <w:shd w:val="clear" w:color="auto" w:fill="D9D9D9" w:themeFill="background1" w:themeFillShade="D9"/>
            <w:vAlign w:val="center"/>
          </w:tcPr>
          <w:p w14:paraId="3372D9D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581B67C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2E699F0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25079A6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2FBC263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09DEB0AF" w14:textId="77777777" w:rsidTr="00E6060C">
        <w:trPr>
          <w:cantSplit/>
          <w:trHeight w:val="400"/>
          <w:jc w:val="center"/>
        </w:trPr>
        <w:tc>
          <w:tcPr>
            <w:tcW w:w="464" w:type="dxa"/>
            <w:tcBorders>
              <w:top w:val="nil"/>
              <w:bottom w:val="nil"/>
            </w:tcBorders>
            <w:shd w:val="clear" w:color="auto" w:fill="auto"/>
            <w:vAlign w:val="center"/>
          </w:tcPr>
          <w:p w14:paraId="6964F6D0"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3</w:t>
            </w:r>
          </w:p>
        </w:tc>
        <w:tc>
          <w:tcPr>
            <w:tcW w:w="4943" w:type="dxa"/>
            <w:tcBorders>
              <w:top w:val="nil"/>
              <w:bottom w:val="nil"/>
            </w:tcBorders>
            <w:shd w:val="clear" w:color="auto" w:fill="auto"/>
            <w:vAlign w:val="center"/>
          </w:tcPr>
          <w:p w14:paraId="615D6FC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Our team makes the time to share task related information</w:t>
            </w:r>
          </w:p>
        </w:tc>
        <w:tc>
          <w:tcPr>
            <w:tcW w:w="1010" w:type="dxa"/>
            <w:tcBorders>
              <w:top w:val="nil"/>
              <w:bottom w:val="nil"/>
            </w:tcBorders>
            <w:shd w:val="clear" w:color="auto" w:fill="auto"/>
            <w:vAlign w:val="center"/>
          </w:tcPr>
          <w:p w14:paraId="589582C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7AC5E3B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14BD561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3E9BB6B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76BE9EC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18C3B4AE" w14:textId="77777777" w:rsidTr="00E6060C">
        <w:trPr>
          <w:cantSplit/>
          <w:trHeight w:val="400"/>
          <w:jc w:val="center"/>
        </w:trPr>
        <w:tc>
          <w:tcPr>
            <w:tcW w:w="464" w:type="dxa"/>
            <w:tcBorders>
              <w:top w:val="nil"/>
              <w:bottom w:val="nil"/>
            </w:tcBorders>
            <w:shd w:val="clear" w:color="auto" w:fill="D9D9D9" w:themeFill="background1" w:themeFillShade="D9"/>
            <w:vAlign w:val="center"/>
          </w:tcPr>
          <w:p w14:paraId="3F2CE272"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4</w:t>
            </w:r>
          </w:p>
        </w:tc>
        <w:tc>
          <w:tcPr>
            <w:tcW w:w="4943" w:type="dxa"/>
            <w:tcBorders>
              <w:top w:val="nil"/>
              <w:bottom w:val="nil"/>
            </w:tcBorders>
            <w:shd w:val="clear" w:color="auto" w:fill="D9D9D9" w:themeFill="background1" w:themeFillShade="D9"/>
            <w:vAlign w:val="center"/>
          </w:tcPr>
          <w:p w14:paraId="37F80415"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When mistakes or errors happen we discuss how we could have prevented them</w:t>
            </w:r>
          </w:p>
        </w:tc>
        <w:tc>
          <w:tcPr>
            <w:tcW w:w="1010" w:type="dxa"/>
            <w:tcBorders>
              <w:top w:val="nil"/>
              <w:bottom w:val="nil"/>
            </w:tcBorders>
            <w:shd w:val="clear" w:color="auto" w:fill="D9D9D9" w:themeFill="background1" w:themeFillShade="D9"/>
            <w:vAlign w:val="center"/>
          </w:tcPr>
          <w:p w14:paraId="40C17D3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59ED437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7E4193E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34D2F74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1C6639C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43B92F5" w14:textId="77777777" w:rsidTr="00E6060C">
        <w:trPr>
          <w:cantSplit/>
          <w:trHeight w:val="400"/>
          <w:jc w:val="center"/>
        </w:trPr>
        <w:tc>
          <w:tcPr>
            <w:tcW w:w="464" w:type="dxa"/>
            <w:tcBorders>
              <w:top w:val="nil"/>
              <w:bottom w:val="nil"/>
            </w:tcBorders>
            <w:shd w:val="clear" w:color="auto" w:fill="auto"/>
            <w:vAlign w:val="center"/>
          </w:tcPr>
          <w:p w14:paraId="26F736D4"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5</w:t>
            </w:r>
          </w:p>
        </w:tc>
        <w:tc>
          <w:tcPr>
            <w:tcW w:w="4943" w:type="dxa"/>
            <w:tcBorders>
              <w:top w:val="nil"/>
              <w:bottom w:val="nil"/>
            </w:tcBorders>
            <w:shd w:val="clear" w:color="auto" w:fill="auto"/>
            <w:vAlign w:val="center"/>
          </w:tcPr>
          <w:p w14:paraId="74FF1EA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team takes the time to reflect on its performance</w:t>
            </w:r>
          </w:p>
        </w:tc>
        <w:tc>
          <w:tcPr>
            <w:tcW w:w="1010" w:type="dxa"/>
            <w:tcBorders>
              <w:top w:val="nil"/>
              <w:bottom w:val="nil"/>
            </w:tcBorders>
            <w:shd w:val="clear" w:color="auto" w:fill="auto"/>
            <w:vAlign w:val="center"/>
          </w:tcPr>
          <w:p w14:paraId="7A48035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37B551F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4216221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6275A8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0EC9868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7859A07E" w14:textId="77777777" w:rsidTr="00E6060C">
        <w:trPr>
          <w:cantSplit/>
          <w:trHeight w:val="400"/>
          <w:jc w:val="center"/>
        </w:trPr>
        <w:tc>
          <w:tcPr>
            <w:tcW w:w="464" w:type="dxa"/>
            <w:tcBorders>
              <w:top w:val="nil"/>
              <w:bottom w:val="nil"/>
            </w:tcBorders>
            <w:shd w:val="clear" w:color="auto" w:fill="D9D9D9" w:themeFill="background1" w:themeFillShade="D9"/>
            <w:vAlign w:val="center"/>
          </w:tcPr>
          <w:p w14:paraId="5C81A2A2"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6</w:t>
            </w:r>
          </w:p>
        </w:tc>
        <w:tc>
          <w:tcPr>
            <w:tcW w:w="4943" w:type="dxa"/>
            <w:tcBorders>
              <w:top w:val="nil"/>
              <w:bottom w:val="nil"/>
            </w:tcBorders>
            <w:shd w:val="clear" w:color="auto" w:fill="D9D9D9" w:themeFill="background1" w:themeFillShade="D9"/>
            <w:vAlign w:val="center"/>
          </w:tcPr>
          <w:p w14:paraId="744914B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regularly take time to figure out ways to improve our care delivery</w:t>
            </w:r>
          </w:p>
        </w:tc>
        <w:tc>
          <w:tcPr>
            <w:tcW w:w="1010" w:type="dxa"/>
            <w:tcBorders>
              <w:top w:val="nil"/>
              <w:bottom w:val="nil"/>
            </w:tcBorders>
            <w:shd w:val="clear" w:color="auto" w:fill="D9D9D9" w:themeFill="background1" w:themeFillShade="D9"/>
            <w:vAlign w:val="center"/>
          </w:tcPr>
          <w:p w14:paraId="32AB9D1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7CB696F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03CAFF4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1DB0872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183D079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16E2AAF" w14:textId="77777777" w:rsidTr="00E6060C">
        <w:trPr>
          <w:cantSplit/>
          <w:trHeight w:val="400"/>
          <w:jc w:val="center"/>
        </w:trPr>
        <w:tc>
          <w:tcPr>
            <w:tcW w:w="464" w:type="dxa"/>
            <w:tcBorders>
              <w:top w:val="nil"/>
              <w:bottom w:val="nil"/>
            </w:tcBorders>
            <w:shd w:val="clear" w:color="auto" w:fill="auto"/>
            <w:vAlign w:val="center"/>
          </w:tcPr>
          <w:p w14:paraId="216F0427"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7</w:t>
            </w:r>
          </w:p>
        </w:tc>
        <w:tc>
          <w:tcPr>
            <w:tcW w:w="4943" w:type="dxa"/>
            <w:tcBorders>
              <w:top w:val="nil"/>
              <w:bottom w:val="nil"/>
            </w:tcBorders>
            <w:shd w:val="clear" w:color="auto" w:fill="auto"/>
            <w:vAlign w:val="center"/>
          </w:tcPr>
          <w:p w14:paraId="3AFF01BE"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are given time and opportunity to develop new work skills</w:t>
            </w:r>
          </w:p>
        </w:tc>
        <w:tc>
          <w:tcPr>
            <w:tcW w:w="1010" w:type="dxa"/>
            <w:tcBorders>
              <w:top w:val="nil"/>
              <w:bottom w:val="nil"/>
            </w:tcBorders>
            <w:shd w:val="clear" w:color="auto" w:fill="auto"/>
            <w:vAlign w:val="center"/>
          </w:tcPr>
          <w:p w14:paraId="63F2AAF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6F96AB5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0238E78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5C15F5B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51811E2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8BE19E4" w14:textId="77777777" w:rsidTr="00E6060C">
        <w:trPr>
          <w:cantSplit/>
          <w:trHeight w:val="400"/>
          <w:jc w:val="center"/>
        </w:trPr>
        <w:tc>
          <w:tcPr>
            <w:tcW w:w="464" w:type="dxa"/>
            <w:tcBorders>
              <w:top w:val="nil"/>
              <w:bottom w:val="nil"/>
            </w:tcBorders>
            <w:shd w:val="clear" w:color="auto" w:fill="D9D9D9" w:themeFill="background1" w:themeFillShade="D9"/>
            <w:vAlign w:val="center"/>
          </w:tcPr>
          <w:p w14:paraId="5A687315"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8</w:t>
            </w:r>
          </w:p>
        </w:tc>
        <w:tc>
          <w:tcPr>
            <w:tcW w:w="4943" w:type="dxa"/>
            <w:tcBorders>
              <w:top w:val="nil"/>
              <w:bottom w:val="nil"/>
            </w:tcBorders>
            <w:shd w:val="clear" w:color="auto" w:fill="D9D9D9" w:themeFill="background1" w:themeFillShade="D9"/>
            <w:vAlign w:val="center"/>
          </w:tcPr>
          <w:p w14:paraId="7413E1F7"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Training and professional development is readily available for everyone</w:t>
            </w:r>
          </w:p>
        </w:tc>
        <w:tc>
          <w:tcPr>
            <w:tcW w:w="1010" w:type="dxa"/>
            <w:tcBorders>
              <w:top w:val="nil"/>
              <w:bottom w:val="nil"/>
            </w:tcBorders>
            <w:shd w:val="clear" w:color="auto" w:fill="D9D9D9" w:themeFill="background1" w:themeFillShade="D9"/>
            <w:vAlign w:val="center"/>
          </w:tcPr>
          <w:p w14:paraId="39D0ABC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155BC70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7CEFB63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132EC8F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04E10D0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010762CF" w14:textId="77777777" w:rsidTr="00E6060C">
        <w:trPr>
          <w:cantSplit/>
          <w:trHeight w:val="400"/>
          <w:jc w:val="center"/>
        </w:trPr>
        <w:tc>
          <w:tcPr>
            <w:tcW w:w="464" w:type="dxa"/>
            <w:tcBorders>
              <w:top w:val="nil"/>
              <w:bottom w:val="nil"/>
            </w:tcBorders>
            <w:shd w:val="clear" w:color="auto" w:fill="auto"/>
            <w:vAlign w:val="center"/>
          </w:tcPr>
          <w:p w14:paraId="3FF410D3"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9</w:t>
            </w:r>
          </w:p>
        </w:tc>
        <w:tc>
          <w:tcPr>
            <w:tcW w:w="4943" w:type="dxa"/>
            <w:tcBorders>
              <w:top w:val="nil"/>
              <w:bottom w:val="nil"/>
            </w:tcBorders>
            <w:shd w:val="clear" w:color="auto" w:fill="auto"/>
            <w:vAlign w:val="center"/>
          </w:tcPr>
          <w:p w14:paraId="1136560E"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Staff development is supported by an active programme of mentoring and clinical supervision where appropriate</w:t>
            </w:r>
          </w:p>
        </w:tc>
        <w:tc>
          <w:tcPr>
            <w:tcW w:w="1010" w:type="dxa"/>
            <w:tcBorders>
              <w:top w:val="nil"/>
              <w:bottom w:val="nil"/>
            </w:tcBorders>
            <w:shd w:val="clear" w:color="auto" w:fill="auto"/>
            <w:vAlign w:val="center"/>
          </w:tcPr>
          <w:p w14:paraId="6C90240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70C35C0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11ADCAE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534E352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7A5A9B5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bl>
    <w:p w14:paraId="136643D8" w14:textId="77777777" w:rsidR="00E6060C" w:rsidRPr="00E6060C" w:rsidRDefault="00E6060C" w:rsidP="00E6060C"/>
    <w:tbl>
      <w:tblPr>
        <w:tblW w:w="10809" w:type="dxa"/>
        <w:jc w:val="center"/>
        <w:tblBorders>
          <w:top w:val="single" w:sz="4" w:space="0" w:color="auto"/>
          <w:bottom w:val="single" w:sz="4" w:space="0" w:color="auto"/>
        </w:tblBorders>
        <w:tblLayout w:type="fixed"/>
        <w:tblLook w:val="01E0" w:firstRow="1" w:lastRow="1" w:firstColumn="1" w:lastColumn="1" w:noHBand="0" w:noVBand="0"/>
      </w:tblPr>
      <w:tblGrid>
        <w:gridCol w:w="464"/>
        <w:gridCol w:w="4943"/>
        <w:gridCol w:w="1010"/>
        <w:gridCol w:w="1134"/>
        <w:gridCol w:w="1275"/>
        <w:gridCol w:w="851"/>
        <w:gridCol w:w="1132"/>
      </w:tblGrid>
      <w:tr w:rsidR="00E6060C" w:rsidRPr="00E6060C" w14:paraId="3FCAD4DE" w14:textId="77777777" w:rsidTr="00E6060C">
        <w:trPr>
          <w:cantSplit/>
          <w:trHeight w:val="520"/>
          <w:jc w:val="center"/>
        </w:trPr>
        <w:tc>
          <w:tcPr>
            <w:tcW w:w="464" w:type="dxa"/>
            <w:tcBorders>
              <w:top w:val="single" w:sz="4" w:space="0" w:color="auto"/>
              <w:bottom w:val="single" w:sz="4" w:space="0" w:color="auto"/>
            </w:tcBorders>
            <w:shd w:val="clear" w:color="auto" w:fill="8EAADB" w:themeFill="accent5" w:themeFillTint="99"/>
          </w:tcPr>
          <w:p w14:paraId="55456220" w14:textId="77777777" w:rsidR="00E6060C" w:rsidRPr="00E6060C" w:rsidRDefault="00E6060C" w:rsidP="00E6060C">
            <w:pPr>
              <w:spacing w:after="200" w:line="276" w:lineRule="auto"/>
              <w:contextualSpacing/>
              <w:rPr>
                <w:b/>
              </w:rPr>
            </w:pPr>
            <w:r w:rsidRPr="00E6060C">
              <w:rPr>
                <w:b/>
              </w:rPr>
              <w:t>8</w:t>
            </w:r>
          </w:p>
        </w:tc>
        <w:tc>
          <w:tcPr>
            <w:tcW w:w="4943" w:type="dxa"/>
            <w:tcBorders>
              <w:top w:val="single" w:sz="4" w:space="0" w:color="auto"/>
              <w:bottom w:val="single" w:sz="4" w:space="0" w:color="auto"/>
            </w:tcBorders>
            <w:shd w:val="clear" w:color="auto" w:fill="8EAADB" w:themeFill="accent5" w:themeFillTint="99"/>
          </w:tcPr>
          <w:p w14:paraId="61D254DB" w14:textId="77777777" w:rsidR="00E6060C" w:rsidRPr="00E6060C" w:rsidRDefault="00E6060C" w:rsidP="00E6060C">
            <w:pPr>
              <w:spacing w:after="200" w:line="276" w:lineRule="auto"/>
              <w:ind w:left="54" w:right="-754"/>
              <w:contextualSpacing/>
              <w:rPr>
                <w:b/>
              </w:rPr>
            </w:pPr>
            <w:r w:rsidRPr="00E6060C">
              <w:rPr>
                <w:b/>
              </w:rPr>
              <w:t xml:space="preserve">These statements concern how </w:t>
            </w:r>
            <w:r w:rsidRPr="00E6060C">
              <w:rPr>
                <w:b/>
                <w:u w:val="single"/>
              </w:rPr>
              <w:t>difficulties</w:t>
            </w:r>
            <w:r w:rsidRPr="00E6060C">
              <w:rPr>
                <w:b/>
              </w:rPr>
              <w:t xml:space="preserve"> </w:t>
            </w:r>
          </w:p>
          <w:p w14:paraId="5D0E3504" w14:textId="77777777" w:rsidR="00E6060C" w:rsidRPr="00E6060C" w:rsidRDefault="00E6060C" w:rsidP="00E6060C">
            <w:pPr>
              <w:ind w:left="54" w:right="-896"/>
              <w:contextualSpacing/>
              <w:rPr>
                <w:rFonts w:eastAsia="Times" w:cs="Times New Roman"/>
                <w:lang w:eastAsia="en-GB"/>
              </w:rPr>
            </w:pPr>
            <w:r w:rsidRPr="00E6060C">
              <w:rPr>
                <w:b/>
              </w:rPr>
              <w:t>within your team are dealt with.</w:t>
            </w:r>
          </w:p>
        </w:tc>
        <w:tc>
          <w:tcPr>
            <w:tcW w:w="1010" w:type="dxa"/>
            <w:tcBorders>
              <w:top w:val="single" w:sz="4" w:space="0" w:color="auto"/>
              <w:bottom w:val="single" w:sz="4" w:space="0" w:color="auto"/>
            </w:tcBorders>
            <w:shd w:val="clear" w:color="auto" w:fill="8EAADB" w:themeFill="accent5" w:themeFillTint="99"/>
          </w:tcPr>
          <w:p w14:paraId="0514C408"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4" w:type="dxa"/>
            <w:tcBorders>
              <w:top w:val="single" w:sz="4" w:space="0" w:color="auto"/>
              <w:bottom w:val="single" w:sz="4" w:space="0" w:color="auto"/>
            </w:tcBorders>
            <w:shd w:val="clear" w:color="auto" w:fill="8EAADB" w:themeFill="accent5" w:themeFillTint="99"/>
          </w:tcPr>
          <w:p w14:paraId="08B117C3"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75" w:type="dxa"/>
            <w:tcBorders>
              <w:top w:val="single" w:sz="4" w:space="0" w:color="auto"/>
              <w:bottom w:val="single" w:sz="4" w:space="0" w:color="auto"/>
            </w:tcBorders>
            <w:shd w:val="clear" w:color="auto" w:fill="8EAADB" w:themeFill="accent5" w:themeFillTint="99"/>
          </w:tcPr>
          <w:p w14:paraId="0CE957CE"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6EDA23A5"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2" w:type="dxa"/>
            <w:tcBorders>
              <w:top w:val="single" w:sz="4" w:space="0" w:color="auto"/>
              <w:bottom w:val="single" w:sz="4" w:space="0" w:color="auto"/>
            </w:tcBorders>
            <w:shd w:val="clear" w:color="auto" w:fill="8EAADB" w:themeFill="accent5" w:themeFillTint="99"/>
          </w:tcPr>
          <w:p w14:paraId="4196586B"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5C1FDCA7" w14:textId="77777777" w:rsidTr="00E6060C">
        <w:trPr>
          <w:trHeight w:val="400"/>
          <w:jc w:val="center"/>
        </w:trPr>
        <w:tc>
          <w:tcPr>
            <w:tcW w:w="464" w:type="dxa"/>
            <w:tcBorders>
              <w:top w:val="single" w:sz="4" w:space="0" w:color="auto"/>
              <w:bottom w:val="nil"/>
            </w:tcBorders>
            <w:shd w:val="clear" w:color="auto" w:fill="auto"/>
            <w:vAlign w:val="center"/>
          </w:tcPr>
          <w:p w14:paraId="635513E0"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w:t>
            </w:r>
          </w:p>
        </w:tc>
        <w:tc>
          <w:tcPr>
            <w:tcW w:w="4943" w:type="dxa"/>
            <w:tcBorders>
              <w:top w:val="single" w:sz="4" w:space="0" w:color="auto"/>
              <w:bottom w:val="nil"/>
            </w:tcBorders>
            <w:shd w:val="clear" w:color="auto" w:fill="auto"/>
            <w:vAlign w:val="center"/>
          </w:tcPr>
          <w:p w14:paraId="51E8604D"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People feel safe to be themselves in this team without fear of criticism, censure or feeling foolish</w:t>
            </w:r>
          </w:p>
        </w:tc>
        <w:tc>
          <w:tcPr>
            <w:tcW w:w="1010" w:type="dxa"/>
            <w:tcBorders>
              <w:top w:val="single" w:sz="4" w:space="0" w:color="auto"/>
              <w:bottom w:val="nil"/>
            </w:tcBorders>
            <w:shd w:val="clear" w:color="auto" w:fill="auto"/>
            <w:vAlign w:val="center"/>
          </w:tcPr>
          <w:p w14:paraId="5AC3415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single" w:sz="4" w:space="0" w:color="auto"/>
              <w:bottom w:val="nil"/>
            </w:tcBorders>
            <w:shd w:val="clear" w:color="auto" w:fill="auto"/>
            <w:vAlign w:val="center"/>
          </w:tcPr>
          <w:p w14:paraId="0FAE788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single" w:sz="4" w:space="0" w:color="auto"/>
              <w:bottom w:val="nil"/>
            </w:tcBorders>
            <w:shd w:val="clear" w:color="auto" w:fill="auto"/>
            <w:vAlign w:val="center"/>
          </w:tcPr>
          <w:p w14:paraId="3351B4C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single" w:sz="4" w:space="0" w:color="auto"/>
              <w:bottom w:val="nil"/>
            </w:tcBorders>
            <w:shd w:val="clear" w:color="auto" w:fill="auto"/>
            <w:vAlign w:val="center"/>
          </w:tcPr>
          <w:p w14:paraId="6091B7F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single" w:sz="4" w:space="0" w:color="auto"/>
              <w:bottom w:val="nil"/>
            </w:tcBorders>
            <w:shd w:val="clear" w:color="auto" w:fill="auto"/>
            <w:vAlign w:val="center"/>
          </w:tcPr>
          <w:p w14:paraId="514B985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0DEDFCB1" w14:textId="77777777" w:rsidTr="00E6060C">
        <w:trPr>
          <w:trHeight w:val="400"/>
          <w:jc w:val="center"/>
        </w:trPr>
        <w:tc>
          <w:tcPr>
            <w:tcW w:w="464" w:type="dxa"/>
            <w:tcBorders>
              <w:top w:val="nil"/>
              <w:bottom w:val="nil"/>
            </w:tcBorders>
            <w:shd w:val="clear" w:color="auto" w:fill="D9D9D9" w:themeFill="background1" w:themeFillShade="D9"/>
            <w:vAlign w:val="center"/>
          </w:tcPr>
          <w:p w14:paraId="4D60E276"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2</w:t>
            </w:r>
          </w:p>
        </w:tc>
        <w:tc>
          <w:tcPr>
            <w:tcW w:w="4943" w:type="dxa"/>
            <w:tcBorders>
              <w:top w:val="nil"/>
              <w:bottom w:val="nil"/>
            </w:tcBorders>
            <w:shd w:val="clear" w:color="auto" w:fill="D9D9D9" w:themeFill="background1" w:themeFillShade="D9"/>
            <w:vAlign w:val="center"/>
          </w:tcPr>
          <w:p w14:paraId="18DCA30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This is a ward where it is safe to bring up problems and tough issues</w:t>
            </w:r>
          </w:p>
        </w:tc>
        <w:tc>
          <w:tcPr>
            <w:tcW w:w="1010" w:type="dxa"/>
            <w:tcBorders>
              <w:top w:val="nil"/>
              <w:bottom w:val="nil"/>
            </w:tcBorders>
            <w:shd w:val="clear" w:color="auto" w:fill="D9D9D9" w:themeFill="background1" w:themeFillShade="D9"/>
            <w:vAlign w:val="center"/>
          </w:tcPr>
          <w:p w14:paraId="63664AE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6654958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55FA11F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758F54F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16BA8E3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4FE55DA" w14:textId="77777777" w:rsidTr="00E6060C">
        <w:trPr>
          <w:trHeight w:val="400"/>
          <w:jc w:val="center"/>
        </w:trPr>
        <w:tc>
          <w:tcPr>
            <w:tcW w:w="464" w:type="dxa"/>
            <w:tcBorders>
              <w:top w:val="nil"/>
              <w:bottom w:val="nil"/>
            </w:tcBorders>
            <w:shd w:val="clear" w:color="auto" w:fill="auto"/>
            <w:vAlign w:val="center"/>
          </w:tcPr>
          <w:p w14:paraId="7E03D4AF"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3</w:t>
            </w:r>
          </w:p>
        </w:tc>
        <w:tc>
          <w:tcPr>
            <w:tcW w:w="4943" w:type="dxa"/>
            <w:tcBorders>
              <w:top w:val="nil"/>
              <w:bottom w:val="nil"/>
            </w:tcBorders>
            <w:shd w:val="clear" w:color="auto" w:fill="auto"/>
            <w:vAlign w:val="center"/>
          </w:tcPr>
          <w:p w14:paraId="74033B3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This is a team where anyone can challenge poor practice without fear of being rejected</w:t>
            </w:r>
          </w:p>
        </w:tc>
        <w:tc>
          <w:tcPr>
            <w:tcW w:w="1010" w:type="dxa"/>
            <w:tcBorders>
              <w:top w:val="nil"/>
              <w:bottom w:val="nil"/>
            </w:tcBorders>
            <w:shd w:val="clear" w:color="auto" w:fill="auto"/>
            <w:vAlign w:val="center"/>
          </w:tcPr>
          <w:p w14:paraId="3B04117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261DC8C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5FAC8B5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796AEEB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auto"/>
            <w:vAlign w:val="center"/>
          </w:tcPr>
          <w:p w14:paraId="16548EF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3702D70F" w14:textId="77777777" w:rsidTr="00E6060C">
        <w:trPr>
          <w:trHeight w:val="400"/>
          <w:jc w:val="center"/>
        </w:trPr>
        <w:tc>
          <w:tcPr>
            <w:tcW w:w="464" w:type="dxa"/>
            <w:tcBorders>
              <w:top w:val="nil"/>
              <w:bottom w:val="nil"/>
            </w:tcBorders>
            <w:shd w:val="clear" w:color="auto" w:fill="D9D9D9" w:themeFill="background1" w:themeFillShade="D9"/>
            <w:vAlign w:val="center"/>
          </w:tcPr>
          <w:p w14:paraId="6C307325"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lastRenderedPageBreak/>
              <w:t>4</w:t>
            </w:r>
          </w:p>
        </w:tc>
        <w:tc>
          <w:tcPr>
            <w:tcW w:w="4943" w:type="dxa"/>
            <w:tcBorders>
              <w:top w:val="nil"/>
              <w:bottom w:val="nil"/>
            </w:tcBorders>
            <w:shd w:val="clear" w:color="auto" w:fill="D9D9D9" w:themeFill="background1" w:themeFillShade="D9"/>
            <w:vAlign w:val="center"/>
          </w:tcPr>
          <w:p w14:paraId="19BE425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We handle differences of opinion between staff well here</w:t>
            </w:r>
          </w:p>
        </w:tc>
        <w:tc>
          <w:tcPr>
            <w:tcW w:w="1010" w:type="dxa"/>
            <w:tcBorders>
              <w:top w:val="nil"/>
              <w:bottom w:val="nil"/>
            </w:tcBorders>
            <w:shd w:val="clear" w:color="auto" w:fill="D9D9D9" w:themeFill="background1" w:themeFillShade="D9"/>
            <w:vAlign w:val="center"/>
          </w:tcPr>
          <w:p w14:paraId="3302B1E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096EF52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00BEDE8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356B142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2" w:type="dxa"/>
            <w:tcBorders>
              <w:top w:val="nil"/>
              <w:bottom w:val="nil"/>
            </w:tcBorders>
            <w:shd w:val="clear" w:color="auto" w:fill="D9D9D9" w:themeFill="background1" w:themeFillShade="D9"/>
            <w:vAlign w:val="center"/>
          </w:tcPr>
          <w:p w14:paraId="67F1818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bl>
    <w:p w14:paraId="03012B13" w14:textId="77777777" w:rsidR="00E6060C" w:rsidRPr="00E6060C" w:rsidRDefault="00E6060C" w:rsidP="00E6060C"/>
    <w:tbl>
      <w:tblPr>
        <w:tblW w:w="10794" w:type="dxa"/>
        <w:jc w:val="center"/>
        <w:tblBorders>
          <w:top w:val="single" w:sz="4" w:space="0" w:color="auto"/>
          <w:bottom w:val="single" w:sz="4" w:space="0" w:color="auto"/>
        </w:tblBorders>
        <w:tblLayout w:type="fixed"/>
        <w:tblLook w:val="01E0" w:firstRow="1" w:lastRow="1" w:firstColumn="1" w:lastColumn="1" w:noHBand="0" w:noVBand="0"/>
      </w:tblPr>
      <w:tblGrid>
        <w:gridCol w:w="444"/>
        <w:gridCol w:w="20"/>
        <w:gridCol w:w="4943"/>
        <w:gridCol w:w="993"/>
        <w:gridCol w:w="1134"/>
        <w:gridCol w:w="1275"/>
        <w:gridCol w:w="851"/>
        <w:gridCol w:w="1134"/>
      </w:tblGrid>
      <w:tr w:rsidR="00E6060C" w:rsidRPr="00E6060C" w14:paraId="6B26FA2F" w14:textId="77777777" w:rsidTr="00E6060C">
        <w:trPr>
          <w:cantSplit/>
          <w:trHeight w:val="520"/>
          <w:tblHeader/>
          <w:jc w:val="center"/>
        </w:trPr>
        <w:tc>
          <w:tcPr>
            <w:tcW w:w="444" w:type="dxa"/>
            <w:tcBorders>
              <w:top w:val="single" w:sz="4" w:space="0" w:color="auto"/>
              <w:bottom w:val="single" w:sz="4" w:space="0" w:color="auto"/>
            </w:tcBorders>
            <w:shd w:val="clear" w:color="auto" w:fill="8EAADB" w:themeFill="accent5" w:themeFillTint="99"/>
          </w:tcPr>
          <w:p w14:paraId="5EDE3C76" w14:textId="77777777" w:rsidR="00E6060C" w:rsidRPr="00E6060C" w:rsidRDefault="00E6060C" w:rsidP="00E6060C">
            <w:pPr>
              <w:spacing w:after="200" w:line="276" w:lineRule="auto"/>
              <w:contextualSpacing/>
              <w:rPr>
                <w:b/>
              </w:rPr>
            </w:pPr>
            <w:r w:rsidRPr="00E6060C">
              <w:rPr>
                <w:b/>
              </w:rPr>
              <w:t>9</w:t>
            </w:r>
          </w:p>
        </w:tc>
        <w:tc>
          <w:tcPr>
            <w:tcW w:w="4963" w:type="dxa"/>
            <w:gridSpan w:val="2"/>
            <w:tcBorders>
              <w:top w:val="single" w:sz="4" w:space="0" w:color="auto"/>
              <w:bottom w:val="single" w:sz="4" w:space="0" w:color="auto"/>
            </w:tcBorders>
            <w:shd w:val="clear" w:color="auto" w:fill="8EAADB" w:themeFill="accent5" w:themeFillTint="99"/>
          </w:tcPr>
          <w:p w14:paraId="0EC25C6E" w14:textId="77777777" w:rsidR="00E6060C" w:rsidRPr="00E6060C" w:rsidRDefault="00E6060C" w:rsidP="00E6060C">
            <w:pPr>
              <w:spacing w:after="200" w:line="276" w:lineRule="auto"/>
              <w:ind w:left="34" w:right="-896"/>
              <w:contextualSpacing/>
              <w:rPr>
                <w:b/>
                <w:u w:val="single"/>
              </w:rPr>
            </w:pPr>
            <w:r w:rsidRPr="00E6060C">
              <w:rPr>
                <w:b/>
              </w:rPr>
              <w:t xml:space="preserve">These statements are about </w:t>
            </w:r>
            <w:r w:rsidRPr="00E6060C">
              <w:rPr>
                <w:b/>
                <w:u w:val="single"/>
              </w:rPr>
              <w:t>leadership and</w:t>
            </w:r>
          </w:p>
          <w:p w14:paraId="51609F1C" w14:textId="77777777" w:rsidR="00E6060C" w:rsidRPr="00E6060C" w:rsidRDefault="00E6060C" w:rsidP="00E6060C">
            <w:pPr>
              <w:spacing w:after="200" w:line="276" w:lineRule="auto"/>
              <w:ind w:left="34" w:right="-896"/>
              <w:contextualSpacing/>
              <w:rPr>
                <w:rFonts w:eastAsia="Times" w:cs="Times New Roman"/>
                <w:lang w:val="en-US" w:eastAsia="en-GB"/>
              </w:rPr>
            </w:pPr>
            <w:r w:rsidRPr="00E6060C">
              <w:rPr>
                <w:b/>
                <w:u w:val="single"/>
              </w:rPr>
              <w:t>management</w:t>
            </w:r>
            <w:r w:rsidRPr="00E6060C">
              <w:rPr>
                <w:b/>
              </w:rPr>
              <w:t xml:space="preserve"> on your ward. The ward manager…</w:t>
            </w:r>
          </w:p>
        </w:tc>
        <w:tc>
          <w:tcPr>
            <w:tcW w:w="993" w:type="dxa"/>
            <w:tcBorders>
              <w:top w:val="single" w:sz="4" w:space="0" w:color="auto"/>
              <w:bottom w:val="single" w:sz="4" w:space="0" w:color="auto"/>
            </w:tcBorders>
            <w:shd w:val="clear" w:color="auto" w:fill="8EAADB" w:themeFill="accent5" w:themeFillTint="99"/>
          </w:tcPr>
          <w:p w14:paraId="02C4C307"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4" w:type="dxa"/>
            <w:tcBorders>
              <w:top w:val="single" w:sz="4" w:space="0" w:color="auto"/>
              <w:bottom w:val="single" w:sz="4" w:space="0" w:color="auto"/>
            </w:tcBorders>
            <w:shd w:val="clear" w:color="auto" w:fill="8EAADB" w:themeFill="accent5" w:themeFillTint="99"/>
          </w:tcPr>
          <w:p w14:paraId="517A8C74"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75" w:type="dxa"/>
            <w:tcBorders>
              <w:top w:val="single" w:sz="4" w:space="0" w:color="auto"/>
              <w:bottom w:val="single" w:sz="4" w:space="0" w:color="auto"/>
            </w:tcBorders>
            <w:shd w:val="clear" w:color="auto" w:fill="8EAADB" w:themeFill="accent5" w:themeFillTint="99"/>
          </w:tcPr>
          <w:p w14:paraId="656B1EB9"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59869538"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4" w:type="dxa"/>
            <w:tcBorders>
              <w:top w:val="single" w:sz="4" w:space="0" w:color="auto"/>
              <w:bottom w:val="single" w:sz="4" w:space="0" w:color="auto"/>
            </w:tcBorders>
            <w:shd w:val="clear" w:color="auto" w:fill="8EAADB" w:themeFill="accent5" w:themeFillTint="99"/>
          </w:tcPr>
          <w:p w14:paraId="1B176268"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403C0F11" w14:textId="77777777" w:rsidTr="00E6060C">
        <w:trPr>
          <w:cantSplit/>
          <w:trHeight w:val="400"/>
          <w:jc w:val="center"/>
        </w:trPr>
        <w:tc>
          <w:tcPr>
            <w:tcW w:w="464" w:type="dxa"/>
            <w:gridSpan w:val="2"/>
            <w:tcBorders>
              <w:top w:val="nil"/>
              <w:bottom w:val="nil"/>
            </w:tcBorders>
            <w:shd w:val="clear" w:color="auto" w:fill="auto"/>
            <w:vAlign w:val="center"/>
          </w:tcPr>
          <w:p w14:paraId="5158C513"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w:t>
            </w:r>
          </w:p>
        </w:tc>
        <w:tc>
          <w:tcPr>
            <w:tcW w:w="4943" w:type="dxa"/>
            <w:tcBorders>
              <w:top w:val="nil"/>
              <w:bottom w:val="nil"/>
            </w:tcBorders>
            <w:shd w:val="clear" w:color="auto" w:fill="auto"/>
            <w:vAlign w:val="center"/>
          </w:tcPr>
          <w:p w14:paraId="558D483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instils a sense of pride in our ward by focusing on what we do well</w:t>
            </w:r>
          </w:p>
        </w:tc>
        <w:tc>
          <w:tcPr>
            <w:tcW w:w="993" w:type="dxa"/>
            <w:tcBorders>
              <w:top w:val="nil"/>
              <w:bottom w:val="nil"/>
            </w:tcBorders>
            <w:shd w:val="clear" w:color="auto" w:fill="auto"/>
            <w:vAlign w:val="center"/>
          </w:tcPr>
          <w:p w14:paraId="281919F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6604D47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6258CA7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035C88F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0FFEE24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2336AB0C" w14:textId="77777777" w:rsidTr="00E6060C">
        <w:trPr>
          <w:cantSplit/>
          <w:trHeight w:val="400"/>
          <w:jc w:val="center"/>
        </w:trPr>
        <w:tc>
          <w:tcPr>
            <w:tcW w:w="464" w:type="dxa"/>
            <w:gridSpan w:val="2"/>
            <w:tcBorders>
              <w:top w:val="nil"/>
              <w:bottom w:val="nil"/>
            </w:tcBorders>
            <w:shd w:val="clear" w:color="auto" w:fill="D9D9D9" w:themeFill="background1" w:themeFillShade="D9"/>
            <w:vAlign w:val="center"/>
          </w:tcPr>
          <w:p w14:paraId="5B1AE560"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2</w:t>
            </w:r>
          </w:p>
        </w:tc>
        <w:tc>
          <w:tcPr>
            <w:tcW w:w="4943" w:type="dxa"/>
            <w:tcBorders>
              <w:top w:val="nil"/>
              <w:bottom w:val="nil"/>
            </w:tcBorders>
            <w:shd w:val="clear" w:color="auto" w:fill="D9D9D9" w:themeFill="background1" w:themeFillShade="D9"/>
            <w:vAlign w:val="center"/>
          </w:tcPr>
          <w:p w14:paraId="31DE8AC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inspires confidence by saying positive things about the ward</w:t>
            </w:r>
          </w:p>
        </w:tc>
        <w:tc>
          <w:tcPr>
            <w:tcW w:w="993" w:type="dxa"/>
            <w:tcBorders>
              <w:top w:val="nil"/>
              <w:bottom w:val="nil"/>
            </w:tcBorders>
            <w:shd w:val="clear" w:color="auto" w:fill="D9D9D9" w:themeFill="background1" w:themeFillShade="D9"/>
            <w:vAlign w:val="center"/>
          </w:tcPr>
          <w:p w14:paraId="417F24F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45BA4A2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16BAE6D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1B36ED4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2539532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F6EAFB7" w14:textId="77777777" w:rsidTr="00E6060C">
        <w:trPr>
          <w:cantSplit/>
          <w:trHeight w:val="400"/>
          <w:jc w:val="center"/>
        </w:trPr>
        <w:tc>
          <w:tcPr>
            <w:tcW w:w="464" w:type="dxa"/>
            <w:gridSpan w:val="2"/>
            <w:tcBorders>
              <w:top w:val="nil"/>
              <w:bottom w:val="nil"/>
            </w:tcBorders>
            <w:shd w:val="clear" w:color="auto" w:fill="auto"/>
            <w:vAlign w:val="center"/>
          </w:tcPr>
          <w:p w14:paraId="034CBC96"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3</w:t>
            </w:r>
          </w:p>
        </w:tc>
        <w:tc>
          <w:tcPr>
            <w:tcW w:w="4943" w:type="dxa"/>
            <w:tcBorders>
              <w:top w:val="nil"/>
              <w:bottom w:val="nil"/>
            </w:tcBorders>
            <w:shd w:val="clear" w:color="auto" w:fill="auto"/>
            <w:vAlign w:val="center"/>
          </w:tcPr>
          <w:p w14:paraId="31EB761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ensures the interests of team members are considered when making decisions</w:t>
            </w:r>
          </w:p>
        </w:tc>
        <w:tc>
          <w:tcPr>
            <w:tcW w:w="993" w:type="dxa"/>
            <w:tcBorders>
              <w:top w:val="nil"/>
              <w:bottom w:val="nil"/>
            </w:tcBorders>
            <w:shd w:val="clear" w:color="auto" w:fill="auto"/>
            <w:vAlign w:val="center"/>
          </w:tcPr>
          <w:p w14:paraId="311D777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527DFD4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466A8B3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006AE76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203C96B7"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5A86E12E" w14:textId="77777777" w:rsidTr="00E6060C">
        <w:trPr>
          <w:cantSplit/>
          <w:trHeight w:val="400"/>
          <w:jc w:val="center"/>
        </w:trPr>
        <w:tc>
          <w:tcPr>
            <w:tcW w:w="464" w:type="dxa"/>
            <w:gridSpan w:val="2"/>
            <w:tcBorders>
              <w:top w:val="nil"/>
              <w:bottom w:val="nil"/>
            </w:tcBorders>
            <w:shd w:val="clear" w:color="auto" w:fill="D9D9D9" w:themeFill="background1" w:themeFillShade="D9"/>
            <w:vAlign w:val="center"/>
          </w:tcPr>
          <w:p w14:paraId="6457DE86"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4</w:t>
            </w:r>
          </w:p>
        </w:tc>
        <w:tc>
          <w:tcPr>
            <w:tcW w:w="4943" w:type="dxa"/>
            <w:tcBorders>
              <w:top w:val="nil"/>
              <w:bottom w:val="nil"/>
            </w:tcBorders>
            <w:shd w:val="clear" w:color="auto" w:fill="D9D9D9" w:themeFill="background1" w:themeFillShade="D9"/>
            <w:vAlign w:val="center"/>
          </w:tcPr>
          <w:p w14:paraId="1A00B78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consults with the team about daily problems and procedures</w:t>
            </w:r>
          </w:p>
        </w:tc>
        <w:tc>
          <w:tcPr>
            <w:tcW w:w="993" w:type="dxa"/>
            <w:tcBorders>
              <w:top w:val="nil"/>
              <w:bottom w:val="nil"/>
            </w:tcBorders>
            <w:shd w:val="clear" w:color="auto" w:fill="D9D9D9" w:themeFill="background1" w:themeFillShade="D9"/>
            <w:vAlign w:val="center"/>
          </w:tcPr>
          <w:p w14:paraId="288CE79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409D853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760D58E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7917F39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26E92D9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4347EE9" w14:textId="77777777" w:rsidTr="00E6060C">
        <w:trPr>
          <w:cantSplit/>
          <w:trHeight w:val="400"/>
          <w:jc w:val="center"/>
        </w:trPr>
        <w:tc>
          <w:tcPr>
            <w:tcW w:w="464" w:type="dxa"/>
            <w:gridSpan w:val="2"/>
            <w:tcBorders>
              <w:top w:val="nil"/>
              <w:bottom w:val="nil"/>
            </w:tcBorders>
            <w:shd w:val="clear" w:color="auto" w:fill="auto"/>
            <w:vAlign w:val="center"/>
          </w:tcPr>
          <w:p w14:paraId="03798E10"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5</w:t>
            </w:r>
          </w:p>
        </w:tc>
        <w:tc>
          <w:tcPr>
            <w:tcW w:w="4943" w:type="dxa"/>
            <w:tcBorders>
              <w:top w:val="nil"/>
              <w:bottom w:val="nil"/>
            </w:tcBorders>
            <w:shd w:val="clear" w:color="auto" w:fill="auto"/>
            <w:vAlign w:val="center"/>
          </w:tcPr>
          <w:p w14:paraId="694BA1F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acts in a caring and supportive manner towards members of the team</w:t>
            </w:r>
          </w:p>
        </w:tc>
        <w:tc>
          <w:tcPr>
            <w:tcW w:w="993" w:type="dxa"/>
            <w:tcBorders>
              <w:top w:val="nil"/>
              <w:bottom w:val="nil"/>
            </w:tcBorders>
            <w:shd w:val="clear" w:color="auto" w:fill="auto"/>
            <w:vAlign w:val="center"/>
          </w:tcPr>
          <w:p w14:paraId="1590D29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6FEB2F6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2C87B3F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D0F709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045ECEE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90A36CE" w14:textId="77777777" w:rsidTr="00E6060C">
        <w:trPr>
          <w:cantSplit/>
          <w:trHeight w:val="400"/>
          <w:jc w:val="center"/>
        </w:trPr>
        <w:tc>
          <w:tcPr>
            <w:tcW w:w="464" w:type="dxa"/>
            <w:gridSpan w:val="2"/>
            <w:tcBorders>
              <w:top w:val="nil"/>
              <w:bottom w:val="nil"/>
            </w:tcBorders>
            <w:shd w:val="clear" w:color="auto" w:fill="D9D9D9" w:themeFill="background1" w:themeFillShade="D9"/>
            <w:vAlign w:val="center"/>
          </w:tcPr>
          <w:p w14:paraId="2CF58850"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6</w:t>
            </w:r>
          </w:p>
        </w:tc>
        <w:tc>
          <w:tcPr>
            <w:tcW w:w="4943" w:type="dxa"/>
            <w:tcBorders>
              <w:top w:val="nil"/>
              <w:bottom w:val="nil"/>
            </w:tcBorders>
            <w:shd w:val="clear" w:color="auto" w:fill="D9D9D9" w:themeFill="background1" w:themeFillShade="D9"/>
            <w:vAlign w:val="center"/>
          </w:tcPr>
          <w:p w14:paraId="627B2C7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is clear and explicit about the standards of care expected</w:t>
            </w:r>
          </w:p>
        </w:tc>
        <w:tc>
          <w:tcPr>
            <w:tcW w:w="993" w:type="dxa"/>
            <w:tcBorders>
              <w:top w:val="nil"/>
              <w:bottom w:val="nil"/>
            </w:tcBorders>
            <w:shd w:val="clear" w:color="auto" w:fill="D9D9D9" w:themeFill="background1" w:themeFillShade="D9"/>
            <w:vAlign w:val="center"/>
          </w:tcPr>
          <w:p w14:paraId="2A65D56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1FB8BA2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0CC9DC3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3712A58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616489E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22F7D39" w14:textId="77777777" w:rsidTr="00E6060C">
        <w:trPr>
          <w:cantSplit/>
          <w:trHeight w:val="400"/>
          <w:jc w:val="center"/>
        </w:trPr>
        <w:tc>
          <w:tcPr>
            <w:tcW w:w="464" w:type="dxa"/>
            <w:gridSpan w:val="2"/>
            <w:tcBorders>
              <w:top w:val="nil"/>
              <w:bottom w:val="nil"/>
            </w:tcBorders>
            <w:shd w:val="clear" w:color="auto" w:fill="auto"/>
            <w:vAlign w:val="center"/>
          </w:tcPr>
          <w:p w14:paraId="47E57445"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7</w:t>
            </w:r>
          </w:p>
        </w:tc>
        <w:tc>
          <w:tcPr>
            <w:tcW w:w="4943" w:type="dxa"/>
            <w:tcBorders>
              <w:top w:val="nil"/>
              <w:bottom w:val="nil"/>
            </w:tcBorders>
            <w:shd w:val="clear" w:color="auto" w:fill="auto"/>
            <w:vAlign w:val="center"/>
          </w:tcPr>
          <w:p w14:paraId="48AA697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takes initiatives to establish strong standards of excellence in care</w:t>
            </w:r>
          </w:p>
        </w:tc>
        <w:tc>
          <w:tcPr>
            <w:tcW w:w="993" w:type="dxa"/>
            <w:tcBorders>
              <w:top w:val="nil"/>
              <w:bottom w:val="nil"/>
            </w:tcBorders>
            <w:shd w:val="clear" w:color="auto" w:fill="auto"/>
            <w:vAlign w:val="center"/>
          </w:tcPr>
          <w:p w14:paraId="4C9BB68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0CB5D51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36BBFBB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64B37B3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548A8C2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192DB0F9" w14:textId="77777777" w:rsidTr="00E6060C">
        <w:trPr>
          <w:cantSplit/>
          <w:trHeight w:val="400"/>
          <w:jc w:val="center"/>
        </w:trPr>
        <w:tc>
          <w:tcPr>
            <w:tcW w:w="464" w:type="dxa"/>
            <w:gridSpan w:val="2"/>
            <w:tcBorders>
              <w:top w:val="nil"/>
              <w:bottom w:val="nil"/>
            </w:tcBorders>
            <w:shd w:val="clear" w:color="auto" w:fill="D9D9D9" w:themeFill="background1" w:themeFillShade="D9"/>
            <w:vAlign w:val="center"/>
          </w:tcPr>
          <w:p w14:paraId="52E3D15E"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8</w:t>
            </w:r>
          </w:p>
        </w:tc>
        <w:tc>
          <w:tcPr>
            <w:tcW w:w="4943" w:type="dxa"/>
            <w:tcBorders>
              <w:top w:val="nil"/>
              <w:bottom w:val="nil"/>
            </w:tcBorders>
            <w:shd w:val="clear" w:color="auto" w:fill="D9D9D9" w:themeFill="background1" w:themeFillShade="D9"/>
            <w:vAlign w:val="center"/>
          </w:tcPr>
          <w:p w14:paraId="08E3DEF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sets clear goals and objectives for this team</w:t>
            </w:r>
          </w:p>
        </w:tc>
        <w:tc>
          <w:tcPr>
            <w:tcW w:w="993" w:type="dxa"/>
            <w:tcBorders>
              <w:top w:val="nil"/>
              <w:bottom w:val="nil"/>
            </w:tcBorders>
            <w:shd w:val="clear" w:color="auto" w:fill="D9D9D9" w:themeFill="background1" w:themeFillShade="D9"/>
            <w:vAlign w:val="center"/>
          </w:tcPr>
          <w:p w14:paraId="28EC643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0FCD99A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5D8D59D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12BB63D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39F222C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7BB8F2DA" w14:textId="77777777" w:rsidTr="00E6060C">
        <w:trPr>
          <w:cantSplit/>
          <w:trHeight w:val="400"/>
          <w:jc w:val="center"/>
        </w:trPr>
        <w:tc>
          <w:tcPr>
            <w:tcW w:w="464" w:type="dxa"/>
            <w:gridSpan w:val="2"/>
            <w:tcBorders>
              <w:top w:val="nil"/>
              <w:bottom w:val="nil"/>
            </w:tcBorders>
            <w:shd w:val="clear" w:color="auto" w:fill="auto"/>
            <w:vAlign w:val="center"/>
          </w:tcPr>
          <w:p w14:paraId="08EAF12A"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9</w:t>
            </w:r>
          </w:p>
        </w:tc>
        <w:tc>
          <w:tcPr>
            <w:tcW w:w="4943" w:type="dxa"/>
            <w:tcBorders>
              <w:top w:val="nil"/>
              <w:bottom w:val="nil"/>
            </w:tcBorders>
            <w:shd w:val="clear" w:color="auto" w:fill="auto"/>
            <w:vAlign w:val="center"/>
          </w:tcPr>
          <w:p w14:paraId="38328E4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is an on-going ‘presence’ on the ward – someone who is readily available</w:t>
            </w:r>
          </w:p>
        </w:tc>
        <w:tc>
          <w:tcPr>
            <w:tcW w:w="993" w:type="dxa"/>
            <w:tcBorders>
              <w:top w:val="nil"/>
              <w:bottom w:val="nil"/>
            </w:tcBorders>
            <w:shd w:val="clear" w:color="auto" w:fill="auto"/>
            <w:vAlign w:val="center"/>
          </w:tcPr>
          <w:p w14:paraId="06893893"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594C1FC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586B7D2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2EADA1B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562244D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E530FD8" w14:textId="77777777" w:rsidTr="00E6060C">
        <w:trPr>
          <w:cantSplit/>
          <w:trHeight w:val="400"/>
          <w:jc w:val="center"/>
        </w:trPr>
        <w:tc>
          <w:tcPr>
            <w:tcW w:w="464" w:type="dxa"/>
            <w:gridSpan w:val="2"/>
            <w:tcBorders>
              <w:top w:val="nil"/>
              <w:bottom w:val="nil"/>
            </w:tcBorders>
            <w:shd w:val="clear" w:color="auto" w:fill="D9D9D9" w:themeFill="background1" w:themeFillShade="D9"/>
            <w:vAlign w:val="center"/>
          </w:tcPr>
          <w:p w14:paraId="01499F38"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10</w:t>
            </w:r>
          </w:p>
        </w:tc>
        <w:tc>
          <w:tcPr>
            <w:tcW w:w="4943" w:type="dxa"/>
            <w:tcBorders>
              <w:top w:val="nil"/>
              <w:bottom w:val="nil"/>
            </w:tcBorders>
            <w:shd w:val="clear" w:color="auto" w:fill="D9D9D9" w:themeFill="background1" w:themeFillShade="D9"/>
            <w:vAlign w:val="center"/>
          </w:tcPr>
          <w:p w14:paraId="006DCAF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actively coaches individuals to help them improve care delivery</w:t>
            </w:r>
          </w:p>
        </w:tc>
        <w:tc>
          <w:tcPr>
            <w:tcW w:w="993" w:type="dxa"/>
            <w:tcBorders>
              <w:top w:val="nil"/>
              <w:bottom w:val="nil"/>
            </w:tcBorders>
            <w:shd w:val="clear" w:color="auto" w:fill="D9D9D9" w:themeFill="background1" w:themeFillShade="D9"/>
            <w:vAlign w:val="center"/>
          </w:tcPr>
          <w:p w14:paraId="0F0F176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5100C06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24E34BD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3EE21DE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03A0E3E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2271BE4" w14:textId="77777777" w:rsidTr="00E6060C">
        <w:trPr>
          <w:cantSplit/>
          <w:trHeight w:val="400"/>
          <w:jc w:val="center"/>
        </w:trPr>
        <w:tc>
          <w:tcPr>
            <w:tcW w:w="464" w:type="dxa"/>
            <w:gridSpan w:val="2"/>
            <w:tcBorders>
              <w:top w:val="nil"/>
              <w:bottom w:val="nil"/>
            </w:tcBorders>
            <w:shd w:val="clear" w:color="auto" w:fill="auto"/>
            <w:vAlign w:val="center"/>
          </w:tcPr>
          <w:p w14:paraId="6393BAE4"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11</w:t>
            </w:r>
          </w:p>
        </w:tc>
        <w:tc>
          <w:tcPr>
            <w:tcW w:w="4943" w:type="dxa"/>
            <w:tcBorders>
              <w:top w:val="nil"/>
              <w:bottom w:val="nil"/>
            </w:tcBorders>
            <w:shd w:val="clear" w:color="auto" w:fill="auto"/>
            <w:vAlign w:val="center"/>
          </w:tcPr>
          <w:p w14:paraId="3575AC7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sets an example by involving herself / himself in hands-on patient care</w:t>
            </w:r>
          </w:p>
        </w:tc>
        <w:tc>
          <w:tcPr>
            <w:tcW w:w="993" w:type="dxa"/>
            <w:tcBorders>
              <w:top w:val="nil"/>
              <w:bottom w:val="nil"/>
            </w:tcBorders>
            <w:shd w:val="clear" w:color="auto" w:fill="auto"/>
            <w:vAlign w:val="center"/>
          </w:tcPr>
          <w:p w14:paraId="7E666A2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3A03765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31DEEFF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50A7EDA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5556131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bl>
    <w:p w14:paraId="1165DF0F" w14:textId="77777777" w:rsidR="00E6060C" w:rsidRPr="00E6060C" w:rsidRDefault="00E6060C" w:rsidP="00E6060C"/>
    <w:tbl>
      <w:tblPr>
        <w:tblW w:w="10794" w:type="dxa"/>
        <w:jc w:val="center"/>
        <w:tblBorders>
          <w:top w:val="single" w:sz="4" w:space="0" w:color="auto"/>
          <w:bottom w:val="single" w:sz="4" w:space="0" w:color="auto"/>
        </w:tblBorders>
        <w:tblLayout w:type="fixed"/>
        <w:tblLook w:val="01E0" w:firstRow="1" w:lastRow="1" w:firstColumn="1" w:lastColumn="1" w:noHBand="0" w:noVBand="0"/>
      </w:tblPr>
      <w:tblGrid>
        <w:gridCol w:w="444"/>
        <w:gridCol w:w="20"/>
        <w:gridCol w:w="4943"/>
        <w:gridCol w:w="993"/>
        <w:gridCol w:w="1134"/>
        <w:gridCol w:w="1275"/>
        <w:gridCol w:w="851"/>
        <w:gridCol w:w="1134"/>
      </w:tblGrid>
      <w:tr w:rsidR="00E6060C" w:rsidRPr="00E6060C" w14:paraId="589E9F82" w14:textId="77777777" w:rsidTr="00E6060C">
        <w:trPr>
          <w:cantSplit/>
          <w:trHeight w:val="520"/>
          <w:jc w:val="center"/>
        </w:trPr>
        <w:tc>
          <w:tcPr>
            <w:tcW w:w="444" w:type="dxa"/>
            <w:tcBorders>
              <w:top w:val="single" w:sz="4" w:space="0" w:color="auto"/>
              <w:bottom w:val="single" w:sz="4" w:space="0" w:color="auto"/>
            </w:tcBorders>
            <w:shd w:val="clear" w:color="auto" w:fill="8EAADB" w:themeFill="accent5" w:themeFillTint="99"/>
          </w:tcPr>
          <w:p w14:paraId="0C2B0524" w14:textId="77777777" w:rsidR="00E6060C" w:rsidRPr="00E6060C" w:rsidRDefault="00E6060C" w:rsidP="00E6060C">
            <w:pPr>
              <w:spacing w:after="200" w:line="276" w:lineRule="auto"/>
              <w:ind w:right="-896"/>
              <w:contextualSpacing/>
              <w:rPr>
                <w:b/>
              </w:rPr>
            </w:pPr>
            <w:r w:rsidRPr="00E6060C">
              <w:rPr>
                <w:b/>
              </w:rPr>
              <w:t>10</w:t>
            </w:r>
          </w:p>
        </w:tc>
        <w:tc>
          <w:tcPr>
            <w:tcW w:w="4963" w:type="dxa"/>
            <w:gridSpan w:val="2"/>
            <w:tcBorders>
              <w:top w:val="single" w:sz="4" w:space="0" w:color="auto"/>
              <w:bottom w:val="single" w:sz="4" w:space="0" w:color="auto"/>
            </w:tcBorders>
            <w:shd w:val="clear" w:color="auto" w:fill="8EAADB" w:themeFill="accent5" w:themeFillTint="99"/>
          </w:tcPr>
          <w:p w14:paraId="6970DC84" w14:textId="77777777" w:rsidR="00E6060C" w:rsidRPr="00E6060C" w:rsidRDefault="00E6060C" w:rsidP="00E6060C">
            <w:pPr>
              <w:spacing w:after="200" w:line="276" w:lineRule="auto"/>
              <w:ind w:left="34" w:right="-896"/>
              <w:contextualSpacing/>
              <w:rPr>
                <w:b/>
                <w:u w:val="single"/>
              </w:rPr>
            </w:pPr>
            <w:r w:rsidRPr="00E6060C">
              <w:rPr>
                <w:b/>
              </w:rPr>
              <w:t xml:space="preserve">These statements are about </w:t>
            </w:r>
            <w:r w:rsidRPr="00E6060C">
              <w:rPr>
                <w:b/>
                <w:u w:val="single"/>
              </w:rPr>
              <w:t>support from</w:t>
            </w:r>
          </w:p>
          <w:p w14:paraId="29C894C3" w14:textId="77777777" w:rsidR="00E6060C" w:rsidRPr="00E6060C" w:rsidRDefault="00E6060C" w:rsidP="00E6060C">
            <w:pPr>
              <w:spacing w:after="200" w:line="276" w:lineRule="auto"/>
              <w:ind w:left="34" w:right="-896"/>
              <w:contextualSpacing/>
              <w:rPr>
                <w:rFonts w:eastAsia="Times" w:cs="Times New Roman"/>
                <w:lang w:val="en-US" w:eastAsia="en-GB"/>
              </w:rPr>
            </w:pPr>
            <w:r w:rsidRPr="00E6060C">
              <w:rPr>
                <w:b/>
                <w:u w:val="single"/>
              </w:rPr>
              <w:t>the Trust.</w:t>
            </w:r>
          </w:p>
        </w:tc>
        <w:tc>
          <w:tcPr>
            <w:tcW w:w="993" w:type="dxa"/>
            <w:tcBorders>
              <w:top w:val="single" w:sz="4" w:space="0" w:color="auto"/>
              <w:bottom w:val="single" w:sz="4" w:space="0" w:color="auto"/>
            </w:tcBorders>
            <w:shd w:val="clear" w:color="auto" w:fill="8EAADB" w:themeFill="accent5" w:themeFillTint="99"/>
          </w:tcPr>
          <w:p w14:paraId="0EFFCA65"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disagree</w:t>
            </w:r>
          </w:p>
        </w:tc>
        <w:tc>
          <w:tcPr>
            <w:tcW w:w="1134" w:type="dxa"/>
            <w:tcBorders>
              <w:top w:val="single" w:sz="4" w:space="0" w:color="auto"/>
              <w:bottom w:val="single" w:sz="4" w:space="0" w:color="auto"/>
            </w:tcBorders>
            <w:shd w:val="clear" w:color="auto" w:fill="8EAADB" w:themeFill="accent5" w:themeFillTint="99"/>
          </w:tcPr>
          <w:p w14:paraId="06043819"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Disagree</w:t>
            </w:r>
          </w:p>
        </w:tc>
        <w:tc>
          <w:tcPr>
            <w:tcW w:w="1275" w:type="dxa"/>
            <w:tcBorders>
              <w:top w:val="single" w:sz="4" w:space="0" w:color="auto"/>
              <w:bottom w:val="single" w:sz="4" w:space="0" w:color="auto"/>
            </w:tcBorders>
            <w:shd w:val="clear" w:color="auto" w:fill="8EAADB" w:themeFill="accent5" w:themeFillTint="99"/>
          </w:tcPr>
          <w:p w14:paraId="6AE8BB6C"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Neither agree nor disagree</w:t>
            </w:r>
          </w:p>
        </w:tc>
        <w:tc>
          <w:tcPr>
            <w:tcW w:w="851" w:type="dxa"/>
            <w:tcBorders>
              <w:top w:val="single" w:sz="4" w:space="0" w:color="auto"/>
              <w:bottom w:val="single" w:sz="4" w:space="0" w:color="auto"/>
            </w:tcBorders>
            <w:shd w:val="clear" w:color="auto" w:fill="8EAADB" w:themeFill="accent5" w:themeFillTint="99"/>
          </w:tcPr>
          <w:p w14:paraId="7D6AFBBE"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Agree</w:t>
            </w:r>
          </w:p>
        </w:tc>
        <w:tc>
          <w:tcPr>
            <w:tcW w:w="1134" w:type="dxa"/>
            <w:tcBorders>
              <w:top w:val="single" w:sz="4" w:space="0" w:color="auto"/>
              <w:bottom w:val="single" w:sz="4" w:space="0" w:color="auto"/>
            </w:tcBorders>
            <w:shd w:val="clear" w:color="auto" w:fill="8EAADB" w:themeFill="accent5" w:themeFillTint="99"/>
          </w:tcPr>
          <w:p w14:paraId="0C489C3E" w14:textId="77777777" w:rsidR="00E6060C" w:rsidRPr="00E6060C" w:rsidRDefault="00E6060C" w:rsidP="00E6060C">
            <w:pPr>
              <w:contextualSpacing/>
              <w:jc w:val="center"/>
              <w:rPr>
                <w:rFonts w:eastAsia="Times" w:cs="Arial"/>
                <w:b/>
                <w:bCs/>
                <w:lang w:eastAsia="en-GB"/>
              </w:rPr>
            </w:pPr>
            <w:r w:rsidRPr="00E6060C">
              <w:rPr>
                <w:rFonts w:eastAsia="Times" w:cs="Arial"/>
                <w:b/>
                <w:bCs/>
                <w:lang w:eastAsia="en-GB"/>
              </w:rPr>
              <w:t>Strongly agree</w:t>
            </w:r>
          </w:p>
        </w:tc>
      </w:tr>
      <w:tr w:rsidR="00E6060C" w:rsidRPr="00E6060C" w14:paraId="2D02D683" w14:textId="77777777" w:rsidTr="00E6060C">
        <w:trPr>
          <w:trHeight w:val="400"/>
          <w:jc w:val="center"/>
        </w:trPr>
        <w:tc>
          <w:tcPr>
            <w:tcW w:w="464" w:type="dxa"/>
            <w:gridSpan w:val="2"/>
            <w:tcBorders>
              <w:top w:val="nil"/>
              <w:bottom w:val="nil"/>
            </w:tcBorders>
            <w:shd w:val="clear" w:color="auto" w:fill="auto"/>
            <w:vAlign w:val="center"/>
          </w:tcPr>
          <w:p w14:paraId="585A25C7"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1</w:t>
            </w:r>
          </w:p>
        </w:tc>
        <w:tc>
          <w:tcPr>
            <w:tcW w:w="4943" w:type="dxa"/>
            <w:tcBorders>
              <w:top w:val="nil"/>
              <w:bottom w:val="nil"/>
            </w:tcBorders>
            <w:shd w:val="clear" w:color="auto" w:fill="auto"/>
            <w:vAlign w:val="center"/>
          </w:tcPr>
          <w:p w14:paraId="15681E2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This Trust has access to the resources it needs to get its work done</w:t>
            </w:r>
          </w:p>
        </w:tc>
        <w:tc>
          <w:tcPr>
            <w:tcW w:w="993" w:type="dxa"/>
            <w:tcBorders>
              <w:top w:val="nil"/>
              <w:bottom w:val="nil"/>
            </w:tcBorders>
            <w:shd w:val="clear" w:color="auto" w:fill="auto"/>
            <w:vAlign w:val="center"/>
          </w:tcPr>
          <w:p w14:paraId="565AB13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704D510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612AC01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40188CC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08DD4DE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39F45FE2" w14:textId="77777777" w:rsidTr="00E6060C">
        <w:trPr>
          <w:trHeight w:val="400"/>
          <w:jc w:val="center"/>
        </w:trPr>
        <w:tc>
          <w:tcPr>
            <w:tcW w:w="464" w:type="dxa"/>
            <w:gridSpan w:val="2"/>
            <w:tcBorders>
              <w:top w:val="nil"/>
              <w:bottom w:val="nil"/>
            </w:tcBorders>
            <w:shd w:val="clear" w:color="auto" w:fill="D9D9D9" w:themeFill="background1" w:themeFillShade="D9"/>
            <w:vAlign w:val="center"/>
          </w:tcPr>
          <w:p w14:paraId="60EC2486"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2</w:t>
            </w:r>
          </w:p>
        </w:tc>
        <w:tc>
          <w:tcPr>
            <w:tcW w:w="4943" w:type="dxa"/>
            <w:tcBorders>
              <w:top w:val="nil"/>
              <w:bottom w:val="nil"/>
            </w:tcBorders>
            <w:shd w:val="clear" w:color="auto" w:fill="D9D9D9" w:themeFill="background1" w:themeFillShade="D9"/>
            <w:vAlign w:val="center"/>
          </w:tcPr>
          <w:p w14:paraId="5E4206B7"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This Trust provides good training opportunities</w:t>
            </w:r>
          </w:p>
        </w:tc>
        <w:tc>
          <w:tcPr>
            <w:tcW w:w="993" w:type="dxa"/>
            <w:tcBorders>
              <w:top w:val="nil"/>
              <w:bottom w:val="nil"/>
            </w:tcBorders>
            <w:shd w:val="clear" w:color="auto" w:fill="D9D9D9" w:themeFill="background1" w:themeFillShade="D9"/>
            <w:vAlign w:val="center"/>
          </w:tcPr>
          <w:p w14:paraId="260872B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2D26E22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47BFBB8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218AFCF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6C1698E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45E5C5DF" w14:textId="77777777" w:rsidTr="00E6060C">
        <w:trPr>
          <w:trHeight w:val="400"/>
          <w:jc w:val="center"/>
        </w:trPr>
        <w:tc>
          <w:tcPr>
            <w:tcW w:w="464" w:type="dxa"/>
            <w:gridSpan w:val="2"/>
            <w:tcBorders>
              <w:top w:val="nil"/>
              <w:bottom w:val="nil"/>
            </w:tcBorders>
            <w:shd w:val="clear" w:color="auto" w:fill="auto"/>
            <w:vAlign w:val="center"/>
          </w:tcPr>
          <w:p w14:paraId="6F0F4115"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3</w:t>
            </w:r>
          </w:p>
        </w:tc>
        <w:tc>
          <w:tcPr>
            <w:tcW w:w="4943" w:type="dxa"/>
            <w:tcBorders>
              <w:top w:val="nil"/>
              <w:bottom w:val="nil"/>
            </w:tcBorders>
            <w:shd w:val="clear" w:color="auto" w:fill="auto"/>
            <w:vAlign w:val="center"/>
          </w:tcPr>
          <w:p w14:paraId="3740B69E"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It is easy for our ward to obtain expert assistance when called for</w:t>
            </w:r>
          </w:p>
        </w:tc>
        <w:tc>
          <w:tcPr>
            <w:tcW w:w="993" w:type="dxa"/>
            <w:tcBorders>
              <w:top w:val="nil"/>
              <w:bottom w:val="nil"/>
            </w:tcBorders>
            <w:shd w:val="clear" w:color="auto" w:fill="auto"/>
            <w:vAlign w:val="center"/>
          </w:tcPr>
          <w:p w14:paraId="48AAAC2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569A5AE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7A9F60B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4F4DF07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7C0E267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F625EED" w14:textId="77777777" w:rsidTr="00E6060C">
        <w:trPr>
          <w:trHeight w:val="400"/>
          <w:jc w:val="center"/>
        </w:trPr>
        <w:tc>
          <w:tcPr>
            <w:tcW w:w="464" w:type="dxa"/>
            <w:gridSpan w:val="2"/>
            <w:tcBorders>
              <w:top w:val="nil"/>
              <w:bottom w:val="nil"/>
            </w:tcBorders>
            <w:shd w:val="clear" w:color="auto" w:fill="D9D9D9" w:themeFill="background1" w:themeFillShade="D9"/>
            <w:vAlign w:val="center"/>
          </w:tcPr>
          <w:p w14:paraId="1AE4C991"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4</w:t>
            </w:r>
          </w:p>
        </w:tc>
        <w:tc>
          <w:tcPr>
            <w:tcW w:w="4943" w:type="dxa"/>
            <w:tcBorders>
              <w:top w:val="nil"/>
              <w:bottom w:val="nil"/>
            </w:tcBorders>
            <w:shd w:val="clear" w:color="auto" w:fill="D9D9D9" w:themeFill="background1" w:themeFillShade="D9"/>
            <w:vAlign w:val="center"/>
          </w:tcPr>
          <w:p w14:paraId="5615731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Staff concerns and opinions are listened to and responded to by management in this Trust</w:t>
            </w:r>
          </w:p>
        </w:tc>
        <w:tc>
          <w:tcPr>
            <w:tcW w:w="993" w:type="dxa"/>
            <w:tcBorders>
              <w:top w:val="nil"/>
              <w:bottom w:val="nil"/>
            </w:tcBorders>
            <w:shd w:val="clear" w:color="auto" w:fill="D9D9D9" w:themeFill="background1" w:themeFillShade="D9"/>
            <w:vAlign w:val="center"/>
          </w:tcPr>
          <w:p w14:paraId="0FEC90F9"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0182579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0067A32A"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22EB2B2C"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32E3FCB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507B59A6" w14:textId="77777777" w:rsidTr="00E6060C">
        <w:trPr>
          <w:trHeight w:val="400"/>
          <w:jc w:val="center"/>
        </w:trPr>
        <w:tc>
          <w:tcPr>
            <w:tcW w:w="464" w:type="dxa"/>
            <w:gridSpan w:val="2"/>
            <w:tcBorders>
              <w:top w:val="nil"/>
              <w:bottom w:val="nil"/>
            </w:tcBorders>
            <w:shd w:val="clear" w:color="auto" w:fill="auto"/>
            <w:vAlign w:val="center"/>
          </w:tcPr>
          <w:p w14:paraId="2BE0ACA0"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5</w:t>
            </w:r>
          </w:p>
        </w:tc>
        <w:tc>
          <w:tcPr>
            <w:tcW w:w="4943" w:type="dxa"/>
            <w:tcBorders>
              <w:top w:val="nil"/>
              <w:bottom w:val="nil"/>
            </w:tcBorders>
            <w:shd w:val="clear" w:color="auto" w:fill="auto"/>
            <w:vAlign w:val="center"/>
          </w:tcPr>
          <w:p w14:paraId="654B39C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Staff in this Trust are treated with dignity and respect</w:t>
            </w:r>
          </w:p>
        </w:tc>
        <w:tc>
          <w:tcPr>
            <w:tcW w:w="993" w:type="dxa"/>
            <w:tcBorders>
              <w:top w:val="nil"/>
              <w:bottom w:val="nil"/>
            </w:tcBorders>
            <w:shd w:val="clear" w:color="auto" w:fill="auto"/>
            <w:vAlign w:val="center"/>
          </w:tcPr>
          <w:p w14:paraId="11F4AEB0"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auto"/>
            <w:vAlign w:val="center"/>
          </w:tcPr>
          <w:p w14:paraId="72DE412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5377076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1863F32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4D73045E"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BE33E96" w14:textId="77777777" w:rsidTr="00E6060C">
        <w:trPr>
          <w:trHeight w:val="400"/>
          <w:jc w:val="center"/>
        </w:trPr>
        <w:tc>
          <w:tcPr>
            <w:tcW w:w="464" w:type="dxa"/>
            <w:gridSpan w:val="2"/>
            <w:tcBorders>
              <w:top w:val="nil"/>
              <w:bottom w:val="nil"/>
            </w:tcBorders>
            <w:shd w:val="clear" w:color="auto" w:fill="D9D9D9" w:themeFill="background1" w:themeFillShade="D9"/>
            <w:vAlign w:val="center"/>
          </w:tcPr>
          <w:p w14:paraId="272B046E"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6</w:t>
            </w:r>
          </w:p>
        </w:tc>
        <w:tc>
          <w:tcPr>
            <w:tcW w:w="4943" w:type="dxa"/>
            <w:tcBorders>
              <w:top w:val="nil"/>
              <w:bottom w:val="nil"/>
            </w:tcBorders>
            <w:shd w:val="clear" w:color="auto" w:fill="D9D9D9" w:themeFill="background1" w:themeFillShade="D9"/>
            <w:vAlign w:val="center"/>
          </w:tcPr>
          <w:p w14:paraId="3855C29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Employees are given authority to act and make decisions about their work</w:t>
            </w:r>
          </w:p>
        </w:tc>
        <w:tc>
          <w:tcPr>
            <w:tcW w:w="993" w:type="dxa"/>
            <w:tcBorders>
              <w:top w:val="nil"/>
              <w:bottom w:val="nil"/>
            </w:tcBorders>
            <w:shd w:val="clear" w:color="auto" w:fill="D9D9D9" w:themeFill="background1" w:themeFillShade="D9"/>
            <w:vAlign w:val="center"/>
          </w:tcPr>
          <w:p w14:paraId="4D179B8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1DB7A25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28DB4124"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7E5EC6A2"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14F73CC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08E9FE7" w14:textId="77777777" w:rsidTr="00E6060C">
        <w:trPr>
          <w:trHeight w:val="400"/>
          <w:jc w:val="center"/>
        </w:trPr>
        <w:tc>
          <w:tcPr>
            <w:tcW w:w="464" w:type="dxa"/>
            <w:gridSpan w:val="2"/>
            <w:tcBorders>
              <w:top w:val="nil"/>
              <w:bottom w:val="nil"/>
            </w:tcBorders>
            <w:shd w:val="clear" w:color="auto" w:fill="auto"/>
            <w:vAlign w:val="center"/>
          </w:tcPr>
          <w:p w14:paraId="07E4E559"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7</w:t>
            </w:r>
          </w:p>
        </w:tc>
        <w:tc>
          <w:tcPr>
            <w:tcW w:w="4943" w:type="dxa"/>
            <w:tcBorders>
              <w:top w:val="nil"/>
              <w:bottom w:val="nil"/>
            </w:tcBorders>
            <w:shd w:val="clear" w:color="auto" w:fill="auto"/>
            <w:vAlign w:val="center"/>
          </w:tcPr>
          <w:p w14:paraId="733F4DB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 xml:space="preserve">People in the hospital are rewarded fairly for the </w:t>
            </w:r>
            <w:r w:rsidRPr="00E6060C">
              <w:rPr>
                <w:rFonts w:eastAsia="Times" w:cs="Times New Roman"/>
                <w:lang w:eastAsia="en-GB"/>
              </w:rPr>
              <w:lastRenderedPageBreak/>
              <w:t>work they do</w:t>
            </w:r>
          </w:p>
        </w:tc>
        <w:tc>
          <w:tcPr>
            <w:tcW w:w="993" w:type="dxa"/>
            <w:tcBorders>
              <w:top w:val="nil"/>
              <w:bottom w:val="nil"/>
            </w:tcBorders>
            <w:shd w:val="clear" w:color="auto" w:fill="auto"/>
            <w:vAlign w:val="center"/>
          </w:tcPr>
          <w:p w14:paraId="5E94484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lastRenderedPageBreak/>
              <w:t>1</w:t>
            </w:r>
          </w:p>
        </w:tc>
        <w:tc>
          <w:tcPr>
            <w:tcW w:w="1134" w:type="dxa"/>
            <w:tcBorders>
              <w:top w:val="nil"/>
              <w:bottom w:val="nil"/>
            </w:tcBorders>
            <w:shd w:val="clear" w:color="auto" w:fill="auto"/>
            <w:vAlign w:val="center"/>
          </w:tcPr>
          <w:p w14:paraId="79A5C8FF"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auto"/>
            <w:vAlign w:val="center"/>
          </w:tcPr>
          <w:p w14:paraId="681CCC7B"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auto"/>
            <w:vAlign w:val="center"/>
          </w:tcPr>
          <w:p w14:paraId="33DD6F9D"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auto"/>
            <w:vAlign w:val="center"/>
          </w:tcPr>
          <w:p w14:paraId="510FA736"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r w:rsidR="00E6060C" w:rsidRPr="00E6060C" w14:paraId="6C1C2CB4" w14:textId="77777777" w:rsidTr="00E6060C">
        <w:trPr>
          <w:trHeight w:val="400"/>
          <w:jc w:val="center"/>
        </w:trPr>
        <w:tc>
          <w:tcPr>
            <w:tcW w:w="464" w:type="dxa"/>
            <w:gridSpan w:val="2"/>
            <w:tcBorders>
              <w:top w:val="nil"/>
              <w:bottom w:val="nil"/>
            </w:tcBorders>
            <w:shd w:val="clear" w:color="auto" w:fill="D9D9D9" w:themeFill="background1" w:themeFillShade="D9"/>
            <w:vAlign w:val="center"/>
          </w:tcPr>
          <w:p w14:paraId="5A99403A" w14:textId="77777777" w:rsidR="00E6060C" w:rsidRPr="00E6060C" w:rsidRDefault="00E6060C" w:rsidP="00E6060C">
            <w:pPr>
              <w:contextualSpacing/>
              <w:rPr>
                <w:rFonts w:eastAsia="Times New Roman" w:cs="Times New Roman"/>
                <w:lang w:val="en-AU"/>
              </w:rPr>
            </w:pPr>
            <w:r w:rsidRPr="00E6060C">
              <w:rPr>
                <w:rFonts w:eastAsia="Times New Roman" w:cs="Times New Roman"/>
                <w:lang w:val="en-AU"/>
              </w:rPr>
              <w:t>8</w:t>
            </w:r>
          </w:p>
        </w:tc>
        <w:tc>
          <w:tcPr>
            <w:tcW w:w="4943" w:type="dxa"/>
            <w:tcBorders>
              <w:top w:val="nil"/>
              <w:bottom w:val="nil"/>
            </w:tcBorders>
            <w:shd w:val="clear" w:color="auto" w:fill="D9D9D9" w:themeFill="background1" w:themeFillShade="D9"/>
            <w:vAlign w:val="center"/>
          </w:tcPr>
          <w:p w14:paraId="4441CCB5"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There are good career opportunities in this Trust</w:t>
            </w:r>
          </w:p>
        </w:tc>
        <w:tc>
          <w:tcPr>
            <w:tcW w:w="993" w:type="dxa"/>
            <w:tcBorders>
              <w:top w:val="nil"/>
              <w:bottom w:val="nil"/>
            </w:tcBorders>
            <w:shd w:val="clear" w:color="auto" w:fill="D9D9D9" w:themeFill="background1" w:themeFillShade="D9"/>
            <w:vAlign w:val="center"/>
          </w:tcPr>
          <w:p w14:paraId="2B571B37"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1</w:t>
            </w:r>
          </w:p>
        </w:tc>
        <w:tc>
          <w:tcPr>
            <w:tcW w:w="1134" w:type="dxa"/>
            <w:tcBorders>
              <w:top w:val="nil"/>
              <w:bottom w:val="nil"/>
            </w:tcBorders>
            <w:shd w:val="clear" w:color="auto" w:fill="D9D9D9" w:themeFill="background1" w:themeFillShade="D9"/>
            <w:vAlign w:val="center"/>
          </w:tcPr>
          <w:p w14:paraId="47BBD031"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2</w:t>
            </w:r>
          </w:p>
        </w:tc>
        <w:tc>
          <w:tcPr>
            <w:tcW w:w="1275" w:type="dxa"/>
            <w:tcBorders>
              <w:top w:val="nil"/>
              <w:bottom w:val="nil"/>
            </w:tcBorders>
            <w:shd w:val="clear" w:color="auto" w:fill="D9D9D9" w:themeFill="background1" w:themeFillShade="D9"/>
            <w:vAlign w:val="center"/>
          </w:tcPr>
          <w:p w14:paraId="0B2EBF05"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3</w:t>
            </w:r>
          </w:p>
        </w:tc>
        <w:tc>
          <w:tcPr>
            <w:tcW w:w="851" w:type="dxa"/>
            <w:tcBorders>
              <w:top w:val="nil"/>
              <w:bottom w:val="nil"/>
            </w:tcBorders>
            <w:shd w:val="clear" w:color="auto" w:fill="D9D9D9" w:themeFill="background1" w:themeFillShade="D9"/>
            <w:vAlign w:val="center"/>
          </w:tcPr>
          <w:p w14:paraId="1B62E6C7"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4</w:t>
            </w:r>
          </w:p>
        </w:tc>
        <w:tc>
          <w:tcPr>
            <w:tcW w:w="1134" w:type="dxa"/>
            <w:tcBorders>
              <w:top w:val="nil"/>
              <w:bottom w:val="nil"/>
            </w:tcBorders>
            <w:shd w:val="clear" w:color="auto" w:fill="D9D9D9" w:themeFill="background1" w:themeFillShade="D9"/>
            <w:vAlign w:val="center"/>
          </w:tcPr>
          <w:p w14:paraId="3C3C3078" w14:textId="77777777" w:rsidR="00E6060C" w:rsidRPr="00E6060C" w:rsidRDefault="00E6060C" w:rsidP="00E6060C">
            <w:pPr>
              <w:contextualSpacing/>
              <w:jc w:val="center"/>
              <w:rPr>
                <w:rFonts w:eastAsia="Times" w:cs="Times New Roman"/>
                <w:lang w:eastAsia="en-GB"/>
              </w:rPr>
            </w:pPr>
            <w:r w:rsidRPr="00E6060C">
              <w:rPr>
                <w:rFonts w:eastAsia="Times" w:cs="Times New Roman"/>
                <w:lang w:eastAsia="en-GB"/>
              </w:rPr>
              <w:t>5</w:t>
            </w:r>
          </w:p>
        </w:tc>
      </w:tr>
    </w:tbl>
    <w:p w14:paraId="0FEBEFAD" w14:textId="77777777" w:rsidR="00E6060C" w:rsidRPr="00E6060C" w:rsidRDefault="00E6060C" w:rsidP="00E6060C">
      <w:pPr>
        <w:jc w:val="center"/>
        <w:rPr>
          <w:b/>
          <w:sz w:val="28"/>
          <w:szCs w:val="28"/>
        </w:rPr>
      </w:pPr>
    </w:p>
    <w:p w14:paraId="6956841B" w14:textId="77777777" w:rsidR="00E6060C" w:rsidRPr="00E6060C" w:rsidRDefault="00E6060C" w:rsidP="00E6060C">
      <w:pPr>
        <w:jc w:val="center"/>
        <w:rPr>
          <w:b/>
          <w:sz w:val="28"/>
          <w:szCs w:val="28"/>
        </w:rPr>
      </w:pPr>
      <w:r w:rsidRPr="00E6060C">
        <w:rPr>
          <w:b/>
          <w:sz w:val="28"/>
          <w:szCs w:val="28"/>
        </w:rPr>
        <w:t>Part 2 – About you and how you feel at work</w:t>
      </w:r>
    </w:p>
    <w:p w14:paraId="3716EBDB" w14:textId="77777777" w:rsidR="00E6060C" w:rsidRPr="00E6060C" w:rsidRDefault="00E6060C" w:rsidP="00E6060C"/>
    <w:tbl>
      <w:tblPr>
        <w:tblStyle w:val="TableGrid8"/>
        <w:tblW w:w="10728"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
        <w:gridCol w:w="4623"/>
        <w:gridCol w:w="1134"/>
        <w:gridCol w:w="1134"/>
        <w:gridCol w:w="1276"/>
        <w:gridCol w:w="992"/>
        <w:gridCol w:w="1088"/>
      </w:tblGrid>
      <w:tr w:rsidR="00E6060C" w:rsidRPr="00E6060C" w14:paraId="3BC64241" w14:textId="77777777" w:rsidTr="00E6060C">
        <w:trPr>
          <w:cantSplit/>
          <w:trHeight w:val="484"/>
          <w:tblHeader/>
        </w:trPr>
        <w:tc>
          <w:tcPr>
            <w:tcW w:w="481" w:type="dxa"/>
            <w:tcBorders>
              <w:top w:val="single" w:sz="4" w:space="0" w:color="auto"/>
              <w:bottom w:val="single" w:sz="4" w:space="0" w:color="auto"/>
            </w:tcBorders>
            <w:shd w:val="clear" w:color="auto" w:fill="8EAADB" w:themeFill="accent5" w:themeFillTint="99"/>
          </w:tcPr>
          <w:p w14:paraId="0563078E" w14:textId="77777777" w:rsidR="00E6060C" w:rsidRPr="00E6060C" w:rsidRDefault="00E6060C" w:rsidP="00E6060C">
            <w:pPr>
              <w:spacing w:after="200" w:line="276" w:lineRule="auto"/>
              <w:ind w:left="-108"/>
              <w:contextualSpacing/>
              <w:rPr>
                <w:b/>
              </w:rPr>
            </w:pPr>
            <w:r w:rsidRPr="00E6060C">
              <w:rPr>
                <w:b/>
              </w:rPr>
              <w:t xml:space="preserve">  11</w:t>
            </w:r>
          </w:p>
        </w:tc>
        <w:tc>
          <w:tcPr>
            <w:tcW w:w="4623" w:type="dxa"/>
            <w:tcBorders>
              <w:top w:val="single" w:sz="4" w:space="0" w:color="auto"/>
              <w:bottom w:val="single" w:sz="4" w:space="0" w:color="auto"/>
            </w:tcBorders>
            <w:shd w:val="clear" w:color="auto" w:fill="8EAADB" w:themeFill="accent5" w:themeFillTint="99"/>
          </w:tcPr>
          <w:p w14:paraId="432581A4" w14:textId="77777777" w:rsidR="00E6060C" w:rsidRPr="00E6060C" w:rsidRDefault="00E6060C" w:rsidP="00E6060C">
            <w:pPr>
              <w:contextualSpacing/>
              <w:rPr>
                <w:b/>
                <w:bCs/>
                <w:u w:val="single"/>
              </w:rPr>
            </w:pPr>
            <w:r w:rsidRPr="00E6060C">
              <w:rPr>
                <w:b/>
                <w:bCs/>
              </w:rPr>
              <w:t xml:space="preserve">The following statements are about how </w:t>
            </w:r>
            <w:r w:rsidRPr="00E6060C">
              <w:rPr>
                <w:b/>
                <w:bCs/>
                <w:u w:val="single"/>
              </w:rPr>
              <w:t>you do your job.</w:t>
            </w:r>
          </w:p>
        </w:tc>
        <w:tc>
          <w:tcPr>
            <w:tcW w:w="1134" w:type="dxa"/>
            <w:tcBorders>
              <w:top w:val="single" w:sz="4" w:space="0" w:color="auto"/>
              <w:bottom w:val="single" w:sz="4" w:space="0" w:color="auto"/>
            </w:tcBorders>
            <w:shd w:val="clear" w:color="auto" w:fill="8EAADB" w:themeFill="accent5" w:themeFillTint="99"/>
          </w:tcPr>
          <w:p w14:paraId="10EB4D1E" w14:textId="77777777" w:rsidR="00E6060C" w:rsidRPr="00E6060C" w:rsidRDefault="00E6060C" w:rsidP="00E6060C">
            <w:pPr>
              <w:contextualSpacing/>
              <w:jc w:val="center"/>
              <w:rPr>
                <w:b/>
                <w:bCs/>
              </w:rPr>
            </w:pPr>
            <w:r w:rsidRPr="00E6060C">
              <w:rPr>
                <w:b/>
                <w:bCs/>
              </w:rPr>
              <w:t>Totally disagree</w:t>
            </w:r>
          </w:p>
        </w:tc>
        <w:tc>
          <w:tcPr>
            <w:tcW w:w="1134" w:type="dxa"/>
            <w:tcBorders>
              <w:top w:val="single" w:sz="4" w:space="0" w:color="auto"/>
              <w:bottom w:val="single" w:sz="4" w:space="0" w:color="auto"/>
            </w:tcBorders>
            <w:shd w:val="clear" w:color="auto" w:fill="8EAADB" w:themeFill="accent5" w:themeFillTint="99"/>
          </w:tcPr>
          <w:p w14:paraId="2DFA37E3" w14:textId="77777777" w:rsidR="00E6060C" w:rsidRPr="00E6060C" w:rsidRDefault="00E6060C" w:rsidP="00E6060C">
            <w:pPr>
              <w:contextualSpacing/>
              <w:jc w:val="center"/>
              <w:rPr>
                <w:b/>
                <w:bCs/>
              </w:rPr>
            </w:pPr>
            <w:r w:rsidRPr="00E6060C">
              <w:rPr>
                <w:b/>
                <w:bCs/>
              </w:rPr>
              <w:t>Disagree</w:t>
            </w:r>
          </w:p>
        </w:tc>
        <w:tc>
          <w:tcPr>
            <w:tcW w:w="1276" w:type="dxa"/>
            <w:tcBorders>
              <w:top w:val="single" w:sz="4" w:space="0" w:color="auto"/>
              <w:bottom w:val="single" w:sz="4" w:space="0" w:color="auto"/>
            </w:tcBorders>
            <w:shd w:val="clear" w:color="auto" w:fill="8EAADB" w:themeFill="accent5" w:themeFillTint="99"/>
          </w:tcPr>
          <w:p w14:paraId="733EDDF2" w14:textId="77777777" w:rsidR="00E6060C" w:rsidRPr="00E6060C" w:rsidRDefault="00E6060C" w:rsidP="00E6060C">
            <w:pPr>
              <w:contextualSpacing/>
              <w:jc w:val="center"/>
              <w:rPr>
                <w:b/>
                <w:bCs/>
              </w:rPr>
            </w:pPr>
            <w:r w:rsidRPr="00E6060C">
              <w:rPr>
                <w:b/>
                <w:bCs/>
              </w:rPr>
              <w:t>Somewhat disagree</w:t>
            </w:r>
          </w:p>
          <w:p w14:paraId="4DD58EFD" w14:textId="77777777" w:rsidR="00E6060C" w:rsidRPr="00E6060C" w:rsidRDefault="00E6060C" w:rsidP="00E6060C">
            <w:pPr>
              <w:contextualSpacing/>
              <w:jc w:val="center"/>
              <w:rPr>
                <w:b/>
                <w:bCs/>
              </w:rPr>
            </w:pPr>
          </w:p>
        </w:tc>
        <w:tc>
          <w:tcPr>
            <w:tcW w:w="992" w:type="dxa"/>
            <w:tcBorders>
              <w:top w:val="single" w:sz="4" w:space="0" w:color="auto"/>
              <w:bottom w:val="single" w:sz="4" w:space="0" w:color="auto"/>
            </w:tcBorders>
            <w:shd w:val="clear" w:color="auto" w:fill="8EAADB" w:themeFill="accent5" w:themeFillTint="99"/>
          </w:tcPr>
          <w:p w14:paraId="14DB6657" w14:textId="77777777" w:rsidR="00E6060C" w:rsidRPr="00E6060C" w:rsidRDefault="00E6060C" w:rsidP="00E6060C">
            <w:pPr>
              <w:contextualSpacing/>
              <w:jc w:val="center"/>
              <w:rPr>
                <w:b/>
                <w:bCs/>
              </w:rPr>
            </w:pPr>
            <w:r w:rsidRPr="00E6060C">
              <w:rPr>
                <w:b/>
                <w:bCs/>
              </w:rPr>
              <w:t>Agree</w:t>
            </w:r>
          </w:p>
        </w:tc>
        <w:tc>
          <w:tcPr>
            <w:tcW w:w="1088" w:type="dxa"/>
            <w:tcBorders>
              <w:top w:val="single" w:sz="4" w:space="0" w:color="auto"/>
              <w:bottom w:val="single" w:sz="4" w:space="0" w:color="auto"/>
            </w:tcBorders>
            <w:shd w:val="clear" w:color="auto" w:fill="8EAADB" w:themeFill="accent5" w:themeFillTint="99"/>
          </w:tcPr>
          <w:p w14:paraId="3FF1D6B2" w14:textId="77777777" w:rsidR="00E6060C" w:rsidRPr="00E6060C" w:rsidRDefault="00E6060C" w:rsidP="00E6060C">
            <w:pPr>
              <w:contextualSpacing/>
              <w:jc w:val="center"/>
              <w:rPr>
                <w:b/>
                <w:bCs/>
              </w:rPr>
            </w:pPr>
            <w:r w:rsidRPr="00E6060C">
              <w:rPr>
                <w:b/>
                <w:bCs/>
              </w:rPr>
              <w:t>Totally agree</w:t>
            </w:r>
          </w:p>
        </w:tc>
      </w:tr>
      <w:tr w:rsidR="00E6060C" w:rsidRPr="00E6060C" w14:paraId="647EC39E" w14:textId="77777777" w:rsidTr="00E6060C">
        <w:trPr>
          <w:trHeight w:val="248"/>
        </w:trPr>
        <w:tc>
          <w:tcPr>
            <w:tcW w:w="481" w:type="dxa"/>
            <w:tcBorders>
              <w:top w:val="nil"/>
              <w:bottom w:val="nil"/>
            </w:tcBorders>
            <w:vAlign w:val="center"/>
          </w:tcPr>
          <w:p w14:paraId="3FE89E6A" w14:textId="77777777" w:rsidR="00E6060C" w:rsidRPr="00E6060C" w:rsidRDefault="00E6060C" w:rsidP="00E6060C">
            <w:pPr>
              <w:contextualSpacing/>
            </w:pPr>
            <w:r w:rsidRPr="00E6060C">
              <w:t>1</w:t>
            </w:r>
          </w:p>
        </w:tc>
        <w:tc>
          <w:tcPr>
            <w:tcW w:w="4623" w:type="dxa"/>
            <w:tcBorders>
              <w:top w:val="nil"/>
              <w:bottom w:val="nil"/>
            </w:tcBorders>
            <w:vAlign w:val="center"/>
          </w:tcPr>
          <w:p w14:paraId="5A122A7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consult patients about changes to their treatment</w:t>
            </w:r>
          </w:p>
        </w:tc>
        <w:tc>
          <w:tcPr>
            <w:tcW w:w="1134" w:type="dxa"/>
            <w:tcBorders>
              <w:top w:val="nil"/>
              <w:bottom w:val="nil"/>
            </w:tcBorders>
            <w:vAlign w:val="center"/>
          </w:tcPr>
          <w:p w14:paraId="05F2F40A"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5488E5F2" w14:textId="77777777" w:rsidR="00E6060C" w:rsidRPr="00E6060C" w:rsidRDefault="00E6060C" w:rsidP="00E6060C">
            <w:pPr>
              <w:contextualSpacing/>
              <w:jc w:val="center"/>
            </w:pPr>
            <w:r w:rsidRPr="00E6060C">
              <w:t>2</w:t>
            </w:r>
          </w:p>
        </w:tc>
        <w:tc>
          <w:tcPr>
            <w:tcW w:w="1276" w:type="dxa"/>
            <w:tcBorders>
              <w:top w:val="nil"/>
              <w:bottom w:val="nil"/>
            </w:tcBorders>
            <w:vAlign w:val="center"/>
          </w:tcPr>
          <w:p w14:paraId="22EA453D" w14:textId="77777777" w:rsidR="00E6060C" w:rsidRPr="00E6060C" w:rsidRDefault="00E6060C" w:rsidP="00E6060C">
            <w:pPr>
              <w:contextualSpacing/>
              <w:jc w:val="center"/>
            </w:pPr>
            <w:r w:rsidRPr="00E6060C">
              <w:t>3</w:t>
            </w:r>
          </w:p>
        </w:tc>
        <w:tc>
          <w:tcPr>
            <w:tcW w:w="992" w:type="dxa"/>
            <w:tcBorders>
              <w:top w:val="nil"/>
              <w:bottom w:val="nil"/>
            </w:tcBorders>
            <w:vAlign w:val="center"/>
          </w:tcPr>
          <w:p w14:paraId="106F0436" w14:textId="77777777" w:rsidR="00E6060C" w:rsidRPr="00E6060C" w:rsidRDefault="00E6060C" w:rsidP="00E6060C">
            <w:pPr>
              <w:contextualSpacing/>
              <w:jc w:val="center"/>
            </w:pPr>
            <w:r w:rsidRPr="00E6060C">
              <w:t>4</w:t>
            </w:r>
          </w:p>
        </w:tc>
        <w:tc>
          <w:tcPr>
            <w:tcW w:w="1088" w:type="dxa"/>
            <w:tcBorders>
              <w:top w:val="nil"/>
              <w:bottom w:val="nil"/>
            </w:tcBorders>
            <w:vAlign w:val="center"/>
          </w:tcPr>
          <w:p w14:paraId="0E01574C" w14:textId="77777777" w:rsidR="00E6060C" w:rsidRPr="00E6060C" w:rsidRDefault="00E6060C" w:rsidP="00E6060C">
            <w:pPr>
              <w:contextualSpacing/>
              <w:jc w:val="center"/>
            </w:pPr>
            <w:r w:rsidRPr="00E6060C">
              <w:t>5</w:t>
            </w:r>
          </w:p>
        </w:tc>
      </w:tr>
      <w:tr w:rsidR="00E6060C" w:rsidRPr="00E6060C" w14:paraId="28F1A3EF" w14:textId="77777777" w:rsidTr="00E6060C">
        <w:trPr>
          <w:trHeight w:val="484"/>
        </w:trPr>
        <w:tc>
          <w:tcPr>
            <w:tcW w:w="481" w:type="dxa"/>
            <w:tcBorders>
              <w:top w:val="nil"/>
              <w:bottom w:val="nil"/>
            </w:tcBorders>
            <w:shd w:val="clear" w:color="auto" w:fill="D9D9D9" w:themeFill="background1" w:themeFillShade="D9"/>
            <w:vAlign w:val="center"/>
          </w:tcPr>
          <w:p w14:paraId="6E236966" w14:textId="77777777" w:rsidR="00E6060C" w:rsidRPr="00E6060C" w:rsidRDefault="00E6060C" w:rsidP="00E6060C">
            <w:pPr>
              <w:contextualSpacing/>
            </w:pPr>
            <w:r w:rsidRPr="00E6060C">
              <w:t>2</w:t>
            </w:r>
          </w:p>
        </w:tc>
        <w:tc>
          <w:tcPr>
            <w:tcW w:w="4623" w:type="dxa"/>
            <w:tcBorders>
              <w:top w:val="nil"/>
              <w:bottom w:val="nil"/>
            </w:tcBorders>
            <w:shd w:val="clear" w:color="auto" w:fill="D9D9D9" w:themeFill="background1" w:themeFillShade="D9"/>
            <w:vAlign w:val="center"/>
          </w:tcPr>
          <w:p w14:paraId="5F8F689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take time to get to know patients as individuals</w:t>
            </w:r>
          </w:p>
        </w:tc>
        <w:tc>
          <w:tcPr>
            <w:tcW w:w="1134" w:type="dxa"/>
            <w:tcBorders>
              <w:top w:val="nil"/>
              <w:bottom w:val="nil"/>
            </w:tcBorders>
            <w:shd w:val="clear" w:color="auto" w:fill="D9D9D9" w:themeFill="background1" w:themeFillShade="D9"/>
            <w:vAlign w:val="center"/>
          </w:tcPr>
          <w:p w14:paraId="1BAB358E"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123248E1" w14:textId="77777777" w:rsidR="00E6060C" w:rsidRPr="00E6060C" w:rsidRDefault="00E6060C" w:rsidP="00E6060C">
            <w:pPr>
              <w:contextualSpacing/>
              <w:jc w:val="center"/>
            </w:pPr>
            <w:r w:rsidRPr="00E6060C">
              <w:t>2</w:t>
            </w:r>
          </w:p>
        </w:tc>
        <w:tc>
          <w:tcPr>
            <w:tcW w:w="1276" w:type="dxa"/>
            <w:tcBorders>
              <w:top w:val="nil"/>
              <w:bottom w:val="nil"/>
            </w:tcBorders>
            <w:shd w:val="clear" w:color="auto" w:fill="D9D9D9" w:themeFill="background1" w:themeFillShade="D9"/>
            <w:vAlign w:val="center"/>
          </w:tcPr>
          <w:p w14:paraId="2E228D5F" w14:textId="77777777" w:rsidR="00E6060C" w:rsidRPr="00E6060C" w:rsidRDefault="00E6060C" w:rsidP="00E6060C">
            <w:pPr>
              <w:contextualSpacing/>
              <w:jc w:val="center"/>
            </w:pPr>
            <w:r w:rsidRPr="00E6060C">
              <w:t>3</w:t>
            </w:r>
          </w:p>
        </w:tc>
        <w:tc>
          <w:tcPr>
            <w:tcW w:w="992" w:type="dxa"/>
            <w:tcBorders>
              <w:top w:val="nil"/>
              <w:bottom w:val="nil"/>
            </w:tcBorders>
            <w:shd w:val="clear" w:color="auto" w:fill="D9D9D9" w:themeFill="background1" w:themeFillShade="D9"/>
            <w:vAlign w:val="center"/>
          </w:tcPr>
          <w:p w14:paraId="7E9640BC" w14:textId="77777777" w:rsidR="00E6060C" w:rsidRPr="00E6060C" w:rsidRDefault="00E6060C" w:rsidP="00E6060C">
            <w:pPr>
              <w:contextualSpacing/>
              <w:jc w:val="center"/>
            </w:pPr>
            <w:r w:rsidRPr="00E6060C">
              <w:t>4</w:t>
            </w:r>
          </w:p>
        </w:tc>
        <w:tc>
          <w:tcPr>
            <w:tcW w:w="1088" w:type="dxa"/>
            <w:tcBorders>
              <w:top w:val="nil"/>
              <w:bottom w:val="nil"/>
            </w:tcBorders>
            <w:shd w:val="clear" w:color="auto" w:fill="D9D9D9" w:themeFill="background1" w:themeFillShade="D9"/>
            <w:vAlign w:val="center"/>
          </w:tcPr>
          <w:p w14:paraId="653E7A95" w14:textId="77777777" w:rsidR="00E6060C" w:rsidRPr="00E6060C" w:rsidRDefault="00E6060C" w:rsidP="00E6060C">
            <w:pPr>
              <w:contextualSpacing/>
              <w:jc w:val="center"/>
            </w:pPr>
            <w:r w:rsidRPr="00E6060C">
              <w:t>5</w:t>
            </w:r>
          </w:p>
        </w:tc>
      </w:tr>
      <w:tr w:rsidR="00E6060C" w:rsidRPr="00E6060C" w14:paraId="254C5E5A" w14:textId="77777777" w:rsidTr="00E6060C">
        <w:trPr>
          <w:trHeight w:val="473"/>
        </w:trPr>
        <w:tc>
          <w:tcPr>
            <w:tcW w:w="481" w:type="dxa"/>
            <w:tcBorders>
              <w:top w:val="nil"/>
              <w:bottom w:val="nil"/>
            </w:tcBorders>
            <w:vAlign w:val="center"/>
          </w:tcPr>
          <w:p w14:paraId="592AE0B0" w14:textId="77777777" w:rsidR="00E6060C" w:rsidRPr="00E6060C" w:rsidRDefault="00E6060C" w:rsidP="00E6060C">
            <w:pPr>
              <w:contextualSpacing/>
            </w:pPr>
            <w:r w:rsidRPr="00E6060C">
              <w:t>3</w:t>
            </w:r>
          </w:p>
        </w:tc>
        <w:tc>
          <w:tcPr>
            <w:tcW w:w="4623" w:type="dxa"/>
            <w:tcBorders>
              <w:top w:val="nil"/>
              <w:bottom w:val="nil"/>
            </w:tcBorders>
            <w:vAlign w:val="center"/>
          </w:tcPr>
          <w:p w14:paraId="5CFAAA1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regularly discuss patients’ progress with them</w:t>
            </w:r>
          </w:p>
        </w:tc>
        <w:tc>
          <w:tcPr>
            <w:tcW w:w="1134" w:type="dxa"/>
            <w:tcBorders>
              <w:top w:val="nil"/>
              <w:bottom w:val="nil"/>
            </w:tcBorders>
            <w:vAlign w:val="center"/>
          </w:tcPr>
          <w:p w14:paraId="175CDCC6"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608E6148" w14:textId="77777777" w:rsidR="00E6060C" w:rsidRPr="00E6060C" w:rsidRDefault="00E6060C" w:rsidP="00E6060C">
            <w:pPr>
              <w:contextualSpacing/>
              <w:jc w:val="center"/>
            </w:pPr>
            <w:r w:rsidRPr="00E6060C">
              <w:t>2</w:t>
            </w:r>
          </w:p>
        </w:tc>
        <w:tc>
          <w:tcPr>
            <w:tcW w:w="1276" w:type="dxa"/>
            <w:tcBorders>
              <w:top w:val="nil"/>
              <w:bottom w:val="nil"/>
            </w:tcBorders>
            <w:vAlign w:val="center"/>
          </w:tcPr>
          <w:p w14:paraId="513700B0" w14:textId="77777777" w:rsidR="00E6060C" w:rsidRPr="00E6060C" w:rsidRDefault="00E6060C" w:rsidP="00E6060C">
            <w:pPr>
              <w:contextualSpacing/>
              <w:jc w:val="center"/>
            </w:pPr>
            <w:r w:rsidRPr="00E6060C">
              <w:t>3</w:t>
            </w:r>
          </w:p>
        </w:tc>
        <w:tc>
          <w:tcPr>
            <w:tcW w:w="992" w:type="dxa"/>
            <w:tcBorders>
              <w:top w:val="nil"/>
              <w:bottom w:val="nil"/>
            </w:tcBorders>
            <w:vAlign w:val="center"/>
          </w:tcPr>
          <w:p w14:paraId="4622519B" w14:textId="77777777" w:rsidR="00E6060C" w:rsidRPr="00E6060C" w:rsidRDefault="00E6060C" w:rsidP="00E6060C">
            <w:pPr>
              <w:contextualSpacing/>
              <w:jc w:val="center"/>
            </w:pPr>
            <w:r w:rsidRPr="00E6060C">
              <w:t>4</w:t>
            </w:r>
          </w:p>
        </w:tc>
        <w:tc>
          <w:tcPr>
            <w:tcW w:w="1088" w:type="dxa"/>
            <w:tcBorders>
              <w:top w:val="nil"/>
              <w:bottom w:val="nil"/>
            </w:tcBorders>
            <w:vAlign w:val="center"/>
          </w:tcPr>
          <w:p w14:paraId="2DA16FD7" w14:textId="77777777" w:rsidR="00E6060C" w:rsidRPr="00E6060C" w:rsidRDefault="00E6060C" w:rsidP="00E6060C">
            <w:pPr>
              <w:contextualSpacing/>
              <w:jc w:val="center"/>
            </w:pPr>
            <w:r w:rsidRPr="00E6060C">
              <w:t>5</w:t>
            </w:r>
          </w:p>
        </w:tc>
      </w:tr>
      <w:tr w:rsidR="00E6060C" w:rsidRPr="00E6060C" w14:paraId="26DBB552" w14:textId="77777777" w:rsidTr="00E6060C">
        <w:trPr>
          <w:trHeight w:val="248"/>
        </w:trPr>
        <w:tc>
          <w:tcPr>
            <w:tcW w:w="481" w:type="dxa"/>
            <w:tcBorders>
              <w:top w:val="nil"/>
              <w:bottom w:val="nil"/>
            </w:tcBorders>
            <w:shd w:val="clear" w:color="auto" w:fill="D9D9D9" w:themeFill="background1" w:themeFillShade="D9"/>
            <w:vAlign w:val="center"/>
          </w:tcPr>
          <w:p w14:paraId="7DCC74F7" w14:textId="77777777" w:rsidR="00E6060C" w:rsidRPr="00E6060C" w:rsidRDefault="00E6060C" w:rsidP="00E6060C">
            <w:pPr>
              <w:contextualSpacing/>
            </w:pPr>
            <w:r w:rsidRPr="00E6060C">
              <w:t>4</w:t>
            </w:r>
          </w:p>
        </w:tc>
        <w:tc>
          <w:tcPr>
            <w:tcW w:w="4623" w:type="dxa"/>
            <w:tcBorders>
              <w:top w:val="nil"/>
              <w:bottom w:val="nil"/>
            </w:tcBorders>
            <w:shd w:val="clear" w:color="auto" w:fill="D9D9D9" w:themeFill="background1" w:themeFillShade="D9"/>
            <w:vAlign w:val="center"/>
          </w:tcPr>
          <w:p w14:paraId="27B01281"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encourage patient’s opinions about their care and treatment</w:t>
            </w:r>
          </w:p>
        </w:tc>
        <w:tc>
          <w:tcPr>
            <w:tcW w:w="1134" w:type="dxa"/>
            <w:tcBorders>
              <w:top w:val="nil"/>
              <w:bottom w:val="nil"/>
            </w:tcBorders>
            <w:shd w:val="clear" w:color="auto" w:fill="D9D9D9" w:themeFill="background1" w:themeFillShade="D9"/>
            <w:vAlign w:val="center"/>
          </w:tcPr>
          <w:p w14:paraId="28C2B28F"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5048EDAB" w14:textId="77777777" w:rsidR="00E6060C" w:rsidRPr="00E6060C" w:rsidRDefault="00E6060C" w:rsidP="00E6060C">
            <w:pPr>
              <w:contextualSpacing/>
              <w:jc w:val="center"/>
            </w:pPr>
            <w:r w:rsidRPr="00E6060C">
              <w:t>2</w:t>
            </w:r>
          </w:p>
        </w:tc>
        <w:tc>
          <w:tcPr>
            <w:tcW w:w="1276" w:type="dxa"/>
            <w:tcBorders>
              <w:top w:val="nil"/>
              <w:bottom w:val="nil"/>
            </w:tcBorders>
            <w:shd w:val="clear" w:color="auto" w:fill="D9D9D9" w:themeFill="background1" w:themeFillShade="D9"/>
            <w:vAlign w:val="center"/>
          </w:tcPr>
          <w:p w14:paraId="18D28B2C" w14:textId="77777777" w:rsidR="00E6060C" w:rsidRPr="00E6060C" w:rsidRDefault="00E6060C" w:rsidP="00E6060C">
            <w:pPr>
              <w:contextualSpacing/>
              <w:jc w:val="center"/>
            </w:pPr>
            <w:r w:rsidRPr="00E6060C">
              <w:t>3</w:t>
            </w:r>
          </w:p>
        </w:tc>
        <w:tc>
          <w:tcPr>
            <w:tcW w:w="992" w:type="dxa"/>
            <w:tcBorders>
              <w:top w:val="nil"/>
              <w:bottom w:val="nil"/>
            </w:tcBorders>
            <w:shd w:val="clear" w:color="auto" w:fill="D9D9D9" w:themeFill="background1" w:themeFillShade="D9"/>
            <w:vAlign w:val="center"/>
          </w:tcPr>
          <w:p w14:paraId="6031C67D" w14:textId="77777777" w:rsidR="00E6060C" w:rsidRPr="00E6060C" w:rsidRDefault="00E6060C" w:rsidP="00E6060C">
            <w:pPr>
              <w:contextualSpacing/>
              <w:jc w:val="center"/>
            </w:pPr>
            <w:r w:rsidRPr="00E6060C">
              <w:t>4</w:t>
            </w:r>
          </w:p>
        </w:tc>
        <w:tc>
          <w:tcPr>
            <w:tcW w:w="1088" w:type="dxa"/>
            <w:tcBorders>
              <w:top w:val="nil"/>
              <w:bottom w:val="nil"/>
            </w:tcBorders>
            <w:shd w:val="clear" w:color="auto" w:fill="D9D9D9" w:themeFill="background1" w:themeFillShade="D9"/>
            <w:vAlign w:val="center"/>
          </w:tcPr>
          <w:p w14:paraId="70988964" w14:textId="77777777" w:rsidR="00E6060C" w:rsidRPr="00E6060C" w:rsidRDefault="00E6060C" w:rsidP="00E6060C">
            <w:pPr>
              <w:contextualSpacing/>
              <w:jc w:val="center"/>
            </w:pPr>
            <w:r w:rsidRPr="00E6060C">
              <w:t>5</w:t>
            </w:r>
          </w:p>
        </w:tc>
      </w:tr>
      <w:tr w:rsidR="00E6060C" w:rsidRPr="00E6060C" w14:paraId="0D4CC149" w14:textId="77777777" w:rsidTr="00E6060C">
        <w:trPr>
          <w:trHeight w:val="237"/>
        </w:trPr>
        <w:tc>
          <w:tcPr>
            <w:tcW w:w="481" w:type="dxa"/>
            <w:tcBorders>
              <w:top w:val="nil"/>
              <w:bottom w:val="nil"/>
            </w:tcBorders>
            <w:shd w:val="clear" w:color="auto" w:fill="auto"/>
            <w:vAlign w:val="center"/>
          </w:tcPr>
          <w:p w14:paraId="55C7C528" w14:textId="77777777" w:rsidR="00E6060C" w:rsidRPr="00E6060C" w:rsidRDefault="00E6060C" w:rsidP="00E6060C">
            <w:pPr>
              <w:contextualSpacing/>
            </w:pPr>
            <w:r w:rsidRPr="00E6060C">
              <w:t>5</w:t>
            </w:r>
          </w:p>
        </w:tc>
        <w:tc>
          <w:tcPr>
            <w:tcW w:w="4623" w:type="dxa"/>
            <w:tcBorders>
              <w:top w:val="nil"/>
              <w:bottom w:val="nil"/>
            </w:tcBorders>
            <w:shd w:val="clear" w:color="auto" w:fill="auto"/>
            <w:vAlign w:val="center"/>
          </w:tcPr>
          <w:p w14:paraId="6BE37C7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encourage patients to talk about things that might be worrying them</w:t>
            </w:r>
          </w:p>
        </w:tc>
        <w:tc>
          <w:tcPr>
            <w:tcW w:w="1134" w:type="dxa"/>
            <w:tcBorders>
              <w:top w:val="nil"/>
              <w:bottom w:val="nil"/>
            </w:tcBorders>
            <w:shd w:val="clear" w:color="auto" w:fill="auto"/>
            <w:vAlign w:val="center"/>
          </w:tcPr>
          <w:p w14:paraId="112B3235"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auto"/>
            <w:vAlign w:val="center"/>
          </w:tcPr>
          <w:p w14:paraId="4131E5A8" w14:textId="77777777" w:rsidR="00E6060C" w:rsidRPr="00E6060C" w:rsidRDefault="00E6060C" w:rsidP="00E6060C">
            <w:pPr>
              <w:contextualSpacing/>
              <w:jc w:val="center"/>
            </w:pPr>
            <w:r w:rsidRPr="00E6060C">
              <w:t>2</w:t>
            </w:r>
          </w:p>
        </w:tc>
        <w:tc>
          <w:tcPr>
            <w:tcW w:w="1276" w:type="dxa"/>
            <w:tcBorders>
              <w:top w:val="nil"/>
              <w:bottom w:val="nil"/>
            </w:tcBorders>
            <w:shd w:val="clear" w:color="auto" w:fill="auto"/>
            <w:vAlign w:val="center"/>
          </w:tcPr>
          <w:p w14:paraId="32444608" w14:textId="77777777" w:rsidR="00E6060C" w:rsidRPr="00E6060C" w:rsidRDefault="00E6060C" w:rsidP="00E6060C">
            <w:pPr>
              <w:contextualSpacing/>
              <w:jc w:val="center"/>
            </w:pPr>
            <w:r w:rsidRPr="00E6060C">
              <w:t>3</w:t>
            </w:r>
          </w:p>
        </w:tc>
        <w:tc>
          <w:tcPr>
            <w:tcW w:w="992" w:type="dxa"/>
            <w:tcBorders>
              <w:top w:val="nil"/>
              <w:bottom w:val="nil"/>
            </w:tcBorders>
            <w:shd w:val="clear" w:color="auto" w:fill="auto"/>
            <w:vAlign w:val="center"/>
          </w:tcPr>
          <w:p w14:paraId="003F7F3F" w14:textId="77777777" w:rsidR="00E6060C" w:rsidRPr="00E6060C" w:rsidRDefault="00E6060C" w:rsidP="00E6060C">
            <w:pPr>
              <w:contextualSpacing/>
              <w:jc w:val="center"/>
            </w:pPr>
            <w:r w:rsidRPr="00E6060C">
              <w:t>4</w:t>
            </w:r>
          </w:p>
        </w:tc>
        <w:tc>
          <w:tcPr>
            <w:tcW w:w="1088" w:type="dxa"/>
            <w:tcBorders>
              <w:top w:val="nil"/>
              <w:bottom w:val="nil"/>
            </w:tcBorders>
            <w:shd w:val="clear" w:color="auto" w:fill="auto"/>
            <w:vAlign w:val="center"/>
          </w:tcPr>
          <w:p w14:paraId="1F013B4D" w14:textId="77777777" w:rsidR="00E6060C" w:rsidRPr="00E6060C" w:rsidRDefault="00E6060C" w:rsidP="00E6060C">
            <w:pPr>
              <w:contextualSpacing/>
              <w:jc w:val="center"/>
            </w:pPr>
            <w:r w:rsidRPr="00E6060C">
              <w:t>5</w:t>
            </w:r>
          </w:p>
        </w:tc>
      </w:tr>
      <w:tr w:rsidR="00E6060C" w:rsidRPr="00E6060C" w14:paraId="1E655DBB" w14:textId="77777777" w:rsidTr="00E6060C">
        <w:trPr>
          <w:trHeight w:val="237"/>
        </w:trPr>
        <w:tc>
          <w:tcPr>
            <w:tcW w:w="481" w:type="dxa"/>
            <w:tcBorders>
              <w:top w:val="nil"/>
              <w:bottom w:val="nil"/>
            </w:tcBorders>
            <w:shd w:val="clear" w:color="auto" w:fill="D9D9D9" w:themeFill="background1" w:themeFillShade="D9"/>
            <w:vAlign w:val="center"/>
          </w:tcPr>
          <w:p w14:paraId="549FB3E2" w14:textId="77777777" w:rsidR="00E6060C" w:rsidRPr="00E6060C" w:rsidRDefault="00E6060C" w:rsidP="00E6060C">
            <w:pPr>
              <w:contextualSpacing/>
            </w:pPr>
            <w:r w:rsidRPr="00E6060C">
              <w:t>6</w:t>
            </w:r>
          </w:p>
        </w:tc>
        <w:tc>
          <w:tcPr>
            <w:tcW w:w="4623" w:type="dxa"/>
            <w:tcBorders>
              <w:top w:val="nil"/>
              <w:bottom w:val="nil"/>
            </w:tcBorders>
            <w:shd w:val="clear" w:color="auto" w:fill="D9D9D9" w:themeFill="background1" w:themeFillShade="D9"/>
            <w:vAlign w:val="center"/>
          </w:tcPr>
          <w:p w14:paraId="0DC4BEF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show genuine concern and courtesy towards patients, even under the most trying situations</w:t>
            </w:r>
          </w:p>
        </w:tc>
        <w:tc>
          <w:tcPr>
            <w:tcW w:w="1134" w:type="dxa"/>
            <w:tcBorders>
              <w:top w:val="nil"/>
              <w:bottom w:val="nil"/>
            </w:tcBorders>
            <w:shd w:val="clear" w:color="auto" w:fill="D9D9D9" w:themeFill="background1" w:themeFillShade="D9"/>
            <w:vAlign w:val="center"/>
          </w:tcPr>
          <w:p w14:paraId="4FDDF539"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1115651A" w14:textId="77777777" w:rsidR="00E6060C" w:rsidRPr="00E6060C" w:rsidRDefault="00E6060C" w:rsidP="00E6060C">
            <w:pPr>
              <w:contextualSpacing/>
              <w:jc w:val="center"/>
            </w:pPr>
            <w:r w:rsidRPr="00E6060C">
              <w:t>2</w:t>
            </w:r>
          </w:p>
        </w:tc>
        <w:tc>
          <w:tcPr>
            <w:tcW w:w="1276" w:type="dxa"/>
            <w:tcBorders>
              <w:top w:val="nil"/>
              <w:bottom w:val="nil"/>
            </w:tcBorders>
            <w:shd w:val="clear" w:color="auto" w:fill="D9D9D9" w:themeFill="background1" w:themeFillShade="D9"/>
            <w:vAlign w:val="center"/>
          </w:tcPr>
          <w:p w14:paraId="7CD43E4E" w14:textId="77777777" w:rsidR="00E6060C" w:rsidRPr="00E6060C" w:rsidRDefault="00E6060C" w:rsidP="00E6060C">
            <w:pPr>
              <w:contextualSpacing/>
              <w:jc w:val="center"/>
            </w:pPr>
            <w:r w:rsidRPr="00E6060C">
              <w:t>3</w:t>
            </w:r>
          </w:p>
        </w:tc>
        <w:tc>
          <w:tcPr>
            <w:tcW w:w="992" w:type="dxa"/>
            <w:tcBorders>
              <w:top w:val="nil"/>
              <w:bottom w:val="nil"/>
            </w:tcBorders>
            <w:shd w:val="clear" w:color="auto" w:fill="D9D9D9" w:themeFill="background1" w:themeFillShade="D9"/>
            <w:vAlign w:val="center"/>
          </w:tcPr>
          <w:p w14:paraId="75672873" w14:textId="77777777" w:rsidR="00E6060C" w:rsidRPr="00E6060C" w:rsidRDefault="00E6060C" w:rsidP="00E6060C">
            <w:pPr>
              <w:contextualSpacing/>
              <w:jc w:val="center"/>
            </w:pPr>
            <w:r w:rsidRPr="00E6060C">
              <w:t>4</w:t>
            </w:r>
          </w:p>
        </w:tc>
        <w:tc>
          <w:tcPr>
            <w:tcW w:w="1088" w:type="dxa"/>
            <w:tcBorders>
              <w:top w:val="nil"/>
              <w:bottom w:val="nil"/>
            </w:tcBorders>
            <w:shd w:val="clear" w:color="auto" w:fill="D9D9D9" w:themeFill="background1" w:themeFillShade="D9"/>
            <w:vAlign w:val="center"/>
          </w:tcPr>
          <w:p w14:paraId="1187B632" w14:textId="77777777" w:rsidR="00E6060C" w:rsidRPr="00E6060C" w:rsidRDefault="00E6060C" w:rsidP="00E6060C">
            <w:pPr>
              <w:contextualSpacing/>
              <w:jc w:val="center"/>
            </w:pPr>
            <w:r w:rsidRPr="00E6060C">
              <w:t>5</w:t>
            </w:r>
          </w:p>
        </w:tc>
      </w:tr>
      <w:tr w:rsidR="00E6060C" w:rsidRPr="00E6060C" w14:paraId="7730FC8E" w14:textId="77777777" w:rsidTr="00E6060C">
        <w:trPr>
          <w:trHeight w:val="237"/>
        </w:trPr>
        <w:tc>
          <w:tcPr>
            <w:tcW w:w="481" w:type="dxa"/>
            <w:tcBorders>
              <w:top w:val="nil"/>
              <w:bottom w:val="nil"/>
            </w:tcBorders>
            <w:shd w:val="clear" w:color="auto" w:fill="auto"/>
            <w:vAlign w:val="center"/>
          </w:tcPr>
          <w:p w14:paraId="31C97FF0" w14:textId="77777777" w:rsidR="00E6060C" w:rsidRPr="00E6060C" w:rsidRDefault="00E6060C" w:rsidP="00E6060C">
            <w:pPr>
              <w:contextualSpacing/>
            </w:pPr>
            <w:r w:rsidRPr="00E6060C">
              <w:t>7</w:t>
            </w:r>
          </w:p>
        </w:tc>
        <w:tc>
          <w:tcPr>
            <w:tcW w:w="4623" w:type="dxa"/>
            <w:tcBorders>
              <w:top w:val="nil"/>
              <w:bottom w:val="nil"/>
            </w:tcBorders>
            <w:shd w:val="clear" w:color="auto" w:fill="auto"/>
            <w:vAlign w:val="center"/>
          </w:tcPr>
          <w:p w14:paraId="1A3DEC16"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provide timely patient care</w:t>
            </w:r>
          </w:p>
        </w:tc>
        <w:tc>
          <w:tcPr>
            <w:tcW w:w="1134" w:type="dxa"/>
            <w:tcBorders>
              <w:top w:val="nil"/>
              <w:bottom w:val="nil"/>
            </w:tcBorders>
            <w:shd w:val="clear" w:color="auto" w:fill="auto"/>
            <w:vAlign w:val="center"/>
          </w:tcPr>
          <w:p w14:paraId="5496CFEC"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auto"/>
            <w:vAlign w:val="center"/>
          </w:tcPr>
          <w:p w14:paraId="38B378F6" w14:textId="77777777" w:rsidR="00E6060C" w:rsidRPr="00E6060C" w:rsidRDefault="00E6060C" w:rsidP="00E6060C">
            <w:pPr>
              <w:contextualSpacing/>
              <w:jc w:val="center"/>
            </w:pPr>
            <w:r w:rsidRPr="00E6060C">
              <w:t>2</w:t>
            </w:r>
          </w:p>
        </w:tc>
        <w:tc>
          <w:tcPr>
            <w:tcW w:w="1276" w:type="dxa"/>
            <w:tcBorders>
              <w:top w:val="nil"/>
              <w:bottom w:val="nil"/>
            </w:tcBorders>
            <w:shd w:val="clear" w:color="auto" w:fill="auto"/>
            <w:vAlign w:val="center"/>
          </w:tcPr>
          <w:p w14:paraId="5834423E" w14:textId="77777777" w:rsidR="00E6060C" w:rsidRPr="00E6060C" w:rsidRDefault="00E6060C" w:rsidP="00E6060C">
            <w:pPr>
              <w:contextualSpacing/>
              <w:jc w:val="center"/>
            </w:pPr>
            <w:r w:rsidRPr="00E6060C">
              <w:t>3</w:t>
            </w:r>
          </w:p>
        </w:tc>
        <w:tc>
          <w:tcPr>
            <w:tcW w:w="992" w:type="dxa"/>
            <w:tcBorders>
              <w:top w:val="nil"/>
              <w:bottom w:val="nil"/>
            </w:tcBorders>
            <w:shd w:val="clear" w:color="auto" w:fill="auto"/>
            <w:vAlign w:val="center"/>
          </w:tcPr>
          <w:p w14:paraId="67DE2C4C" w14:textId="77777777" w:rsidR="00E6060C" w:rsidRPr="00E6060C" w:rsidRDefault="00E6060C" w:rsidP="00E6060C">
            <w:pPr>
              <w:contextualSpacing/>
              <w:jc w:val="center"/>
            </w:pPr>
            <w:r w:rsidRPr="00E6060C">
              <w:t>4</w:t>
            </w:r>
          </w:p>
        </w:tc>
        <w:tc>
          <w:tcPr>
            <w:tcW w:w="1088" w:type="dxa"/>
            <w:tcBorders>
              <w:top w:val="nil"/>
              <w:bottom w:val="nil"/>
            </w:tcBorders>
            <w:shd w:val="clear" w:color="auto" w:fill="auto"/>
            <w:vAlign w:val="center"/>
          </w:tcPr>
          <w:p w14:paraId="51564F67" w14:textId="77777777" w:rsidR="00E6060C" w:rsidRPr="00E6060C" w:rsidRDefault="00E6060C" w:rsidP="00E6060C">
            <w:pPr>
              <w:contextualSpacing/>
              <w:jc w:val="center"/>
            </w:pPr>
            <w:r w:rsidRPr="00E6060C">
              <w:t>5</w:t>
            </w:r>
          </w:p>
        </w:tc>
      </w:tr>
      <w:tr w:rsidR="00E6060C" w:rsidRPr="00E6060C" w14:paraId="32D2EB87" w14:textId="77777777" w:rsidTr="00E6060C">
        <w:trPr>
          <w:trHeight w:val="484"/>
        </w:trPr>
        <w:tc>
          <w:tcPr>
            <w:tcW w:w="481" w:type="dxa"/>
            <w:tcBorders>
              <w:top w:val="nil"/>
              <w:bottom w:val="nil"/>
            </w:tcBorders>
            <w:shd w:val="clear" w:color="auto" w:fill="D9D9D9" w:themeFill="background1" w:themeFillShade="D9"/>
            <w:vAlign w:val="center"/>
          </w:tcPr>
          <w:p w14:paraId="2D55C122" w14:textId="77777777" w:rsidR="00E6060C" w:rsidRPr="00E6060C" w:rsidRDefault="00E6060C" w:rsidP="00E6060C">
            <w:pPr>
              <w:contextualSpacing/>
            </w:pPr>
            <w:r w:rsidRPr="00E6060C">
              <w:t>8</w:t>
            </w:r>
          </w:p>
        </w:tc>
        <w:tc>
          <w:tcPr>
            <w:tcW w:w="4623" w:type="dxa"/>
            <w:tcBorders>
              <w:top w:val="nil"/>
              <w:bottom w:val="nil"/>
            </w:tcBorders>
            <w:shd w:val="clear" w:color="auto" w:fill="D9D9D9" w:themeFill="background1" w:themeFillShade="D9"/>
            <w:vAlign w:val="center"/>
          </w:tcPr>
          <w:p w14:paraId="4DDEFE6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Overall, I provide quality patient care</w:t>
            </w:r>
          </w:p>
        </w:tc>
        <w:tc>
          <w:tcPr>
            <w:tcW w:w="1134" w:type="dxa"/>
            <w:tcBorders>
              <w:top w:val="nil"/>
              <w:bottom w:val="nil"/>
            </w:tcBorders>
            <w:shd w:val="clear" w:color="auto" w:fill="D9D9D9" w:themeFill="background1" w:themeFillShade="D9"/>
            <w:vAlign w:val="center"/>
          </w:tcPr>
          <w:p w14:paraId="7ED2B970"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7520FFD6" w14:textId="77777777" w:rsidR="00E6060C" w:rsidRPr="00E6060C" w:rsidRDefault="00E6060C" w:rsidP="00E6060C">
            <w:pPr>
              <w:contextualSpacing/>
              <w:jc w:val="center"/>
            </w:pPr>
            <w:r w:rsidRPr="00E6060C">
              <w:t>2</w:t>
            </w:r>
          </w:p>
        </w:tc>
        <w:tc>
          <w:tcPr>
            <w:tcW w:w="1276" w:type="dxa"/>
            <w:tcBorders>
              <w:top w:val="nil"/>
              <w:bottom w:val="nil"/>
            </w:tcBorders>
            <w:shd w:val="clear" w:color="auto" w:fill="D9D9D9" w:themeFill="background1" w:themeFillShade="D9"/>
            <w:vAlign w:val="center"/>
          </w:tcPr>
          <w:p w14:paraId="0E03A237" w14:textId="77777777" w:rsidR="00E6060C" w:rsidRPr="00E6060C" w:rsidRDefault="00E6060C" w:rsidP="00E6060C">
            <w:pPr>
              <w:contextualSpacing/>
              <w:jc w:val="center"/>
            </w:pPr>
            <w:r w:rsidRPr="00E6060C">
              <w:t>3</w:t>
            </w:r>
          </w:p>
        </w:tc>
        <w:tc>
          <w:tcPr>
            <w:tcW w:w="992" w:type="dxa"/>
            <w:tcBorders>
              <w:top w:val="nil"/>
              <w:bottom w:val="nil"/>
            </w:tcBorders>
            <w:shd w:val="clear" w:color="auto" w:fill="D9D9D9" w:themeFill="background1" w:themeFillShade="D9"/>
            <w:vAlign w:val="center"/>
          </w:tcPr>
          <w:p w14:paraId="3C72D9FE" w14:textId="77777777" w:rsidR="00E6060C" w:rsidRPr="00E6060C" w:rsidRDefault="00E6060C" w:rsidP="00E6060C">
            <w:pPr>
              <w:contextualSpacing/>
              <w:jc w:val="center"/>
            </w:pPr>
            <w:r w:rsidRPr="00E6060C">
              <w:t>4</w:t>
            </w:r>
          </w:p>
        </w:tc>
        <w:tc>
          <w:tcPr>
            <w:tcW w:w="1088" w:type="dxa"/>
            <w:tcBorders>
              <w:top w:val="nil"/>
              <w:bottom w:val="nil"/>
            </w:tcBorders>
            <w:shd w:val="clear" w:color="auto" w:fill="D9D9D9" w:themeFill="background1" w:themeFillShade="D9"/>
            <w:vAlign w:val="center"/>
          </w:tcPr>
          <w:p w14:paraId="1D21C017" w14:textId="77777777" w:rsidR="00E6060C" w:rsidRPr="00E6060C" w:rsidRDefault="00E6060C" w:rsidP="00E6060C">
            <w:pPr>
              <w:contextualSpacing/>
              <w:jc w:val="center"/>
            </w:pPr>
            <w:r w:rsidRPr="00E6060C">
              <w:t>5</w:t>
            </w:r>
          </w:p>
        </w:tc>
      </w:tr>
    </w:tbl>
    <w:p w14:paraId="60A26438" w14:textId="77777777" w:rsidR="00E6060C" w:rsidRPr="00E6060C" w:rsidRDefault="00E6060C" w:rsidP="00E6060C"/>
    <w:tbl>
      <w:tblPr>
        <w:tblStyle w:val="TableGrid8"/>
        <w:tblW w:w="10728"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
        <w:gridCol w:w="4300"/>
        <w:gridCol w:w="1083"/>
        <w:gridCol w:w="1235"/>
        <w:gridCol w:w="1304"/>
        <w:gridCol w:w="1040"/>
        <w:gridCol w:w="1285"/>
      </w:tblGrid>
      <w:tr w:rsidR="00E6060C" w:rsidRPr="00E6060C" w14:paraId="0A696D94" w14:textId="77777777" w:rsidTr="00E6060C">
        <w:trPr>
          <w:cantSplit/>
          <w:trHeight w:val="484"/>
          <w:tblHeader/>
        </w:trPr>
        <w:tc>
          <w:tcPr>
            <w:tcW w:w="481" w:type="dxa"/>
            <w:tcBorders>
              <w:top w:val="single" w:sz="4" w:space="0" w:color="auto"/>
              <w:bottom w:val="single" w:sz="4" w:space="0" w:color="auto"/>
            </w:tcBorders>
            <w:shd w:val="clear" w:color="auto" w:fill="8EAADB" w:themeFill="accent5" w:themeFillTint="99"/>
          </w:tcPr>
          <w:p w14:paraId="50EBB1CD" w14:textId="77777777" w:rsidR="00E6060C" w:rsidRPr="00E6060C" w:rsidRDefault="00E6060C" w:rsidP="00E6060C">
            <w:pPr>
              <w:spacing w:after="200" w:line="276" w:lineRule="auto"/>
              <w:ind w:left="-108"/>
              <w:contextualSpacing/>
              <w:rPr>
                <w:b/>
              </w:rPr>
            </w:pPr>
            <w:r w:rsidRPr="00E6060C">
              <w:rPr>
                <w:b/>
              </w:rPr>
              <w:t xml:space="preserve">  12</w:t>
            </w:r>
          </w:p>
        </w:tc>
        <w:tc>
          <w:tcPr>
            <w:tcW w:w="4300" w:type="dxa"/>
            <w:tcBorders>
              <w:top w:val="single" w:sz="4" w:space="0" w:color="auto"/>
              <w:bottom w:val="single" w:sz="4" w:space="0" w:color="auto"/>
            </w:tcBorders>
            <w:shd w:val="clear" w:color="auto" w:fill="8EAADB" w:themeFill="accent5" w:themeFillTint="99"/>
          </w:tcPr>
          <w:p w14:paraId="7D10F02B" w14:textId="77777777" w:rsidR="00E6060C" w:rsidRPr="00E6060C" w:rsidRDefault="00E6060C" w:rsidP="00E6060C">
            <w:pPr>
              <w:contextualSpacing/>
            </w:pPr>
            <w:r w:rsidRPr="00E6060C">
              <w:rPr>
                <w:b/>
                <w:bCs/>
              </w:rPr>
              <w:t xml:space="preserve">The following statements are about </w:t>
            </w:r>
            <w:r w:rsidRPr="00E6060C">
              <w:rPr>
                <w:b/>
                <w:bCs/>
                <w:u w:val="single"/>
              </w:rPr>
              <w:t>your personal experiences</w:t>
            </w:r>
            <w:r w:rsidRPr="00E6060C">
              <w:rPr>
                <w:b/>
                <w:bCs/>
              </w:rPr>
              <w:t xml:space="preserve"> at work.</w:t>
            </w:r>
          </w:p>
        </w:tc>
        <w:tc>
          <w:tcPr>
            <w:tcW w:w="1083" w:type="dxa"/>
            <w:tcBorders>
              <w:top w:val="single" w:sz="4" w:space="0" w:color="auto"/>
              <w:bottom w:val="single" w:sz="4" w:space="0" w:color="auto"/>
            </w:tcBorders>
            <w:shd w:val="clear" w:color="auto" w:fill="8EAADB" w:themeFill="accent5" w:themeFillTint="99"/>
          </w:tcPr>
          <w:p w14:paraId="0DDA94A4" w14:textId="77777777" w:rsidR="00E6060C" w:rsidRPr="00E6060C" w:rsidRDefault="00E6060C" w:rsidP="00E6060C">
            <w:pPr>
              <w:contextualSpacing/>
              <w:jc w:val="center"/>
              <w:rPr>
                <w:b/>
                <w:bCs/>
              </w:rPr>
            </w:pPr>
            <w:r w:rsidRPr="00E6060C">
              <w:rPr>
                <w:b/>
                <w:bCs/>
              </w:rPr>
              <w:t>Totally disagree</w:t>
            </w:r>
          </w:p>
        </w:tc>
        <w:tc>
          <w:tcPr>
            <w:tcW w:w="1235" w:type="dxa"/>
            <w:tcBorders>
              <w:top w:val="single" w:sz="4" w:space="0" w:color="auto"/>
              <w:bottom w:val="single" w:sz="4" w:space="0" w:color="auto"/>
            </w:tcBorders>
            <w:shd w:val="clear" w:color="auto" w:fill="8EAADB" w:themeFill="accent5" w:themeFillTint="99"/>
          </w:tcPr>
          <w:p w14:paraId="1585042A" w14:textId="77777777" w:rsidR="00E6060C" w:rsidRPr="00E6060C" w:rsidRDefault="00E6060C" w:rsidP="00E6060C">
            <w:pPr>
              <w:contextualSpacing/>
              <w:jc w:val="center"/>
              <w:rPr>
                <w:b/>
                <w:bCs/>
              </w:rPr>
            </w:pPr>
            <w:r w:rsidRPr="00E6060C">
              <w:rPr>
                <w:b/>
                <w:bCs/>
              </w:rPr>
              <w:t>Disagree</w:t>
            </w:r>
          </w:p>
        </w:tc>
        <w:tc>
          <w:tcPr>
            <w:tcW w:w="1304" w:type="dxa"/>
            <w:tcBorders>
              <w:top w:val="single" w:sz="4" w:space="0" w:color="auto"/>
              <w:bottom w:val="single" w:sz="4" w:space="0" w:color="auto"/>
            </w:tcBorders>
            <w:shd w:val="clear" w:color="auto" w:fill="8EAADB" w:themeFill="accent5" w:themeFillTint="99"/>
          </w:tcPr>
          <w:p w14:paraId="2AFD75A8" w14:textId="77777777" w:rsidR="00E6060C" w:rsidRPr="00E6060C" w:rsidRDefault="00E6060C" w:rsidP="00E6060C">
            <w:pPr>
              <w:contextualSpacing/>
              <w:jc w:val="center"/>
              <w:rPr>
                <w:b/>
                <w:bCs/>
              </w:rPr>
            </w:pPr>
            <w:r w:rsidRPr="00E6060C">
              <w:rPr>
                <w:b/>
                <w:bCs/>
              </w:rPr>
              <w:t>Somewhat disagree</w:t>
            </w:r>
          </w:p>
          <w:p w14:paraId="589782ED" w14:textId="77777777" w:rsidR="00E6060C" w:rsidRPr="00E6060C" w:rsidRDefault="00E6060C" w:rsidP="00E6060C">
            <w:pPr>
              <w:contextualSpacing/>
              <w:jc w:val="center"/>
              <w:rPr>
                <w:b/>
                <w:bCs/>
              </w:rPr>
            </w:pPr>
          </w:p>
        </w:tc>
        <w:tc>
          <w:tcPr>
            <w:tcW w:w="1040" w:type="dxa"/>
            <w:tcBorders>
              <w:top w:val="single" w:sz="4" w:space="0" w:color="auto"/>
              <w:bottom w:val="single" w:sz="4" w:space="0" w:color="auto"/>
            </w:tcBorders>
            <w:shd w:val="clear" w:color="auto" w:fill="8EAADB" w:themeFill="accent5" w:themeFillTint="99"/>
          </w:tcPr>
          <w:p w14:paraId="47869038" w14:textId="77777777" w:rsidR="00E6060C" w:rsidRPr="00E6060C" w:rsidRDefault="00E6060C" w:rsidP="00E6060C">
            <w:pPr>
              <w:contextualSpacing/>
              <w:jc w:val="center"/>
              <w:rPr>
                <w:b/>
                <w:bCs/>
              </w:rPr>
            </w:pPr>
            <w:r w:rsidRPr="00E6060C">
              <w:rPr>
                <w:b/>
                <w:bCs/>
              </w:rPr>
              <w:t>Agree</w:t>
            </w:r>
          </w:p>
        </w:tc>
        <w:tc>
          <w:tcPr>
            <w:tcW w:w="1285" w:type="dxa"/>
            <w:tcBorders>
              <w:top w:val="single" w:sz="4" w:space="0" w:color="auto"/>
              <w:bottom w:val="single" w:sz="4" w:space="0" w:color="auto"/>
            </w:tcBorders>
            <w:shd w:val="clear" w:color="auto" w:fill="8EAADB" w:themeFill="accent5" w:themeFillTint="99"/>
          </w:tcPr>
          <w:p w14:paraId="1057912F" w14:textId="77777777" w:rsidR="00E6060C" w:rsidRPr="00E6060C" w:rsidRDefault="00E6060C" w:rsidP="00E6060C">
            <w:pPr>
              <w:contextualSpacing/>
              <w:jc w:val="center"/>
              <w:rPr>
                <w:b/>
                <w:bCs/>
              </w:rPr>
            </w:pPr>
            <w:r w:rsidRPr="00E6060C">
              <w:rPr>
                <w:b/>
                <w:bCs/>
              </w:rPr>
              <w:t>Totally agree</w:t>
            </w:r>
          </w:p>
        </w:tc>
      </w:tr>
      <w:tr w:rsidR="00E6060C" w:rsidRPr="00E6060C" w14:paraId="1BC5421C" w14:textId="77777777" w:rsidTr="00E6060C">
        <w:trPr>
          <w:trHeight w:val="248"/>
        </w:trPr>
        <w:tc>
          <w:tcPr>
            <w:tcW w:w="481" w:type="dxa"/>
            <w:tcBorders>
              <w:top w:val="nil"/>
              <w:bottom w:val="nil"/>
            </w:tcBorders>
            <w:vAlign w:val="center"/>
          </w:tcPr>
          <w:p w14:paraId="099D6E68" w14:textId="77777777" w:rsidR="00E6060C" w:rsidRPr="00E6060C" w:rsidRDefault="00E6060C" w:rsidP="00E6060C">
            <w:pPr>
              <w:contextualSpacing/>
            </w:pPr>
            <w:r w:rsidRPr="00E6060C">
              <w:t>1</w:t>
            </w:r>
          </w:p>
        </w:tc>
        <w:tc>
          <w:tcPr>
            <w:tcW w:w="4300" w:type="dxa"/>
            <w:tcBorders>
              <w:top w:val="nil"/>
              <w:bottom w:val="nil"/>
            </w:tcBorders>
            <w:vAlign w:val="center"/>
          </w:tcPr>
          <w:p w14:paraId="77A142A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feel like I can be myself at work.</w:t>
            </w:r>
          </w:p>
        </w:tc>
        <w:tc>
          <w:tcPr>
            <w:tcW w:w="1083" w:type="dxa"/>
            <w:tcBorders>
              <w:top w:val="nil"/>
              <w:bottom w:val="nil"/>
            </w:tcBorders>
            <w:vAlign w:val="center"/>
          </w:tcPr>
          <w:p w14:paraId="0085F2D5" w14:textId="77777777" w:rsidR="00E6060C" w:rsidRPr="00E6060C" w:rsidRDefault="00E6060C" w:rsidP="00E6060C">
            <w:pPr>
              <w:contextualSpacing/>
              <w:jc w:val="center"/>
            </w:pPr>
            <w:r w:rsidRPr="00E6060C">
              <w:t>1</w:t>
            </w:r>
          </w:p>
        </w:tc>
        <w:tc>
          <w:tcPr>
            <w:tcW w:w="1235" w:type="dxa"/>
            <w:tcBorders>
              <w:top w:val="nil"/>
              <w:bottom w:val="nil"/>
            </w:tcBorders>
            <w:vAlign w:val="center"/>
          </w:tcPr>
          <w:p w14:paraId="2DC18EDA" w14:textId="77777777" w:rsidR="00E6060C" w:rsidRPr="00E6060C" w:rsidRDefault="00E6060C" w:rsidP="00E6060C">
            <w:pPr>
              <w:contextualSpacing/>
              <w:jc w:val="center"/>
            </w:pPr>
            <w:r w:rsidRPr="00E6060C">
              <w:t>2</w:t>
            </w:r>
          </w:p>
        </w:tc>
        <w:tc>
          <w:tcPr>
            <w:tcW w:w="1304" w:type="dxa"/>
            <w:tcBorders>
              <w:top w:val="nil"/>
              <w:bottom w:val="nil"/>
            </w:tcBorders>
            <w:vAlign w:val="center"/>
          </w:tcPr>
          <w:p w14:paraId="759200E2" w14:textId="77777777" w:rsidR="00E6060C" w:rsidRPr="00E6060C" w:rsidRDefault="00E6060C" w:rsidP="00E6060C">
            <w:pPr>
              <w:contextualSpacing/>
              <w:jc w:val="center"/>
            </w:pPr>
            <w:r w:rsidRPr="00E6060C">
              <w:t>3</w:t>
            </w:r>
          </w:p>
        </w:tc>
        <w:tc>
          <w:tcPr>
            <w:tcW w:w="1040" w:type="dxa"/>
            <w:tcBorders>
              <w:top w:val="nil"/>
              <w:bottom w:val="nil"/>
            </w:tcBorders>
            <w:vAlign w:val="center"/>
          </w:tcPr>
          <w:p w14:paraId="7D38D293" w14:textId="77777777" w:rsidR="00E6060C" w:rsidRPr="00E6060C" w:rsidRDefault="00E6060C" w:rsidP="00E6060C">
            <w:pPr>
              <w:contextualSpacing/>
              <w:jc w:val="center"/>
            </w:pPr>
            <w:r w:rsidRPr="00E6060C">
              <w:t>4</w:t>
            </w:r>
          </w:p>
        </w:tc>
        <w:tc>
          <w:tcPr>
            <w:tcW w:w="1285" w:type="dxa"/>
            <w:tcBorders>
              <w:top w:val="nil"/>
              <w:bottom w:val="nil"/>
            </w:tcBorders>
            <w:vAlign w:val="center"/>
          </w:tcPr>
          <w:p w14:paraId="07F34C5D" w14:textId="77777777" w:rsidR="00E6060C" w:rsidRPr="00E6060C" w:rsidRDefault="00E6060C" w:rsidP="00E6060C">
            <w:pPr>
              <w:contextualSpacing/>
              <w:jc w:val="center"/>
            </w:pPr>
            <w:r w:rsidRPr="00E6060C">
              <w:t>5</w:t>
            </w:r>
          </w:p>
        </w:tc>
      </w:tr>
      <w:tr w:rsidR="00E6060C" w:rsidRPr="00E6060C" w14:paraId="4239DEAD" w14:textId="77777777" w:rsidTr="00E6060C">
        <w:trPr>
          <w:trHeight w:val="484"/>
        </w:trPr>
        <w:tc>
          <w:tcPr>
            <w:tcW w:w="481" w:type="dxa"/>
            <w:tcBorders>
              <w:top w:val="nil"/>
              <w:bottom w:val="nil"/>
            </w:tcBorders>
            <w:shd w:val="clear" w:color="auto" w:fill="D9D9D9" w:themeFill="background1" w:themeFillShade="D9"/>
            <w:vAlign w:val="center"/>
          </w:tcPr>
          <w:p w14:paraId="7985FA18" w14:textId="77777777" w:rsidR="00E6060C" w:rsidRPr="00E6060C" w:rsidRDefault="00E6060C" w:rsidP="00E6060C">
            <w:pPr>
              <w:contextualSpacing/>
            </w:pPr>
            <w:r w:rsidRPr="00E6060C">
              <w:t>2</w:t>
            </w:r>
          </w:p>
        </w:tc>
        <w:tc>
          <w:tcPr>
            <w:tcW w:w="4300" w:type="dxa"/>
            <w:tcBorders>
              <w:top w:val="nil"/>
              <w:bottom w:val="nil"/>
            </w:tcBorders>
            <w:shd w:val="clear" w:color="auto" w:fill="D9D9D9" w:themeFill="background1" w:themeFillShade="D9"/>
            <w:vAlign w:val="center"/>
          </w:tcPr>
          <w:p w14:paraId="23D86754"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My duties at work are in line with what I really want to do</w:t>
            </w:r>
          </w:p>
        </w:tc>
        <w:tc>
          <w:tcPr>
            <w:tcW w:w="1083" w:type="dxa"/>
            <w:tcBorders>
              <w:top w:val="nil"/>
              <w:bottom w:val="nil"/>
            </w:tcBorders>
            <w:shd w:val="clear" w:color="auto" w:fill="D9D9D9" w:themeFill="background1" w:themeFillShade="D9"/>
            <w:vAlign w:val="center"/>
          </w:tcPr>
          <w:p w14:paraId="4000B7B0" w14:textId="77777777" w:rsidR="00E6060C" w:rsidRPr="00E6060C" w:rsidRDefault="00E6060C" w:rsidP="00E6060C">
            <w:pPr>
              <w:contextualSpacing/>
              <w:jc w:val="center"/>
            </w:pPr>
            <w:r w:rsidRPr="00E6060C">
              <w:t>1</w:t>
            </w:r>
          </w:p>
        </w:tc>
        <w:tc>
          <w:tcPr>
            <w:tcW w:w="1235" w:type="dxa"/>
            <w:tcBorders>
              <w:top w:val="nil"/>
              <w:bottom w:val="nil"/>
            </w:tcBorders>
            <w:shd w:val="clear" w:color="auto" w:fill="D9D9D9" w:themeFill="background1" w:themeFillShade="D9"/>
            <w:vAlign w:val="center"/>
          </w:tcPr>
          <w:p w14:paraId="7693C149" w14:textId="77777777" w:rsidR="00E6060C" w:rsidRPr="00E6060C" w:rsidRDefault="00E6060C" w:rsidP="00E6060C">
            <w:pPr>
              <w:contextualSpacing/>
              <w:jc w:val="center"/>
            </w:pPr>
            <w:r w:rsidRPr="00E6060C">
              <w:t>2</w:t>
            </w:r>
          </w:p>
        </w:tc>
        <w:tc>
          <w:tcPr>
            <w:tcW w:w="1304" w:type="dxa"/>
            <w:tcBorders>
              <w:top w:val="nil"/>
              <w:bottom w:val="nil"/>
            </w:tcBorders>
            <w:shd w:val="clear" w:color="auto" w:fill="D9D9D9" w:themeFill="background1" w:themeFillShade="D9"/>
            <w:vAlign w:val="center"/>
          </w:tcPr>
          <w:p w14:paraId="1D6B125F" w14:textId="77777777" w:rsidR="00E6060C" w:rsidRPr="00E6060C" w:rsidRDefault="00E6060C" w:rsidP="00E6060C">
            <w:pPr>
              <w:contextualSpacing/>
              <w:jc w:val="center"/>
            </w:pPr>
            <w:r w:rsidRPr="00E6060C">
              <w:t>3</w:t>
            </w:r>
          </w:p>
        </w:tc>
        <w:tc>
          <w:tcPr>
            <w:tcW w:w="1040" w:type="dxa"/>
            <w:tcBorders>
              <w:top w:val="nil"/>
              <w:bottom w:val="nil"/>
            </w:tcBorders>
            <w:shd w:val="clear" w:color="auto" w:fill="D9D9D9" w:themeFill="background1" w:themeFillShade="D9"/>
            <w:vAlign w:val="center"/>
          </w:tcPr>
          <w:p w14:paraId="2FAC7BF0" w14:textId="77777777" w:rsidR="00E6060C" w:rsidRPr="00E6060C" w:rsidRDefault="00E6060C" w:rsidP="00E6060C">
            <w:pPr>
              <w:contextualSpacing/>
              <w:jc w:val="center"/>
            </w:pPr>
            <w:r w:rsidRPr="00E6060C">
              <w:t>4</w:t>
            </w:r>
          </w:p>
        </w:tc>
        <w:tc>
          <w:tcPr>
            <w:tcW w:w="1285" w:type="dxa"/>
            <w:tcBorders>
              <w:top w:val="nil"/>
              <w:bottom w:val="nil"/>
            </w:tcBorders>
            <w:shd w:val="clear" w:color="auto" w:fill="D9D9D9" w:themeFill="background1" w:themeFillShade="D9"/>
            <w:vAlign w:val="center"/>
          </w:tcPr>
          <w:p w14:paraId="071B6D39" w14:textId="77777777" w:rsidR="00E6060C" w:rsidRPr="00E6060C" w:rsidRDefault="00E6060C" w:rsidP="00E6060C">
            <w:pPr>
              <w:contextualSpacing/>
              <w:jc w:val="center"/>
            </w:pPr>
            <w:r w:rsidRPr="00E6060C">
              <w:t>5</w:t>
            </w:r>
          </w:p>
        </w:tc>
      </w:tr>
      <w:tr w:rsidR="00E6060C" w:rsidRPr="00E6060C" w14:paraId="432858B2" w14:textId="77777777" w:rsidTr="00E6060C">
        <w:trPr>
          <w:trHeight w:val="473"/>
        </w:trPr>
        <w:tc>
          <w:tcPr>
            <w:tcW w:w="481" w:type="dxa"/>
            <w:tcBorders>
              <w:top w:val="nil"/>
              <w:bottom w:val="nil"/>
            </w:tcBorders>
            <w:vAlign w:val="center"/>
          </w:tcPr>
          <w:p w14:paraId="41206AD0" w14:textId="77777777" w:rsidR="00E6060C" w:rsidRPr="00E6060C" w:rsidRDefault="00E6060C" w:rsidP="00E6060C">
            <w:pPr>
              <w:contextualSpacing/>
            </w:pPr>
            <w:r w:rsidRPr="00E6060C">
              <w:t>3</w:t>
            </w:r>
          </w:p>
        </w:tc>
        <w:tc>
          <w:tcPr>
            <w:tcW w:w="4300" w:type="dxa"/>
            <w:tcBorders>
              <w:top w:val="nil"/>
              <w:bottom w:val="nil"/>
            </w:tcBorders>
            <w:vAlign w:val="center"/>
          </w:tcPr>
          <w:p w14:paraId="13AE90D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feel free to do my job the way I think it could best be done.</w:t>
            </w:r>
          </w:p>
        </w:tc>
        <w:tc>
          <w:tcPr>
            <w:tcW w:w="1083" w:type="dxa"/>
            <w:tcBorders>
              <w:top w:val="nil"/>
              <w:bottom w:val="nil"/>
            </w:tcBorders>
            <w:vAlign w:val="center"/>
          </w:tcPr>
          <w:p w14:paraId="2AF77BCC" w14:textId="77777777" w:rsidR="00E6060C" w:rsidRPr="00E6060C" w:rsidRDefault="00E6060C" w:rsidP="00E6060C">
            <w:pPr>
              <w:contextualSpacing/>
              <w:jc w:val="center"/>
            </w:pPr>
            <w:r w:rsidRPr="00E6060C">
              <w:t>1</w:t>
            </w:r>
          </w:p>
        </w:tc>
        <w:tc>
          <w:tcPr>
            <w:tcW w:w="1235" w:type="dxa"/>
            <w:tcBorders>
              <w:top w:val="nil"/>
              <w:bottom w:val="nil"/>
            </w:tcBorders>
            <w:vAlign w:val="center"/>
          </w:tcPr>
          <w:p w14:paraId="735505F7" w14:textId="77777777" w:rsidR="00E6060C" w:rsidRPr="00E6060C" w:rsidRDefault="00E6060C" w:rsidP="00E6060C">
            <w:pPr>
              <w:contextualSpacing/>
              <w:jc w:val="center"/>
            </w:pPr>
            <w:r w:rsidRPr="00E6060C">
              <w:t>2</w:t>
            </w:r>
          </w:p>
        </w:tc>
        <w:tc>
          <w:tcPr>
            <w:tcW w:w="1304" w:type="dxa"/>
            <w:tcBorders>
              <w:top w:val="nil"/>
              <w:bottom w:val="nil"/>
            </w:tcBorders>
            <w:vAlign w:val="center"/>
          </w:tcPr>
          <w:p w14:paraId="1FD2D22A" w14:textId="77777777" w:rsidR="00E6060C" w:rsidRPr="00E6060C" w:rsidRDefault="00E6060C" w:rsidP="00E6060C">
            <w:pPr>
              <w:contextualSpacing/>
              <w:jc w:val="center"/>
            </w:pPr>
            <w:r w:rsidRPr="00E6060C">
              <w:t>3</w:t>
            </w:r>
          </w:p>
        </w:tc>
        <w:tc>
          <w:tcPr>
            <w:tcW w:w="1040" w:type="dxa"/>
            <w:tcBorders>
              <w:top w:val="nil"/>
              <w:bottom w:val="nil"/>
            </w:tcBorders>
            <w:vAlign w:val="center"/>
          </w:tcPr>
          <w:p w14:paraId="75D54B6E" w14:textId="77777777" w:rsidR="00E6060C" w:rsidRPr="00E6060C" w:rsidRDefault="00E6060C" w:rsidP="00E6060C">
            <w:pPr>
              <w:contextualSpacing/>
              <w:jc w:val="center"/>
            </w:pPr>
            <w:r w:rsidRPr="00E6060C">
              <w:t>4</w:t>
            </w:r>
          </w:p>
        </w:tc>
        <w:tc>
          <w:tcPr>
            <w:tcW w:w="1285" w:type="dxa"/>
            <w:tcBorders>
              <w:top w:val="nil"/>
              <w:bottom w:val="nil"/>
            </w:tcBorders>
            <w:vAlign w:val="center"/>
          </w:tcPr>
          <w:p w14:paraId="12BBA151" w14:textId="77777777" w:rsidR="00E6060C" w:rsidRPr="00E6060C" w:rsidRDefault="00E6060C" w:rsidP="00E6060C">
            <w:pPr>
              <w:contextualSpacing/>
              <w:jc w:val="center"/>
            </w:pPr>
            <w:r w:rsidRPr="00E6060C">
              <w:t>5</w:t>
            </w:r>
          </w:p>
        </w:tc>
      </w:tr>
      <w:tr w:rsidR="00E6060C" w:rsidRPr="00E6060C" w14:paraId="236790B6" w14:textId="77777777" w:rsidTr="00E6060C">
        <w:trPr>
          <w:trHeight w:val="248"/>
        </w:trPr>
        <w:tc>
          <w:tcPr>
            <w:tcW w:w="481" w:type="dxa"/>
            <w:tcBorders>
              <w:top w:val="nil"/>
              <w:bottom w:val="nil"/>
            </w:tcBorders>
            <w:shd w:val="clear" w:color="auto" w:fill="D9D9D9" w:themeFill="background1" w:themeFillShade="D9"/>
            <w:vAlign w:val="center"/>
          </w:tcPr>
          <w:p w14:paraId="7DDF8E4F" w14:textId="77777777" w:rsidR="00E6060C" w:rsidRPr="00E6060C" w:rsidRDefault="00E6060C" w:rsidP="00E6060C">
            <w:pPr>
              <w:contextualSpacing/>
            </w:pPr>
            <w:r w:rsidRPr="00E6060C">
              <w:t>4</w:t>
            </w:r>
          </w:p>
        </w:tc>
        <w:tc>
          <w:tcPr>
            <w:tcW w:w="4300" w:type="dxa"/>
            <w:tcBorders>
              <w:top w:val="nil"/>
              <w:bottom w:val="nil"/>
            </w:tcBorders>
            <w:shd w:val="clear" w:color="auto" w:fill="D9D9D9" w:themeFill="background1" w:themeFillShade="D9"/>
            <w:vAlign w:val="center"/>
          </w:tcPr>
          <w:p w14:paraId="0463714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really master my duties at work.</w:t>
            </w:r>
          </w:p>
        </w:tc>
        <w:tc>
          <w:tcPr>
            <w:tcW w:w="1083" w:type="dxa"/>
            <w:tcBorders>
              <w:top w:val="nil"/>
              <w:bottom w:val="nil"/>
            </w:tcBorders>
            <w:shd w:val="clear" w:color="auto" w:fill="D9D9D9" w:themeFill="background1" w:themeFillShade="D9"/>
            <w:vAlign w:val="center"/>
          </w:tcPr>
          <w:p w14:paraId="75FC6429" w14:textId="77777777" w:rsidR="00E6060C" w:rsidRPr="00E6060C" w:rsidRDefault="00E6060C" w:rsidP="00E6060C">
            <w:pPr>
              <w:contextualSpacing/>
              <w:jc w:val="center"/>
            </w:pPr>
            <w:r w:rsidRPr="00E6060C">
              <w:t>1</w:t>
            </w:r>
          </w:p>
        </w:tc>
        <w:tc>
          <w:tcPr>
            <w:tcW w:w="1235" w:type="dxa"/>
            <w:tcBorders>
              <w:top w:val="nil"/>
              <w:bottom w:val="nil"/>
            </w:tcBorders>
            <w:shd w:val="clear" w:color="auto" w:fill="D9D9D9" w:themeFill="background1" w:themeFillShade="D9"/>
            <w:vAlign w:val="center"/>
          </w:tcPr>
          <w:p w14:paraId="6E9B76C6" w14:textId="77777777" w:rsidR="00E6060C" w:rsidRPr="00E6060C" w:rsidRDefault="00E6060C" w:rsidP="00E6060C">
            <w:pPr>
              <w:contextualSpacing/>
              <w:jc w:val="center"/>
            </w:pPr>
            <w:r w:rsidRPr="00E6060C">
              <w:t>2</w:t>
            </w:r>
          </w:p>
        </w:tc>
        <w:tc>
          <w:tcPr>
            <w:tcW w:w="1304" w:type="dxa"/>
            <w:tcBorders>
              <w:top w:val="nil"/>
              <w:bottom w:val="nil"/>
            </w:tcBorders>
            <w:shd w:val="clear" w:color="auto" w:fill="D9D9D9" w:themeFill="background1" w:themeFillShade="D9"/>
            <w:vAlign w:val="center"/>
          </w:tcPr>
          <w:p w14:paraId="5D2869C3" w14:textId="77777777" w:rsidR="00E6060C" w:rsidRPr="00E6060C" w:rsidRDefault="00E6060C" w:rsidP="00E6060C">
            <w:pPr>
              <w:contextualSpacing/>
              <w:jc w:val="center"/>
            </w:pPr>
            <w:r w:rsidRPr="00E6060C">
              <w:t>3</w:t>
            </w:r>
          </w:p>
        </w:tc>
        <w:tc>
          <w:tcPr>
            <w:tcW w:w="1040" w:type="dxa"/>
            <w:tcBorders>
              <w:top w:val="nil"/>
              <w:bottom w:val="nil"/>
            </w:tcBorders>
            <w:shd w:val="clear" w:color="auto" w:fill="D9D9D9" w:themeFill="background1" w:themeFillShade="D9"/>
            <w:vAlign w:val="center"/>
          </w:tcPr>
          <w:p w14:paraId="726E43F7" w14:textId="77777777" w:rsidR="00E6060C" w:rsidRPr="00E6060C" w:rsidRDefault="00E6060C" w:rsidP="00E6060C">
            <w:pPr>
              <w:contextualSpacing/>
              <w:jc w:val="center"/>
            </w:pPr>
            <w:r w:rsidRPr="00E6060C">
              <w:t>4</w:t>
            </w:r>
          </w:p>
        </w:tc>
        <w:tc>
          <w:tcPr>
            <w:tcW w:w="1285" w:type="dxa"/>
            <w:tcBorders>
              <w:top w:val="nil"/>
              <w:bottom w:val="nil"/>
            </w:tcBorders>
            <w:shd w:val="clear" w:color="auto" w:fill="D9D9D9" w:themeFill="background1" w:themeFillShade="D9"/>
            <w:vAlign w:val="center"/>
          </w:tcPr>
          <w:p w14:paraId="0B324AAD" w14:textId="77777777" w:rsidR="00E6060C" w:rsidRPr="00E6060C" w:rsidRDefault="00E6060C" w:rsidP="00E6060C">
            <w:pPr>
              <w:contextualSpacing/>
              <w:jc w:val="center"/>
            </w:pPr>
            <w:r w:rsidRPr="00E6060C">
              <w:t>5</w:t>
            </w:r>
          </w:p>
        </w:tc>
      </w:tr>
      <w:tr w:rsidR="00E6060C" w:rsidRPr="00E6060C" w14:paraId="29A11BCF" w14:textId="77777777" w:rsidTr="00E6060C">
        <w:trPr>
          <w:trHeight w:val="237"/>
        </w:trPr>
        <w:tc>
          <w:tcPr>
            <w:tcW w:w="481" w:type="dxa"/>
            <w:tcBorders>
              <w:top w:val="nil"/>
              <w:bottom w:val="nil"/>
            </w:tcBorders>
            <w:vAlign w:val="center"/>
          </w:tcPr>
          <w:p w14:paraId="572762FE" w14:textId="77777777" w:rsidR="00E6060C" w:rsidRPr="00E6060C" w:rsidRDefault="00E6060C" w:rsidP="00E6060C">
            <w:pPr>
              <w:contextualSpacing/>
            </w:pPr>
            <w:r w:rsidRPr="00E6060C">
              <w:t>5</w:t>
            </w:r>
          </w:p>
        </w:tc>
        <w:tc>
          <w:tcPr>
            <w:tcW w:w="4300" w:type="dxa"/>
            <w:tcBorders>
              <w:top w:val="nil"/>
              <w:bottom w:val="nil"/>
            </w:tcBorders>
            <w:vAlign w:val="center"/>
          </w:tcPr>
          <w:p w14:paraId="1D0D920D"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feel competent at my job.</w:t>
            </w:r>
          </w:p>
        </w:tc>
        <w:tc>
          <w:tcPr>
            <w:tcW w:w="1083" w:type="dxa"/>
            <w:tcBorders>
              <w:top w:val="nil"/>
              <w:bottom w:val="nil"/>
            </w:tcBorders>
            <w:vAlign w:val="center"/>
          </w:tcPr>
          <w:p w14:paraId="2CA8C627" w14:textId="77777777" w:rsidR="00E6060C" w:rsidRPr="00E6060C" w:rsidRDefault="00E6060C" w:rsidP="00E6060C">
            <w:pPr>
              <w:contextualSpacing/>
              <w:jc w:val="center"/>
            </w:pPr>
            <w:r w:rsidRPr="00E6060C">
              <w:t>1</w:t>
            </w:r>
          </w:p>
        </w:tc>
        <w:tc>
          <w:tcPr>
            <w:tcW w:w="1235" w:type="dxa"/>
            <w:tcBorders>
              <w:top w:val="nil"/>
              <w:bottom w:val="nil"/>
            </w:tcBorders>
            <w:vAlign w:val="center"/>
          </w:tcPr>
          <w:p w14:paraId="61C6A04E" w14:textId="77777777" w:rsidR="00E6060C" w:rsidRPr="00E6060C" w:rsidRDefault="00E6060C" w:rsidP="00E6060C">
            <w:pPr>
              <w:contextualSpacing/>
              <w:jc w:val="center"/>
            </w:pPr>
            <w:r w:rsidRPr="00E6060C">
              <w:t>2</w:t>
            </w:r>
          </w:p>
        </w:tc>
        <w:tc>
          <w:tcPr>
            <w:tcW w:w="1304" w:type="dxa"/>
            <w:tcBorders>
              <w:top w:val="nil"/>
              <w:bottom w:val="nil"/>
            </w:tcBorders>
            <w:vAlign w:val="center"/>
          </w:tcPr>
          <w:p w14:paraId="1C00BDE2" w14:textId="77777777" w:rsidR="00E6060C" w:rsidRPr="00E6060C" w:rsidRDefault="00E6060C" w:rsidP="00E6060C">
            <w:pPr>
              <w:contextualSpacing/>
              <w:jc w:val="center"/>
            </w:pPr>
            <w:r w:rsidRPr="00E6060C">
              <w:t>3</w:t>
            </w:r>
          </w:p>
        </w:tc>
        <w:tc>
          <w:tcPr>
            <w:tcW w:w="1040" w:type="dxa"/>
            <w:tcBorders>
              <w:top w:val="nil"/>
              <w:bottom w:val="nil"/>
            </w:tcBorders>
            <w:vAlign w:val="center"/>
          </w:tcPr>
          <w:p w14:paraId="63815001" w14:textId="77777777" w:rsidR="00E6060C" w:rsidRPr="00E6060C" w:rsidRDefault="00E6060C" w:rsidP="00E6060C">
            <w:pPr>
              <w:contextualSpacing/>
              <w:jc w:val="center"/>
            </w:pPr>
            <w:r w:rsidRPr="00E6060C">
              <w:t>4</w:t>
            </w:r>
          </w:p>
        </w:tc>
        <w:tc>
          <w:tcPr>
            <w:tcW w:w="1285" w:type="dxa"/>
            <w:tcBorders>
              <w:top w:val="nil"/>
              <w:bottom w:val="nil"/>
            </w:tcBorders>
            <w:vAlign w:val="center"/>
          </w:tcPr>
          <w:p w14:paraId="72E72C73" w14:textId="77777777" w:rsidR="00E6060C" w:rsidRPr="00E6060C" w:rsidRDefault="00E6060C" w:rsidP="00E6060C">
            <w:pPr>
              <w:contextualSpacing/>
              <w:jc w:val="center"/>
            </w:pPr>
            <w:r w:rsidRPr="00E6060C">
              <w:t>5</w:t>
            </w:r>
          </w:p>
        </w:tc>
      </w:tr>
      <w:tr w:rsidR="00E6060C" w:rsidRPr="00E6060C" w14:paraId="018BEA39" w14:textId="77777777" w:rsidTr="00E6060C">
        <w:trPr>
          <w:trHeight w:val="237"/>
        </w:trPr>
        <w:tc>
          <w:tcPr>
            <w:tcW w:w="481" w:type="dxa"/>
            <w:tcBorders>
              <w:top w:val="nil"/>
              <w:bottom w:val="nil"/>
            </w:tcBorders>
            <w:shd w:val="clear" w:color="auto" w:fill="D9D9D9" w:themeFill="background1" w:themeFillShade="D9"/>
            <w:vAlign w:val="center"/>
          </w:tcPr>
          <w:p w14:paraId="24B49A8F" w14:textId="77777777" w:rsidR="00E6060C" w:rsidRPr="00E6060C" w:rsidRDefault="00E6060C" w:rsidP="00E6060C">
            <w:pPr>
              <w:contextualSpacing/>
            </w:pPr>
            <w:r w:rsidRPr="00E6060C">
              <w:t>6</w:t>
            </w:r>
          </w:p>
        </w:tc>
        <w:tc>
          <w:tcPr>
            <w:tcW w:w="4300" w:type="dxa"/>
            <w:tcBorders>
              <w:top w:val="nil"/>
              <w:bottom w:val="nil"/>
            </w:tcBorders>
            <w:shd w:val="clear" w:color="auto" w:fill="D9D9D9" w:themeFill="background1" w:themeFillShade="D9"/>
            <w:vAlign w:val="center"/>
          </w:tcPr>
          <w:p w14:paraId="3F9A28EE"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am good at the things I do in my job.</w:t>
            </w:r>
          </w:p>
        </w:tc>
        <w:tc>
          <w:tcPr>
            <w:tcW w:w="1083" w:type="dxa"/>
            <w:tcBorders>
              <w:top w:val="nil"/>
              <w:bottom w:val="nil"/>
            </w:tcBorders>
            <w:shd w:val="clear" w:color="auto" w:fill="D9D9D9" w:themeFill="background1" w:themeFillShade="D9"/>
            <w:vAlign w:val="center"/>
          </w:tcPr>
          <w:p w14:paraId="18210928" w14:textId="77777777" w:rsidR="00E6060C" w:rsidRPr="00E6060C" w:rsidRDefault="00E6060C" w:rsidP="00E6060C">
            <w:pPr>
              <w:contextualSpacing/>
              <w:jc w:val="center"/>
            </w:pPr>
            <w:r w:rsidRPr="00E6060C">
              <w:t>1</w:t>
            </w:r>
          </w:p>
        </w:tc>
        <w:tc>
          <w:tcPr>
            <w:tcW w:w="1235" w:type="dxa"/>
            <w:tcBorders>
              <w:top w:val="nil"/>
              <w:bottom w:val="nil"/>
            </w:tcBorders>
            <w:shd w:val="clear" w:color="auto" w:fill="D9D9D9" w:themeFill="background1" w:themeFillShade="D9"/>
            <w:vAlign w:val="center"/>
          </w:tcPr>
          <w:p w14:paraId="4668FD13" w14:textId="77777777" w:rsidR="00E6060C" w:rsidRPr="00E6060C" w:rsidRDefault="00E6060C" w:rsidP="00E6060C">
            <w:pPr>
              <w:contextualSpacing/>
              <w:jc w:val="center"/>
            </w:pPr>
            <w:r w:rsidRPr="00E6060C">
              <w:t>2</w:t>
            </w:r>
          </w:p>
        </w:tc>
        <w:tc>
          <w:tcPr>
            <w:tcW w:w="1304" w:type="dxa"/>
            <w:tcBorders>
              <w:top w:val="nil"/>
              <w:bottom w:val="nil"/>
            </w:tcBorders>
            <w:shd w:val="clear" w:color="auto" w:fill="D9D9D9" w:themeFill="background1" w:themeFillShade="D9"/>
            <w:vAlign w:val="center"/>
          </w:tcPr>
          <w:p w14:paraId="44C1AEEC" w14:textId="77777777" w:rsidR="00E6060C" w:rsidRPr="00E6060C" w:rsidRDefault="00E6060C" w:rsidP="00E6060C">
            <w:pPr>
              <w:contextualSpacing/>
              <w:jc w:val="center"/>
            </w:pPr>
            <w:r w:rsidRPr="00E6060C">
              <w:t>3</w:t>
            </w:r>
          </w:p>
        </w:tc>
        <w:tc>
          <w:tcPr>
            <w:tcW w:w="1040" w:type="dxa"/>
            <w:tcBorders>
              <w:top w:val="nil"/>
              <w:bottom w:val="nil"/>
            </w:tcBorders>
            <w:shd w:val="clear" w:color="auto" w:fill="D9D9D9" w:themeFill="background1" w:themeFillShade="D9"/>
            <w:vAlign w:val="center"/>
          </w:tcPr>
          <w:p w14:paraId="55607896" w14:textId="77777777" w:rsidR="00E6060C" w:rsidRPr="00E6060C" w:rsidRDefault="00E6060C" w:rsidP="00E6060C">
            <w:pPr>
              <w:contextualSpacing/>
              <w:jc w:val="center"/>
            </w:pPr>
            <w:r w:rsidRPr="00E6060C">
              <w:t>4</w:t>
            </w:r>
          </w:p>
        </w:tc>
        <w:tc>
          <w:tcPr>
            <w:tcW w:w="1285" w:type="dxa"/>
            <w:tcBorders>
              <w:top w:val="nil"/>
              <w:bottom w:val="nil"/>
            </w:tcBorders>
            <w:shd w:val="clear" w:color="auto" w:fill="D9D9D9" w:themeFill="background1" w:themeFillShade="D9"/>
            <w:vAlign w:val="center"/>
          </w:tcPr>
          <w:p w14:paraId="70FEFF10" w14:textId="77777777" w:rsidR="00E6060C" w:rsidRPr="00E6060C" w:rsidRDefault="00E6060C" w:rsidP="00E6060C">
            <w:pPr>
              <w:contextualSpacing/>
              <w:jc w:val="center"/>
            </w:pPr>
            <w:r w:rsidRPr="00E6060C">
              <w:t>5</w:t>
            </w:r>
          </w:p>
        </w:tc>
      </w:tr>
      <w:tr w:rsidR="00E6060C" w:rsidRPr="00E6060C" w14:paraId="1D7B20A0" w14:textId="77777777" w:rsidTr="00E6060C">
        <w:trPr>
          <w:trHeight w:val="237"/>
        </w:trPr>
        <w:tc>
          <w:tcPr>
            <w:tcW w:w="481" w:type="dxa"/>
            <w:tcBorders>
              <w:top w:val="nil"/>
              <w:bottom w:val="nil"/>
            </w:tcBorders>
            <w:shd w:val="clear" w:color="auto" w:fill="auto"/>
            <w:vAlign w:val="center"/>
          </w:tcPr>
          <w:p w14:paraId="6FA54546" w14:textId="77777777" w:rsidR="00E6060C" w:rsidRPr="00E6060C" w:rsidRDefault="00E6060C" w:rsidP="00E6060C">
            <w:pPr>
              <w:contextualSpacing/>
            </w:pPr>
            <w:r w:rsidRPr="00E6060C">
              <w:t>7</w:t>
            </w:r>
          </w:p>
        </w:tc>
        <w:tc>
          <w:tcPr>
            <w:tcW w:w="4300" w:type="dxa"/>
            <w:tcBorders>
              <w:top w:val="nil"/>
              <w:bottom w:val="nil"/>
            </w:tcBorders>
            <w:shd w:val="clear" w:color="auto" w:fill="auto"/>
            <w:vAlign w:val="center"/>
          </w:tcPr>
          <w:p w14:paraId="325F93F4"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At work, I feel part of a team.</w:t>
            </w:r>
          </w:p>
        </w:tc>
        <w:tc>
          <w:tcPr>
            <w:tcW w:w="1083" w:type="dxa"/>
            <w:tcBorders>
              <w:top w:val="nil"/>
              <w:bottom w:val="nil"/>
            </w:tcBorders>
            <w:shd w:val="clear" w:color="auto" w:fill="auto"/>
            <w:vAlign w:val="center"/>
          </w:tcPr>
          <w:p w14:paraId="17BBD0E2" w14:textId="77777777" w:rsidR="00E6060C" w:rsidRPr="00E6060C" w:rsidRDefault="00E6060C" w:rsidP="00E6060C">
            <w:pPr>
              <w:contextualSpacing/>
              <w:jc w:val="center"/>
            </w:pPr>
            <w:r w:rsidRPr="00E6060C">
              <w:t>1</w:t>
            </w:r>
          </w:p>
        </w:tc>
        <w:tc>
          <w:tcPr>
            <w:tcW w:w="1235" w:type="dxa"/>
            <w:tcBorders>
              <w:top w:val="nil"/>
              <w:bottom w:val="nil"/>
            </w:tcBorders>
            <w:shd w:val="clear" w:color="auto" w:fill="auto"/>
            <w:vAlign w:val="center"/>
          </w:tcPr>
          <w:p w14:paraId="1B492E65" w14:textId="77777777" w:rsidR="00E6060C" w:rsidRPr="00E6060C" w:rsidRDefault="00E6060C" w:rsidP="00E6060C">
            <w:pPr>
              <w:contextualSpacing/>
              <w:jc w:val="center"/>
            </w:pPr>
            <w:r w:rsidRPr="00E6060C">
              <w:t>2</w:t>
            </w:r>
          </w:p>
        </w:tc>
        <w:tc>
          <w:tcPr>
            <w:tcW w:w="1304" w:type="dxa"/>
            <w:tcBorders>
              <w:top w:val="nil"/>
              <w:bottom w:val="nil"/>
            </w:tcBorders>
            <w:shd w:val="clear" w:color="auto" w:fill="auto"/>
            <w:vAlign w:val="center"/>
          </w:tcPr>
          <w:p w14:paraId="61858652" w14:textId="77777777" w:rsidR="00E6060C" w:rsidRPr="00E6060C" w:rsidRDefault="00E6060C" w:rsidP="00E6060C">
            <w:pPr>
              <w:contextualSpacing/>
              <w:jc w:val="center"/>
            </w:pPr>
            <w:r w:rsidRPr="00E6060C">
              <w:t>3</w:t>
            </w:r>
          </w:p>
        </w:tc>
        <w:tc>
          <w:tcPr>
            <w:tcW w:w="1040" w:type="dxa"/>
            <w:tcBorders>
              <w:top w:val="nil"/>
              <w:bottom w:val="nil"/>
            </w:tcBorders>
            <w:shd w:val="clear" w:color="auto" w:fill="auto"/>
            <w:vAlign w:val="center"/>
          </w:tcPr>
          <w:p w14:paraId="5A7EE961" w14:textId="77777777" w:rsidR="00E6060C" w:rsidRPr="00E6060C" w:rsidRDefault="00E6060C" w:rsidP="00E6060C">
            <w:pPr>
              <w:contextualSpacing/>
              <w:jc w:val="center"/>
            </w:pPr>
            <w:r w:rsidRPr="00E6060C">
              <w:t>4</w:t>
            </w:r>
          </w:p>
        </w:tc>
        <w:tc>
          <w:tcPr>
            <w:tcW w:w="1285" w:type="dxa"/>
            <w:tcBorders>
              <w:top w:val="nil"/>
              <w:bottom w:val="nil"/>
            </w:tcBorders>
            <w:shd w:val="clear" w:color="auto" w:fill="auto"/>
            <w:vAlign w:val="center"/>
          </w:tcPr>
          <w:p w14:paraId="51CC162A" w14:textId="77777777" w:rsidR="00E6060C" w:rsidRPr="00E6060C" w:rsidRDefault="00E6060C" w:rsidP="00E6060C">
            <w:pPr>
              <w:contextualSpacing/>
              <w:jc w:val="center"/>
            </w:pPr>
            <w:r w:rsidRPr="00E6060C">
              <w:t>5</w:t>
            </w:r>
          </w:p>
        </w:tc>
      </w:tr>
      <w:tr w:rsidR="00E6060C" w:rsidRPr="00E6060C" w14:paraId="74D04FD1" w14:textId="77777777" w:rsidTr="00E6060C">
        <w:trPr>
          <w:trHeight w:val="484"/>
        </w:trPr>
        <w:tc>
          <w:tcPr>
            <w:tcW w:w="481" w:type="dxa"/>
            <w:tcBorders>
              <w:top w:val="nil"/>
              <w:bottom w:val="nil"/>
            </w:tcBorders>
            <w:shd w:val="clear" w:color="auto" w:fill="D9D9D9" w:themeFill="background1" w:themeFillShade="D9"/>
            <w:vAlign w:val="center"/>
          </w:tcPr>
          <w:p w14:paraId="179F6C06" w14:textId="77777777" w:rsidR="00E6060C" w:rsidRPr="00E6060C" w:rsidRDefault="00E6060C" w:rsidP="00E6060C">
            <w:pPr>
              <w:contextualSpacing/>
            </w:pPr>
            <w:r w:rsidRPr="00E6060C">
              <w:t>8</w:t>
            </w:r>
          </w:p>
        </w:tc>
        <w:tc>
          <w:tcPr>
            <w:tcW w:w="4300" w:type="dxa"/>
            <w:tcBorders>
              <w:top w:val="nil"/>
              <w:bottom w:val="nil"/>
            </w:tcBorders>
            <w:shd w:val="clear" w:color="auto" w:fill="D9D9D9" w:themeFill="background1" w:themeFillShade="D9"/>
            <w:vAlign w:val="center"/>
          </w:tcPr>
          <w:p w14:paraId="59FFEA1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At work, I can talk to people about things that really matter to me.</w:t>
            </w:r>
          </w:p>
        </w:tc>
        <w:tc>
          <w:tcPr>
            <w:tcW w:w="1083" w:type="dxa"/>
            <w:tcBorders>
              <w:top w:val="nil"/>
              <w:bottom w:val="nil"/>
            </w:tcBorders>
            <w:shd w:val="clear" w:color="auto" w:fill="D9D9D9" w:themeFill="background1" w:themeFillShade="D9"/>
            <w:vAlign w:val="center"/>
          </w:tcPr>
          <w:p w14:paraId="49C51C66" w14:textId="77777777" w:rsidR="00E6060C" w:rsidRPr="00E6060C" w:rsidRDefault="00E6060C" w:rsidP="00E6060C">
            <w:pPr>
              <w:contextualSpacing/>
              <w:jc w:val="center"/>
            </w:pPr>
            <w:r w:rsidRPr="00E6060C">
              <w:t>1</w:t>
            </w:r>
          </w:p>
        </w:tc>
        <w:tc>
          <w:tcPr>
            <w:tcW w:w="1235" w:type="dxa"/>
            <w:tcBorders>
              <w:top w:val="nil"/>
              <w:bottom w:val="nil"/>
            </w:tcBorders>
            <w:shd w:val="clear" w:color="auto" w:fill="D9D9D9" w:themeFill="background1" w:themeFillShade="D9"/>
            <w:vAlign w:val="center"/>
          </w:tcPr>
          <w:p w14:paraId="29DF41EF" w14:textId="77777777" w:rsidR="00E6060C" w:rsidRPr="00E6060C" w:rsidRDefault="00E6060C" w:rsidP="00E6060C">
            <w:pPr>
              <w:contextualSpacing/>
              <w:jc w:val="center"/>
            </w:pPr>
            <w:r w:rsidRPr="00E6060C">
              <w:t>2</w:t>
            </w:r>
          </w:p>
        </w:tc>
        <w:tc>
          <w:tcPr>
            <w:tcW w:w="1304" w:type="dxa"/>
            <w:tcBorders>
              <w:top w:val="nil"/>
              <w:bottom w:val="nil"/>
            </w:tcBorders>
            <w:shd w:val="clear" w:color="auto" w:fill="D9D9D9" w:themeFill="background1" w:themeFillShade="D9"/>
            <w:vAlign w:val="center"/>
          </w:tcPr>
          <w:p w14:paraId="74F12F3C" w14:textId="77777777" w:rsidR="00E6060C" w:rsidRPr="00E6060C" w:rsidRDefault="00E6060C" w:rsidP="00E6060C">
            <w:pPr>
              <w:contextualSpacing/>
              <w:jc w:val="center"/>
            </w:pPr>
            <w:r w:rsidRPr="00E6060C">
              <w:t>3</w:t>
            </w:r>
          </w:p>
        </w:tc>
        <w:tc>
          <w:tcPr>
            <w:tcW w:w="1040" w:type="dxa"/>
            <w:tcBorders>
              <w:top w:val="nil"/>
              <w:bottom w:val="nil"/>
            </w:tcBorders>
            <w:shd w:val="clear" w:color="auto" w:fill="D9D9D9" w:themeFill="background1" w:themeFillShade="D9"/>
            <w:vAlign w:val="center"/>
          </w:tcPr>
          <w:p w14:paraId="63AE0097" w14:textId="77777777" w:rsidR="00E6060C" w:rsidRPr="00E6060C" w:rsidRDefault="00E6060C" w:rsidP="00E6060C">
            <w:pPr>
              <w:contextualSpacing/>
              <w:jc w:val="center"/>
            </w:pPr>
            <w:r w:rsidRPr="00E6060C">
              <w:t>4</w:t>
            </w:r>
          </w:p>
        </w:tc>
        <w:tc>
          <w:tcPr>
            <w:tcW w:w="1285" w:type="dxa"/>
            <w:tcBorders>
              <w:top w:val="nil"/>
              <w:bottom w:val="nil"/>
            </w:tcBorders>
            <w:shd w:val="clear" w:color="auto" w:fill="D9D9D9" w:themeFill="background1" w:themeFillShade="D9"/>
            <w:vAlign w:val="center"/>
          </w:tcPr>
          <w:p w14:paraId="25597AFF" w14:textId="77777777" w:rsidR="00E6060C" w:rsidRPr="00E6060C" w:rsidRDefault="00E6060C" w:rsidP="00E6060C">
            <w:pPr>
              <w:contextualSpacing/>
              <w:jc w:val="center"/>
            </w:pPr>
            <w:r w:rsidRPr="00E6060C">
              <w:t>5</w:t>
            </w:r>
          </w:p>
        </w:tc>
      </w:tr>
      <w:tr w:rsidR="00E6060C" w:rsidRPr="00E6060C" w14:paraId="525CD9CB" w14:textId="77777777" w:rsidTr="00E6060C">
        <w:trPr>
          <w:trHeight w:val="274"/>
        </w:trPr>
        <w:tc>
          <w:tcPr>
            <w:tcW w:w="481" w:type="dxa"/>
            <w:tcBorders>
              <w:top w:val="nil"/>
              <w:bottom w:val="nil"/>
            </w:tcBorders>
            <w:shd w:val="clear" w:color="auto" w:fill="auto"/>
            <w:vAlign w:val="center"/>
          </w:tcPr>
          <w:p w14:paraId="7692F431" w14:textId="77777777" w:rsidR="00E6060C" w:rsidRPr="00E6060C" w:rsidRDefault="00E6060C" w:rsidP="00E6060C">
            <w:pPr>
              <w:contextualSpacing/>
            </w:pPr>
            <w:r w:rsidRPr="00E6060C">
              <w:t>9</w:t>
            </w:r>
          </w:p>
        </w:tc>
        <w:tc>
          <w:tcPr>
            <w:tcW w:w="4300" w:type="dxa"/>
            <w:tcBorders>
              <w:top w:val="nil"/>
              <w:bottom w:val="nil"/>
            </w:tcBorders>
            <w:shd w:val="clear" w:color="auto" w:fill="auto"/>
            <w:vAlign w:val="center"/>
          </w:tcPr>
          <w:p w14:paraId="7EAEF1F6"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Some people I work with are close friends of mine.</w:t>
            </w:r>
          </w:p>
        </w:tc>
        <w:tc>
          <w:tcPr>
            <w:tcW w:w="1083" w:type="dxa"/>
            <w:tcBorders>
              <w:top w:val="nil"/>
              <w:bottom w:val="nil"/>
            </w:tcBorders>
            <w:shd w:val="clear" w:color="auto" w:fill="auto"/>
            <w:vAlign w:val="center"/>
          </w:tcPr>
          <w:p w14:paraId="18855571" w14:textId="77777777" w:rsidR="00E6060C" w:rsidRPr="00E6060C" w:rsidRDefault="00E6060C" w:rsidP="00E6060C">
            <w:pPr>
              <w:contextualSpacing/>
              <w:jc w:val="center"/>
            </w:pPr>
            <w:r w:rsidRPr="00E6060C">
              <w:t>1</w:t>
            </w:r>
          </w:p>
        </w:tc>
        <w:tc>
          <w:tcPr>
            <w:tcW w:w="1235" w:type="dxa"/>
            <w:tcBorders>
              <w:top w:val="nil"/>
              <w:bottom w:val="nil"/>
            </w:tcBorders>
            <w:shd w:val="clear" w:color="auto" w:fill="auto"/>
            <w:vAlign w:val="center"/>
          </w:tcPr>
          <w:p w14:paraId="4E2B9941" w14:textId="77777777" w:rsidR="00E6060C" w:rsidRPr="00E6060C" w:rsidRDefault="00E6060C" w:rsidP="00E6060C">
            <w:pPr>
              <w:contextualSpacing/>
              <w:jc w:val="center"/>
            </w:pPr>
            <w:r w:rsidRPr="00E6060C">
              <w:t>2</w:t>
            </w:r>
          </w:p>
        </w:tc>
        <w:tc>
          <w:tcPr>
            <w:tcW w:w="1304" w:type="dxa"/>
            <w:tcBorders>
              <w:top w:val="nil"/>
              <w:bottom w:val="nil"/>
            </w:tcBorders>
            <w:shd w:val="clear" w:color="auto" w:fill="auto"/>
            <w:vAlign w:val="center"/>
          </w:tcPr>
          <w:p w14:paraId="79A33E35" w14:textId="77777777" w:rsidR="00E6060C" w:rsidRPr="00E6060C" w:rsidRDefault="00E6060C" w:rsidP="00E6060C">
            <w:pPr>
              <w:contextualSpacing/>
              <w:jc w:val="center"/>
            </w:pPr>
            <w:r w:rsidRPr="00E6060C">
              <w:t>3</w:t>
            </w:r>
          </w:p>
        </w:tc>
        <w:tc>
          <w:tcPr>
            <w:tcW w:w="1040" w:type="dxa"/>
            <w:tcBorders>
              <w:top w:val="nil"/>
              <w:bottom w:val="nil"/>
            </w:tcBorders>
            <w:shd w:val="clear" w:color="auto" w:fill="auto"/>
            <w:vAlign w:val="center"/>
          </w:tcPr>
          <w:p w14:paraId="0696712B" w14:textId="77777777" w:rsidR="00E6060C" w:rsidRPr="00E6060C" w:rsidRDefault="00E6060C" w:rsidP="00E6060C">
            <w:pPr>
              <w:contextualSpacing/>
              <w:jc w:val="center"/>
            </w:pPr>
            <w:r w:rsidRPr="00E6060C">
              <w:t>4</w:t>
            </w:r>
          </w:p>
        </w:tc>
        <w:tc>
          <w:tcPr>
            <w:tcW w:w="1285" w:type="dxa"/>
            <w:tcBorders>
              <w:top w:val="nil"/>
              <w:bottom w:val="nil"/>
            </w:tcBorders>
            <w:shd w:val="clear" w:color="auto" w:fill="auto"/>
            <w:vAlign w:val="center"/>
          </w:tcPr>
          <w:p w14:paraId="5480201D" w14:textId="77777777" w:rsidR="00E6060C" w:rsidRPr="00E6060C" w:rsidRDefault="00E6060C" w:rsidP="00E6060C">
            <w:pPr>
              <w:contextualSpacing/>
              <w:jc w:val="center"/>
            </w:pPr>
            <w:r w:rsidRPr="00E6060C">
              <w:t>5</w:t>
            </w:r>
          </w:p>
        </w:tc>
      </w:tr>
    </w:tbl>
    <w:p w14:paraId="4F1C11BE" w14:textId="77777777" w:rsidR="00E6060C" w:rsidRPr="00E6060C" w:rsidRDefault="00E6060C" w:rsidP="00E6060C"/>
    <w:p w14:paraId="02E18D6E" w14:textId="77777777" w:rsidR="00E6060C" w:rsidRPr="00E6060C" w:rsidRDefault="00E6060C" w:rsidP="00E6060C"/>
    <w:tbl>
      <w:tblPr>
        <w:tblStyle w:val="TableGrid8"/>
        <w:tblW w:w="1077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978"/>
        <w:gridCol w:w="850"/>
        <w:gridCol w:w="1134"/>
        <w:gridCol w:w="1134"/>
        <w:gridCol w:w="1195"/>
        <w:gridCol w:w="1073"/>
        <w:gridCol w:w="993"/>
        <w:gridCol w:w="992"/>
      </w:tblGrid>
      <w:tr w:rsidR="00E6060C" w:rsidRPr="00E6060C" w14:paraId="38D1D0FC" w14:textId="77777777" w:rsidTr="00E6060C">
        <w:trPr>
          <w:cantSplit/>
          <w:trHeight w:val="775"/>
          <w:tblHeader/>
        </w:trPr>
        <w:tc>
          <w:tcPr>
            <w:tcW w:w="425" w:type="dxa"/>
            <w:tcBorders>
              <w:top w:val="single" w:sz="4" w:space="0" w:color="auto"/>
              <w:bottom w:val="single" w:sz="4" w:space="0" w:color="auto"/>
            </w:tcBorders>
            <w:shd w:val="clear" w:color="auto" w:fill="8EAADB" w:themeFill="accent5" w:themeFillTint="99"/>
          </w:tcPr>
          <w:p w14:paraId="21FB5B8D" w14:textId="77777777" w:rsidR="00E6060C" w:rsidRPr="00E6060C" w:rsidRDefault="00E6060C" w:rsidP="00E6060C">
            <w:pPr>
              <w:ind w:left="-108"/>
              <w:contextualSpacing/>
              <w:rPr>
                <w:b/>
                <w:bCs/>
              </w:rPr>
            </w:pPr>
            <w:r w:rsidRPr="00E6060C">
              <w:rPr>
                <w:b/>
                <w:bCs/>
              </w:rPr>
              <w:lastRenderedPageBreak/>
              <w:t xml:space="preserve"> 13</w:t>
            </w:r>
          </w:p>
        </w:tc>
        <w:tc>
          <w:tcPr>
            <w:tcW w:w="2978" w:type="dxa"/>
            <w:tcBorders>
              <w:top w:val="single" w:sz="4" w:space="0" w:color="auto"/>
              <w:bottom w:val="single" w:sz="4" w:space="0" w:color="auto"/>
            </w:tcBorders>
            <w:shd w:val="clear" w:color="auto" w:fill="8EAADB" w:themeFill="accent5" w:themeFillTint="99"/>
          </w:tcPr>
          <w:p w14:paraId="42F3F89B" w14:textId="77777777" w:rsidR="00E6060C" w:rsidRPr="00E6060C" w:rsidRDefault="00E6060C" w:rsidP="00E6060C">
            <w:pPr>
              <w:spacing w:after="200" w:line="276" w:lineRule="auto"/>
              <w:contextualSpacing/>
              <w:rPr>
                <w:rFonts w:eastAsia="Times" w:cs="Arial"/>
                <w:b/>
                <w:bCs/>
                <w:lang w:eastAsia="en-GB"/>
              </w:rPr>
            </w:pPr>
            <w:r w:rsidRPr="00E6060C">
              <w:rPr>
                <w:rFonts w:eastAsia="Times" w:cs="Arial"/>
                <w:b/>
                <w:bCs/>
                <w:lang w:eastAsia="en-GB"/>
              </w:rPr>
              <w:t xml:space="preserve">The following words describe different </w:t>
            </w:r>
            <w:r w:rsidRPr="00E6060C">
              <w:rPr>
                <w:rFonts w:eastAsia="Times" w:cs="Arial"/>
                <w:b/>
                <w:bCs/>
                <w:u w:val="single"/>
                <w:lang w:eastAsia="en-GB"/>
              </w:rPr>
              <w:t>feelings and emotions</w:t>
            </w:r>
            <w:r w:rsidRPr="00E6060C">
              <w:rPr>
                <w:rFonts w:eastAsia="Times" w:cs="Arial"/>
                <w:b/>
                <w:bCs/>
                <w:lang w:eastAsia="en-GB"/>
              </w:rPr>
              <w:t xml:space="preserve">. Thinking of the </w:t>
            </w:r>
            <w:r w:rsidRPr="00E6060C">
              <w:rPr>
                <w:rFonts w:eastAsia="Times" w:cs="Arial"/>
                <w:b/>
                <w:bCs/>
                <w:u w:val="single"/>
                <w:lang w:eastAsia="en-GB"/>
              </w:rPr>
              <w:t>past week</w:t>
            </w:r>
            <w:r w:rsidRPr="00E6060C">
              <w:rPr>
                <w:rFonts w:eastAsia="Times" w:cs="Arial"/>
                <w:b/>
                <w:bCs/>
                <w:lang w:eastAsia="en-GB"/>
              </w:rPr>
              <w:t>, how much of the time has your job made you feel each of the following?</w:t>
            </w:r>
          </w:p>
        </w:tc>
        <w:tc>
          <w:tcPr>
            <w:tcW w:w="850" w:type="dxa"/>
            <w:tcBorders>
              <w:top w:val="single" w:sz="4" w:space="0" w:color="auto"/>
              <w:bottom w:val="single" w:sz="4" w:space="0" w:color="auto"/>
            </w:tcBorders>
            <w:shd w:val="clear" w:color="auto" w:fill="8EAADB" w:themeFill="accent5" w:themeFillTint="99"/>
          </w:tcPr>
          <w:p w14:paraId="24952E9F" w14:textId="77777777" w:rsidR="00E6060C" w:rsidRPr="00E6060C" w:rsidRDefault="00E6060C" w:rsidP="00E6060C">
            <w:pPr>
              <w:contextualSpacing/>
              <w:jc w:val="center"/>
              <w:rPr>
                <w:b/>
                <w:bCs/>
              </w:rPr>
            </w:pPr>
            <w:r w:rsidRPr="00E6060C">
              <w:rPr>
                <w:b/>
                <w:bCs/>
              </w:rPr>
              <w:t>Never</w:t>
            </w:r>
          </w:p>
        </w:tc>
        <w:tc>
          <w:tcPr>
            <w:tcW w:w="1134" w:type="dxa"/>
            <w:tcBorders>
              <w:top w:val="single" w:sz="4" w:space="0" w:color="auto"/>
              <w:bottom w:val="single" w:sz="4" w:space="0" w:color="auto"/>
            </w:tcBorders>
            <w:shd w:val="clear" w:color="auto" w:fill="8EAADB" w:themeFill="accent5" w:themeFillTint="99"/>
          </w:tcPr>
          <w:p w14:paraId="0A2A5B36" w14:textId="77777777" w:rsidR="00E6060C" w:rsidRPr="00E6060C" w:rsidRDefault="00E6060C" w:rsidP="00E6060C">
            <w:pPr>
              <w:contextualSpacing/>
              <w:jc w:val="center"/>
              <w:rPr>
                <w:b/>
                <w:bCs/>
              </w:rPr>
            </w:pPr>
            <w:r w:rsidRPr="00E6060C">
              <w:rPr>
                <w:b/>
                <w:bCs/>
              </w:rPr>
              <w:t>A little of the time</w:t>
            </w:r>
          </w:p>
        </w:tc>
        <w:tc>
          <w:tcPr>
            <w:tcW w:w="1134" w:type="dxa"/>
            <w:tcBorders>
              <w:top w:val="single" w:sz="4" w:space="0" w:color="auto"/>
              <w:bottom w:val="single" w:sz="4" w:space="0" w:color="auto"/>
            </w:tcBorders>
            <w:shd w:val="clear" w:color="auto" w:fill="8EAADB" w:themeFill="accent5" w:themeFillTint="99"/>
          </w:tcPr>
          <w:p w14:paraId="15F9EB1B" w14:textId="77777777" w:rsidR="00E6060C" w:rsidRPr="00E6060C" w:rsidRDefault="00E6060C" w:rsidP="00E6060C">
            <w:pPr>
              <w:contextualSpacing/>
              <w:jc w:val="center"/>
              <w:rPr>
                <w:b/>
                <w:bCs/>
              </w:rPr>
            </w:pPr>
            <w:r w:rsidRPr="00E6060C">
              <w:rPr>
                <w:b/>
                <w:bCs/>
              </w:rPr>
              <w:t>Some of the time</w:t>
            </w:r>
          </w:p>
        </w:tc>
        <w:tc>
          <w:tcPr>
            <w:tcW w:w="1195" w:type="dxa"/>
            <w:tcBorders>
              <w:top w:val="single" w:sz="4" w:space="0" w:color="auto"/>
              <w:bottom w:val="single" w:sz="4" w:space="0" w:color="auto"/>
            </w:tcBorders>
            <w:shd w:val="clear" w:color="auto" w:fill="8EAADB" w:themeFill="accent5" w:themeFillTint="99"/>
          </w:tcPr>
          <w:p w14:paraId="2FBD1F09" w14:textId="77777777" w:rsidR="00E6060C" w:rsidRPr="00E6060C" w:rsidRDefault="00E6060C" w:rsidP="00E6060C">
            <w:pPr>
              <w:contextualSpacing/>
              <w:jc w:val="center"/>
              <w:rPr>
                <w:b/>
                <w:bCs/>
              </w:rPr>
            </w:pPr>
            <w:r w:rsidRPr="00E6060C">
              <w:rPr>
                <w:b/>
                <w:bCs/>
              </w:rPr>
              <w:t>About half the time</w:t>
            </w:r>
          </w:p>
        </w:tc>
        <w:tc>
          <w:tcPr>
            <w:tcW w:w="1073" w:type="dxa"/>
            <w:tcBorders>
              <w:top w:val="single" w:sz="4" w:space="0" w:color="auto"/>
              <w:bottom w:val="single" w:sz="4" w:space="0" w:color="auto"/>
            </w:tcBorders>
            <w:shd w:val="clear" w:color="auto" w:fill="8EAADB" w:themeFill="accent5" w:themeFillTint="99"/>
          </w:tcPr>
          <w:p w14:paraId="055C66E7" w14:textId="77777777" w:rsidR="00E6060C" w:rsidRPr="00E6060C" w:rsidRDefault="00E6060C" w:rsidP="00E6060C">
            <w:pPr>
              <w:contextualSpacing/>
              <w:jc w:val="center"/>
              <w:rPr>
                <w:b/>
                <w:bCs/>
              </w:rPr>
            </w:pPr>
            <w:r w:rsidRPr="00E6060C">
              <w:rPr>
                <w:b/>
                <w:bCs/>
              </w:rPr>
              <w:t>Much of the time</w:t>
            </w:r>
          </w:p>
        </w:tc>
        <w:tc>
          <w:tcPr>
            <w:tcW w:w="993" w:type="dxa"/>
            <w:tcBorders>
              <w:top w:val="single" w:sz="4" w:space="0" w:color="auto"/>
              <w:bottom w:val="single" w:sz="4" w:space="0" w:color="auto"/>
            </w:tcBorders>
            <w:shd w:val="clear" w:color="auto" w:fill="8EAADB" w:themeFill="accent5" w:themeFillTint="99"/>
          </w:tcPr>
          <w:p w14:paraId="44E45C19" w14:textId="77777777" w:rsidR="00E6060C" w:rsidRPr="00E6060C" w:rsidRDefault="00E6060C" w:rsidP="00E6060C">
            <w:pPr>
              <w:contextualSpacing/>
              <w:jc w:val="center"/>
              <w:rPr>
                <w:b/>
                <w:bCs/>
              </w:rPr>
            </w:pPr>
            <w:r w:rsidRPr="00E6060C">
              <w:rPr>
                <w:b/>
                <w:bCs/>
              </w:rPr>
              <w:t>A lot of the time</w:t>
            </w:r>
          </w:p>
        </w:tc>
        <w:tc>
          <w:tcPr>
            <w:tcW w:w="992" w:type="dxa"/>
            <w:tcBorders>
              <w:top w:val="single" w:sz="4" w:space="0" w:color="auto"/>
              <w:bottom w:val="single" w:sz="4" w:space="0" w:color="auto"/>
            </w:tcBorders>
            <w:shd w:val="clear" w:color="auto" w:fill="8EAADB" w:themeFill="accent5" w:themeFillTint="99"/>
          </w:tcPr>
          <w:p w14:paraId="07ADFD0F" w14:textId="77777777" w:rsidR="00E6060C" w:rsidRPr="00E6060C" w:rsidRDefault="00E6060C" w:rsidP="00E6060C">
            <w:pPr>
              <w:contextualSpacing/>
              <w:jc w:val="center"/>
              <w:rPr>
                <w:b/>
                <w:bCs/>
              </w:rPr>
            </w:pPr>
            <w:r w:rsidRPr="00E6060C">
              <w:rPr>
                <w:b/>
                <w:bCs/>
              </w:rPr>
              <w:t>Always</w:t>
            </w:r>
          </w:p>
        </w:tc>
      </w:tr>
      <w:tr w:rsidR="00E6060C" w:rsidRPr="00E6060C" w14:paraId="0634036E" w14:textId="77777777" w:rsidTr="00E6060C">
        <w:trPr>
          <w:cantSplit/>
          <w:trHeight w:val="454"/>
          <w:tblHeader/>
        </w:trPr>
        <w:tc>
          <w:tcPr>
            <w:tcW w:w="425" w:type="dxa"/>
            <w:tcBorders>
              <w:top w:val="nil"/>
              <w:bottom w:val="nil"/>
            </w:tcBorders>
            <w:vAlign w:val="center"/>
          </w:tcPr>
          <w:p w14:paraId="644B37A6" w14:textId="77777777" w:rsidR="00E6060C" w:rsidRPr="00E6060C" w:rsidRDefault="00E6060C" w:rsidP="00E6060C">
            <w:pPr>
              <w:contextualSpacing/>
            </w:pPr>
            <w:r w:rsidRPr="00E6060C">
              <w:t>1</w:t>
            </w:r>
          </w:p>
        </w:tc>
        <w:tc>
          <w:tcPr>
            <w:tcW w:w="2978" w:type="dxa"/>
            <w:tcBorders>
              <w:top w:val="nil"/>
              <w:bottom w:val="nil"/>
            </w:tcBorders>
            <w:vAlign w:val="center"/>
          </w:tcPr>
          <w:p w14:paraId="34A2CEE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Anxious</w:t>
            </w:r>
          </w:p>
        </w:tc>
        <w:tc>
          <w:tcPr>
            <w:tcW w:w="850" w:type="dxa"/>
            <w:tcBorders>
              <w:top w:val="nil"/>
              <w:bottom w:val="nil"/>
            </w:tcBorders>
            <w:vAlign w:val="center"/>
          </w:tcPr>
          <w:p w14:paraId="64E8F1A0"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578A6250"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72EA7312"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274D7BD7"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6294BC26"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7F02DDDC"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2C063BE1" w14:textId="77777777" w:rsidR="00E6060C" w:rsidRPr="00E6060C" w:rsidRDefault="00E6060C" w:rsidP="00E6060C">
            <w:pPr>
              <w:contextualSpacing/>
              <w:jc w:val="center"/>
            </w:pPr>
            <w:r w:rsidRPr="00E6060C">
              <w:t>7</w:t>
            </w:r>
          </w:p>
        </w:tc>
      </w:tr>
      <w:tr w:rsidR="00E6060C" w:rsidRPr="00E6060C" w14:paraId="026F3C80"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14743A87" w14:textId="77777777" w:rsidR="00E6060C" w:rsidRPr="00E6060C" w:rsidRDefault="00E6060C" w:rsidP="00E6060C">
            <w:pPr>
              <w:contextualSpacing/>
            </w:pPr>
            <w:r w:rsidRPr="00E6060C">
              <w:t>2</w:t>
            </w:r>
          </w:p>
        </w:tc>
        <w:tc>
          <w:tcPr>
            <w:tcW w:w="2978" w:type="dxa"/>
            <w:tcBorders>
              <w:top w:val="nil"/>
              <w:bottom w:val="nil"/>
            </w:tcBorders>
            <w:shd w:val="clear" w:color="auto" w:fill="D9D9D9" w:themeFill="background1" w:themeFillShade="D9"/>
            <w:vAlign w:val="center"/>
          </w:tcPr>
          <w:p w14:paraId="49F5FCE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Enthusiastic</w:t>
            </w:r>
          </w:p>
        </w:tc>
        <w:tc>
          <w:tcPr>
            <w:tcW w:w="850" w:type="dxa"/>
            <w:tcBorders>
              <w:top w:val="nil"/>
              <w:bottom w:val="nil"/>
            </w:tcBorders>
            <w:shd w:val="clear" w:color="auto" w:fill="D9D9D9" w:themeFill="background1" w:themeFillShade="D9"/>
            <w:vAlign w:val="center"/>
          </w:tcPr>
          <w:p w14:paraId="7CF4C631"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55644B8C"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03B31C8B"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095ABC71"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78FBFA83"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75C66E05"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5877AE86" w14:textId="77777777" w:rsidR="00E6060C" w:rsidRPr="00E6060C" w:rsidRDefault="00E6060C" w:rsidP="00E6060C">
            <w:pPr>
              <w:contextualSpacing/>
              <w:jc w:val="center"/>
            </w:pPr>
            <w:r w:rsidRPr="00E6060C">
              <w:t>7</w:t>
            </w:r>
          </w:p>
        </w:tc>
      </w:tr>
      <w:tr w:rsidR="00E6060C" w:rsidRPr="00E6060C" w14:paraId="6BED1E03" w14:textId="77777777" w:rsidTr="00E6060C">
        <w:trPr>
          <w:cantSplit/>
          <w:trHeight w:val="454"/>
          <w:tblHeader/>
        </w:trPr>
        <w:tc>
          <w:tcPr>
            <w:tcW w:w="425" w:type="dxa"/>
            <w:tcBorders>
              <w:top w:val="nil"/>
              <w:bottom w:val="nil"/>
            </w:tcBorders>
            <w:vAlign w:val="center"/>
          </w:tcPr>
          <w:p w14:paraId="0070AA9C" w14:textId="77777777" w:rsidR="00E6060C" w:rsidRPr="00E6060C" w:rsidRDefault="00E6060C" w:rsidP="00E6060C">
            <w:pPr>
              <w:contextualSpacing/>
            </w:pPr>
            <w:r w:rsidRPr="00E6060C">
              <w:t>3</w:t>
            </w:r>
          </w:p>
        </w:tc>
        <w:tc>
          <w:tcPr>
            <w:tcW w:w="2978" w:type="dxa"/>
            <w:tcBorders>
              <w:top w:val="nil"/>
              <w:bottom w:val="nil"/>
            </w:tcBorders>
            <w:vAlign w:val="center"/>
          </w:tcPr>
          <w:p w14:paraId="7D4DC75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Dejected</w:t>
            </w:r>
          </w:p>
        </w:tc>
        <w:tc>
          <w:tcPr>
            <w:tcW w:w="850" w:type="dxa"/>
            <w:tcBorders>
              <w:top w:val="nil"/>
              <w:bottom w:val="nil"/>
            </w:tcBorders>
            <w:vAlign w:val="center"/>
          </w:tcPr>
          <w:p w14:paraId="2BE43215"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6C62172F"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0A2051D3"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14EFC6EC"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4DAF1936"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5166FF6A"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77615454" w14:textId="77777777" w:rsidR="00E6060C" w:rsidRPr="00E6060C" w:rsidRDefault="00E6060C" w:rsidP="00E6060C">
            <w:pPr>
              <w:contextualSpacing/>
              <w:jc w:val="center"/>
            </w:pPr>
            <w:r w:rsidRPr="00E6060C">
              <w:t>7</w:t>
            </w:r>
          </w:p>
        </w:tc>
      </w:tr>
      <w:tr w:rsidR="00E6060C" w:rsidRPr="00E6060C" w14:paraId="296E5645"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02A550E7" w14:textId="77777777" w:rsidR="00E6060C" w:rsidRPr="00E6060C" w:rsidRDefault="00E6060C" w:rsidP="00E6060C">
            <w:pPr>
              <w:contextualSpacing/>
            </w:pPr>
            <w:r w:rsidRPr="00E6060C">
              <w:t>4</w:t>
            </w:r>
          </w:p>
        </w:tc>
        <w:tc>
          <w:tcPr>
            <w:tcW w:w="2978" w:type="dxa"/>
            <w:tcBorders>
              <w:top w:val="nil"/>
              <w:bottom w:val="nil"/>
            </w:tcBorders>
            <w:shd w:val="clear" w:color="auto" w:fill="D9D9D9" w:themeFill="background1" w:themeFillShade="D9"/>
            <w:vAlign w:val="center"/>
          </w:tcPr>
          <w:p w14:paraId="1B1D727B"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At ease</w:t>
            </w:r>
          </w:p>
        </w:tc>
        <w:tc>
          <w:tcPr>
            <w:tcW w:w="850" w:type="dxa"/>
            <w:tcBorders>
              <w:top w:val="nil"/>
              <w:bottom w:val="nil"/>
            </w:tcBorders>
            <w:shd w:val="clear" w:color="auto" w:fill="D9D9D9" w:themeFill="background1" w:themeFillShade="D9"/>
            <w:vAlign w:val="center"/>
          </w:tcPr>
          <w:p w14:paraId="53BD93E1"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2ADEFC40"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477FF11A"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125141B9"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5253106D"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57AA049B"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307F9470" w14:textId="77777777" w:rsidR="00E6060C" w:rsidRPr="00E6060C" w:rsidRDefault="00E6060C" w:rsidP="00E6060C">
            <w:pPr>
              <w:contextualSpacing/>
              <w:jc w:val="center"/>
            </w:pPr>
            <w:r w:rsidRPr="00E6060C">
              <w:t>7</w:t>
            </w:r>
          </w:p>
        </w:tc>
      </w:tr>
      <w:tr w:rsidR="00E6060C" w:rsidRPr="00E6060C" w14:paraId="40DC1BC9" w14:textId="77777777" w:rsidTr="00E6060C">
        <w:trPr>
          <w:cantSplit/>
          <w:trHeight w:val="454"/>
          <w:tblHeader/>
        </w:trPr>
        <w:tc>
          <w:tcPr>
            <w:tcW w:w="425" w:type="dxa"/>
            <w:tcBorders>
              <w:top w:val="nil"/>
              <w:bottom w:val="nil"/>
            </w:tcBorders>
            <w:vAlign w:val="center"/>
          </w:tcPr>
          <w:p w14:paraId="08F056C8" w14:textId="77777777" w:rsidR="00E6060C" w:rsidRPr="00E6060C" w:rsidRDefault="00E6060C" w:rsidP="00E6060C">
            <w:pPr>
              <w:contextualSpacing/>
            </w:pPr>
            <w:r w:rsidRPr="00E6060C">
              <w:t>5</w:t>
            </w:r>
          </w:p>
        </w:tc>
        <w:tc>
          <w:tcPr>
            <w:tcW w:w="2978" w:type="dxa"/>
            <w:tcBorders>
              <w:top w:val="nil"/>
              <w:bottom w:val="nil"/>
            </w:tcBorders>
            <w:vAlign w:val="center"/>
          </w:tcPr>
          <w:p w14:paraId="073DF59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Nervous</w:t>
            </w:r>
          </w:p>
        </w:tc>
        <w:tc>
          <w:tcPr>
            <w:tcW w:w="850" w:type="dxa"/>
            <w:tcBorders>
              <w:top w:val="nil"/>
              <w:bottom w:val="nil"/>
            </w:tcBorders>
            <w:vAlign w:val="center"/>
          </w:tcPr>
          <w:p w14:paraId="6F03B83C"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7CBFC4D6"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63EF4D6F"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6E7A99BA"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70685ED1"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6F0A67A4"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7D36F82F" w14:textId="77777777" w:rsidR="00E6060C" w:rsidRPr="00E6060C" w:rsidRDefault="00E6060C" w:rsidP="00E6060C">
            <w:pPr>
              <w:contextualSpacing/>
              <w:jc w:val="center"/>
            </w:pPr>
            <w:r w:rsidRPr="00E6060C">
              <w:t>7</w:t>
            </w:r>
          </w:p>
        </w:tc>
      </w:tr>
      <w:tr w:rsidR="00E6060C" w:rsidRPr="00E6060C" w14:paraId="61A599B5"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5722B979" w14:textId="77777777" w:rsidR="00E6060C" w:rsidRPr="00E6060C" w:rsidRDefault="00E6060C" w:rsidP="00E6060C">
            <w:pPr>
              <w:contextualSpacing/>
            </w:pPr>
            <w:r w:rsidRPr="00E6060C">
              <w:t>6</w:t>
            </w:r>
          </w:p>
        </w:tc>
        <w:tc>
          <w:tcPr>
            <w:tcW w:w="2978" w:type="dxa"/>
            <w:tcBorders>
              <w:top w:val="nil"/>
              <w:bottom w:val="nil"/>
            </w:tcBorders>
            <w:shd w:val="clear" w:color="auto" w:fill="D9D9D9" w:themeFill="background1" w:themeFillShade="D9"/>
            <w:vAlign w:val="center"/>
          </w:tcPr>
          <w:p w14:paraId="6A322D6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Excited</w:t>
            </w:r>
          </w:p>
        </w:tc>
        <w:tc>
          <w:tcPr>
            <w:tcW w:w="850" w:type="dxa"/>
            <w:tcBorders>
              <w:top w:val="nil"/>
              <w:bottom w:val="nil"/>
            </w:tcBorders>
            <w:shd w:val="clear" w:color="auto" w:fill="D9D9D9" w:themeFill="background1" w:themeFillShade="D9"/>
            <w:vAlign w:val="center"/>
          </w:tcPr>
          <w:p w14:paraId="2205799A"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4716DBF7"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53017676"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7A2A5DA3"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46572F13"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19B5C54B"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6D5E9C78" w14:textId="77777777" w:rsidR="00E6060C" w:rsidRPr="00E6060C" w:rsidRDefault="00E6060C" w:rsidP="00E6060C">
            <w:pPr>
              <w:contextualSpacing/>
              <w:jc w:val="center"/>
            </w:pPr>
            <w:r w:rsidRPr="00E6060C">
              <w:t>7</w:t>
            </w:r>
          </w:p>
        </w:tc>
      </w:tr>
      <w:tr w:rsidR="00E6060C" w:rsidRPr="00E6060C" w14:paraId="7239D0DA" w14:textId="77777777" w:rsidTr="00E6060C">
        <w:trPr>
          <w:cantSplit/>
          <w:trHeight w:val="454"/>
          <w:tblHeader/>
        </w:trPr>
        <w:tc>
          <w:tcPr>
            <w:tcW w:w="425" w:type="dxa"/>
            <w:tcBorders>
              <w:top w:val="nil"/>
              <w:bottom w:val="nil"/>
            </w:tcBorders>
            <w:vAlign w:val="center"/>
          </w:tcPr>
          <w:p w14:paraId="2906A72C" w14:textId="77777777" w:rsidR="00E6060C" w:rsidRPr="00E6060C" w:rsidRDefault="00E6060C" w:rsidP="00E6060C">
            <w:pPr>
              <w:contextualSpacing/>
            </w:pPr>
            <w:r w:rsidRPr="00E6060C">
              <w:t>7</w:t>
            </w:r>
          </w:p>
        </w:tc>
        <w:tc>
          <w:tcPr>
            <w:tcW w:w="2978" w:type="dxa"/>
            <w:tcBorders>
              <w:top w:val="nil"/>
              <w:bottom w:val="nil"/>
            </w:tcBorders>
            <w:vAlign w:val="center"/>
          </w:tcPr>
          <w:p w14:paraId="7F480478"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Depressed</w:t>
            </w:r>
          </w:p>
        </w:tc>
        <w:tc>
          <w:tcPr>
            <w:tcW w:w="850" w:type="dxa"/>
            <w:tcBorders>
              <w:top w:val="nil"/>
              <w:bottom w:val="nil"/>
            </w:tcBorders>
            <w:vAlign w:val="center"/>
          </w:tcPr>
          <w:p w14:paraId="08E0665C"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23C38727"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1F24B1B2"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5DC1BAED"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6C2CF7F4"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14312E06"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3DBF62B0" w14:textId="77777777" w:rsidR="00E6060C" w:rsidRPr="00E6060C" w:rsidRDefault="00E6060C" w:rsidP="00E6060C">
            <w:pPr>
              <w:contextualSpacing/>
              <w:jc w:val="center"/>
            </w:pPr>
            <w:r w:rsidRPr="00E6060C">
              <w:t>7</w:t>
            </w:r>
          </w:p>
        </w:tc>
      </w:tr>
      <w:tr w:rsidR="00E6060C" w:rsidRPr="00E6060C" w14:paraId="39136304"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2F0E3003" w14:textId="77777777" w:rsidR="00E6060C" w:rsidRPr="00E6060C" w:rsidRDefault="00E6060C" w:rsidP="00E6060C">
            <w:pPr>
              <w:contextualSpacing/>
            </w:pPr>
            <w:r w:rsidRPr="00E6060C">
              <w:t>8</w:t>
            </w:r>
          </w:p>
        </w:tc>
        <w:tc>
          <w:tcPr>
            <w:tcW w:w="2978" w:type="dxa"/>
            <w:tcBorders>
              <w:top w:val="nil"/>
              <w:bottom w:val="nil"/>
            </w:tcBorders>
            <w:shd w:val="clear" w:color="auto" w:fill="D9D9D9" w:themeFill="background1" w:themeFillShade="D9"/>
            <w:vAlign w:val="center"/>
          </w:tcPr>
          <w:p w14:paraId="4E549D75"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Calm</w:t>
            </w:r>
          </w:p>
        </w:tc>
        <w:tc>
          <w:tcPr>
            <w:tcW w:w="850" w:type="dxa"/>
            <w:tcBorders>
              <w:top w:val="nil"/>
              <w:bottom w:val="nil"/>
            </w:tcBorders>
            <w:shd w:val="clear" w:color="auto" w:fill="D9D9D9" w:themeFill="background1" w:themeFillShade="D9"/>
            <w:vAlign w:val="center"/>
          </w:tcPr>
          <w:p w14:paraId="1F297E74"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15E4DFAA"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08654717"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3064F807"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2C8BE0A3"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0D359A9F"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5C796B39" w14:textId="77777777" w:rsidR="00E6060C" w:rsidRPr="00E6060C" w:rsidRDefault="00E6060C" w:rsidP="00E6060C">
            <w:pPr>
              <w:contextualSpacing/>
              <w:jc w:val="center"/>
            </w:pPr>
            <w:r w:rsidRPr="00E6060C">
              <w:t>7</w:t>
            </w:r>
          </w:p>
        </w:tc>
      </w:tr>
      <w:tr w:rsidR="00E6060C" w:rsidRPr="00E6060C" w14:paraId="0E05E9FE" w14:textId="77777777" w:rsidTr="00E6060C">
        <w:trPr>
          <w:cantSplit/>
          <w:trHeight w:val="454"/>
          <w:tblHeader/>
        </w:trPr>
        <w:tc>
          <w:tcPr>
            <w:tcW w:w="425" w:type="dxa"/>
            <w:tcBorders>
              <w:top w:val="nil"/>
              <w:bottom w:val="nil"/>
            </w:tcBorders>
            <w:vAlign w:val="center"/>
          </w:tcPr>
          <w:p w14:paraId="37CA6D37" w14:textId="77777777" w:rsidR="00E6060C" w:rsidRPr="00E6060C" w:rsidRDefault="00E6060C" w:rsidP="00E6060C">
            <w:pPr>
              <w:contextualSpacing/>
            </w:pPr>
            <w:r w:rsidRPr="00E6060C">
              <w:t>9</w:t>
            </w:r>
          </w:p>
        </w:tc>
        <w:tc>
          <w:tcPr>
            <w:tcW w:w="2978" w:type="dxa"/>
            <w:tcBorders>
              <w:top w:val="nil"/>
              <w:bottom w:val="nil"/>
            </w:tcBorders>
            <w:vAlign w:val="center"/>
          </w:tcPr>
          <w:p w14:paraId="6BCCABD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Tense</w:t>
            </w:r>
          </w:p>
        </w:tc>
        <w:tc>
          <w:tcPr>
            <w:tcW w:w="850" w:type="dxa"/>
            <w:tcBorders>
              <w:top w:val="nil"/>
              <w:bottom w:val="nil"/>
            </w:tcBorders>
            <w:vAlign w:val="center"/>
          </w:tcPr>
          <w:p w14:paraId="25EA8280"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309D1EF9"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16BA1252"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7B5DA1C9"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52149F98"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7C3B628E"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0D40E7B6" w14:textId="77777777" w:rsidR="00E6060C" w:rsidRPr="00E6060C" w:rsidRDefault="00E6060C" w:rsidP="00E6060C">
            <w:pPr>
              <w:contextualSpacing/>
              <w:jc w:val="center"/>
            </w:pPr>
            <w:r w:rsidRPr="00E6060C">
              <w:t>7</w:t>
            </w:r>
          </w:p>
        </w:tc>
      </w:tr>
      <w:tr w:rsidR="00E6060C" w:rsidRPr="00E6060C" w14:paraId="131255A3"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13EE6395" w14:textId="77777777" w:rsidR="00E6060C" w:rsidRPr="00E6060C" w:rsidRDefault="00E6060C" w:rsidP="00E6060C">
            <w:pPr>
              <w:ind w:left="-22" w:right="-108" w:firstLine="22"/>
              <w:contextualSpacing/>
            </w:pPr>
            <w:r w:rsidRPr="00E6060C">
              <w:t>10</w:t>
            </w:r>
          </w:p>
        </w:tc>
        <w:tc>
          <w:tcPr>
            <w:tcW w:w="2978" w:type="dxa"/>
            <w:tcBorders>
              <w:top w:val="nil"/>
              <w:bottom w:val="nil"/>
            </w:tcBorders>
            <w:shd w:val="clear" w:color="auto" w:fill="D9D9D9" w:themeFill="background1" w:themeFillShade="D9"/>
            <w:vAlign w:val="center"/>
          </w:tcPr>
          <w:p w14:paraId="3B6F085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Inspired</w:t>
            </w:r>
          </w:p>
        </w:tc>
        <w:tc>
          <w:tcPr>
            <w:tcW w:w="850" w:type="dxa"/>
            <w:tcBorders>
              <w:top w:val="nil"/>
              <w:bottom w:val="nil"/>
            </w:tcBorders>
            <w:shd w:val="clear" w:color="auto" w:fill="D9D9D9" w:themeFill="background1" w:themeFillShade="D9"/>
            <w:vAlign w:val="center"/>
          </w:tcPr>
          <w:p w14:paraId="2DA0012B"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6E59A95B"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00C306FE"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54EFE65C"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12653815"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502548B5"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416321BE" w14:textId="77777777" w:rsidR="00E6060C" w:rsidRPr="00E6060C" w:rsidRDefault="00E6060C" w:rsidP="00E6060C">
            <w:pPr>
              <w:contextualSpacing/>
              <w:jc w:val="center"/>
            </w:pPr>
            <w:r w:rsidRPr="00E6060C">
              <w:t>7</w:t>
            </w:r>
          </w:p>
        </w:tc>
      </w:tr>
      <w:tr w:rsidR="00E6060C" w:rsidRPr="00E6060C" w14:paraId="419E98F4" w14:textId="77777777" w:rsidTr="00E6060C">
        <w:trPr>
          <w:cantSplit/>
          <w:trHeight w:val="454"/>
          <w:tblHeader/>
        </w:trPr>
        <w:tc>
          <w:tcPr>
            <w:tcW w:w="425" w:type="dxa"/>
            <w:tcBorders>
              <w:top w:val="nil"/>
              <w:bottom w:val="nil"/>
            </w:tcBorders>
            <w:vAlign w:val="center"/>
          </w:tcPr>
          <w:p w14:paraId="416BF900" w14:textId="77777777" w:rsidR="00E6060C" w:rsidRPr="00E6060C" w:rsidRDefault="00E6060C" w:rsidP="00E6060C">
            <w:pPr>
              <w:ind w:left="-22" w:right="-108" w:firstLine="22"/>
              <w:contextualSpacing/>
            </w:pPr>
            <w:r w:rsidRPr="00E6060C">
              <w:t>11</w:t>
            </w:r>
          </w:p>
        </w:tc>
        <w:tc>
          <w:tcPr>
            <w:tcW w:w="2978" w:type="dxa"/>
            <w:tcBorders>
              <w:top w:val="nil"/>
              <w:bottom w:val="nil"/>
            </w:tcBorders>
            <w:vAlign w:val="center"/>
          </w:tcPr>
          <w:p w14:paraId="663C43F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Despondent</w:t>
            </w:r>
          </w:p>
        </w:tc>
        <w:tc>
          <w:tcPr>
            <w:tcW w:w="850" w:type="dxa"/>
            <w:tcBorders>
              <w:top w:val="nil"/>
              <w:bottom w:val="nil"/>
            </w:tcBorders>
            <w:vAlign w:val="center"/>
          </w:tcPr>
          <w:p w14:paraId="31089288"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30EA348A"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23EE5066"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088F30B9"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784CF09C"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3AB794D9"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2FD60C32" w14:textId="77777777" w:rsidR="00E6060C" w:rsidRPr="00E6060C" w:rsidRDefault="00E6060C" w:rsidP="00E6060C">
            <w:pPr>
              <w:contextualSpacing/>
              <w:jc w:val="center"/>
            </w:pPr>
            <w:r w:rsidRPr="00E6060C">
              <w:t>7</w:t>
            </w:r>
          </w:p>
        </w:tc>
      </w:tr>
      <w:tr w:rsidR="00E6060C" w:rsidRPr="00E6060C" w14:paraId="3BC78F1B"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7C5EAAB8" w14:textId="77777777" w:rsidR="00E6060C" w:rsidRPr="00E6060C" w:rsidRDefault="00E6060C" w:rsidP="00E6060C">
            <w:pPr>
              <w:ind w:left="-22" w:right="-108" w:firstLine="22"/>
              <w:contextualSpacing/>
            </w:pPr>
            <w:r w:rsidRPr="00E6060C">
              <w:t>12</w:t>
            </w:r>
          </w:p>
        </w:tc>
        <w:tc>
          <w:tcPr>
            <w:tcW w:w="2978" w:type="dxa"/>
            <w:tcBorders>
              <w:top w:val="nil"/>
              <w:bottom w:val="nil"/>
            </w:tcBorders>
            <w:shd w:val="clear" w:color="auto" w:fill="D9D9D9" w:themeFill="background1" w:themeFillShade="D9"/>
            <w:vAlign w:val="center"/>
          </w:tcPr>
          <w:p w14:paraId="56C84C21"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Laid-back</w:t>
            </w:r>
          </w:p>
        </w:tc>
        <w:tc>
          <w:tcPr>
            <w:tcW w:w="850" w:type="dxa"/>
            <w:tcBorders>
              <w:top w:val="nil"/>
              <w:bottom w:val="nil"/>
            </w:tcBorders>
            <w:shd w:val="clear" w:color="auto" w:fill="D9D9D9" w:themeFill="background1" w:themeFillShade="D9"/>
            <w:vAlign w:val="center"/>
          </w:tcPr>
          <w:p w14:paraId="5D1D6E6B"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4D21F64E"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2AF2FCB5"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46D57496"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05E66740"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7313C409"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5854798A" w14:textId="77777777" w:rsidR="00E6060C" w:rsidRPr="00E6060C" w:rsidRDefault="00E6060C" w:rsidP="00E6060C">
            <w:pPr>
              <w:contextualSpacing/>
              <w:jc w:val="center"/>
            </w:pPr>
            <w:r w:rsidRPr="00E6060C">
              <w:t>7</w:t>
            </w:r>
          </w:p>
        </w:tc>
      </w:tr>
      <w:tr w:rsidR="00E6060C" w:rsidRPr="00E6060C" w14:paraId="4987B860" w14:textId="77777777" w:rsidTr="00E6060C">
        <w:trPr>
          <w:cantSplit/>
          <w:trHeight w:val="454"/>
          <w:tblHeader/>
        </w:trPr>
        <w:tc>
          <w:tcPr>
            <w:tcW w:w="425" w:type="dxa"/>
            <w:tcBorders>
              <w:top w:val="nil"/>
              <w:bottom w:val="nil"/>
            </w:tcBorders>
            <w:vAlign w:val="center"/>
          </w:tcPr>
          <w:p w14:paraId="71C9CED4" w14:textId="77777777" w:rsidR="00E6060C" w:rsidRPr="00E6060C" w:rsidRDefault="00E6060C" w:rsidP="00E6060C">
            <w:pPr>
              <w:ind w:left="-22" w:right="-108" w:firstLine="22"/>
              <w:contextualSpacing/>
            </w:pPr>
            <w:r w:rsidRPr="00E6060C">
              <w:t>13</w:t>
            </w:r>
          </w:p>
        </w:tc>
        <w:tc>
          <w:tcPr>
            <w:tcW w:w="2978" w:type="dxa"/>
            <w:tcBorders>
              <w:top w:val="nil"/>
              <w:bottom w:val="nil"/>
            </w:tcBorders>
            <w:vAlign w:val="center"/>
          </w:tcPr>
          <w:p w14:paraId="66109AEB"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Worried</w:t>
            </w:r>
          </w:p>
        </w:tc>
        <w:tc>
          <w:tcPr>
            <w:tcW w:w="850" w:type="dxa"/>
            <w:tcBorders>
              <w:top w:val="nil"/>
              <w:bottom w:val="nil"/>
            </w:tcBorders>
            <w:vAlign w:val="center"/>
          </w:tcPr>
          <w:p w14:paraId="2614059C"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6927FC26"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3E012CC6"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4E1F8225"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29D09398"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41BAF301"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3C093D76" w14:textId="77777777" w:rsidR="00E6060C" w:rsidRPr="00E6060C" w:rsidRDefault="00E6060C" w:rsidP="00E6060C">
            <w:pPr>
              <w:contextualSpacing/>
              <w:jc w:val="center"/>
            </w:pPr>
            <w:r w:rsidRPr="00E6060C">
              <w:t>7</w:t>
            </w:r>
          </w:p>
        </w:tc>
      </w:tr>
      <w:tr w:rsidR="00E6060C" w:rsidRPr="00E6060C" w14:paraId="5EB1B25B"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76B912EA" w14:textId="77777777" w:rsidR="00E6060C" w:rsidRPr="00E6060C" w:rsidRDefault="00E6060C" w:rsidP="00E6060C">
            <w:pPr>
              <w:ind w:left="-22" w:right="-108" w:firstLine="22"/>
              <w:contextualSpacing/>
            </w:pPr>
            <w:r w:rsidRPr="00E6060C">
              <w:t>14</w:t>
            </w:r>
          </w:p>
        </w:tc>
        <w:tc>
          <w:tcPr>
            <w:tcW w:w="2978" w:type="dxa"/>
            <w:tcBorders>
              <w:top w:val="nil"/>
              <w:bottom w:val="nil"/>
            </w:tcBorders>
            <w:shd w:val="clear" w:color="auto" w:fill="D9D9D9" w:themeFill="background1" w:themeFillShade="D9"/>
            <w:vAlign w:val="center"/>
          </w:tcPr>
          <w:p w14:paraId="3517854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Joyful</w:t>
            </w:r>
          </w:p>
        </w:tc>
        <w:tc>
          <w:tcPr>
            <w:tcW w:w="850" w:type="dxa"/>
            <w:tcBorders>
              <w:top w:val="nil"/>
              <w:bottom w:val="nil"/>
            </w:tcBorders>
            <w:shd w:val="clear" w:color="auto" w:fill="D9D9D9" w:themeFill="background1" w:themeFillShade="D9"/>
            <w:vAlign w:val="center"/>
          </w:tcPr>
          <w:p w14:paraId="625FFE54"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17ACD60D"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5C9C7C06"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7A4EE112"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3F1D6926"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6657A926"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4C01088C" w14:textId="77777777" w:rsidR="00E6060C" w:rsidRPr="00E6060C" w:rsidRDefault="00E6060C" w:rsidP="00E6060C">
            <w:pPr>
              <w:contextualSpacing/>
              <w:jc w:val="center"/>
            </w:pPr>
            <w:r w:rsidRPr="00E6060C">
              <w:t>7</w:t>
            </w:r>
          </w:p>
        </w:tc>
      </w:tr>
      <w:tr w:rsidR="00E6060C" w:rsidRPr="00E6060C" w14:paraId="47419E68" w14:textId="77777777" w:rsidTr="00E6060C">
        <w:trPr>
          <w:cantSplit/>
          <w:trHeight w:val="454"/>
          <w:tblHeader/>
        </w:trPr>
        <w:tc>
          <w:tcPr>
            <w:tcW w:w="425" w:type="dxa"/>
            <w:tcBorders>
              <w:top w:val="nil"/>
              <w:bottom w:val="nil"/>
            </w:tcBorders>
            <w:vAlign w:val="center"/>
          </w:tcPr>
          <w:p w14:paraId="6214428B" w14:textId="77777777" w:rsidR="00E6060C" w:rsidRPr="00E6060C" w:rsidRDefault="00E6060C" w:rsidP="00E6060C">
            <w:pPr>
              <w:ind w:left="-22" w:right="-108" w:firstLine="22"/>
              <w:contextualSpacing/>
            </w:pPr>
            <w:r w:rsidRPr="00E6060C">
              <w:t>15</w:t>
            </w:r>
          </w:p>
        </w:tc>
        <w:tc>
          <w:tcPr>
            <w:tcW w:w="2978" w:type="dxa"/>
            <w:tcBorders>
              <w:top w:val="nil"/>
              <w:bottom w:val="nil"/>
            </w:tcBorders>
            <w:vAlign w:val="center"/>
          </w:tcPr>
          <w:p w14:paraId="3E49C781"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Hopeless</w:t>
            </w:r>
          </w:p>
        </w:tc>
        <w:tc>
          <w:tcPr>
            <w:tcW w:w="850" w:type="dxa"/>
            <w:tcBorders>
              <w:top w:val="nil"/>
              <w:bottom w:val="nil"/>
            </w:tcBorders>
            <w:vAlign w:val="center"/>
          </w:tcPr>
          <w:p w14:paraId="2F77871E" w14:textId="77777777" w:rsidR="00E6060C" w:rsidRPr="00E6060C" w:rsidRDefault="00E6060C" w:rsidP="00E6060C">
            <w:pPr>
              <w:contextualSpacing/>
              <w:jc w:val="center"/>
            </w:pPr>
            <w:r w:rsidRPr="00E6060C">
              <w:t>1</w:t>
            </w:r>
          </w:p>
        </w:tc>
        <w:tc>
          <w:tcPr>
            <w:tcW w:w="1134" w:type="dxa"/>
            <w:tcBorders>
              <w:top w:val="nil"/>
              <w:bottom w:val="nil"/>
            </w:tcBorders>
            <w:vAlign w:val="center"/>
          </w:tcPr>
          <w:p w14:paraId="178748EA" w14:textId="77777777" w:rsidR="00E6060C" w:rsidRPr="00E6060C" w:rsidRDefault="00E6060C" w:rsidP="00E6060C">
            <w:pPr>
              <w:contextualSpacing/>
              <w:jc w:val="center"/>
            </w:pPr>
            <w:r w:rsidRPr="00E6060C">
              <w:t>2</w:t>
            </w:r>
          </w:p>
        </w:tc>
        <w:tc>
          <w:tcPr>
            <w:tcW w:w="1134" w:type="dxa"/>
            <w:tcBorders>
              <w:top w:val="nil"/>
              <w:bottom w:val="nil"/>
            </w:tcBorders>
            <w:vAlign w:val="center"/>
          </w:tcPr>
          <w:p w14:paraId="3C0509A2" w14:textId="77777777" w:rsidR="00E6060C" w:rsidRPr="00E6060C" w:rsidRDefault="00E6060C" w:rsidP="00E6060C">
            <w:pPr>
              <w:contextualSpacing/>
              <w:jc w:val="center"/>
            </w:pPr>
            <w:r w:rsidRPr="00E6060C">
              <w:t>3</w:t>
            </w:r>
          </w:p>
        </w:tc>
        <w:tc>
          <w:tcPr>
            <w:tcW w:w="1195" w:type="dxa"/>
            <w:tcBorders>
              <w:top w:val="nil"/>
              <w:bottom w:val="nil"/>
            </w:tcBorders>
            <w:vAlign w:val="center"/>
          </w:tcPr>
          <w:p w14:paraId="284F506A" w14:textId="77777777" w:rsidR="00E6060C" w:rsidRPr="00E6060C" w:rsidRDefault="00E6060C" w:rsidP="00E6060C">
            <w:pPr>
              <w:contextualSpacing/>
              <w:jc w:val="center"/>
            </w:pPr>
            <w:r w:rsidRPr="00E6060C">
              <w:t>4</w:t>
            </w:r>
          </w:p>
        </w:tc>
        <w:tc>
          <w:tcPr>
            <w:tcW w:w="1073" w:type="dxa"/>
            <w:tcBorders>
              <w:top w:val="nil"/>
              <w:bottom w:val="nil"/>
            </w:tcBorders>
            <w:vAlign w:val="center"/>
          </w:tcPr>
          <w:p w14:paraId="05CCADB4" w14:textId="77777777" w:rsidR="00E6060C" w:rsidRPr="00E6060C" w:rsidRDefault="00E6060C" w:rsidP="00E6060C">
            <w:pPr>
              <w:contextualSpacing/>
              <w:jc w:val="center"/>
            </w:pPr>
            <w:r w:rsidRPr="00E6060C">
              <w:t>5</w:t>
            </w:r>
          </w:p>
        </w:tc>
        <w:tc>
          <w:tcPr>
            <w:tcW w:w="993" w:type="dxa"/>
            <w:tcBorders>
              <w:top w:val="nil"/>
              <w:bottom w:val="nil"/>
            </w:tcBorders>
            <w:vAlign w:val="center"/>
          </w:tcPr>
          <w:p w14:paraId="183098E7" w14:textId="77777777" w:rsidR="00E6060C" w:rsidRPr="00E6060C" w:rsidRDefault="00E6060C" w:rsidP="00E6060C">
            <w:pPr>
              <w:contextualSpacing/>
              <w:jc w:val="center"/>
            </w:pPr>
            <w:r w:rsidRPr="00E6060C">
              <w:t>6</w:t>
            </w:r>
          </w:p>
        </w:tc>
        <w:tc>
          <w:tcPr>
            <w:tcW w:w="992" w:type="dxa"/>
            <w:tcBorders>
              <w:top w:val="nil"/>
              <w:bottom w:val="nil"/>
            </w:tcBorders>
            <w:vAlign w:val="center"/>
          </w:tcPr>
          <w:p w14:paraId="1B668679" w14:textId="77777777" w:rsidR="00E6060C" w:rsidRPr="00E6060C" w:rsidRDefault="00E6060C" w:rsidP="00E6060C">
            <w:pPr>
              <w:contextualSpacing/>
              <w:jc w:val="center"/>
            </w:pPr>
            <w:r w:rsidRPr="00E6060C">
              <w:t>7</w:t>
            </w:r>
          </w:p>
        </w:tc>
      </w:tr>
      <w:tr w:rsidR="00E6060C" w:rsidRPr="00E6060C" w14:paraId="49649A72" w14:textId="77777777" w:rsidTr="00E6060C">
        <w:trPr>
          <w:cantSplit/>
          <w:trHeight w:val="454"/>
          <w:tblHeader/>
        </w:trPr>
        <w:tc>
          <w:tcPr>
            <w:tcW w:w="425" w:type="dxa"/>
            <w:tcBorders>
              <w:top w:val="nil"/>
              <w:bottom w:val="nil"/>
            </w:tcBorders>
            <w:shd w:val="clear" w:color="auto" w:fill="D9D9D9" w:themeFill="background1" w:themeFillShade="D9"/>
            <w:vAlign w:val="center"/>
          </w:tcPr>
          <w:p w14:paraId="3B66DC70" w14:textId="77777777" w:rsidR="00E6060C" w:rsidRPr="00E6060C" w:rsidRDefault="00E6060C" w:rsidP="00E6060C">
            <w:pPr>
              <w:ind w:left="-22" w:right="-108" w:firstLine="22"/>
              <w:contextualSpacing/>
            </w:pPr>
            <w:r w:rsidRPr="00E6060C">
              <w:t>16</w:t>
            </w:r>
          </w:p>
        </w:tc>
        <w:tc>
          <w:tcPr>
            <w:tcW w:w="2978" w:type="dxa"/>
            <w:tcBorders>
              <w:top w:val="nil"/>
              <w:bottom w:val="nil"/>
            </w:tcBorders>
            <w:shd w:val="clear" w:color="auto" w:fill="D9D9D9" w:themeFill="background1" w:themeFillShade="D9"/>
            <w:vAlign w:val="center"/>
          </w:tcPr>
          <w:p w14:paraId="74239AA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Relaxed</w:t>
            </w:r>
          </w:p>
        </w:tc>
        <w:tc>
          <w:tcPr>
            <w:tcW w:w="850" w:type="dxa"/>
            <w:tcBorders>
              <w:top w:val="nil"/>
              <w:bottom w:val="nil"/>
            </w:tcBorders>
            <w:shd w:val="clear" w:color="auto" w:fill="D9D9D9" w:themeFill="background1" w:themeFillShade="D9"/>
            <w:vAlign w:val="center"/>
          </w:tcPr>
          <w:p w14:paraId="14F14DC4" w14:textId="77777777" w:rsidR="00E6060C" w:rsidRPr="00E6060C" w:rsidRDefault="00E6060C" w:rsidP="00E6060C">
            <w:pPr>
              <w:contextualSpacing/>
              <w:jc w:val="center"/>
            </w:pPr>
            <w:r w:rsidRPr="00E6060C">
              <w:t>1</w:t>
            </w:r>
          </w:p>
        </w:tc>
        <w:tc>
          <w:tcPr>
            <w:tcW w:w="1134" w:type="dxa"/>
            <w:tcBorders>
              <w:top w:val="nil"/>
              <w:bottom w:val="nil"/>
            </w:tcBorders>
            <w:shd w:val="clear" w:color="auto" w:fill="D9D9D9" w:themeFill="background1" w:themeFillShade="D9"/>
            <w:vAlign w:val="center"/>
          </w:tcPr>
          <w:p w14:paraId="08412229" w14:textId="77777777" w:rsidR="00E6060C" w:rsidRPr="00E6060C" w:rsidRDefault="00E6060C" w:rsidP="00E6060C">
            <w:pPr>
              <w:contextualSpacing/>
              <w:jc w:val="center"/>
            </w:pPr>
            <w:r w:rsidRPr="00E6060C">
              <w:t>2</w:t>
            </w:r>
          </w:p>
        </w:tc>
        <w:tc>
          <w:tcPr>
            <w:tcW w:w="1134" w:type="dxa"/>
            <w:tcBorders>
              <w:top w:val="nil"/>
              <w:bottom w:val="nil"/>
            </w:tcBorders>
            <w:shd w:val="clear" w:color="auto" w:fill="D9D9D9" w:themeFill="background1" w:themeFillShade="D9"/>
            <w:vAlign w:val="center"/>
          </w:tcPr>
          <w:p w14:paraId="45C83D16" w14:textId="77777777" w:rsidR="00E6060C" w:rsidRPr="00E6060C" w:rsidRDefault="00E6060C" w:rsidP="00E6060C">
            <w:pPr>
              <w:contextualSpacing/>
              <w:jc w:val="center"/>
            </w:pPr>
            <w:r w:rsidRPr="00E6060C">
              <w:t>3</w:t>
            </w:r>
          </w:p>
        </w:tc>
        <w:tc>
          <w:tcPr>
            <w:tcW w:w="1195" w:type="dxa"/>
            <w:tcBorders>
              <w:top w:val="nil"/>
              <w:bottom w:val="nil"/>
            </w:tcBorders>
            <w:shd w:val="clear" w:color="auto" w:fill="D9D9D9" w:themeFill="background1" w:themeFillShade="D9"/>
            <w:vAlign w:val="center"/>
          </w:tcPr>
          <w:p w14:paraId="2DDC45B1" w14:textId="77777777" w:rsidR="00E6060C" w:rsidRPr="00E6060C" w:rsidRDefault="00E6060C" w:rsidP="00E6060C">
            <w:pPr>
              <w:contextualSpacing/>
              <w:jc w:val="center"/>
            </w:pPr>
            <w:r w:rsidRPr="00E6060C">
              <w:t>4</w:t>
            </w:r>
          </w:p>
        </w:tc>
        <w:tc>
          <w:tcPr>
            <w:tcW w:w="1073" w:type="dxa"/>
            <w:tcBorders>
              <w:top w:val="nil"/>
              <w:bottom w:val="nil"/>
            </w:tcBorders>
            <w:shd w:val="clear" w:color="auto" w:fill="D9D9D9" w:themeFill="background1" w:themeFillShade="D9"/>
            <w:vAlign w:val="center"/>
          </w:tcPr>
          <w:p w14:paraId="766A62D3" w14:textId="77777777" w:rsidR="00E6060C" w:rsidRPr="00E6060C" w:rsidRDefault="00E6060C" w:rsidP="00E6060C">
            <w:pPr>
              <w:contextualSpacing/>
              <w:jc w:val="center"/>
            </w:pPr>
            <w:r w:rsidRPr="00E6060C">
              <w:t>5</w:t>
            </w:r>
          </w:p>
        </w:tc>
        <w:tc>
          <w:tcPr>
            <w:tcW w:w="993" w:type="dxa"/>
            <w:tcBorders>
              <w:top w:val="nil"/>
              <w:bottom w:val="nil"/>
            </w:tcBorders>
            <w:shd w:val="clear" w:color="auto" w:fill="D9D9D9" w:themeFill="background1" w:themeFillShade="D9"/>
            <w:vAlign w:val="center"/>
          </w:tcPr>
          <w:p w14:paraId="6A5E3C73" w14:textId="77777777" w:rsidR="00E6060C" w:rsidRPr="00E6060C" w:rsidRDefault="00E6060C" w:rsidP="00E6060C">
            <w:pPr>
              <w:contextualSpacing/>
              <w:jc w:val="center"/>
            </w:pPr>
            <w:r w:rsidRPr="00E6060C">
              <w:t>6</w:t>
            </w:r>
          </w:p>
        </w:tc>
        <w:tc>
          <w:tcPr>
            <w:tcW w:w="992" w:type="dxa"/>
            <w:tcBorders>
              <w:top w:val="nil"/>
              <w:bottom w:val="nil"/>
            </w:tcBorders>
            <w:shd w:val="clear" w:color="auto" w:fill="D9D9D9" w:themeFill="background1" w:themeFillShade="D9"/>
            <w:vAlign w:val="center"/>
          </w:tcPr>
          <w:p w14:paraId="3C41F519" w14:textId="77777777" w:rsidR="00E6060C" w:rsidRPr="00E6060C" w:rsidRDefault="00E6060C" w:rsidP="00E6060C">
            <w:pPr>
              <w:contextualSpacing/>
              <w:jc w:val="center"/>
            </w:pPr>
            <w:r w:rsidRPr="00E6060C">
              <w:t>7</w:t>
            </w:r>
          </w:p>
        </w:tc>
      </w:tr>
    </w:tbl>
    <w:p w14:paraId="3385E381" w14:textId="77777777" w:rsidR="00E6060C" w:rsidRPr="00E6060C" w:rsidRDefault="00E6060C" w:rsidP="00E6060C"/>
    <w:tbl>
      <w:tblPr>
        <w:tblW w:w="10775" w:type="dxa"/>
        <w:tblInd w:w="-744" w:type="dxa"/>
        <w:tblBorders>
          <w:top w:val="single" w:sz="4" w:space="0" w:color="auto"/>
          <w:bottom w:val="single" w:sz="4" w:space="0" w:color="auto"/>
        </w:tblBorders>
        <w:tblLayout w:type="fixed"/>
        <w:tblLook w:val="01E0" w:firstRow="1" w:lastRow="1" w:firstColumn="1" w:lastColumn="1" w:noHBand="0" w:noVBand="0"/>
      </w:tblPr>
      <w:tblGrid>
        <w:gridCol w:w="426"/>
        <w:gridCol w:w="3682"/>
        <w:gridCol w:w="937"/>
        <w:gridCol w:w="937"/>
        <w:gridCol w:w="937"/>
        <w:gridCol w:w="937"/>
        <w:gridCol w:w="937"/>
        <w:gridCol w:w="937"/>
        <w:gridCol w:w="1045"/>
      </w:tblGrid>
      <w:tr w:rsidR="00E6060C" w:rsidRPr="00E6060C" w14:paraId="0C923239" w14:textId="77777777" w:rsidTr="00E6060C">
        <w:trPr>
          <w:cantSplit/>
          <w:trHeight w:val="1299"/>
          <w:tblHeader/>
        </w:trPr>
        <w:tc>
          <w:tcPr>
            <w:tcW w:w="426" w:type="dxa"/>
            <w:tcBorders>
              <w:top w:val="single" w:sz="4" w:space="0" w:color="auto"/>
              <w:bottom w:val="single" w:sz="4" w:space="0" w:color="auto"/>
            </w:tcBorders>
            <w:shd w:val="clear" w:color="auto" w:fill="8EAADB" w:themeFill="accent5" w:themeFillTint="99"/>
          </w:tcPr>
          <w:p w14:paraId="32758868" w14:textId="77777777" w:rsidR="00E6060C" w:rsidRPr="00E6060C" w:rsidRDefault="00E6060C" w:rsidP="00E6060C">
            <w:pPr>
              <w:tabs>
                <w:tab w:val="left" w:pos="35"/>
              </w:tabs>
              <w:ind w:left="-146" w:right="-146"/>
              <w:contextualSpacing/>
              <w:rPr>
                <w:b/>
                <w:bCs/>
                <w:lang w:val="en-US"/>
              </w:rPr>
            </w:pPr>
            <w:r w:rsidRPr="00E6060C">
              <w:rPr>
                <w:b/>
                <w:bCs/>
                <w:lang w:val="en-US"/>
              </w:rPr>
              <w:t xml:space="preserve">  14</w:t>
            </w:r>
          </w:p>
        </w:tc>
        <w:tc>
          <w:tcPr>
            <w:tcW w:w="3682" w:type="dxa"/>
            <w:tcBorders>
              <w:top w:val="single" w:sz="4" w:space="0" w:color="auto"/>
              <w:bottom w:val="single" w:sz="4" w:space="0" w:color="auto"/>
            </w:tcBorders>
            <w:shd w:val="clear" w:color="auto" w:fill="8EAADB" w:themeFill="accent5" w:themeFillTint="99"/>
          </w:tcPr>
          <w:p w14:paraId="61FECEA1" w14:textId="77777777" w:rsidR="00E6060C" w:rsidRPr="00E6060C" w:rsidRDefault="00E6060C" w:rsidP="00E6060C">
            <w:pPr>
              <w:spacing w:after="200" w:line="276" w:lineRule="auto"/>
              <w:ind w:left="23"/>
              <w:contextualSpacing/>
              <w:rPr>
                <w:b/>
                <w:bCs/>
              </w:rPr>
            </w:pPr>
            <w:r w:rsidRPr="00E6060C">
              <w:rPr>
                <w:b/>
                <w:bCs/>
              </w:rPr>
              <w:t xml:space="preserve">How </w:t>
            </w:r>
            <w:r w:rsidRPr="00E6060C">
              <w:rPr>
                <w:b/>
                <w:bCs/>
                <w:u w:val="single"/>
              </w:rPr>
              <w:t>satisfied</w:t>
            </w:r>
            <w:r w:rsidRPr="00E6060C">
              <w:rPr>
                <w:b/>
                <w:bCs/>
              </w:rPr>
              <w:t xml:space="preserve"> are you with each of </w:t>
            </w:r>
          </w:p>
          <w:p w14:paraId="0749CFF5" w14:textId="77777777" w:rsidR="00E6060C" w:rsidRPr="00E6060C" w:rsidRDefault="00E6060C" w:rsidP="00E6060C">
            <w:pPr>
              <w:spacing w:after="200" w:line="276" w:lineRule="auto"/>
              <w:ind w:left="23"/>
              <w:contextualSpacing/>
              <w:rPr>
                <w:b/>
                <w:bCs/>
              </w:rPr>
            </w:pPr>
            <w:r w:rsidRPr="00E6060C">
              <w:rPr>
                <w:b/>
                <w:bCs/>
              </w:rPr>
              <w:t>the following aspects of your job?</w:t>
            </w:r>
          </w:p>
        </w:tc>
        <w:tc>
          <w:tcPr>
            <w:tcW w:w="937" w:type="dxa"/>
            <w:tcBorders>
              <w:top w:val="single" w:sz="4" w:space="0" w:color="auto"/>
              <w:bottom w:val="single" w:sz="4" w:space="0" w:color="auto"/>
            </w:tcBorders>
            <w:shd w:val="clear" w:color="auto" w:fill="8EAADB" w:themeFill="accent5" w:themeFillTint="99"/>
            <w:textDirection w:val="btLr"/>
            <w:vAlign w:val="center"/>
          </w:tcPr>
          <w:p w14:paraId="35BB98D6" w14:textId="77777777" w:rsidR="00E6060C" w:rsidRPr="00E6060C" w:rsidRDefault="00E6060C" w:rsidP="00E6060C">
            <w:pPr>
              <w:ind w:left="113" w:right="113"/>
              <w:contextualSpacing/>
              <w:jc w:val="right"/>
              <w:rPr>
                <w:b/>
                <w:bCs/>
                <w:lang w:val="en-US"/>
              </w:rPr>
            </w:pPr>
            <w:r w:rsidRPr="00E6060C">
              <w:rPr>
                <w:b/>
                <w:bCs/>
                <w:lang w:val="en-US"/>
              </w:rPr>
              <w:t>Extremely</w:t>
            </w:r>
          </w:p>
          <w:p w14:paraId="78E3115F" w14:textId="77777777" w:rsidR="00E6060C" w:rsidRPr="00E6060C" w:rsidRDefault="00E6060C" w:rsidP="00E6060C">
            <w:pPr>
              <w:ind w:left="113" w:right="113"/>
              <w:contextualSpacing/>
              <w:jc w:val="right"/>
              <w:rPr>
                <w:b/>
                <w:bCs/>
                <w:lang w:val="en-US"/>
              </w:rPr>
            </w:pPr>
            <w:r w:rsidRPr="00E6060C">
              <w:rPr>
                <w:b/>
                <w:bCs/>
                <w:lang w:val="en-US"/>
              </w:rPr>
              <w:t>dissatisfied</w:t>
            </w:r>
          </w:p>
        </w:tc>
        <w:tc>
          <w:tcPr>
            <w:tcW w:w="937" w:type="dxa"/>
            <w:tcBorders>
              <w:top w:val="single" w:sz="4" w:space="0" w:color="auto"/>
              <w:bottom w:val="single" w:sz="4" w:space="0" w:color="auto"/>
            </w:tcBorders>
            <w:shd w:val="clear" w:color="auto" w:fill="8EAADB" w:themeFill="accent5" w:themeFillTint="99"/>
            <w:textDirection w:val="btLr"/>
            <w:vAlign w:val="center"/>
          </w:tcPr>
          <w:p w14:paraId="3A1E5C3A" w14:textId="77777777" w:rsidR="00E6060C" w:rsidRPr="00E6060C" w:rsidRDefault="00E6060C" w:rsidP="00E6060C">
            <w:pPr>
              <w:ind w:left="113" w:right="113"/>
              <w:contextualSpacing/>
              <w:jc w:val="right"/>
              <w:rPr>
                <w:b/>
                <w:bCs/>
              </w:rPr>
            </w:pPr>
            <w:r w:rsidRPr="00E6060C">
              <w:rPr>
                <w:b/>
                <w:bCs/>
              </w:rPr>
              <w:t>Very dissatisfied</w:t>
            </w:r>
          </w:p>
        </w:tc>
        <w:tc>
          <w:tcPr>
            <w:tcW w:w="937" w:type="dxa"/>
            <w:tcBorders>
              <w:top w:val="single" w:sz="4" w:space="0" w:color="auto"/>
              <w:bottom w:val="single" w:sz="4" w:space="0" w:color="auto"/>
            </w:tcBorders>
            <w:shd w:val="clear" w:color="auto" w:fill="8EAADB" w:themeFill="accent5" w:themeFillTint="99"/>
            <w:textDirection w:val="btLr"/>
            <w:vAlign w:val="center"/>
          </w:tcPr>
          <w:p w14:paraId="39C4FA82" w14:textId="77777777" w:rsidR="00E6060C" w:rsidRPr="00E6060C" w:rsidRDefault="00E6060C" w:rsidP="00E6060C">
            <w:pPr>
              <w:ind w:left="113" w:right="113"/>
              <w:contextualSpacing/>
              <w:jc w:val="right"/>
              <w:rPr>
                <w:b/>
                <w:bCs/>
              </w:rPr>
            </w:pPr>
            <w:r w:rsidRPr="00E6060C">
              <w:rPr>
                <w:b/>
                <w:bCs/>
              </w:rPr>
              <w:t>Moderately dissatisfied</w:t>
            </w:r>
          </w:p>
        </w:tc>
        <w:tc>
          <w:tcPr>
            <w:tcW w:w="937" w:type="dxa"/>
            <w:tcBorders>
              <w:top w:val="single" w:sz="4" w:space="0" w:color="auto"/>
              <w:bottom w:val="single" w:sz="4" w:space="0" w:color="auto"/>
            </w:tcBorders>
            <w:shd w:val="clear" w:color="auto" w:fill="8EAADB" w:themeFill="accent5" w:themeFillTint="99"/>
            <w:textDirection w:val="btLr"/>
            <w:vAlign w:val="center"/>
          </w:tcPr>
          <w:p w14:paraId="54CB141C" w14:textId="77777777" w:rsidR="00E6060C" w:rsidRPr="00E6060C" w:rsidRDefault="00E6060C" w:rsidP="00E6060C">
            <w:pPr>
              <w:ind w:left="113" w:right="113"/>
              <w:contextualSpacing/>
              <w:jc w:val="right"/>
              <w:rPr>
                <w:b/>
                <w:bCs/>
              </w:rPr>
            </w:pPr>
            <w:r w:rsidRPr="00E6060C">
              <w:rPr>
                <w:b/>
                <w:bCs/>
              </w:rPr>
              <w:t>Not sure</w:t>
            </w:r>
          </w:p>
        </w:tc>
        <w:tc>
          <w:tcPr>
            <w:tcW w:w="937" w:type="dxa"/>
            <w:tcBorders>
              <w:top w:val="single" w:sz="4" w:space="0" w:color="auto"/>
              <w:bottom w:val="single" w:sz="4" w:space="0" w:color="auto"/>
            </w:tcBorders>
            <w:shd w:val="clear" w:color="auto" w:fill="8EAADB" w:themeFill="accent5" w:themeFillTint="99"/>
            <w:textDirection w:val="btLr"/>
            <w:vAlign w:val="center"/>
          </w:tcPr>
          <w:p w14:paraId="0DCF4992" w14:textId="77777777" w:rsidR="00E6060C" w:rsidRPr="00E6060C" w:rsidRDefault="00E6060C" w:rsidP="00E6060C">
            <w:pPr>
              <w:ind w:left="113" w:right="113"/>
              <w:contextualSpacing/>
              <w:jc w:val="right"/>
              <w:rPr>
                <w:b/>
                <w:bCs/>
              </w:rPr>
            </w:pPr>
            <w:r w:rsidRPr="00E6060C">
              <w:rPr>
                <w:b/>
                <w:bCs/>
              </w:rPr>
              <w:t>Moderately satisfied</w:t>
            </w:r>
          </w:p>
        </w:tc>
        <w:tc>
          <w:tcPr>
            <w:tcW w:w="937" w:type="dxa"/>
            <w:tcBorders>
              <w:top w:val="single" w:sz="4" w:space="0" w:color="auto"/>
              <w:bottom w:val="single" w:sz="4" w:space="0" w:color="auto"/>
            </w:tcBorders>
            <w:shd w:val="clear" w:color="auto" w:fill="8EAADB" w:themeFill="accent5" w:themeFillTint="99"/>
            <w:textDirection w:val="btLr"/>
            <w:vAlign w:val="center"/>
          </w:tcPr>
          <w:p w14:paraId="64461FE2" w14:textId="77777777" w:rsidR="00E6060C" w:rsidRPr="00E6060C" w:rsidRDefault="00E6060C" w:rsidP="00E6060C">
            <w:pPr>
              <w:ind w:left="113" w:right="113"/>
              <w:contextualSpacing/>
              <w:jc w:val="right"/>
              <w:rPr>
                <w:b/>
                <w:bCs/>
              </w:rPr>
            </w:pPr>
            <w:r w:rsidRPr="00E6060C">
              <w:rPr>
                <w:b/>
                <w:bCs/>
              </w:rPr>
              <w:t>Very satisfied</w:t>
            </w:r>
          </w:p>
        </w:tc>
        <w:tc>
          <w:tcPr>
            <w:tcW w:w="1045" w:type="dxa"/>
            <w:tcBorders>
              <w:top w:val="single" w:sz="4" w:space="0" w:color="auto"/>
              <w:bottom w:val="single" w:sz="4" w:space="0" w:color="auto"/>
            </w:tcBorders>
            <w:shd w:val="clear" w:color="auto" w:fill="8EAADB" w:themeFill="accent5" w:themeFillTint="99"/>
            <w:textDirection w:val="btLr"/>
            <w:vAlign w:val="center"/>
          </w:tcPr>
          <w:p w14:paraId="714203A1" w14:textId="77777777" w:rsidR="00E6060C" w:rsidRPr="00E6060C" w:rsidRDefault="00E6060C" w:rsidP="00E6060C">
            <w:pPr>
              <w:ind w:left="113" w:right="113"/>
              <w:contextualSpacing/>
              <w:jc w:val="right"/>
              <w:rPr>
                <w:b/>
                <w:bCs/>
              </w:rPr>
            </w:pPr>
            <w:r w:rsidRPr="00E6060C">
              <w:rPr>
                <w:b/>
                <w:bCs/>
              </w:rPr>
              <w:t>Extremely satisfied</w:t>
            </w:r>
          </w:p>
        </w:tc>
      </w:tr>
      <w:tr w:rsidR="00E6060C" w:rsidRPr="00E6060C" w14:paraId="01A45CF1" w14:textId="77777777" w:rsidTr="00E6060C">
        <w:trPr>
          <w:trHeight w:val="252"/>
        </w:trPr>
        <w:tc>
          <w:tcPr>
            <w:tcW w:w="426" w:type="dxa"/>
            <w:tcBorders>
              <w:bottom w:val="nil"/>
            </w:tcBorders>
            <w:vAlign w:val="center"/>
          </w:tcPr>
          <w:p w14:paraId="5F9D7C90" w14:textId="77777777" w:rsidR="00E6060C" w:rsidRPr="00E6060C" w:rsidRDefault="00E6060C" w:rsidP="00E6060C">
            <w:pPr>
              <w:tabs>
                <w:tab w:val="left" w:pos="35"/>
              </w:tabs>
              <w:contextualSpacing/>
            </w:pPr>
            <w:r w:rsidRPr="00E6060C">
              <w:t>1</w:t>
            </w:r>
          </w:p>
        </w:tc>
        <w:tc>
          <w:tcPr>
            <w:tcW w:w="3682" w:type="dxa"/>
            <w:tcBorders>
              <w:bottom w:val="nil"/>
            </w:tcBorders>
            <w:vAlign w:val="center"/>
          </w:tcPr>
          <w:p w14:paraId="37C0819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recognition I get for good work</w:t>
            </w:r>
          </w:p>
        </w:tc>
        <w:tc>
          <w:tcPr>
            <w:tcW w:w="937" w:type="dxa"/>
            <w:tcBorders>
              <w:bottom w:val="nil"/>
            </w:tcBorders>
            <w:shd w:val="clear" w:color="auto" w:fill="auto"/>
            <w:vAlign w:val="center"/>
          </w:tcPr>
          <w:p w14:paraId="6F378F09" w14:textId="77777777" w:rsidR="00E6060C" w:rsidRPr="00E6060C" w:rsidRDefault="00E6060C" w:rsidP="00E6060C">
            <w:pPr>
              <w:contextualSpacing/>
              <w:jc w:val="center"/>
            </w:pPr>
            <w:r w:rsidRPr="00E6060C">
              <w:t>1</w:t>
            </w:r>
          </w:p>
        </w:tc>
        <w:tc>
          <w:tcPr>
            <w:tcW w:w="937" w:type="dxa"/>
            <w:tcBorders>
              <w:bottom w:val="nil"/>
            </w:tcBorders>
            <w:shd w:val="clear" w:color="auto" w:fill="auto"/>
            <w:vAlign w:val="center"/>
          </w:tcPr>
          <w:p w14:paraId="417733AC" w14:textId="77777777" w:rsidR="00E6060C" w:rsidRPr="00E6060C" w:rsidRDefault="00E6060C" w:rsidP="00E6060C">
            <w:pPr>
              <w:contextualSpacing/>
              <w:jc w:val="center"/>
            </w:pPr>
            <w:r w:rsidRPr="00E6060C">
              <w:t>2</w:t>
            </w:r>
          </w:p>
        </w:tc>
        <w:tc>
          <w:tcPr>
            <w:tcW w:w="937" w:type="dxa"/>
            <w:tcBorders>
              <w:bottom w:val="nil"/>
            </w:tcBorders>
            <w:shd w:val="clear" w:color="auto" w:fill="auto"/>
            <w:vAlign w:val="center"/>
          </w:tcPr>
          <w:p w14:paraId="15061A70" w14:textId="77777777" w:rsidR="00E6060C" w:rsidRPr="00E6060C" w:rsidRDefault="00E6060C" w:rsidP="00E6060C">
            <w:pPr>
              <w:contextualSpacing/>
              <w:jc w:val="center"/>
            </w:pPr>
            <w:r w:rsidRPr="00E6060C">
              <w:t>3</w:t>
            </w:r>
          </w:p>
        </w:tc>
        <w:tc>
          <w:tcPr>
            <w:tcW w:w="937" w:type="dxa"/>
            <w:tcBorders>
              <w:bottom w:val="nil"/>
            </w:tcBorders>
            <w:shd w:val="clear" w:color="auto" w:fill="auto"/>
            <w:vAlign w:val="center"/>
          </w:tcPr>
          <w:p w14:paraId="26310312" w14:textId="77777777" w:rsidR="00E6060C" w:rsidRPr="00E6060C" w:rsidRDefault="00E6060C" w:rsidP="00E6060C">
            <w:pPr>
              <w:contextualSpacing/>
              <w:jc w:val="center"/>
            </w:pPr>
            <w:r w:rsidRPr="00E6060C">
              <w:t>4</w:t>
            </w:r>
          </w:p>
        </w:tc>
        <w:tc>
          <w:tcPr>
            <w:tcW w:w="937" w:type="dxa"/>
            <w:tcBorders>
              <w:bottom w:val="nil"/>
            </w:tcBorders>
            <w:vAlign w:val="center"/>
          </w:tcPr>
          <w:p w14:paraId="414F8ED9" w14:textId="77777777" w:rsidR="00E6060C" w:rsidRPr="00E6060C" w:rsidRDefault="00E6060C" w:rsidP="00E6060C">
            <w:pPr>
              <w:contextualSpacing/>
              <w:jc w:val="center"/>
            </w:pPr>
            <w:r w:rsidRPr="00E6060C">
              <w:t>5</w:t>
            </w:r>
          </w:p>
        </w:tc>
        <w:tc>
          <w:tcPr>
            <w:tcW w:w="937" w:type="dxa"/>
            <w:tcBorders>
              <w:bottom w:val="nil"/>
            </w:tcBorders>
            <w:vAlign w:val="center"/>
          </w:tcPr>
          <w:p w14:paraId="2427F559" w14:textId="77777777" w:rsidR="00E6060C" w:rsidRPr="00E6060C" w:rsidRDefault="00E6060C" w:rsidP="00E6060C">
            <w:pPr>
              <w:contextualSpacing/>
              <w:jc w:val="center"/>
            </w:pPr>
            <w:r w:rsidRPr="00E6060C">
              <w:t>6</w:t>
            </w:r>
          </w:p>
        </w:tc>
        <w:tc>
          <w:tcPr>
            <w:tcW w:w="1045" w:type="dxa"/>
            <w:tcBorders>
              <w:bottom w:val="nil"/>
            </w:tcBorders>
            <w:shd w:val="clear" w:color="auto" w:fill="auto"/>
            <w:vAlign w:val="center"/>
          </w:tcPr>
          <w:p w14:paraId="2BFC1AFE" w14:textId="77777777" w:rsidR="00E6060C" w:rsidRPr="00E6060C" w:rsidRDefault="00E6060C" w:rsidP="00E6060C">
            <w:pPr>
              <w:contextualSpacing/>
              <w:jc w:val="center"/>
            </w:pPr>
            <w:r w:rsidRPr="00E6060C">
              <w:t>7</w:t>
            </w:r>
          </w:p>
        </w:tc>
      </w:tr>
      <w:tr w:rsidR="00E6060C" w:rsidRPr="00E6060C" w14:paraId="2496A3E6" w14:textId="77777777" w:rsidTr="00E6060C">
        <w:trPr>
          <w:trHeight w:val="425"/>
        </w:trPr>
        <w:tc>
          <w:tcPr>
            <w:tcW w:w="426" w:type="dxa"/>
            <w:tcBorders>
              <w:top w:val="nil"/>
              <w:bottom w:val="nil"/>
            </w:tcBorders>
            <w:shd w:val="clear" w:color="auto" w:fill="D9D9D9" w:themeFill="background1" w:themeFillShade="D9"/>
            <w:vAlign w:val="center"/>
          </w:tcPr>
          <w:p w14:paraId="198E34C9" w14:textId="77777777" w:rsidR="00E6060C" w:rsidRPr="00E6060C" w:rsidRDefault="00E6060C" w:rsidP="00E6060C">
            <w:pPr>
              <w:tabs>
                <w:tab w:val="left" w:pos="35"/>
              </w:tabs>
              <w:contextualSpacing/>
            </w:pPr>
            <w:r w:rsidRPr="00E6060C">
              <w:t>2</w:t>
            </w:r>
          </w:p>
        </w:tc>
        <w:tc>
          <w:tcPr>
            <w:tcW w:w="3682" w:type="dxa"/>
            <w:tcBorders>
              <w:top w:val="nil"/>
              <w:bottom w:val="nil"/>
            </w:tcBorders>
            <w:shd w:val="clear" w:color="auto" w:fill="D9D9D9" w:themeFill="background1" w:themeFillShade="D9"/>
            <w:vAlign w:val="center"/>
          </w:tcPr>
          <w:p w14:paraId="7F8BD570"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support I get from my immediate manager</w:t>
            </w:r>
          </w:p>
        </w:tc>
        <w:tc>
          <w:tcPr>
            <w:tcW w:w="937" w:type="dxa"/>
            <w:tcBorders>
              <w:top w:val="nil"/>
              <w:bottom w:val="nil"/>
            </w:tcBorders>
            <w:shd w:val="clear" w:color="auto" w:fill="D9D9D9" w:themeFill="background1" w:themeFillShade="D9"/>
            <w:vAlign w:val="center"/>
          </w:tcPr>
          <w:p w14:paraId="32882DE6" w14:textId="77777777" w:rsidR="00E6060C" w:rsidRPr="00E6060C" w:rsidRDefault="00E6060C" w:rsidP="00E6060C">
            <w:pPr>
              <w:contextualSpacing/>
              <w:jc w:val="center"/>
            </w:pPr>
            <w:r w:rsidRPr="00E6060C">
              <w:t>1</w:t>
            </w:r>
          </w:p>
        </w:tc>
        <w:tc>
          <w:tcPr>
            <w:tcW w:w="937" w:type="dxa"/>
            <w:tcBorders>
              <w:top w:val="nil"/>
              <w:bottom w:val="nil"/>
            </w:tcBorders>
            <w:shd w:val="clear" w:color="auto" w:fill="D9D9D9" w:themeFill="background1" w:themeFillShade="D9"/>
            <w:vAlign w:val="center"/>
          </w:tcPr>
          <w:p w14:paraId="2D55AAB2" w14:textId="77777777" w:rsidR="00E6060C" w:rsidRPr="00E6060C" w:rsidRDefault="00E6060C" w:rsidP="00E6060C">
            <w:pPr>
              <w:contextualSpacing/>
              <w:jc w:val="center"/>
            </w:pPr>
            <w:r w:rsidRPr="00E6060C">
              <w:t>2</w:t>
            </w:r>
          </w:p>
        </w:tc>
        <w:tc>
          <w:tcPr>
            <w:tcW w:w="937" w:type="dxa"/>
            <w:tcBorders>
              <w:top w:val="nil"/>
              <w:bottom w:val="nil"/>
            </w:tcBorders>
            <w:shd w:val="clear" w:color="auto" w:fill="D9D9D9" w:themeFill="background1" w:themeFillShade="D9"/>
            <w:vAlign w:val="center"/>
          </w:tcPr>
          <w:p w14:paraId="4A8235D8" w14:textId="77777777" w:rsidR="00E6060C" w:rsidRPr="00E6060C" w:rsidRDefault="00E6060C" w:rsidP="00E6060C">
            <w:pPr>
              <w:contextualSpacing/>
              <w:jc w:val="center"/>
            </w:pPr>
            <w:r w:rsidRPr="00E6060C">
              <w:t>3</w:t>
            </w:r>
          </w:p>
        </w:tc>
        <w:tc>
          <w:tcPr>
            <w:tcW w:w="937" w:type="dxa"/>
            <w:tcBorders>
              <w:top w:val="nil"/>
              <w:bottom w:val="nil"/>
            </w:tcBorders>
            <w:shd w:val="clear" w:color="auto" w:fill="D9D9D9" w:themeFill="background1" w:themeFillShade="D9"/>
            <w:vAlign w:val="center"/>
          </w:tcPr>
          <w:p w14:paraId="00588EBE" w14:textId="77777777" w:rsidR="00E6060C" w:rsidRPr="00E6060C" w:rsidRDefault="00E6060C" w:rsidP="00E6060C">
            <w:pPr>
              <w:contextualSpacing/>
              <w:jc w:val="center"/>
            </w:pPr>
            <w:r w:rsidRPr="00E6060C">
              <w:t>4</w:t>
            </w:r>
          </w:p>
        </w:tc>
        <w:tc>
          <w:tcPr>
            <w:tcW w:w="937" w:type="dxa"/>
            <w:tcBorders>
              <w:top w:val="nil"/>
              <w:bottom w:val="nil"/>
            </w:tcBorders>
            <w:shd w:val="clear" w:color="auto" w:fill="D9D9D9" w:themeFill="background1" w:themeFillShade="D9"/>
            <w:vAlign w:val="center"/>
          </w:tcPr>
          <w:p w14:paraId="6068B862" w14:textId="77777777" w:rsidR="00E6060C" w:rsidRPr="00E6060C" w:rsidRDefault="00E6060C" w:rsidP="00E6060C">
            <w:pPr>
              <w:contextualSpacing/>
              <w:jc w:val="center"/>
            </w:pPr>
            <w:r w:rsidRPr="00E6060C">
              <w:t>5</w:t>
            </w:r>
          </w:p>
        </w:tc>
        <w:tc>
          <w:tcPr>
            <w:tcW w:w="937" w:type="dxa"/>
            <w:tcBorders>
              <w:top w:val="nil"/>
              <w:bottom w:val="nil"/>
            </w:tcBorders>
            <w:shd w:val="clear" w:color="auto" w:fill="D9D9D9" w:themeFill="background1" w:themeFillShade="D9"/>
            <w:vAlign w:val="center"/>
          </w:tcPr>
          <w:p w14:paraId="2C766BA2" w14:textId="77777777" w:rsidR="00E6060C" w:rsidRPr="00E6060C" w:rsidRDefault="00E6060C" w:rsidP="00E6060C">
            <w:pPr>
              <w:contextualSpacing/>
              <w:jc w:val="center"/>
            </w:pPr>
            <w:r w:rsidRPr="00E6060C">
              <w:t>6</w:t>
            </w:r>
          </w:p>
        </w:tc>
        <w:tc>
          <w:tcPr>
            <w:tcW w:w="1045" w:type="dxa"/>
            <w:tcBorders>
              <w:top w:val="nil"/>
              <w:bottom w:val="nil"/>
            </w:tcBorders>
            <w:shd w:val="clear" w:color="auto" w:fill="D9D9D9" w:themeFill="background1" w:themeFillShade="D9"/>
            <w:vAlign w:val="center"/>
          </w:tcPr>
          <w:p w14:paraId="560BFA85" w14:textId="77777777" w:rsidR="00E6060C" w:rsidRPr="00E6060C" w:rsidRDefault="00E6060C" w:rsidP="00E6060C">
            <w:pPr>
              <w:contextualSpacing/>
              <w:jc w:val="center"/>
            </w:pPr>
            <w:r w:rsidRPr="00E6060C">
              <w:t>7</w:t>
            </w:r>
          </w:p>
        </w:tc>
      </w:tr>
      <w:tr w:rsidR="00E6060C" w:rsidRPr="00E6060C" w14:paraId="5A928FE9" w14:textId="77777777" w:rsidTr="00E6060C">
        <w:trPr>
          <w:trHeight w:val="425"/>
        </w:trPr>
        <w:tc>
          <w:tcPr>
            <w:tcW w:w="426" w:type="dxa"/>
            <w:tcBorders>
              <w:top w:val="nil"/>
              <w:bottom w:val="nil"/>
            </w:tcBorders>
            <w:vAlign w:val="center"/>
          </w:tcPr>
          <w:p w14:paraId="421A7164" w14:textId="77777777" w:rsidR="00E6060C" w:rsidRPr="00E6060C" w:rsidRDefault="00E6060C" w:rsidP="00E6060C">
            <w:pPr>
              <w:tabs>
                <w:tab w:val="left" w:pos="35"/>
              </w:tabs>
              <w:contextualSpacing/>
            </w:pPr>
            <w:r w:rsidRPr="00E6060C">
              <w:t>3</w:t>
            </w:r>
          </w:p>
        </w:tc>
        <w:tc>
          <w:tcPr>
            <w:tcW w:w="3682" w:type="dxa"/>
            <w:tcBorders>
              <w:top w:val="nil"/>
              <w:bottom w:val="nil"/>
            </w:tcBorders>
            <w:vAlign w:val="center"/>
          </w:tcPr>
          <w:p w14:paraId="0B7CE412"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freedom I have to choose my own method of working</w:t>
            </w:r>
          </w:p>
        </w:tc>
        <w:tc>
          <w:tcPr>
            <w:tcW w:w="937" w:type="dxa"/>
            <w:tcBorders>
              <w:top w:val="nil"/>
              <w:bottom w:val="nil"/>
            </w:tcBorders>
            <w:shd w:val="clear" w:color="auto" w:fill="auto"/>
            <w:vAlign w:val="center"/>
          </w:tcPr>
          <w:p w14:paraId="514638BE" w14:textId="77777777" w:rsidR="00E6060C" w:rsidRPr="00E6060C" w:rsidRDefault="00E6060C" w:rsidP="00E6060C">
            <w:pPr>
              <w:contextualSpacing/>
              <w:jc w:val="center"/>
            </w:pPr>
            <w:r w:rsidRPr="00E6060C">
              <w:t>1</w:t>
            </w:r>
          </w:p>
        </w:tc>
        <w:tc>
          <w:tcPr>
            <w:tcW w:w="937" w:type="dxa"/>
            <w:tcBorders>
              <w:top w:val="nil"/>
              <w:bottom w:val="nil"/>
            </w:tcBorders>
            <w:shd w:val="clear" w:color="auto" w:fill="auto"/>
            <w:vAlign w:val="center"/>
          </w:tcPr>
          <w:p w14:paraId="0DFB9F54" w14:textId="77777777" w:rsidR="00E6060C" w:rsidRPr="00E6060C" w:rsidRDefault="00E6060C" w:rsidP="00E6060C">
            <w:pPr>
              <w:contextualSpacing/>
              <w:jc w:val="center"/>
            </w:pPr>
            <w:r w:rsidRPr="00E6060C">
              <w:t>2</w:t>
            </w:r>
          </w:p>
        </w:tc>
        <w:tc>
          <w:tcPr>
            <w:tcW w:w="937" w:type="dxa"/>
            <w:tcBorders>
              <w:top w:val="nil"/>
              <w:bottom w:val="nil"/>
            </w:tcBorders>
            <w:shd w:val="clear" w:color="auto" w:fill="auto"/>
            <w:vAlign w:val="center"/>
          </w:tcPr>
          <w:p w14:paraId="091C05E0" w14:textId="77777777" w:rsidR="00E6060C" w:rsidRPr="00E6060C" w:rsidRDefault="00E6060C" w:rsidP="00E6060C">
            <w:pPr>
              <w:contextualSpacing/>
              <w:jc w:val="center"/>
            </w:pPr>
            <w:r w:rsidRPr="00E6060C">
              <w:t>3</w:t>
            </w:r>
          </w:p>
        </w:tc>
        <w:tc>
          <w:tcPr>
            <w:tcW w:w="937" w:type="dxa"/>
            <w:tcBorders>
              <w:top w:val="nil"/>
              <w:bottom w:val="nil"/>
            </w:tcBorders>
            <w:shd w:val="clear" w:color="auto" w:fill="auto"/>
            <w:vAlign w:val="center"/>
          </w:tcPr>
          <w:p w14:paraId="131A2A3C" w14:textId="77777777" w:rsidR="00E6060C" w:rsidRPr="00E6060C" w:rsidRDefault="00E6060C" w:rsidP="00E6060C">
            <w:pPr>
              <w:contextualSpacing/>
              <w:jc w:val="center"/>
            </w:pPr>
            <w:r w:rsidRPr="00E6060C">
              <w:t>4</w:t>
            </w:r>
          </w:p>
        </w:tc>
        <w:tc>
          <w:tcPr>
            <w:tcW w:w="937" w:type="dxa"/>
            <w:tcBorders>
              <w:top w:val="nil"/>
              <w:bottom w:val="nil"/>
            </w:tcBorders>
            <w:vAlign w:val="center"/>
          </w:tcPr>
          <w:p w14:paraId="6DD2FAB0" w14:textId="77777777" w:rsidR="00E6060C" w:rsidRPr="00E6060C" w:rsidRDefault="00E6060C" w:rsidP="00E6060C">
            <w:pPr>
              <w:contextualSpacing/>
              <w:jc w:val="center"/>
            </w:pPr>
            <w:r w:rsidRPr="00E6060C">
              <w:t>5</w:t>
            </w:r>
          </w:p>
        </w:tc>
        <w:tc>
          <w:tcPr>
            <w:tcW w:w="937" w:type="dxa"/>
            <w:tcBorders>
              <w:top w:val="nil"/>
              <w:bottom w:val="nil"/>
            </w:tcBorders>
            <w:vAlign w:val="center"/>
          </w:tcPr>
          <w:p w14:paraId="51E8294C" w14:textId="77777777" w:rsidR="00E6060C" w:rsidRPr="00E6060C" w:rsidRDefault="00E6060C" w:rsidP="00E6060C">
            <w:pPr>
              <w:contextualSpacing/>
              <w:jc w:val="center"/>
            </w:pPr>
            <w:r w:rsidRPr="00E6060C">
              <w:t>6</w:t>
            </w:r>
          </w:p>
        </w:tc>
        <w:tc>
          <w:tcPr>
            <w:tcW w:w="1045" w:type="dxa"/>
            <w:tcBorders>
              <w:top w:val="nil"/>
              <w:bottom w:val="nil"/>
            </w:tcBorders>
            <w:shd w:val="clear" w:color="auto" w:fill="auto"/>
            <w:vAlign w:val="center"/>
          </w:tcPr>
          <w:p w14:paraId="52853016" w14:textId="77777777" w:rsidR="00E6060C" w:rsidRPr="00E6060C" w:rsidRDefault="00E6060C" w:rsidP="00E6060C">
            <w:pPr>
              <w:contextualSpacing/>
              <w:jc w:val="center"/>
            </w:pPr>
            <w:r w:rsidRPr="00E6060C">
              <w:t>7</w:t>
            </w:r>
          </w:p>
        </w:tc>
      </w:tr>
      <w:tr w:rsidR="00E6060C" w:rsidRPr="00E6060C" w14:paraId="4E341732" w14:textId="77777777" w:rsidTr="00E6060C">
        <w:trPr>
          <w:trHeight w:val="425"/>
        </w:trPr>
        <w:tc>
          <w:tcPr>
            <w:tcW w:w="426" w:type="dxa"/>
            <w:tcBorders>
              <w:top w:val="nil"/>
              <w:bottom w:val="nil"/>
            </w:tcBorders>
            <w:shd w:val="clear" w:color="auto" w:fill="D9D9D9" w:themeFill="background1" w:themeFillShade="D9"/>
            <w:vAlign w:val="center"/>
          </w:tcPr>
          <w:p w14:paraId="43A7C845" w14:textId="77777777" w:rsidR="00E6060C" w:rsidRPr="00E6060C" w:rsidRDefault="00E6060C" w:rsidP="00E6060C">
            <w:pPr>
              <w:tabs>
                <w:tab w:val="left" w:pos="35"/>
              </w:tabs>
              <w:contextualSpacing/>
            </w:pPr>
            <w:r w:rsidRPr="00E6060C">
              <w:t>4</w:t>
            </w:r>
          </w:p>
        </w:tc>
        <w:tc>
          <w:tcPr>
            <w:tcW w:w="3682" w:type="dxa"/>
            <w:tcBorders>
              <w:top w:val="nil"/>
              <w:bottom w:val="nil"/>
            </w:tcBorders>
            <w:shd w:val="clear" w:color="auto" w:fill="D9D9D9" w:themeFill="background1" w:themeFillShade="D9"/>
            <w:vAlign w:val="center"/>
          </w:tcPr>
          <w:p w14:paraId="16BAC4C1"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support I get from my work colleagues</w:t>
            </w:r>
          </w:p>
        </w:tc>
        <w:tc>
          <w:tcPr>
            <w:tcW w:w="937" w:type="dxa"/>
            <w:tcBorders>
              <w:top w:val="nil"/>
              <w:bottom w:val="nil"/>
            </w:tcBorders>
            <w:shd w:val="clear" w:color="auto" w:fill="D9D9D9" w:themeFill="background1" w:themeFillShade="D9"/>
            <w:vAlign w:val="center"/>
          </w:tcPr>
          <w:p w14:paraId="161AD0BF" w14:textId="77777777" w:rsidR="00E6060C" w:rsidRPr="00E6060C" w:rsidRDefault="00E6060C" w:rsidP="00E6060C">
            <w:pPr>
              <w:contextualSpacing/>
              <w:jc w:val="center"/>
            </w:pPr>
            <w:r w:rsidRPr="00E6060C">
              <w:t>1</w:t>
            </w:r>
          </w:p>
        </w:tc>
        <w:tc>
          <w:tcPr>
            <w:tcW w:w="937" w:type="dxa"/>
            <w:tcBorders>
              <w:top w:val="nil"/>
              <w:bottom w:val="nil"/>
            </w:tcBorders>
            <w:shd w:val="clear" w:color="auto" w:fill="D9D9D9" w:themeFill="background1" w:themeFillShade="D9"/>
            <w:vAlign w:val="center"/>
          </w:tcPr>
          <w:p w14:paraId="1DC6DE72" w14:textId="77777777" w:rsidR="00E6060C" w:rsidRPr="00E6060C" w:rsidRDefault="00E6060C" w:rsidP="00E6060C">
            <w:pPr>
              <w:contextualSpacing/>
              <w:jc w:val="center"/>
            </w:pPr>
            <w:r w:rsidRPr="00E6060C">
              <w:t>2</w:t>
            </w:r>
          </w:p>
        </w:tc>
        <w:tc>
          <w:tcPr>
            <w:tcW w:w="937" w:type="dxa"/>
            <w:tcBorders>
              <w:top w:val="nil"/>
              <w:bottom w:val="nil"/>
            </w:tcBorders>
            <w:shd w:val="clear" w:color="auto" w:fill="D9D9D9" w:themeFill="background1" w:themeFillShade="D9"/>
            <w:vAlign w:val="center"/>
          </w:tcPr>
          <w:p w14:paraId="71507196" w14:textId="77777777" w:rsidR="00E6060C" w:rsidRPr="00E6060C" w:rsidRDefault="00E6060C" w:rsidP="00E6060C">
            <w:pPr>
              <w:contextualSpacing/>
              <w:jc w:val="center"/>
            </w:pPr>
            <w:r w:rsidRPr="00E6060C">
              <w:t>3</w:t>
            </w:r>
          </w:p>
        </w:tc>
        <w:tc>
          <w:tcPr>
            <w:tcW w:w="937" w:type="dxa"/>
            <w:tcBorders>
              <w:top w:val="nil"/>
              <w:bottom w:val="nil"/>
            </w:tcBorders>
            <w:shd w:val="clear" w:color="auto" w:fill="D9D9D9" w:themeFill="background1" w:themeFillShade="D9"/>
            <w:vAlign w:val="center"/>
          </w:tcPr>
          <w:p w14:paraId="36226DD8" w14:textId="77777777" w:rsidR="00E6060C" w:rsidRPr="00E6060C" w:rsidRDefault="00E6060C" w:rsidP="00E6060C">
            <w:pPr>
              <w:contextualSpacing/>
              <w:jc w:val="center"/>
            </w:pPr>
            <w:r w:rsidRPr="00E6060C">
              <w:t>4</w:t>
            </w:r>
          </w:p>
        </w:tc>
        <w:tc>
          <w:tcPr>
            <w:tcW w:w="937" w:type="dxa"/>
            <w:tcBorders>
              <w:top w:val="nil"/>
              <w:bottom w:val="nil"/>
            </w:tcBorders>
            <w:shd w:val="clear" w:color="auto" w:fill="D9D9D9" w:themeFill="background1" w:themeFillShade="D9"/>
            <w:vAlign w:val="center"/>
          </w:tcPr>
          <w:p w14:paraId="61DCD61A" w14:textId="77777777" w:rsidR="00E6060C" w:rsidRPr="00E6060C" w:rsidRDefault="00E6060C" w:rsidP="00E6060C">
            <w:pPr>
              <w:contextualSpacing/>
              <w:jc w:val="center"/>
            </w:pPr>
            <w:r w:rsidRPr="00E6060C">
              <w:t>5</w:t>
            </w:r>
          </w:p>
        </w:tc>
        <w:tc>
          <w:tcPr>
            <w:tcW w:w="937" w:type="dxa"/>
            <w:tcBorders>
              <w:top w:val="nil"/>
              <w:bottom w:val="nil"/>
            </w:tcBorders>
            <w:shd w:val="clear" w:color="auto" w:fill="D9D9D9" w:themeFill="background1" w:themeFillShade="D9"/>
            <w:vAlign w:val="center"/>
          </w:tcPr>
          <w:p w14:paraId="700E8D17" w14:textId="77777777" w:rsidR="00E6060C" w:rsidRPr="00E6060C" w:rsidRDefault="00E6060C" w:rsidP="00E6060C">
            <w:pPr>
              <w:contextualSpacing/>
              <w:jc w:val="center"/>
            </w:pPr>
            <w:r w:rsidRPr="00E6060C">
              <w:t>6</w:t>
            </w:r>
          </w:p>
        </w:tc>
        <w:tc>
          <w:tcPr>
            <w:tcW w:w="1045" w:type="dxa"/>
            <w:tcBorders>
              <w:top w:val="nil"/>
              <w:bottom w:val="nil"/>
            </w:tcBorders>
            <w:shd w:val="clear" w:color="auto" w:fill="D9D9D9" w:themeFill="background1" w:themeFillShade="D9"/>
            <w:vAlign w:val="center"/>
          </w:tcPr>
          <w:p w14:paraId="7947AFE7" w14:textId="77777777" w:rsidR="00E6060C" w:rsidRPr="00E6060C" w:rsidRDefault="00E6060C" w:rsidP="00E6060C">
            <w:pPr>
              <w:contextualSpacing/>
              <w:jc w:val="center"/>
            </w:pPr>
            <w:r w:rsidRPr="00E6060C">
              <w:t>7</w:t>
            </w:r>
          </w:p>
        </w:tc>
      </w:tr>
      <w:tr w:rsidR="00E6060C" w:rsidRPr="00E6060C" w14:paraId="71A0FDED" w14:textId="77777777" w:rsidTr="00E6060C">
        <w:trPr>
          <w:cantSplit/>
          <w:trHeight w:val="425"/>
        </w:trPr>
        <w:tc>
          <w:tcPr>
            <w:tcW w:w="426" w:type="dxa"/>
            <w:tcBorders>
              <w:top w:val="nil"/>
              <w:bottom w:val="nil"/>
            </w:tcBorders>
            <w:vAlign w:val="center"/>
          </w:tcPr>
          <w:p w14:paraId="3F6AB0C1" w14:textId="77777777" w:rsidR="00E6060C" w:rsidRPr="00E6060C" w:rsidRDefault="00E6060C" w:rsidP="00E6060C">
            <w:pPr>
              <w:tabs>
                <w:tab w:val="left" w:pos="35"/>
              </w:tabs>
              <w:contextualSpacing/>
            </w:pPr>
            <w:r w:rsidRPr="00E6060C">
              <w:t>5</w:t>
            </w:r>
          </w:p>
        </w:tc>
        <w:tc>
          <w:tcPr>
            <w:tcW w:w="3682" w:type="dxa"/>
            <w:tcBorders>
              <w:top w:val="nil"/>
              <w:bottom w:val="nil"/>
            </w:tcBorders>
            <w:vAlign w:val="center"/>
          </w:tcPr>
          <w:p w14:paraId="7B0BC2E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amount of responsibility I am given</w:t>
            </w:r>
          </w:p>
        </w:tc>
        <w:tc>
          <w:tcPr>
            <w:tcW w:w="937" w:type="dxa"/>
            <w:tcBorders>
              <w:top w:val="nil"/>
              <w:bottom w:val="nil"/>
            </w:tcBorders>
            <w:shd w:val="clear" w:color="auto" w:fill="auto"/>
            <w:vAlign w:val="center"/>
          </w:tcPr>
          <w:p w14:paraId="0D416CF1" w14:textId="77777777" w:rsidR="00E6060C" w:rsidRPr="00E6060C" w:rsidRDefault="00E6060C" w:rsidP="00E6060C">
            <w:pPr>
              <w:contextualSpacing/>
              <w:jc w:val="center"/>
            </w:pPr>
            <w:r w:rsidRPr="00E6060C">
              <w:t>1</w:t>
            </w:r>
          </w:p>
        </w:tc>
        <w:tc>
          <w:tcPr>
            <w:tcW w:w="937" w:type="dxa"/>
            <w:tcBorders>
              <w:top w:val="nil"/>
              <w:bottom w:val="nil"/>
            </w:tcBorders>
            <w:shd w:val="clear" w:color="auto" w:fill="auto"/>
            <w:vAlign w:val="center"/>
          </w:tcPr>
          <w:p w14:paraId="21FD1C9D" w14:textId="77777777" w:rsidR="00E6060C" w:rsidRPr="00E6060C" w:rsidRDefault="00E6060C" w:rsidP="00E6060C">
            <w:pPr>
              <w:contextualSpacing/>
              <w:jc w:val="center"/>
            </w:pPr>
            <w:r w:rsidRPr="00E6060C">
              <w:t>2</w:t>
            </w:r>
          </w:p>
        </w:tc>
        <w:tc>
          <w:tcPr>
            <w:tcW w:w="937" w:type="dxa"/>
            <w:tcBorders>
              <w:top w:val="nil"/>
              <w:bottom w:val="nil"/>
            </w:tcBorders>
            <w:shd w:val="clear" w:color="auto" w:fill="auto"/>
            <w:vAlign w:val="center"/>
          </w:tcPr>
          <w:p w14:paraId="063F7C52" w14:textId="77777777" w:rsidR="00E6060C" w:rsidRPr="00E6060C" w:rsidRDefault="00E6060C" w:rsidP="00E6060C">
            <w:pPr>
              <w:contextualSpacing/>
              <w:jc w:val="center"/>
            </w:pPr>
            <w:r w:rsidRPr="00E6060C">
              <w:t>3</w:t>
            </w:r>
          </w:p>
        </w:tc>
        <w:tc>
          <w:tcPr>
            <w:tcW w:w="937" w:type="dxa"/>
            <w:tcBorders>
              <w:top w:val="nil"/>
              <w:bottom w:val="nil"/>
            </w:tcBorders>
            <w:shd w:val="clear" w:color="auto" w:fill="auto"/>
            <w:vAlign w:val="center"/>
          </w:tcPr>
          <w:p w14:paraId="4C90FBA1" w14:textId="77777777" w:rsidR="00E6060C" w:rsidRPr="00E6060C" w:rsidRDefault="00E6060C" w:rsidP="00E6060C">
            <w:pPr>
              <w:contextualSpacing/>
              <w:jc w:val="center"/>
            </w:pPr>
            <w:r w:rsidRPr="00E6060C">
              <w:t>4</w:t>
            </w:r>
          </w:p>
        </w:tc>
        <w:tc>
          <w:tcPr>
            <w:tcW w:w="937" w:type="dxa"/>
            <w:tcBorders>
              <w:top w:val="nil"/>
              <w:bottom w:val="nil"/>
            </w:tcBorders>
            <w:vAlign w:val="center"/>
          </w:tcPr>
          <w:p w14:paraId="71121EE9" w14:textId="77777777" w:rsidR="00E6060C" w:rsidRPr="00E6060C" w:rsidRDefault="00E6060C" w:rsidP="00E6060C">
            <w:pPr>
              <w:contextualSpacing/>
              <w:jc w:val="center"/>
            </w:pPr>
            <w:r w:rsidRPr="00E6060C">
              <w:t>5</w:t>
            </w:r>
          </w:p>
        </w:tc>
        <w:tc>
          <w:tcPr>
            <w:tcW w:w="937" w:type="dxa"/>
            <w:tcBorders>
              <w:top w:val="nil"/>
              <w:bottom w:val="nil"/>
            </w:tcBorders>
            <w:vAlign w:val="center"/>
          </w:tcPr>
          <w:p w14:paraId="5F38BF2A" w14:textId="77777777" w:rsidR="00E6060C" w:rsidRPr="00E6060C" w:rsidRDefault="00E6060C" w:rsidP="00E6060C">
            <w:pPr>
              <w:contextualSpacing/>
              <w:jc w:val="center"/>
            </w:pPr>
            <w:r w:rsidRPr="00E6060C">
              <w:t>6</w:t>
            </w:r>
          </w:p>
        </w:tc>
        <w:tc>
          <w:tcPr>
            <w:tcW w:w="1045" w:type="dxa"/>
            <w:tcBorders>
              <w:top w:val="nil"/>
              <w:bottom w:val="nil"/>
            </w:tcBorders>
            <w:shd w:val="clear" w:color="auto" w:fill="auto"/>
            <w:vAlign w:val="center"/>
          </w:tcPr>
          <w:p w14:paraId="1F0A851A" w14:textId="77777777" w:rsidR="00E6060C" w:rsidRPr="00E6060C" w:rsidRDefault="00E6060C" w:rsidP="00E6060C">
            <w:pPr>
              <w:contextualSpacing/>
              <w:jc w:val="center"/>
            </w:pPr>
            <w:r w:rsidRPr="00E6060C">
              <w:t>7</w:t>
            </w:r>
          </w:p>
        </w:tc>
      </w:tr>
      <w:tr w:rsidR="00E6060C" w:rsidRPr="00E6060C" w14:paraId="06B19A71" w14:textId="77777777" w:rsidTr="00E6060C">
        <w:trPr>
          <w:trHeight w:val="425"/>
        </w:trPr>
        <w:tc>
          <w:tcPr>
            <w:tcW w:w="426" w:type="dxa"/>
            <w:tcBorders>
              <w:top w:val="nil"/>
              <w:bottom w:val="nil"/>
            </w:tcBorders>
            <w:shd w:val="clear" w:color="auto" w:fill="D9D9D9" w:themeFill="background1" w:themeFillShade="D9"/>
            <w:vAlign w:val="center"/>
          </w:tcPr>
          <w:p w14:paraId="483A51E0" w14:textId="77777777" w:rsidR="00E6060C" w:rsidRPr="00E6060C" w:rsidRDefault="00E6060C" w:rsidP="00E6060C">
            <w:pPr>
              <w:tabs>
                <w:tab w:val="left" w:pos="35"/>
              </w:tabs>
              <w:contextualSpacing/>
            </w:pPr>
            <w:r w:rsidRPr="00E6060C">
              <w:lastRenderedPageBreak/>
              <w:t>6</w:t>
            </w:r>
          </w:p>
        </w:tc>
        <w:tc>
          <w:tcPr>
            <w:tcW w:w="3682" w:type="dxa"/>
            <w:tcBorders>
              <w:top w:val="nil"/>
              <w:bottom w:val="nil"/>
            </w:tcBorders>
            <w:shd w:val="clear" w:color="auto" w:fill="D9D9D9" w:themeFill="background1" w:themeFillShade="D9"/>
            <w:vAlign w:val="center"/>
          </w:tcPr>
          <w:p w14:paraId="0063E40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opportunities I have to use my skills</w:t>
            </w:r>
          </w:p>
        </w:tc>
        <w:tc>
          <w:tcPr>
            <w:tcW w:w="937" w:type="dxa"/>
            <w:tcBorders>
              <w:top w:val="nil"/>
              <w:bottom w:val="nil"/>
            </w:tcBorders>
            <w:shd w:val="clear" w:color="auto" w:fill="D9D9D9" w:themeFill="background1" w:themeFillShade="D9"/>
            <w:vAlign w:val="center"/>
          </w:tcPr>
          <w:p w14:paraId="1330B339" w14:textId="77777777" w:rsidR="00E6060C" w:rsidRPr="00E6060C" w:rsidRDefault="00E6060C" w:rsidP="00E6060C">
            <w:pPr>
              <w:contextualSpacing/>
              <w:jc w:val="center"/>
            </w:pPr>
            <w:r w:rsidRPr="00E6060C">
              <w:t>1</w:t>
            </w:r>
          </w:p>
        </w:tc>
        <w:tc>
          <w:tcPr>
            <w:tcW w:w="937" w:type="dxa"/>
            <w:tcBorders>
              <w:top w:val="nil"/>
              <w:bottom w:val="nil"/>
            </w:tcBorders>
            <w:shd w:val="clear" w:color="auto" w:fill="D9D9D9" w:themeFill="background1" w:themeFillShade="D9"/>
            <w:vAlign w:val="center"/>
          </w:tcPr>
          <w:p w14:paraId="4E5845C8" w14:textId="77777777" w:rsidR="00E6060C" w:rsidRPr="00E6060C" w:rsidRDefault="00E6060C" w:rsidP="00E6060C">
            <w:pPr>
              <w:contextualSpacing/>
              <w:jc w:val="center"/>
            </w:pPr>
            <w:r w:rsidRPr="00E6060C">
              <w:t>2</w:t>
            </w:r>
          </w:p>
        </w:tc>
        <w:tc>
          <w:tcPr>
            <w:tcW w:w="937" w:type="dxa"/>
            <w:tcBorders>
              <w:top w:val="nil"/>
              <w:bottom w:val="nil"/>
            </w:tcBorders>
            <w:shd w:val="clear" w:color="auto" w:fill="D9D9D9" w:themeFill="background1" w:themeFillShade="D9"/>
            <w:vAlign w:val="center"/>
          </w:tcPr>
          <w:p w14:paraId="2B79FB15" w14:textId="77777777" w:rsidR="00E6060C" w:rsidRPr="00E6060C" w:rsidRDefault="00E6060C" w:rsidP="00E6060C">
            <w:pPr>
              <w:contextualSpacing/>
              <w:jc w:val="center"/>
            </w:pPr>
            <w:r w:rsidRPr="00E6060C">
              <w:t>3</w:t>
            </w:r>
          </w:p>
        </w:tc>
        <w:tc>
          <w:tcPr>
            <w:tcW w:w="937" w:type="dxa"/>
            <w:tcBorders>
              <w:top w:val="nil"/>
              <w:bottom w:val="nil"/>
            </w:tcBorders>
            <w:shd w:val="clear" w:color="auto" w:fill="D9D9D9" w:themeFill="background1" w:themeFillShade="D9"/>
            <w:vAlign w:val="center"/>
          </w:tcPr>
          <w:p w14:paraId="01A21020" w14:textId="77777777" w:rsidR="00E6060C" w:rsidRPr="00E6060C" w:rsidRDefault="00E6060C" w:rsidP="00E6060C">
            <w:pPr>
              <w:contextualSpacing/>
              <w:jc w:val="center"/>
            </w:pPr>
            <w:r w:rsidRPr="00E6060C">
              <w:t>4</w:t>
            </w:r>
          </w:p>
        </w:tc>
        <w:tc>
          <w:tcPr>
            <w:tcW w:w="937" w:type="dxa"/>
            <w:tcBorders>
              <w:top w:val="nil"/>
              <w:bottom w:val="nil"/>
            </w:tcBorders>
            <w:shd w:val="clear" w:color="auto" w:fill="D9D9D9" w:themeFill="background1" w:themeFillShade="D9"/>
            <w:vAlign w:val="center"/>
          </w:tcPr>
          <w:p w14:paraId="415157A5" w14:textId="77777777" w:rsidR="00E6060C" w:rsidRPr="00E6060C" w:rsidRDefault="00E6060C" w:rsidP="00E6060C">
            <w:pPr>
              <w:contextualSpacing/>
              <w:jc w:val="center"/>
            </w:pPr>
            <w:r w:rsidRPr="00E6060C">
              <w:t>5</w:t>
            </w:r>
          </w:p>
        </w:tc>
        <w:tc>
          <w:tcPr>
            <w:tcW w:w="937" w:type="dxa"/>
            <w:tcBorders>
              <w:top w:val="nil"/>
              <w:bottom w:val="nil"/>
            </w:tcBorders>
            <w:shd w:val="clear" w:color="auto" w:fill="D9D9D9" w:themeFill="background1" w:themeFillShade="D9"/>
            <w:vAlign w:val="center"/>
          </w:tcPr>
          <w:p w14:paraId="689C1B5F" w14:textId="77777777" w:rsidR="00E6060C" w:rsidRPr="00E6060C" w:rsidRDefault="00E6060C" w:rsidP="00E6060C">
            <w:pPr>
              <w:contextualSpacing/>
              <w:jc w:val="center"/>
            </w:pPr>
            <w:r w:rsidRPr="00E6060C">
              <w:t>6</w:t>
            </w:r>
          </w:p>
        </w:tc>
        <w:tc>
          <w:tcPr>
            <w:tcW w:w="1045" w:type="dxa"/>
            <w:tcBorders>
              <w:top w:val="nil"/>
              <w:bottom w:val="nil"/>
            </w:tcBorders>
            <w:shd w:val="clear" w:color="auto" w:fill="D9D9D9" w:themeFill="background1" w:themeFillShade="D9"/>
            <w:vAlign w:val="center"/>
          </w:tcPr>
          <w:p w14:paraId="47D30D4A" w14:textId="77777777" w:rsidR="00E6060C" w:rsidRPr="00E6060C" w:rsidRDefault="00E6060C" w:rsidP="00E6060C">
            <w:pPr>
              <w:contextualSpacing/>
              <w:jc w:val="center"/>
            </w:pPr>
            <w:r w:rsidRPr="00E6060C">
              <w:t>7</w:t>
            </w:r>
          </w:p>
        </w:tc>
      </w:tr>
      <w:tr w:rsidR="00E6060C" w:rsidRPr="00E6060C" w14:paraId="07899577" w14:textId="77777777" w:rsidTr="00E6060C">
        <w:trPr>
          <w:trHeight w:val="425"/>
        </w:trPr>
        <w:tc>
          <w:tcPr>
            <w:tcW w:w="426" w:type="dxa"/>
            <w:tcBorders>
              <w:top w:val="nil"/>
              <w:bottom w:val="nil"/>
            </w:tcBorders>
            <w:vAlign w:val="center"/>
          </w:tcPr>
          <w:p w14:paraId="667E8A42" w14:textId="77777777" w:rsidR="00E6060C" w:rsidRPr="00E6060C" w:rsidRDefault="00E6060C" w:rsidP="00E6060C">
            <w:pPr>
              <w:tabs>
                <w:tab w:val="left" w:pos="35"/>
              </w:tabs>
              <w:contextualSpacing/>
            </w:pPr>
            <w:r w:rsidRPr="00E6060C">
              <w:t>7</w:t>
            </w:r>
          </w:p>
        </w:tc>
        <w:tc>
          <w:tcPr>
            <w:tcW w:w="3682" w:type="dxa"/>
            <w:tcBorders>
              <w:top w:val="nil"/>
              <w:bottom w:val="nil"/>
            </w:tcBorders>
            <w:vAlign w:val="center"/>
          </w:tcPr>
          <w:p w14:paraId="1F8B026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extent to which my organization values my work</w:t>
            </w:r>
          </w:p>
        </w:tc>
        <w:tc>
          <w:tcPr>
            <w:tcW w:w="937" w:type="dxa"/>
            <w:tcBorders>
              <w:top w:val="nil"/>
              <w:bottom w:val="nil"/>
            </w:tcBorders>
            <w:shd w:val="clear" w:color="auto" w:fill="auto"/>
            <w:vAlign w:val="center"/>
          </w:tcPr>
          <w:p w14:paraId="32E92ADA" w14:textId="77777777" w:rsidR="00E6060C" w:rsidRPr="00E6060C" w:rsidRDefault="00E6060C" w:rsidP="00E6060C">
            <w:pPr>
              <w:contextualSpacing/>
              <w:jc w:val="center"/>
            </w:pPr>
            <w:r w:rsidRPr="00E6060C">
              <w:t>1</w:t>
            </w:r>
          </w:p>
        </w:tc>
        <w:tc>
          <w:tcPr>
            <w:tcW w:w="937" w:type="dxa"/>
            <w:tcBorders>
              <w:top w:val="nil"/>
              <w:bottom w:val="nil"/>
            </w:tcBorders>
            <w:shd w:val="clear" w:color="auto" w:fill="auto"/>
            <w:vAlign w:val="center"/>
          </w:tcPr>
          <w:p w14:paraId="361DAE75" w14:textId="77777777" w:rsidR="00E6060C" w:rsidRPr="00E6060C" w:rsidRDefault="00E6060C" w:rsidP="00E6060C">
            <w:pPr>
              <w:contextualSpacing/>
              <w:jc w:val="center"/>
            </w:pPr>
            <w:r w:rsidRPr="00E6060C">
              <w:t>2</w:t>
            </w:r>
          </w:p>
        </w:tc>
        <w:tc>
          <w:tcPr>
            <w:tcW w:w="937" w:type="dxa"/>
            <w:tcBorders>
              <w:top w:val="nil"/>
              <w:bottom w:val="nil"/>
            </w:tcBorders>
            <w:shd w:val="clear" w:color="auto" w:fill="auto"/>
            <w:vAlign w:val="center"/>
          </w:tcPr>
          <w:p w14:paraId="2BBAA05D" w14:textId="77777777" w:rsidR="00E6060C" w:rsidRPr="00E6060C" w:rsidRDefault="00E6060C" w:rsidP="00E6060C">
            <w:pPr>
              <w:contextualSpacing/>
              <w:jc w:val="center"/>
            </w:pPr>
            <w:r w:rsidRPr="00E6060C">
              <w:t>3</w:t>
            </w:r>
          </w:p>
        </w:tc>
        <w:tc>
          <w:tcPr>
            <w:tcW w:w="937" w:type="dxa"/>
            <w:tcBorders>
              <w:top w:val="nil"/>
              <w:bottom w:val="nil"/>
            </w:tcBorders>
            <w:shd w:val="clear" w:color="auto" w:fill="auto"/>
            <w:vAlign w:val="center"/>
          </w:tcPr>
          <w:p w14:paraId="31A6CBCE" w14:textId="77777777" w:rsidR="00E6060C" w:rsidRPr="00E6060C" w:rsidRDefault="00E6060C" w:rsidP="00E6060C">
            <w:pPr>
              <w:contextualSpacing/>
              <w:jc w:val="center"/>
            </w:pPr>
            <w:r w:rsidRPr="00E6060C">
              <w:t>4</w:t>
            </w:r>
          </w:p>
        </w:tc>
        <w:tc>
          <w:tcPr>
            <w:tcW w:w="937" w:type="dxa"/>
            <w:tcBorders>
              <w:top w:val="nil"/>
              <w:bottom w:val="nil"/>
            </w:tcBorders>
            <w:vAlign w:val="center"/>
          </w:tcPr>
          <w:p w14:paraId="66E56444" w14:textId="77777777" w:rsidR="00E6060C" w:rsidRPr="00E6060C" w:rsidRDefault="00E6060C" w:rsidP="00E6060C">
            <w:pPr>
              <w:contextualSpacing/>
              <w:jc w:val="center"/>
            </w:pPr>
            <w:r w:rsidRPr="00E6060C">
              <w:t>5</w:t>
            </w:r>
          </w:p>
        </w:tc>
        <w:tc>
          <w:tcPr>
            <w:tcW w:w="937" w:type="dxa"/>
            <w:tcBorders>
              <w:top w:val="nil"/>
              <w:bottom w:val="nil"/>
            </w:tcBorders>
            <w:vAlign w:val="center"/>
          </w:tcPr>
          <w:p w14:paraId="09447B05" w14:textId="77777777" w:rsidR="00E6060C" w:rsidRPr="00E6060C" w:rsidRDefault="00E6060C" w:rsidP="00E6060C">
            <w:pPr>
              <w:contextualSpacing/>
              <w:jc w:val="center"/>
            </w:pPr>
            <w:r w:rsidRPr="00E6060C">
              <w:t>6</w:t>
            </w:r>
          </w:p>
        </w:tc>
        <w:tc>
          <w:tcPr>
            <w:tcW w:w="1045" w:type="dxa"/>
            <w:tcBorders>
              <w:top w:val="nil"/>
              <w:bottom w:val="nil"/>
            </w:tcBorders>
            <w:shd w:val="clear" w:color="auto" w:fill="auto"/>
            <w:vAlign w:val="center"/>
          </w:tcPr>
          <w:p w14:paraId="23301B07" w14:textId="77777777" w:rsidR="00E6060C" w:rsidRPr="00E6060C" w:rsidRDefault="00E6060C" w:rsidP="00E6060C">
            <w:pPr>
              <w:contextualSpacing/>
              <w:jc w:val="center"/>
            </w:pPr>
            <w:r w:rsidRPr="00E6060C">
              <w:t>7</w:t>
            </w:r>
          </w:p>
        </w:tc>
      </w:tr>
    </w:tbl>
    <w:p w14:paraId="4437B95E" w14:textId="77777777" w:rsidR="00E6060C" w:rsidRPr="00E6060C" w:rsidRDefault="00E6060C" w:rsidP="00E6060C"/>
    <w:tbl>
      <w:tblPr>
        <w:tblStyle w:val="TableGrid8"/>
        <w:tblW w:w="1077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
        <w:gridCol w:w="2773"/>
        <w:gridCol w:w="873"/>
        <w:gridCol w:w="1310"/>
        <w:gridCol w:w="1164"/>
        <w:gridCol w:w="1311"/>
        <w:gridCol w:w="873"/>
        <w:gridCol w:w="964"/>
        <w:gridCol w:w="1079"/>
      </w:tblGrid>
      <w:tr w:rsidR="00E6060C" w:rsidRPr="00E6060C" w14:paraId="4338C940" w14:textId="77777777" w:rsidTr="00E6060C">
        <w:trPr>
          <w:cantSplit/>
          <w:trHeight w:val="775"/>
          <w:tblHeader/>
        </w:trPr>
        <w:tc>
          <w:tcPr>
            <w:tcW w:w="427" w:type="dxa"/>
            <w:tcBorders>
              <w:top w:val="single" w:sz="4" w:space="0" w:color="auto"/>
              <w:bottom w:val="single" w:sz="4" w:space="0" w:color="auto"/>
            </w:tcBorders>
            <w:shd w:val="clear" w:color="auto" w:fill="8EAADB" w:themeFill="accent5" w:themeFillTint="99"/>
          </w:tcPr>
          <w:p w14:paraId="28CF1B66" w14:textId="77777777" w:rsidR="00E6060C" w:rsidRPr="00E6060C" w:rsidRDefault="00E6060C" w:rsidP="00E6060C">
            <w:pPr>
              <w:ind w:left="-108"/>
              <w:contextualSpacing/>
              <w:rPr>
                <w:b/>
                <w:bCs/>
              </w:rPr>
            </w:pPr>
            <w:r w:rsidRPr="00E6060C">
              <w:rPr>
                <w:b/>
                <w:bCs/>
              </w:rPr>
              <w:t xml:space="preserve"> 15</w:t>
            </w:r>
          </w:p>
        </w:tc>
        <w:tc>
          <w:tcPr>
            <w:tcW w:w="2773" w:type="dxa"/>
            <w:tcBorders>
              <w:top w:val="single" w:sz="4" w:space="0" w:color="auto"/>
              <w:bottom w:val="single" w:sz="4" w:space="0" w:color="auto"/>
            </w:tcBorders>
            <w:shd w:val="clear" w:color="auto" w:fill="8EAADB" w:themeFill="accent5" w:themeFillTint="99"/>
          </w:tcPr>
          <w:p w14:paraId="2C5AE023" w14:textId="77777777" w:rsidR="00E6060C" w:rsidRPr="00E6060C" w:rsidRDefault="00E6060C" w:rsidP="00E6060C">
            <w:pPr>
              <w:contextualSpacing/>
            </w:pPr>
            <w:r w:rsidRPr="00E6060C">
              <w:rPr>
                <w:b/>
                <w:bCs/>
              </w:rPr>
              <w:t xml:space="preserve">The following statements are about how you </w:t>
            </w:r>
            <w:r w:rsidRPr="00E6060C">
              <w:rPr>
                <w:b/>
                <w:bCs/>
                <w:u w:val="single"/>
              </w:rPr>
              <w:t>feel at</w:t>
            </w:r>
            <w:r w:rsidRPr="00E6060C">
              <w:rPr>
                <w:b/>
                <w:bCs/>
              </w:rPr>
              <w:t xml:space="preserve"> work. </w:t>
            </w:r>
          </w:p>
        </w:tc>
        <w:tc>
          <w:tcPr>
            <w:tcW w:w="873" w:type="dxa"/>
            <w:tcBorders>
              <w:top w:val="single" w:sz="4" w:space="0" w:color="auto"/>
              <w:bottom w:val="single" w:sz="4" w:space="0" w:color="auto"/>
            </w:tcBorders>
            <w:shd w:val="clear" w:color="auto" w:fill="8EAADB" w:themeFill="accent5" w:themeFillTint="99"/>
          </w:tcPr>
          <w:p w14:paraId="35556E84" w14:textId="77777777" w:rsidR="00E6060C" w:rsidRPr="00E6060C" w:rsidRDefault="00E6060C" w:rsidP="00E6060C">
            <w:pPr>
              <w:contextualSpacing/>
              <w:jc w:val="center"/>
              <w:rPr>
                <w:b/>
                <w:bCs/>
              </w:rPr>
            </w:pPr>
            <w:r w:rsidRPr="00E6060C">
              <w:rPr>
                <w:b/>
                <w:bCs/>
              </w:rPr>
              <w:t>Never</w:t>
            </w:r>
          </w:p>
        </w:tc>
        <w:tc>
          <w:tcPr>
            <w:tcW w:w="1310" w:type="dxa"/>
            <w:tcBorders>
              <w:top w:val="single" w:sz="4" w:space="0" w:color="auto"/>
              <w:bottom w:val="single" w:sz="4" w:space="0" w:color="auto"/>
            </w:tcBorders>
            <w:shd w:val="clear" w:color="auto" w:fill="8EAADB" w:themeFill="accent5" w:themeFillTint="99"/>
          </w:tcPr>
          <w:p w14:paraId="297D8297" w14:textId="77777777" w:rsidR="00E6060C" w:rsidRPr="00E6060C" w:rsidRDefault="00E6060C" w:rsidP="00E6060C">
            <w:pPr>
              <w:contextualSpacing/>
              <w:jc w:val="center"/>
              <w:rPr>
                <w:b/>
                <w:bCs/>
              </w:rPr>
            </w:pPr>
            <w:r w:rsidRPr="00E6060C">
              <w:rPr>
                <w:b/>
                <w:bCs/>
              </w:rPr>
              <w:t>A few times a year or less</w:t>
            </w:r>
          </w:p>
        </w:tc>
        <w:tc>
          <w:tcPr>
            <w:tcW w:w="1164" w:type="dxa"/>
            <w:tcBorders>
              <w:top w:val="single" w:sz="4" w:space="0" w:color="auto"/>
              <w:bottom w:val="single" w:sz="4" w:space="0" w:color="auto"/>
            </w:tcBorders>
            <w:shd w:val="clear" w:color="auto" w:fill="8EAADB" w:themeFill="accent5" w:themeFillTint="99"/>
          </w:tcPr>
          <w:p w14:paraId="4F079D04" w14:textId="77777777" w:rsidR="00E6060C" w:rsidRPr="00E6060C" w:rsidRDefault="00E6060C" w:rsidP="00E6060C">
            <w:pPr>
              <w:contextualSpacing/>
              <w:jc w:val="center"/>
              <w:rPr>
                <w:b/>
                <w:bCs/>
              </w:rPr>
            </w:pPr>
            <w:r w:rsidRPr="00E6060C">
              <w:rPr>
                <w:b/>
                <w:bCs/>
              </w:rPr>
              <w:t>Once a month or less</w:t>
            </w:r>
          </w:p>
        </w:tc>
        <w:tc>
          <w:tcPr>
            <w:tcW w:w="1311" w:type="dxa"/>
            <w:tcBorders>
              <w:top w:val="single" w:sz="4" w:space="0" w:color="auto"/>
              <w:bottom w:val="single" w:sz="4" w:space="0" w:color="auto"/>
            </w:tcBorders>
            <w:shd w:val="clear" w:color="auto" w:fill="8EAADB" w:themeFill="accent5" w:themeFillTint="99"/>
          </w:tcPr>
          <w:p w14:paraId="721F8B33" w14:textId="77777777" w:rsidR="00E6060C" w:rsidRPr="00E6060C" w:rsidRDefault="00E6060C" w:rsidP="00E6060C">
            <w:pPr>
              <w:contextualSpacing/>
              <w:jc w:val="center"/>
              <w:rPr>
                <w:b/>
                <w:bCs/>
              </w:rPr>
            </w:pPr>
            <w:r w:rsidRPr="00E6060C">
              <w:rPr>
                <w:b/>
                <w:bCs/>
              </w:rPr>
              <w:t>A few times a month</w:t>
            </w:r>
          </w:p>
        </w:tc>
        <w:tc>
          <w:tcPr>
            <w:tcW w:w="873" w:type="dxa"/>
            <w:tcBorders>
              <w:top w:val="single" w:sz="4" w:space="0" w:color="auto"/>
              <w:bottom w:val="single" w:sz="4" w:space="0" w:color="auto"/>
            </w:tcBorders>
            <w:shd w:val="clear" w:color="auto" w:fill="8EAADB" w:themeFill="accent5" w:themeFillTint="99"/>
          </w:tcPr>
          <w:p w14:paraId="3F2C212F" w14:textId="77777777" w:rsidR="00E6060C" w:rsidRPr="00E6060C" w:rsidRDefault="00E6060C" w:rsidP="00E6060C">
            <w:pPr>
              <w:contextualSpacing/>
              <w:jc w:val="center"/>
              <w:rPr>
                <w:b/>
                <w:bCs/>
              </w:rPr>
            </w:pPr>
            <w:r w:rsidRPr="00E6060C">
              <w:rPr>
                <w:b/>
                <w:bCs/>
              </w:rPr>
              <w:t>Once a week</w:t>
            </w:r>
          </w:p>
        </w:tc>
        <w:tc>
          <w:tcPr>
            <w:tcW w:w="964" w:type="dxa"/>
            <w:tcBorders>
              <w:top w:val="single" w:sz="4" w:space="0" w:color="auto"/>
              <w:bottom w:val="single" w:sz="4" w:space="0" w:color="auto"/>
            </w:tcBorders>
            <w:shd w:val="clear" w:color="auto" w:fill="8EAADB" w:themeFill="accent5" w:themeFillTint="99"/>
          </w:tcPr>
          <w:p w14:paraId="1B01D314" w14:textId="77777777" w:rsidR="00E6060C" w:rsidRPr="00E6060C" w:rsidRDefault="00E6060C" w:rsidP="00E6060C">
            <w:pPr>
              <w:contextualSpacing/>
              <w:jc w:val="center"/>
              <w:rPr>
                <w:b/>
                <w:bCs/>
              </w:rPr>
            </w:pPr>
            <w:r w:rsidRPr="00E6060C">
              <w:rPr>
                <w:b/>
                <w:bCs/>
              </w:rPr>
              <w:t>A few times a week</w:t>
            </w:r>
          </w:p>
        </w:tc>
        <w:tc>
          <w:tcPr>
            <w:tcW w:w="1079" w:type="dxa"/>
            <w:tcBorders>
              <w:top w:val="single" w:sz="4" w:space="0" w:color="auto"/>
              <w:bottom w:val="single" w:sz="4" w:space="0" w:color="auto"/>
            </w:tcBorders>
            <w:shd w:val="clear" w:color="auto" w:fill="8EAADB" w:themeFill="accent5" w:themeFillTint="99"/>
          </w:tcPr>
          <w:p w14:paraId="300B794A" w14:textId="77777777" w:rsidR="00E6060C" w:rsidRPr="00E6060C" w:rsidRDefault="00E6060C" w:rsidP="00E6060C">
            <w:pPr>
              <w:contextualSpacing/>
              <w:jc w:val="center"/>
              <w:rPr>
                <w:b/>
                <w:bCs/>
              </w:rPr>
            </w:pPr>
            <w:r w:rsidRPr="00E6060C">
              <w:rPr>
                <w:b/>
                <w:bCs/>
              </w:rPr>
              <w:t>Every day</w:t>
            </w:r>
          </w:p>
        </w:tc>
      </w:tr>
      <w:tr w:rsidR="00E6060C" w:rsidRPr="00E6060C" w14:paraId="1D5F278E" w14:textId="77777777" w:rsidTr="00E6060C">
        <w:trPr>
          <w:cantSplit/>
          <w:trHeight w:val="250"/>
          <w:tblHeader/>
        </w:trPr>
        <w:tc>
          <w:tcPr>
            <w:tcW w:w="427" w:type="dxa"/>
            <w:tcBorders>
              <w:top w:val="nil"/>
              <w:bottom w:val="nil"/>
            </w:tcBorders>
            <w:vAlign w:val="center"/>
          </w:tcPr>
          <w:p w14:paraId="748D6D05" w14:textId="77777777" w:rsidR="00E6060C" w:rsidRPr="00E6060C" w:rsidRDefault="00E6060C" w:rsidP="00E6060C">
            <w:pPr>
              <w:contextualSpacing/>
            </w:pPr>
            <w:r w:rsidRPr="00E6060C">
              <w:t>1</w:t>
            </w:r>
          </w:p>
        </w:tc>
        <w:tc>
          <w:tcPr>
            <w:tcW w:w="2773" w:type="dxa"/>
            <w:tcBorders>
              <w:top w:val="nil"/>
              <w:bottom w:val="nil"/>
            </w:tcBorders>
            <w:vAlign w:val="center"/>
          </w:tcPr>
          <w:p w14:paraId="709C51A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feel bursting with energy at work</w:t>
            </w:r>
          </w:p>
        </w:tc>
        <w:tc>
          <w:tcPr>
            <w:tcW w:w="873" w:type="dxa"/>
            <w:tcBorders>
              <w:top w:val="nil"/>
              <w:bottom w:val="nil"/>
            </w:tcBorders>
            <w:vAlign w:val="center"/>
          </w:tcPr>
          <w:p w14:paraId="37F6333D" w14:textId="77777777" w:rsidR="00E6060C" w:rsidRPr="00E6060C" w:rsidRDefault="00E6060C" w:rsidP="00E6060C">
            <w:pPr>
              <w:contextualSpacing/>
              <w:jc w:val="center"/>
            </w:pPr>
            <w:r w:rsidRPr="00E6060C">
              <w:t>1</w:t>
            </w:r>
          </w:p>
        </w:tc>
        <w:tc>
          <w:tcPr>
            <w:tcW w:w="1310" w:type="dxa"/>
            <w:tcBorders>
              <w:top w:val="nil"/>
              <w:bottom w:val="nil"/>
            </w:tcBorders>
            <w:vAlign w:val="center"/>
          </w:tcPr>
          <w:p w14:paraId="7B187975" w14:textId="77777777" w:rsidR="00E6060C" w:rsidRPr="00E6060C" w:rsidRDefault="00E6060C" w:rsidP="00E6060C">
            <w:pPr>
              <w:contextualSpacing/>
              <w:jc w:val="center"/>
            </w:pPr>
            <w:r w:rsidRPr="00E6060C">
              <w:t>2</w:t>
            </w:r>
          </w:p>
        </w:tc>
        <w:tc>
          <w:tcPr>
            <w:tcW w:w="1164" w:type="dxa"/>
            <w:tcBorders>
              <w:top w:val="nil"/>
              <w:bottom w:val="nil"/>
            </w:tcBorders>
            <w:vAlign w:val="center"/>
          </w:tcPr>
          <w:p w14:paraId="74F87696" w14:textId="77777777" w:rsidR="00E6060C" w:rsidRPr="00E6060C" w:rsidRDefault="00E6060C" w:rsidP="00E6060C">
            <w:pPr>
              <w:contextualSpacing/>
              <w:jc w:val="center"/>
            </w:pPr>
            <w:r w:rsidRPr="00E6060C">
              <w:t>3</w:t>
            </w:r>
          </w:p>
        </w:tc>
        <w:tc>
          <w:tcPr>
            <w:tcW w:w="1311" w:type="dxa"/>
            <w:tcBorders>
              <w:top w:val="nil"/>
              <w:bottom w:val="nil"/>
            </w:tcBorders>
            <w:vAlign w:val="center"/>
          </w:tcPr>
          <w:p w14:paraId="7AEA46B5" w14:textId="77777777" w:rsidR="00E6060C" w:rsidRPr="00E6060C" w:rsidRDefault="00E6060C" w:rsidP="00E6060C">
            <w:pPr>
              <w:contextualSpacing/>
              <w:jc w:val="center"/>
            </w:pPr>
            <w:r w:rsidRPr="00E6060C">
              <w:t>4</w:t>
            </w:r>
          </w:p>
        </w:tc>
        <w:tc>
          <w:tcPr>
            <w:tcW w:w="873" w:type="dxa"/>
            <w:tcBorders>
              <w:top w:val="nil"/>
              <w:bottom w:val="nil"/>
            </w:tcBorders>
            <w:vAlign w:val="center"/>
          </w:tcPr>
          <w:p w14:paraId="08A79574" w14:textId="77777777" w:rsidR="00E6060C" w:rsidRPr="00E6060C" w:rsidRDefault="00E6060C" w:rsidP="00E6060C">
            <w:pPr>
              <w:contextualSpacing/>
              <w:jc w:val="center"/>
            </w:pPr>
            <w:r w:rsidRPr="00E6060C">
              <w:t>5</w:t>
            </w:r>
          </w:p>
        </w:tc>
        <w:tc>
          <w:tcPr>
            <w:tcW w:w="964" w:type="dxa"/>
            <w:tcBorders>
              <w:top w:val="nil"/>
              <w:bottom w:val="nil"/>
            </w:tcBorders>
            <w:vAlign w:val="center"/>
          </w:tcPr>
          <w:p w14:paraId="201D34D2" w14:textId="77777777" w:rsidR="00E6060C" w:rsidRPr="00E6060C" w:rsidRDefault="00E6060C" w:rsidP="00E6060C">
            <w:pPr>
              <w:contextualSpacing/>
              <w:jc w:val="center"/>
            </w:pPr>
            <w:r w:rsidRPr="00E6060C">
              <w:t>6</w:t>
            </w:r>
          </w:p>
        </w:tc>
        <w:tc>
          <w:tcPr>
            <w:tcW w:w="1079" w:type="dxa"/>
            <w:tcBorders>
              <w:top w:val="nil"/>
              <w:bottom w:val="nil"/>
            </w:tcBorders>
            <w:vAlign w:val="center"/>
          </w:tcPr>
          <w:p w14:paraId="1B80202D" w14:textId="77777777" w:rsidR="00E6060C" w:rsidRPr="00E6060C" w:rsidRDefault="00E6060C" w:rsidP="00E6060C">
            <w:pPr>
              <w:contextualSpacing/>
              <w:jc w:val="center"/>
            </w:pPr>
            <w:r w:rsidRPr="00E6060C">
              <w:t>7</w:t>
            </w:r>
          </w:p>
        </w:tc>
      </w:tr>
      <w:tr w:rsidR="00E6060C" w:rsidRPr="00E6060C" w14:paraId="67CABE51" w14:textId="77777777" w:rsidTr="00E6060C">
        <w:trPr>
          <w:cantSplit/>
          <w:trHeight w:val="234"/>
          <w:tblHeader/>
        </w:trPr>
        <w:tc>
          <w:tcPr>
            <w:tcW w:w="427" w:type="dxa"/>
            <w:tcBorders>
              <w:top w:val="nil"/>
              <w:bottom w:val="nil"/>
            </w:tcBorders>
            <w:shd w:val="clear" w:color="auto" w:fill="D9D9D9" w:themeFill="background1" w:themeFillShade="D9"/>
            <w:vAlign w:val="center"/>
          </w:tcPr>
          <w:p w14:paraId="667D37D1" w14:textId="77777777" w:rsidR="00E6060C" w:rsidRPr="00E6060C" w:rsidRDefault="00E6060C" w:rsidP="00E6060C">
            <w:pPr>
              <w:contextualSpacing/>
            </w:pPr>
            <w:r w:rsidRPr="00E6060C">
              <w:t>2</w:t>
            </w:r>
          </w:p>
        </w:tc>
        <w:tc>
          <w:tcPr>
            <w:tcW w:w="2773" w:type="dxa"/>
            <w:tcBorders>
              <w:top w:val="nil"/>
              <w:bottom w:val="nil"/>
            </w:tcBorders>
            <w:shd w:val="clear" w:color="auto" w:fill="D9D9D9" w:themeFill="background1" w:themeFillShade="D9"/>
            <w:vAlign w:val="center"/>
          </w:tcPr>
          <w:p w14:paraId="6CD346D5"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feel strong and vigorous at work</w:t>
            </w:r>
          </w:p>
        </w:tc>
        <w:tc>
          <w:tcPr>
            <w:tcW w:w="873" w:type="dxa"/>
            <w:tcBorders>
              <w:top w:val="nil"/>
              <w:bottom w:val="nil"/>
            </w:tcBorders>
            <w:shd w:val="clear" w:color="auto" w:fill="D9D9D9" w:themeFill="background1" w:themeFillShade="D9"/>
            <w:vAlign w:val="center"/>
          </w:tcPr>
          <w:p w14:paraId="00514787" w14:textId="77777777" w:rsidR="00E6060C" w:rsidRPr="00E6060C" w:rsidRDefault="00E6060C" w:rsidP="00E6060C">
            <w:pPr>
              <w:contextualSpacing/>
              <w:jc w:val="center"/>
            </w:pPr>
            <w:r w:rsidRPr="00E6060C">
              <w:t>1</w:t>
            </w:r>
          </w:p>
        </w:tc>
        <w:tc>
          <w:tcPr>
            <w:tcW w:w="1310" w:type="dxa"/>
            <w:tcBorders>
              <w:top w:val="nil"/>
              <w:bottom w:val="nil"/>
            </w:tcBorders>
            <w:shd w:val="clear" w:color="auto" w:fill="D9D9D9" w:themeFill="background1" w:themeFillShade="D9"/>
            <w:vAlign w:val="center"/>
          </w:tcPr>
          <w:p w14:paraId="4931BA1E" w14:textId="77777777" w:rsidR="00E6060C" w:rsidRPr="00E6060C" w:rsidRDefault="00E6060C" w:rsidP="00E6060C">
            <w:pPr>
              <w:contextualSpacing/>
              <w:jc w:val="center"/>
            </w:pPr>
            <w:r w:rsidRPr="00E6060C">
              <w:t>2</w:t>
            </w:r>
          </w:p>
        </w:tc>
        <w:tc>
          <w:tcPr>
            <w:tcW w:w="1164" w:type="dxa"/>
            <w:tcBorders>
              <w:top w:val="nil"/>
              <w:bottom w:val="nil"/>
            </w:tcBorders>
            <w:shd w:val="clear" w:color="auto" w:fill="D9D9D9" w:themeFill="background1" w:themeFillShade="D9"/>
            <w:vAlign w:val="center"/>
          </w:tcPr>
          <w:p w14:paraId="13BDF3F5" w14:textId="77777777" w:rsidR="00E6060C" w:rsidRPr="00E6060C" w:rsidRDefault="00E6060C" w:rsidP="00E6060C">
            <w:pPr>
              <w:contextualSpacing/>
              <w:jc w:val="center"/>
            </w:pPr>
            <w:r w:rsidRPr="00E6060C">
              <w:t>3</w:t>
            </w:r>
          </w:p>
        </w:tc>
        <w:tc>
          <w:tcPr>
            <w:tcW w:w="1311" w:type="dxa"/>
            <w:tcBorders>
              <w:top w:val="nil"/>
              <w:bottom w:val="nil"/>
            </w:tcBorders>
            <w:shd w:val="clear" w:color="auto" w:fill="D9D9D9" w:themeFill="background1" w:themeFillShade="D9"/>
            <w:vAlign w:val="center"/>
          </w:tcPr>
          <w:p w14:paraId="7944C4CF" w14:textId="77777777" w:rsidR="00E6060C" w:rsidRPr="00E6060C" w:rsidRDefault="00E6060C" w:rsidP="00E6060C">
            <w:pPr>
              <w:contextualSpacing/>
              <w:jc w:val="center"/>
            </w:pPr>
            <w:r w:rsidRPr="00E6060C">
              <w:t>4</w:t>
            </w:r>
          </w:p>
        </w:tc>
        <w:tc>
          <w:tcPr>
            <w:tcW w:w="873" w:type="dxa"/>
            <w:tcBorders>
              <w:top w:val="nil"/>
              <w:bottom w:val="nil"/>
            </w:tcBorders>
            <w:shd w:val="clear" w:color="auto" w:fill="D9D9D9" w:themeFill="background1" w:themeFillShade="D9"/>
            <w:vAlign w:val="center"/>
          </w:tcPr>
          <w:p w14:paraId="5E3F2BFD" w14:textId="77777777" w:rsidR="00E6060C" w:rsidRPr="00E6060C" w:rsidRDefault="00E6060C" w:rsidP="00E6060C">
            <w:pPr>
              <w:contextualSpacing/>
              <w:jc w:val="center"/>
            </w:pPr>
            <w:r w:rsidRPr="00E6060C">
              <w:t>5</w:t>
            </w:r>
          </w:p>
        </w:tc>
        <w:tc>
          <w:tcPr>
            <w:tcW w:w="964" w:type="dxa"/>
            <w:tcBorders>
              <w:top w:val="nil"/>
              <w:bottom w:val="nil"/>
            </w:tcBorders>
            <w:shd w:val="clear" w:color="auto" w:fill="D9D9D9" w:themeFill="background1" w:themeFillShade="D9"/>
            <w:vAlign w:val="center"/>
          </w:tcPr>
          <w:p w14:paraId="38876D3D" w14:textId="77777777" w:rsidR="00E6060C" w:rsidRPr="00E6060C" w:rsidRDefault="00E6060C" w:rsidP="00E6060C">
            <w:pPr>
              <w:contextualSpacing/>
              <w:jc w:val="center"/>
            </w:pPr>
            <w:r w:rsidRPr="00E6060C">
              <w:t>6</w:t>
            </w:r>
          </w:p>
        </w:tc>
        <w:tc>
          <w:tcPr>
            <w:tcW w:w="1079" w:type="dxa"/>
            <w:tcBorders>
              <w:top w:val="nil"/>
              <w:bottom w:val="nil"/>
            </w:tcBorders>
            <w:shd w:val="clear" w:color="auto" w:fill="D9D9D9" w:themeFill="background1" w:themeFillShade="D9"/>
            <w:vAlign w:val="center"/>
          </w:tcPr>
          <w:p w14:paraId="3E769F51" w14:textId="77777777" w:rsidR="00E6060C" w:rsidRPr="00E6060C" w:rsidRDefault="00E6060C" w:rsidP="00E6060C">
            <w:pPr>
              <w:contextualSpacing/>
              <w:jc w:val="center"/>
            </w:pPr>
            <w:r w:rsidRPr="00E6060C">
              <w:t>7</w:t>
            </w:r>
          </w:p>
        </w:tc>
      </w:tr>
      <w:tr w:rsidR="00E6060C" w:rsidRPr="00E6060C" w14:paraId="2FC1F8C6" w14:textId="77777777" w:rsidTr="00E6060C">
        <w:trPr>
          <w:cantSplit/>
          <w:trHeight w:val="250"/>
          <w:tblHeader/>
        </w:trPr>
        <w:tc>
          <w:tcPr>
            <w:tcW w:w="427" w:type="dxa"/>
            <w:tcBorders>
              <w:top w:val="nil"/>
              <w:bottom w:val="nil"/>
            </w:tcBorders>
            <w:vAlign w:val="center"/>
          </w:tcPr>
          <w:p w14:paraId="67F405BC" w14:textId="77777777" w:rsidR="00E6060C" w:rsidRPr="00E6060C" w:rsidRDefault="00E6060C" w:rsidP="00E6060C">
            <w:pPr>
              <w:contextualSpacing/>
            </w:pPr>
            <w:r w:rsidRPr="00E6060C">
              <w:t>3</w:t>
            </w:r>
          </w:p>
        </w:tc>
        <w:tc>
          <w:tcPr>
            <w:tcW w:w="2773" w:type="dxa"/>
            <w:tcBorders>
              <w:top w:val="nil"/>
              <w:bottom w:val="nil"/>
            </w:tcBorders>
            <w:vAlign w:val="center"/>
          </w:tcPr>
          <w:p w14:paraId="178CF51C"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am enthusiastic about my work.</w:t>
            </w:r>
          </w:p>
        </w:tc>
        <w:tc>
          <w:tcPr>
            <w:tcW w:w="873" w:type="dxa"/>
            <w:tcBorders>
              <w:top w:val="nil"/>
              <w:bottom w:val="nil"/>
            </w:tcBorders>
            <w:vAlign w:val="center"/>
          </w:tcPr>
          <w:p w14:paraId="15A3F7A9" w14:textId="77777777" w:rsidR="00E6060C" w:rsidRPr="00E6060C" w:rsidRDefault="00E6060C" w:rsidP="00E6060C">
            <w:pPr>
              <w:contextualSpacing/>
              <w:jc w:val="center"/>
            </w:pPr>
            <w:r w:rsidRPr="00E6060C">
              <w:t>1</w:t>
            </w:r>
          </w:p>
        </w:tc>
        <w:tc>
          <w:tcPr>
            <w:tcW w:w="1310" w:type="dxa"/>
            <w:tcBorders>
              <w:top w:val="nil"/>
              <w:bottom w:val="nil"/>
            </w:tcBorders>
            <w:vAlign w:val="center"/>
          </w:tcPr>
          <w:p w14:paraId="4E60C29E" w14:textId="77777777" w:rsidR="00E6060C" w:rsidRPr="00E6060C" w:rsidRDefault="00E6060C" w:rsidP="00E6060C">
            <w:pPr>
              <w:contextualSpacing/>
              <w:jc w:val="center"/>
            </w:pPr>
            <w:r w:rsidRPr="00E6060C">
              <w:t>2</w:t>
            </w:r>
          </w:p>
        </w:tc>
        <w:tc>
          <w:tcPr>
            <w:tcW w:w="1164" w:type="dxa"/>
            <w:tcBorders>
              <w:top w:val="nil"/>
              <w:bottom w:val="nil"/>
            </w:tcBorders>
            <w:vAlign w:val="center"/>
          </w:tcPr>
          <w:p w14:paraId="71171863" w14:textId="77777777" w:rsidR="00E6060C" w:rsidRPr="00E6060C" w:rsidRDefault="00E6060C" w:rsidP="00E6060C">
            <w:pPr>
              <w:contextualSpacing/>
              <w:jc w:val="center"/>
            </w:pPr>
            <w:r w:rsidRPr="00E6060C">
              <w:t>3</w:t>
            </w:r>
          </w:p>
        </w:tc>
        <w:tc>
          <w:tcPr>
            <w:tcW w:w="1311" w:type="dxa"/>
            <w:tcBorders>
              <w:top w:val="nil"/>
              <w:bottom w:val="nil"/>
            </w:tcBorders>
            <w:vAlign w:val="center"/>
          </w:tcPr>
          <w:p w14:paraId="1E0F8ADF" w14:textId="77777777" w:rsidR="00E6060C" w:rsidRPr="00E6060C" w:rsidRDefault="00E6060C" w:rsidP="00E6060C">
            <w:pPr>
              <w:contextualSpacing/>
              <w:jc w:val="center"/>
            </w:pPr>
            <w:r w:rsidRPr="00E6060C">
              <w:t>4</w:t>
            </w:r>
          </w:p>
        </w:tc>
        <w:tc>
          <w:tcPr>
            <w:tcW w:w="873" w:type="dxa"/>
            <w:tcBorders>
              <w:top w:val="nil"/>
              <w:bottom w:val="nil"/>
            </w:tcBorders>
            <w:vAlign w:val="center"/>
          </w:tcPr>
          <w:p w14:paraId="554F5F0F" w14:textId="77777777" w:rsidR="00E6060C" w:rsidRPr="00E6060C" w:rsidRDefault="00E6060C" w:rsidP="00E6060C">
            <w:pPr>
              <w:contextualSpacing/>
              <w:jc w:val="center"/>
            </w:pPr>
            <w:r w:rsidRPr="00E6060C">
              <w:t>5</w:t>
            </w:r>
          </w:p>
        </w:tc>
        <w:tc>
          <w:tcPr>
            <w:tcW w:w="964" w:type="dxa"/>
            <w:tcBorders>
              <w:top w:val="nil"/>
              <w:bottom w:val="nil"/>
            </w:tcBorders>
            <w:vAlign w:val="center"/>
          </w:tcPr>
          <w:p w14:paraId="60FE9851" w14:textId="77777777" w:rsidR="00E6060C" w:rsidRPr="00E6060C" w:rsidRDefault="00E6060C" w:rsidP="00E6060C">
            <w:pPr>
              <w:contextualSpacing/>
              <w:jc w:val="center"/>
            </w:pPr>
            <w:r w:rsidRPr="00E6060C">
              <w:t>6</w:t>
            </w:r>
          </w:p>
        </w:tc>
        <w:tc>
          <w:tcPr>
            <w:tcW w:w="1079" w:type="dxa"/>
            <w:tcBorders>
              <w:top w:val="nil"/>
              <w:bottom w:val="nil"/>
            </w:tcBorders>
            <w:vAlign w:val="center"/>
          </w:tcPr>
          <w:p w14:paraId="22263B69" w14:textId="77777777" w:rsidR="00E6060C" w:rsidRPr="00E6060C" w:rsidRDefault="00E6060C" w:rsidP="00E6060C">
            <w:pPr>
              <w:contextualSpacing/>
              <w:jc w:val="center"/>
            </w:pPr>
            <w:r w:rsidRPr="00E6060C">
              <w:t>7</w:t>
            </w:r>
          </w:p>
        </w:tc>
      </w:tr>
      <w:tr w:rsidR="00E6060C" w:rsidRPr="00E6060C" w14:paraId="3A946F2B" w14:textId="77777777" w:rsidTr="00E6060C">
        <w:trPr>
          <w:cantSplit/>
          <w:trHeight w:val="250"/>
          <w:tblHeader/>
        </w:trPr>
        <w:tc>
          <w:tcPr>
            <w:tcW w:w="427" w:type="dxa"/>
            <w:tcBorders>
              <w:top w:val="nil"/>
              <w:bottom w:val="nil"/>
            </w:tcBorders>
            <w:shd w:val="clear" w:color="auto" w:fill="D9D9D9" w:themeFill="background1" w:themeFillShade="D9"/>
            <w:vAlign w:val="center"/>
          </w:tcPr>
          <w:p w14:paraId="3F717E4D" w14:textId="77777777" w:rsidR="00E6060C" w:rsidRPr="00E6060C" w:rsidRDefault="00E6060C" w:rsidP="00E6060C">
            <w:pPr>
              <w:contextualSpacing/>
            </w:pPr>
            <w:r w:rsidRPr="00E6060C">
              <w:t>4</w:t>
            </w:r>
          </w:p>
        </w:tc>
        <w:tc>
          <w:tcPr>
            <w:tcW w:w="2773" w:type="dxa"/>
            <w:tcBorders>
              <w:top w:val="nil"/>
              <w:bottom w:val="nil"/>
            </w:tcBorders>
            <w:shd w:val="clear" w:color="auto" w:fill="D9D9D9" w:themeFill="background1" w:themeFillShade="D9"/>
            <w:vAlign w:val="center"/>
          </w:tcPr>
          <w:p w14:paraId="0007168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My work inspires me.</w:t>
            </w:r>
          </w:p>
        </w:tc>
        <w:tc>
          <w:tcPr>
            <w:tcW w:w="873" w:type="dxa"/>
            <w:tcBorders>
              <w:top w:val="nil"/>
              <w:bottom w:val="nil"/>
            </w:tcBorders>
            <w:shd w:val="clear" w:color="auto" w:fill="D9D9D9" w:themeFill="background1" w:themeFillShade="D9"/>
            <w:vAlign w:val="center"/>
          </w:tcPr>
          <w:p w14:paraId="2AF92379" w14:textId="77777777" w:rsidR="00E6060C" w:rsidRPr="00E6060C" w:rsidRDefault="00E6060C" w:rsidP="00E6060C">
            <w:pPr>
              <w:contextualSpacing/>
              <w:jc w:val="center"/>
            </w:pPr>
            <w:r w:rsidRPr="00E6060C">
              <w:t>1</w:t>
            </w:r>
          </w:p>
        </w:tc>
        <w:tc>
          <w:tcPr>
            <w:tcW w:w="1310" w:type="dxa"/>
            <w:tcBorders>
              <w:top w:val="nil"/>
              <w:bottom w:val="nil"/>
            </w:tcBorders>
            <w:shd w:val="clear" w:color="auto" w:fill="D9D9D9" w:themeFill="background1" w:themeFillShade="D9"/>
            <w:vAlign w:val="center"/>
          </w:tcPr>
          <w:p w14:paraId="32D2A34A" w14:textId="77777777" w:rsidR="00E6060C" w:rsidRPr="00E6060C" w:rsidRDefault="00E6060C" w:rsidP="00E6060C">
            <w:pPr>
              <w:contextualSpacing/>
              <w:jc w:val="center"/>
            </w:pPr>
            <w:r w:rsidRPr="00E6060C">
              <w:t>2</w:t>
            </w:r>
          </w:p>
        </w:tc>
        <w:tc>
          <w:tcPr>
            <w:tcW w:w="1164" w:type="dxa"/>
            <w:tcBorders>
              <w:top w:val="nil"/>
              <w:bottom w:val="nil"/>
            </w:tcBorders>
            <w:shd w:val="clear" w:color="auto" w:fill="D9D9D9" w:themeFill="background1" w:themeFillShade="D9"/>
            <w:vAlign w:val="center"/>
          </w:tcPr>
          <w:p w14:paraId="55CF1630" w14:textId="77777777" w:rsidR="00E6060C" w:rsidRPr="00E6060C" w:rsidRDefault="00E6060C" w:rsidP="00E6060C">
            <w:pPr>
              <w:contextualSpacing/>
              <w:jc w:val="center"/>
            </w:pPr>
            <w:r w:rsidRPr="00E6060C">
              <w:t>3</w:t>
            </w:r>
          </w:p>
        </w:tc>
        <w:tc>
          <w:tcPr>
            <w:tcW w:w="1311" w:type="dxa"/>
            <w:tcBorders>
              <w:top w:val="nil"/>
              <w:bottom w:val="nil"/>
            </w:tcBorders>
            <w:shd w:val="clear" w:color="auto" w:fill="D9D9D9" w:themeFill="background1" w:themeFillShade="D9"/>
            <w:vAlign w:val="center"/>
          </w:tcPr>
          <w:p w14:paraId="04931425" w14:textId="77777777" w:rsidR="00E6060C" w:rsidRPr="00E6060C" w:rsidRDefault="00E6060C" w:rsidP="00E6060C">
            <w:pPr>
              <w:contextualSpacing/>
              <w:jc w:val="center"/>
            </w:pPr>
            <w:r w:rsidRPr="00E6060C">
              <w:t>4</w:t>
            </w:r>
          </w:p>
        </w:tc>
        <w:tc>
          <w:tcPr>
            <w:tcW w:w="873" w:type="dxa"/>
            <w:tcBorders>
              <w:top w:val="nil"/>
              <w:bottom w:val="nil"/>
            </w:tcBorders>
            <w:shd w:val="clear" w:color="auto" w:fill="D9D9D9" w:themeFill="background1" w:themeFillShade="D9"/>
            <w:vAlign w:val="center"/>
          </w:tcPr>
          <w:p w14:paraId="197887B7" w14:textId="77777777" w:rsidR="00E6060C" w:rsidRPr="00E6060C" w:rsidRDefault="00E6060C" w:rsidP="00E6060C">
            <w:pPr>
              <w:contextualSpacing/>
              <w:jc w:val="center"/>
            </w:pPr>
            <w:r w:rsidRPr="00E6060C">
              <w:t>5</w:t>
            </w:r>
          </w:p>
        </w:tc>
        <w:tc>
          <w:tcPr>
            <w:tcW w:w="964" w:type="dxa"/>
            <w:tcBorders>
              <w:top w:val="nil"/>
              <w:bottom w:val="nil"/>
            </w:tcBorders>
            <w:shd w:val="clear" w:color="auto" w:fill="D9D9D9" w:themeFill="background1" w:themeFillShade="D9"/>
            <w:vAlign w:val="center"/>
          </w:tcPr>
          <w:p w14:paraId="3FFB3AC4" w14:textId="77777777" w:rsidR="00E6060C" w:rsidRPr="00E6060C" w:rsidRDefault="00E6060C" w:rsidP="00E6060C">
            <w:pPr>
              <w:contextualSpacing/>
              <w:jc w:val="center"/>
            </w:pPr>
            <w:r w:rsidRPr="00E6060C">
              <w:t>6</w:t>
            </w:r>
          </w:p>
        </w:tc>
        <w:tc>
          <w:tcPr>
            <w:tcW w:w="1079" w:type="dxa"/>
            <w:tcBorders>
              <w:top w:val="nil"/>
              <w:bottom w:val="nil"/>
            </w:tcBorders>
            <w:shd w:val="clear" w:color="auto" w:fill="D9D9D9" w:themeFill="background1" w:themeFillShade="D9"/>
            <w:vAlign w:val="center"/>
          </w:tcPr>
          <w:p w14:paraId="240A4F64" w14:textId="77777777" w:rsidR="00E6060C" w:rsidRPr="00E6060C" w:rsidRDefault="00E6060C" w:rsidP="00E6060C">
            <w:pPr>
              <w:contextualSpacing/>
              <w:jc w:val="center"/>
            </w:pPr>
            <w:r w:rsidRPr="00E6060C">
              <w:t>7</w:t>
            </w:r>
          </w:p>
        </w:tc>
      </w:tr>
      <w:tr w:rsidR="00E6060C" w:rsidRPr="00E6060C" w14:paraId="0A71EAB6" w14:textId="77777777" w:rsidTr="00E6060C">
        <w:trPr>
          <w:cantSplit/>
          <w:trHeight w:val="234"/>
          <w:tblHeader/>
        </w:trPr>
        <w:tc>
          <w:tcPr>
            <w:tcW w:w="427" w:type="dxa"/>
            <w:tcBorders>
              <w:top w:val="nil"/>
              <w:bottom w:val="nil"/>
            </w:tcBorders>
            <w:vAlign w:val="center"/>
          </w:tcPr>
          <w:p w14:paraId="6B79952B" w14:textId="77777777" w:rsidR="00E6060C" w:rsidRPr="00E6060C" w:rsidRDefault="00E6060C" w:rsidP="00E6060C">
            <w:pPr>
              <w:contextualSpacing/>
            </w:pPr>
            <w:r w:rsidRPr="00E6060C">
              <w:t>5</w:t>
            </w:r>
          </w:p>
        </w:tc>
        <w:tc>
          <w:tcPr>
            <w:tcW w:w="2773" w:type="dxa"/>
            <w:tcBorders>
              <w:top w:val="nil"/>
              <w:bottom w:val="nil"/>
            </w:tcBorders>
            <w:vAlign w:val="center"/>
          </w:tcPr>
          <w:p w14:paraId="325C7694"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When I get up in the morning, I feel like going to work.</w:t>
            </w:r>
          </w:p>
        </w:tc>
        <w:tc>
          <w:tcPr>
            <w:tcW w:w="873" w:type="dxa"/>
            <w:tcBorders>
              <w:top w:val="nil"/>
              <w:bottom w:val="nil"/>
            </w:tcBorders>
            <w:vAlign w:val="center"/>
          </w:tcPr>
          <w:p w14:paraId="203DCB3B" w14:textId="77777777" w:rsidR="00E6060C" w:rsidRPr="00E6060C" w:rsidRDefault="00E6060C" w:rsidP="00E6060C">
            <w:pPr>
              <w:contextualSpacing/>
              <w:jc w:val="center"/>
            </w:pPr>
            <w:r w:rsidRPr="00E6060C">
              <w:t>1</w:t>
            </w:r>
          </w:p>
        </w:tc>
        <w:tc>
          <w:tcPr>
            <w:tcW w:w="1310" w:type="dxa"/>
            <w:tcBorders>
              <w:top w:val="nil"/>
              <w:bottom w:val="nil"/>
            </w:tcBorders>
            <w:vAlign w:val="center"/>
          </w:tcPr>
          <w:p w14:paraId="7DAA6A80" w14:textId="77777777" w:rsidR="00E6060C" w:rsidRPr="00E6060C" w:rsidRDefault="00E6060C" w:rsidP="00E6060C">
            <w:pPr>
              <w:contextualSpacing/>
              <w:jc w:val="center"/>
            </w:pPr>
            <w:r w:rsidRPr="00E6060C">
              <w:t>2</w:t>
            </w:r>
          </w:p>
        </w:tc>
        <w:tc>
          <w:tcPr>
            <w:tcW w:w="1164" w:type="dxa"/>
            <w:tcBorders>
              <w:top w:val="nil"/>
              <w:bottom w:val="nil"/>
            </w:tcBorders>
            <w:vAlign w:val="center"/>
          </w:tcPr>
          <w:p w14:paraId="0DC4A910" w14:textId="77777777" w:rsidR="00E6060C" w:rsidRPr="00E6060C" w:rsidRDefault="00E6060C" w:rsidP="00E6060C">
            <w:pPr>
              <w:contextualSpacing/>
              <w:jc w:val="center"/>
            </w:pPr>
            <w:r w:rsidRPr="00E6060C">
              <w:t>3</w:t>
            </w:r>
          </w:p>
        </w:tc>
        <w:tc>
          <w:tcPr>
            <w:tcW w:w="1311" w:type="dxa"/>
            <w:tcBorders>
              <w:top w:val="nil"/>
              <w:bottom w:val="nil"/>
            </w:tcBorders>
            <w:vAlign w:val="center"/>
          </w:tcPr>
          <w:p w14:paraId="4C968854" w14:textId="77777777" w:rsidR="00E6060C" w:rsidRPr="00E6060C" w:rsidRDefault="00E6060C" w:rsidP="00E6060C">
            <w:pPr>
              <w:contextualSpacing/>
              <w:jc w:val="center"/>
            </w:pPr>
            <w:r w:rsidRPr="00E6060C">
              <w:t>4</w:t>
            </w:r>
          </w:p>
        </w:tc>
        <w:tc>
          <w:tcPr>
            <w:tcW w:w="873" w:type="dxa"/>
            <w:tcBorders>
              <w:top w:val="nil"/>
              <w:bottom w:val="nil"/>
            </w:tcBorders>
            <w:vAlign w:val="center"/>
          </w:tcPr>
          <w:p w14:paraId="45F8DD3A" w14:textId="77777777" w:rsidR="00E6060C" w:rsidRPr="00E6060C" w:rsidRDefault="00E6060C" w:rsidP="00E6060C">
            <w:pPr>
              <w:contextualSpacing/>
              <w:jc w:val="center"/>
            </w:pPr>
            <w:r w:rsidRPr="00E6060C">
              <w:t>5</w:t>
            </w:r>
          </w:p>
        </w:tc>
        <w:tc>
          <w:tcPr>
            <w:tcW w:w="964" w:type="dxa"/>
            <w:tcBorders>
              <w:top w:val="nil"/>
              <w:bottom w:val="nil"/>
            </w:tcBorders>
            <w:vAlign w:val="center"/>
          </w:tcPr>
          <w:p w14:paraId="774BC452" w14:textId="77777777" w:rsidR="00E6060C" w:rsidRPr="00E6060C" w:rsidRDefault="00E6060C" w:rsidP="00E6060C">
            <w:pPr>
              <w:contextualSpacing/>
              <w:jc w:val="center"/>
            </w:pPr>
            <w:r w:rsidRPr="00E6060C">
              <w:t>6</w:t>
            </w:r>
          </w:p>
        </w:tc>
        <w:tc>
          <w:tcPr>
            <w:tcW w:w="1079" w:type="dxa"/>
            <w:tcBorders>
              <w:top w:val="nil"/>
              <w:bottom w:val="nil"/>
            </w:tcBorders>
            <w:vAlign w:val="center"/>
          </w:tcPr>
          <w:p w14:paraId="30B77E38" w14:textId="77777777" w:rsidR="00E6060C" w:rsidRPr="00E6060C" w:rsidRDefault="00E6060C" w:rsidP="00E6060C">
            <w:pPr>
              <w:contextualSpacing/>
              <w:jc w:val="center"/>
            </w:pPr>
            <w:r w:rsidRPr="00E6060C">
              <w:t>7</w:t>
            </w:r>
          </w:p>
        </w:tc>
      </w:tr>
      <w:tr w:rsidR="00E6060C" w:rsidRPr="00E6060C" w14:paraId="6415692C" w14:textId="77777777" w:rsidTr="00E6060C">
        <w:trPr>
          <w:cantSplit/>
          <w:trHeight w:val="250"/>
          <w:tblHeader/>
        </w:trPr>
        <w:tc>
          <w:tcPr>
            <w:tcW w:w="427" w:type="dxa"/>
            <w:tcBorders>
              <w:top w:val="nil"/>
              <w:bottom w:val="nil"/>
            </w:tcBorders>
            <w:shd w:val="clear" w:color="auto" w:fill="D9D9D9" w:themeFill="background1" w:themeFillShade="D9"/>
            <w:vAlign w:val="center"/>
          </w:tcPr>
          <w:p w14:paraId="4F45FCB7" w14:textId="77777777" w:rsidR="00E6060C" w:rsidRPr="00E6060C" w:rsidRDefault="00E6060C" w:rsidP="00E6060C">
            <w:pPr>
              <w:contextualSpacing/>
            </w:pPr>
            <w:r w:rsidRPr="00E6060C">
              <w:t>6</w:t>
            </w:r>
          </w:p>
        </w:tc>
        <w:tc>
          <w:tcPr>
            <w:tcW w:w="2773" w:type="dxa"/>
            <w:tcBorders>
              <w:top w:val="nil"/>
              <w:bottom w:val="nil"/>
            </w:tcBorders>
            <w:shd w:val="clear" w:color="auto" w:fill="D9D9D9" w:themeFill="background1" w:themeFillShade="D9"/>
            <w:vAlign w:val="center"/>
          </w:tcPr>
          <w:p w14:paraId="4AFCE5F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feel happy when I am working intensely</w:t>
            </w:r>
          </w:p>
        </w:tc>
        <w:tc>
          <w:tcPr>
            <w:tcW w:w="873" w:type="dxa"/>
            <w:tcBorders>
              <w:top w:val="nil"/>
              <w:bottom w:val="nil"/>
            </w:tcBorders>
            <w:shd w:val="clear" w:color="auto" w:fill="D9D9D9" w:themeFill="background1" w:themeFillShade="D9"/>
            <w:vAlign w:val="center"/>
          </w:tcPr>
          <w:p w14:paraId="630E8393" w14:textId="77777777" w:rsidR="00E6060C" w:rsidRPr="00E6060C" w:rsidRDefault="00E6060C" w:rsidP="00E6060C">
            <w:pPr>
              <w:contextualSpacing/>
              <w:jc w:val="center"/>
            </w:pPr>
            <w:r w:rsidRPr="00E6060C">
              <w:t>1</w:t>
            </w:r>
          </w:p>
        </w:tc>
        <w:tc>
          <w:tcPr>
            <w:tcW w:w="1310" w:type="dxa"/>
            <w:tcBorders>
              <w:top w:val="nil"/>
              <w:bottom w:val="nil"/>
            </w:tcBorders>
            <w:shd w:val="clear" w:color="auto" w:fill="D9D9D9" w:themeFill="background1" w:themeFillShade="D9"/>
            <w:vAlign w:val="center"/>
          </w:tcPr>
          <w:p w14:paraId="3EDA989C" w14:textId="77777777" w:rsidR="00E6060C" w:rsidRPr="00E6060C" w:rsidRDefault="00E6060C" w:rsidP="00E6060C">
            <w:pPr>
              <w:contextualSpacing/>
              <w:jc w:val="center"/>
            </w:pPr>
            <w:r w:rsidRPr="00E6060C">
              <w:t>2</w:t>
            </w:r>
          </w:p>
        </w:tc>
        <w:tc>
          <w:tcPr>
            <w:tcW w:w="1164" w:type="dxa"/>
            <w:tcBorders>
              <w:top w:val="nil"/>
              <w:bottom w:val="nil"/>
            </w:tcBorders>
            <w:shd w:val="clear" w:color="auto" w:fill="D9D9D9" w:themeFill="background1" w:themeFillShade="D9"/>
            <w:vAlign w:val="center"/>
          </w:tcPr>
          <w:p w14:paraId="631D7C53" w14:textId="77777777" w:rsidR="00E6060C" w:rsidRPr="00E6060C" w:rsidRDefault="00E6060C" w:rsidP="00E6060C">
            <w:pPr>
              <w:contextualSpacing/>
              <w:jc w:val="center"/>
            </w:pPr>
            <w:r w:rsidRPr="00E6060C">
              <w:t>3</w:t>
            </w:r>
          </w:p>
        </w:tc>
        <w:tc>
          <w:tcPr>
            <w:tcW w:w="1311" w:type="dxa"/>
            <w:tcBorders>
              <w:top w:val="nil"/>
              <w:bottom w:val="nil"/>
            </w:tcBorders>
            <w:shd w:val="clear" w:color="auto" w:fill="D9D9D9" w:themeFill="background1" w:themeFillShade="D9"/>
            <w:vAlign w:val="center"/>
          </w:tcPr>
          <w:p w14:paraId="7D376C51" w14:textId="77777777" w:rsidR="00E6060C" w:rsidRPr="00E6060C" w:rsidRDefault="00E6060C" w:rsidP="00E6060C">
            <w:pPr>
              <w:contextualSpacing/>
              <w:jc w:val="center"/>
            </w:pPr>
            <w:r w:rsidRPr="00E6060C">
              <w:t>4</w:t>
            </w:r>
          </w:p>
        </w:tc>
        <w:tc>
          <w:tcPr>
            <w:tcW w:w="873" w:type="dxa"/>
            <w:tcBorders>
              <w:top w:val="nil"/>
              <w:bottom w:val="nil"/>
            </w:tcBorders>
            <w:shd w:val="clear" w:color="auto" w:fill="D9D9D9" w:themeFill="background1" w:themeFillShade="D9"/>
            <w:vAlign w:val="center"/>
          </w:tcPr>
          <w:p w14:paraId="52435C68" w14:textId="77777777" w:rsidR="00E6060C" w:rsidRPr="00E6060C" w:rsidRDefault="00E6060C" w:rsidP="00E6060C">
            <w:pPr>
              <w:contextualSpacing/>
              <w:jc w:val="center"/>
            </w:pPr>
            <w:r w:rsidRPr="00E6060C">
              <w:t>5</w:t>
            </w:r>
          </w:p>
        </w:tc>
        <w:tc>
          <w:tcPr>
            <w:tcW w:w="964" w:type="dxa"/>
            <w:tcBorders>
              <w:top w:val="nil"/>
              <w:bottom w:val="nil"/>
            </w:tcBorders>
            <w:shd w:val="clear" w:color="auto" w:fill="D9D9D9" w:themeFill="background1" w:themeFillShade="D9"/>
            <w:vAlign w:val="center"/>
          </w:tcPr>
          <w:p w14:paraId="7D3CDAB8" w14:textId="77777777" w:rsidR="00E6060C" w:rsidRPr="00E6060C" w:rsidRDefault="00E6060C" w:rsidP="00E6060C">
            <w:pPr>
              <w:contextualSpacing/>
              <w:jc w:val="center"/>
            </w:pPr>
            <w:r w:rsidRPr="00E6060C">
              <w:t>6</w:t>
            </w:r>
          </w:p>
        </w:tc>
        <w:tc>
          <w:tcPr>
            <w:tcW w:w="1079" w:type="dxa"/>
            <w:tcBorders>
              <w:top w:val="nil"/>
              <w:bottom w:val="nil"/>
            </w:tcBorders>
            <w:shd w:val="clear" w:color="auto" w:fill="D9D9D9" w:themeFill="background1" w:themeFillShade="D9"/>
            <w:vAlign w:val="center"/>
          </w:tcPr>
          <w:p w14:paraId="229FB5FD" w14:textId="77777777" w:rsidR="00E6060C" w:rsidRPr="00E6060C" w:rsidRDefault="00E6060C" w:rsidP="00E6060C">
            <w:pPr>
              <w:contextualSpacing/>
              <w:jc w:val="center"/>
            </w:pPr>
            <w:r w:rsidRPr="00E6060C">
              <w:t>7</w:t>
            </w:r>
          </w:p>
        </w:tc>
      </w:tr>
      <w:tr w:rsidR="00E6060C" w:rsidRPr="00E6060C" w14:paraId="787A6DB7" w14:textId="77777777" w:rsidTr="00E6060C">
        <w:trPr>
          <w:cantSplit/>
          <w:trHeight w:val="250"/>
          <w:tblHeader/>
        </w:trPr>
        <w:tc>
          <w:tcPr>
            <w:tcW w:w="427" w:type="dxa"/>
            <w:tcBorders>
              <w:top w:val="nil"/>
              <w:bottom w:val="nil"/>
            </w:tcBorders>
            <w:vAlign w:val="center"/>
          </w:tcPr>
          <w:p w14:paraId="2470BB04" w14:textId="77777777" w:rsidR="00E6060C" w:rsidRPr="00E6060C" w:rsidRDefault="00E6060C" w:rsidP="00E6060C">
            <w:pPr>
              <w:contextualSpacing/>
            </w:pPr>
            <w:r w:rsidRPr="00E6060C">
              <w:t>7</w:t>
            </w:r>
          </w:p>
        </w:tc>
        <w:tc>
          <w:tcPr>
            <w:tcW w:w="2773" w:type="dxa"/>
            <w:tcBorders>
              <w:top w:val="nil"/>
              <w:bottom w:val="nil"/>
            </w:tcBorders>
            <w:vAlign w:val="center"/>
          </w:tcPr>
          <w:p w14:paraId="13C34FDD"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am proud of the work that I do.</w:t>
            </w:r>
          </w:p>
        </w:tc>
        <w:tc>
          <w:tcPr>
            <w:tcW w:w="873" w:type="dxa"/>
            <w:tcBorders>
              <w:top w:val="nil"/>
              <w:bottom w:val="nil"/>
            </w:tcBorders>
            <w:vAlign w:val="center"/>
          </w:tcPr>
          <w:p w14:paraId="46DB88BB" w14:textId="77777777" w:rsidR="00E6060C" w:rsidRPr="00E6060C" w:rsidRDefault="00E6060C" w:rsidP="00E6060C">
            <w:pPr>
              <w:contextualSpacing/>
              <w:jc w:val="center"/>
            </w:pPr>
            <w:r w:rsidRPr="00E6060C">
              <w:t>1</w:t>
            </w:r>
          </w:p>
        </w:tc>
        <w:tc>
          <w:tcPr>
            <w:tcW w:w="1310" w:type="dxa"/>
            <w:tcBorders>
              <w:top w:val="nil"/>
              <w:bottom w:val="nil"/>
            </w:tcBorders>
            <w:vAlign w:val="center"/>
          </w:tcPr>
          <w:p w14:paraId="6F1957A8" w14:textId="77777777" w:rsidR="00E6060C" w:rsidRPr="00E6060C" w:rsidRDefault="00E6060C" w:rsidP="00E6060C">
            <w:pPr>
              <w:contextualSpacing/>
              <w:jc w:val="center"/>
            </w:pPr>
            <w:r w:rsidRPr="00E6060C">
              <w:t>2</w:t>
            </w:r>
          </w:p>
        </w:tc>
        <w:tc>
          <w:tcPr>
            <w:tcW w:w="1164" w:type="dxa"/>
            <w:tcBorders>
              <w:top w:val="nil"/>
              <w:bottom w:val="nil"/>
            </w:tcBorders>
            <w:vAlign w:val="center"/>
          </w:tcPr>
          <w:p w14:paraId="3A44AD2F" w14:textId="77777777" w:rsidR="00E6060C" w:rsidRPr="00E6060C" w:rsidRDefault="00E6060C" w:rsidP="00E6060C">
            <w:pPr>
              <w:contextualSpacing/>
              <w:jc w:val="center"/>
            </w:pPr>
            <w:r w:rsidRPr="00E6060C">
              <w:t>3</w:t>
            </w:r>
          </w:p>
        </w:tc>
        <w:tc>
          <w:tcPr>
            <w:tcW w:w="1311" w:type="dxa"/>
            <w:tcBorders>
              <w:top w:val="nil"/>
              <w:bottom w:val="nil"/>
            </w:tcBorders>
            <w:vAlign w:val="center"/>
          </w:tcPr>
          <w:p w14:paraId="77B4C64D" w14:textId="77777777" w:rsidR="00E6060C" w:rsidRPr="00E6060C" w:rsidRDefault="00E6060C" w:rsidP="00E6060C">
            <w:pPr>
              <w:contextualSpacing/>
              <w:jc w:val="center"/>
            </w:pPr>
            <w:r w:rsidRPr="00E6060C">
              <w:t>4</w:t>
            </w:r>
          </w:p>
        </w:tc>
        <w:tc>
          <w:tcPr>
            <w:tcW w:w="873" w:type="dxa"/>
            <w:tcBorders>
              <w:top w:val="nil"/>
              <w:bottom w:val="nil"/>
            </w:tcBorders>
            <w:vAlign w:val="center"/>
          </w:tcPr>
          <w:p w14:paraId="6D287D31" w14:textId="77777777" w:rsidR="00E6060C" w:rsidRPr="00E6060C" w:rsidRDefault="00E6060C" w:rsidP="00E6060C">
            <w:pPr>
              <w:contextualSpacing/>
              <w:jc w:val="center"/>
            </w:pPr>
            <w:r w:rsidRPr="00E6060C">
              <w:t>5</w:t>
            </w:r>
          </w:p>
        </w:tc>
        <w:tc>
          <w:tcPr>
            <w:tcW w:w="964" w:type="dxa"/>
            <w:tcBorders>
              <w:top w:val="nil"/>
              <w:bottom w:val="nil"/>
            </w:tcBorders>
            <w:vAlign w:val="center"/>
          </w:tcPr>
          <w:p w14:paraId="4557BF81" w14:textId="77777777" w:rsidR="00E6060C" w:rsidRPr="00E6060C" w:rsidRDefault="00E6060C" w:rsidP="00E6060C">
            <w:pPr>
              <w:contextualSpacing/>
              <w:jc w:val="center"/>
            </w:pPr>
            <w:r w:rsidRPr="00E6060C">
              <w:t>6</w:t>
            </w:r>
          </w:p>
        </w:tc>
        <w:tc>
          <w:tcPr>
            <w:tcW w:w="1079" w:type="dxa"/>
            <w:tcBorders>
              <w:top w:val="nil"/>
              <w:bottom w:val="nil"/>
            </w:tcBorders>
            <w:vAlign w:val="center"/>
          </w:tcPr>
          <w:p w14:paraId="525A97B2" w14:textId="77777777" w:rsidR="00E6060C" w:rsidRPr="00E6060C" w:rsidRDefault="00E6060C" w:rsidP="00E6060C">
            <w:pPr>
              <w:contextualSpacing/>
              <w:jc w:val="center"/>
            </w:pPr>
            <w:r w:rsidRPr="00E6060C">
              <w:t>7</w:t>
            </w:r>
          </w:p>
        </w:tc>
      </w:tr>
      <w:tr w:rsidR="00E6060C" w:rsidRPr="00E6060C" w14:paraId="1B0C2D7E" w14:textId="77777777" w:rsidTr="00E6060C">
        <w:trPr>
          <w:cantSplit/>
          <w:trHeight w:val="234"/>
          <w:tblHeader/>
        </w:trPr>
        <w:tc>
          <w:tcPr>
            <w:tcW w:w="427" w:type="dxa"/>
            <w:tcBorders>
              <w:top w:val="nil"/>
              <w:bottom w:val="nil"/>
            </w:tcBorders>
            <w:shd w:val="clear" w:color="auto" w:fill="D9D9D9" w:themeFill="background1" w:themeFillShade="D9"/>
            <w:vAlign w:val="center"/>
          </w:tcPr>
          <w:p w14:paraId="0BCFEE75" w14:textId="77777777" w:rsidR="00E6060C" w:rsidRPr="00E6060C" w:rsidRDefault="00E6060C" w:rsidP="00E6060C">
            <w:pPr>
              <w:contextualSpacing/>
            </w:pPr>
            <w:r w:rsidRPr="00E6060C">
              <w:t>8</w:t>
            </w:r>
          </w:p>
        </w:tc>
        <w:tc>
          <w:tcPr>
            <w:tcW w:w="2773" w:type="dxa"/>
            <w:tcBorders>
              <w:top w:val="nil"/>
              <w:bottom w:val="nil"/>
            </w:tcBorders>
            <w:shd w:val="clear" w:color="auto" w:fill="D9D9D9" w:themeFill="background1" w:themeFillShade="D9"/>
            <w:vAlign w:val="center"/>
          </w:tcPr>
          <w:p w14:paraId="42FBC46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am immersed in my work.</w:t>
            </w:r>
          </w:p>
        </w:tc>
        <w:tc>
          <w:tcPr>
            <w:tcW w:w="873" w:type="dxa"/>
            <w:tcBorders>
              <w:top w:val="nil"/>
              <w:bottom w:val="nil"/>
            </w:tcBorders>
            <w:shd w:val="clear" w:color="auto" w:fill="D9D9D9" w:themeFill="background1" w:themeFillShade="D9"/>
            <w:vAlign w:val="center"/>
          </w:tcPr>
          <w:p w14:paraId="4FAADC0A" w14:textId="77777777" w:rsidR="00E6060C" w:rsidRPr="00E6060C" w:rsidRDefault="00E6060C" w:rsidP="00E6060C">
            <w:pPr>
              <w:contextualSpacing/>
              <w:jc w:val="center"/>
            </w:pPr>
            <w:r w:rsidRPr="00E6060C">
              <w:t>1</w:t>
            </w:r>
          </w:p>
        </w:tc>
        <w:tc>
          <w:tcPr>
            <w:tcW w:w="1310" w:type="dxa"/>
            <w:tcBorders>
              <w:top w:val="nil"/>
              <w:bottom w:val="nil"/>
            </w:tcBorders>
            <w:shd w:val="clear" w:color="auto" w:fill="D9D9D9" w:themeFill="background1" w:themeFillShade="D9"/>
            <w:vAlign w:val="center"/>
          </w:tcPr>
          <w:p w14:paraId="68C85B0D" w14:textId="77777777" w:rsidR="00E6060C" w:rsidRPr="00E6060C" w:rsidRDefault="00E6060C" w:rsidP="00E6060C">
            <w:pPr>
              <w:contextualSpacing/>
              <w:jc w:val="center"/>
            </w:pPr>
            <w:r w:rsidRPr="00E6060C">
              <w:t>2</w:t>
            </w:r>
          </w:p>
        </w:tc>
        <w:tc>
          <w:tcPr>
            <w:tcW w:w="1164" w:type="dxa"/>
            <w:tcBorders>
              <w:top w:val="nil"/>
              <w:bottom w:val="nil"/>
            </w:tcBorders>
            <w:shd w:val="clear" w:color="auto" w:fill="D9D9D9" w:themeFill="background1" w:themeFillShade="D9"/>
            <w:vAlign w:val="center"/>
          </w:tcPr>
          <w:p w14:paraId="6959DF61" w14:textId="77777777" w:rsidR="00E6060C" w:rsidRPr="00E6060C" w:rsidRDefault="00E6060C" w:rsidP="00E6060C">
            <w:pPr>
              <w:contextualSpacing/>
              <w:jc w:val="center"/>
            </w:pPr>
            <w:r w:rsidRPr="00E6060C">
              <w:t>3</w:t>
            </w:r>
          </w:p>
        </w:tc>
        <w:tc>
          <w:tcPr>
            <w:tcW w:w="1311" w:type="dxa"/>
            <w:tcBorders>
              <w:top w:val="nil"/>
              <w:bottom w:val="nil"/>
            </w:tcBorders>
            <w:shd w:val="clear" w:color="auto" w:fill="D9D9D9" w:themeFill="background1" w:themeFillShade="D9"/>
            <w:vAlign w:val="center"/>
          </w:tcPr>
          <w:p w14:paraId="37DB8E64" w14:textId="77777777" w:rsidR="00E6060C" w:rsidRPr="00E6060C" w:rsidRDefault="00E6060C" w:rsidP="00E6060C">
            <w:pPr>
              <w:contextualSpacing/>
              <w:jc w:val="center"/>
            </w:pPr>
            <w:r w:rsidRPr="00E6060C">
              <w:t>4</w:t>
            </w:r>
          </w:p>
        </w:tc>
        <w:tc>
          <w:tcPr>
            <w:tcW w:w="873" w:type="dxa"/>
            <w:tcBorders>
              <w:top w:val="nil"/>
              <w:bottom w:val="nil"/>
            </w:tcBorders>
            <w:shd w:val="clear" w:color="auto" w:fill="D9D9D9" w:themeFill="background1" w:themeFillShade="D9"/>
            <w:vAlign w:val="center"/>
          </w:tcPr>
          <w:p w14:paraId="7CF2595B" w14:textId="77777777" w:rsidR="00E6060C" w:rsidRPr="00E6060C" w:rsidRDefault="00E6060C" w:rsidP="00E6060C">
            <w:pPr>
              <w:contextualSpacing/>
              <w:jc w:val="center"/>
            </w:pPr>
            <w:r w:rsidRPr="00E6060C">
              <w:t>5</w:t>
            </w:r>
          </w:p>
        </w:tc>
        <w:tc>
          <w:tcPr>
            <w:tcW w:w="964" w:type="dxa"/>
            <w:tcBorders>
              <w:top w:val="nil"/>
              <w:bottom w:val="nil"/>
            </w:tcBorders>
            <w:shd w:val="clear" w:color="auto" w:fill="D9D9D9" w:themeFill="background1" w:themeFillShade="D9"/>
            <w:vAlign w:val="center"/>
          </w:tcPr>
          <w:p w14:paraId="785AFFC0" w14:textId="77777777" w:rsidR="00E6060C" w:rsidRPr="00E6060C" w:rsidRDefault="00E6060C" w:rsidP="00E6060C">
            <w:pPr>
              <w:contextualSpacing/>
              <w:jc w:val="center"/>
            </w:pPr>
            <w:r w:rsidRPr="00E6060C">
              <w:t>6</w:t>
            </w:r>
          </w:p>
        </w:tc>
        <w:tc>
          <w:tcPr>
            <w:tcW w:w="1079" w:type="dxa"/>
            <w:tcBorders>
              <w:top w:val="nil"/>
              <w:bottom w:val="nil"/>
            </w:tcBorders>
            <w:shd w:val="clear" w:color="auto" w:fill="D9D9D9" w:themeFill="background1" w:themeFillShade="D9"/>
            <w:vAlign w:val="center"/>
          </w:tcPr>
          <w:p w14:paraId="56126727" w14:textId="77777777" w:rsidR="00E6060C" w:rsidRPr="00E6060C" w:rsidRDefault="00E6060C" w:rsidP="00E6060C">
            <w:pPr>
              <w:contextualSpacing/>
              <w:jc w:val="center"/>
            </w:pPr>
            <w:r w:rsidRPr="00E6060C">
              <w:t>7</w:t>
            </w:r>
          </w:p>
        </w:tc>
      </w:tr>
      <w:tr w:rsidR="00E6060C" w:rsidRPr="00E6060C" w14:paraId="4B749428" w14:textId="77777777" w:rsidTr="00E6060C">
        <w:trPr>
          <w:cantSplit/>
          <w:trHeight w:val="250"/>
          <w:tblHeader/>
        </w:trPr>
        <w:tc>
          <w:tcPr>
            <w:tcW w:w="427" w:type="dxa"/>
            <w:tcBorders>
              <w:top w:val="nil"/>
              <w:bottom w:val="nil"/>
            </w:tcBorders>
            <w:vAlign w:val="center"/>
          </w:tcPr>
          <w:p w14:paraId="3D3A0AF2" w14:textId="77777777" w:rsidR="00E6060C" w:rsidRPr="00E6060C" w:rsidRDefault="00E6060C" w:rsidP="00E6060C">
            <w:pPr>
              <w:contextualSpacing/>
            </w:pPr>
            <w:r w:rsidRPr="00E6060C">
              <w:t>9</w:t>
            </w:r>
          </w:p>
        </w:tc>
        <w:tc>
          <w:tcPr>
            <w:tcW w:w="2773" w:type="dxa"/>
            <w:tcBorders>
              <w:top w:val="nil"/>
              <w:bottom w:val="nil"/>
            </w:tcBorders>
            <w:vAlign w:val="center"/>
          </w:tcPr>
          <w:p w14:paraId="76C2CD6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get carried away when I am working.</w:t>
            </w:r>
          </w:p>
        </w:tc>
        <w:tc>
          <w:tcPr>
            <w:tcW w:w="873" w:type="dxa"/>
            <w:tcBorders>
              <w:top w:val="nil"/>
              <w:bottom w:val="nil"/>
            </w:tcBorders>
            <w:vAlign w:val="center"/>
          </w:tcPr>
          <w:p w14:paraId="2A4E4940" w14:textId="77777777" w:rsidR="00E6060C" w:rsidRPr="00E6060C" w:rsidRDefault="00E6060C" w:rsidP="00E6060C">
            <w:pPr>
              <w:contextualSpacing/>
              <w:jc w:val="center"/>
            </w:pPr>
            <w:r w:rsidRPr="00E6060C">
              <w:t>1</w:t>
            </w:r>
          </w:p>
        </w:tc>
        <w:tc>
          <w:tcPr>
            <w:tcW w:w="1310" w:type="dxa"/>
            <w:tcBorders>
              <w:top w:val="nil"/>
              <w:bottom w:val="nil"/>
            </w:tcBorders>
            <w:vAlign w:val="center"/>
          </w:tcPr>
          <w:p w14:paraId="185CE083" w14:textId="77777777" w:rsidR="00E6060C" w:rsidRPr="00E6060C" w:rsidRDefault="00E6060C" w:rsidP="00E6060C">
            <w:pPr>
              <w:contextualSpacing/>
              <w:jc w:val="center"/>
            </w:pPr>
            <w:r w:rsidRPr="00E6060C">
              <w:t>2</w:t>
            </w:r>
          </w:p>
        </w:tc>
        <w:tc>
          <w:tcPr>
            <w:tcW w:w="1164" w:type="dxa"/>
            <w:tcBorders>
              <w:top w:val="nil"/>
              <w:bottom w:val="nil"/>
            </w:tcBorders>
            <w:vAlign w:val="center"/>
          </w:tcPr>
          <w:p w14:paraId="3E1DC746" w14:textId="77777777" w:rsidR="00E6060C" w:rsidRPr="00E6060C" w:rsidRDefault="00E6060C" w:rsidP="00E6060C">
            <w:pPr>
              <w:contextualSpacing/>
              <w:jc w:val="center"/>
            </w:pPr>
            <w:r w:rsidRPr="00E6060C">
              <w:t>3</w:t>
            </w:r>
          </w:p>
        </w:tc>
        <w:tc>
          <w:tcPr>
            <w:tcW w:w="1311" w:type="dxa"/>
            <w:tcBorders>
              <w:top w:val="nil"/>
              <w:bottom w:val="nil"/>
            </w:tcBorders>
            <w:vAlign w:val="center"/>
          </w:tcPr>
          <w:p w14:paraId="17729F6D" w14:textId="77777777" w:rsidR="00E6060C" w:rsidRPr="00E6060C" w:rsidRDefault="00E6060C" w:rsidP="00E6060C">
            <w:pPr>
              <w:contextualSpacing/>
              <w:jc w:val="center"/>
            </w:pPr>
            <w:r w:rsidRPr="00E6060C">
              <w:t>4</w:t>
            </w:r>
          </w:p>
        </w:tc>
        <w:tc>
          <w:tcPr>
            <w:tcW w:w="873" w:type="dxa"/>
            <w:tcBorders>
              <w:top w:val="nil"/>
              <w:bottom w:val="nil"/>
            </w:tcBorders>
            <w:vAlign w:val="center"/>
          </w:tcPr>
          <w:p w14:paraId="235AC7A8" w14:textId="77777777" w:rsidR="00E6060C" w:rsidRPr="00E6060C" w:rsidRDefault="00E6060C" w:rsidP="00E6060C">
            <w:pPr>
              <w:contextualSpacing/>
              <w:jc w:val="center"/>
            </w:pPr>
            <w:r w:rsidRPr="00E6060C">
              <w:t>5</w:t>
            </w:r>
          </w:p>
        </w:tc>
        <w:tc>
          <w:tcPr>
            <w:tcW w:w="964" w:type="dxa"/>
            <w:tcBorders>
              <w:top w:val="nil"/>
              <w:bottom w:val="nil"/>
            </w:tcBorders>
            <w:vAlign w:val="center"/>
          </w:tcPr>
          <w:p w14:paraId="6CAA2E34" w14:textId="77777777" w:rsidR="00E6060C" w:rsidRPr="00E6060C" w:rsidRDefault="00E6060C" w:rsidP="00E6060C">
            <w:pPr>
              <w:contextualSpacing/>
              <w:jc w:val="center"/>
            </w:pPr>
            <w:r w:rsidRPr="00E6060C">
              <w:t>6</w:t>
            </w:r>
          </w:p>
        </w:tc>
        <w:tc>
          <w:tcPr>
            <w:tcW w:w="1079" w:type="dxa"/>
            <w:tcBorders>
              <w:top w:val="nil"/>
              <w:bottom w:val="nil"/>
            </w:tcBorders>
            <w:vAlign w:val="center"/>
          </w:tcPr>
          <w:p w14:paraId="57BB673E" w14:textId="77777777" w:rsidR="00E6060C" w:rsidRPr="00E6060C" w:rsidRDefault="00E6060C" w:rsidP="00E6060C">
            <w:pPr>
              <w:contextualSpacing/>
              <w:jc w:val="center"/>
            </w:pPr>
            <w:r w:rsidRPr="00E6060C">
              <w:t>7</w:t>
            </w:r>
          </w:p>
        </w:tc>
      </w:tr>
    </w:tbl>
    <w:p w14:paraId="5264AC2E" w14:textId="77777777" w:rsidR="00E6060C" w:rsidRPr="00E6060C" w:rsidRDefault="00E6060C" w:rsidP="00E6060C"/>
    <w:tbl>
      <w:tblPr>
        <w:tblStyle w:val="TableGrid8"/>
        <w:tblW w:w="10743"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
        <w:gridCol w:w="2820"/>
        <w:gridCol w:w="1032"/>
        <w:gridCol w:w="1010"/>
        <w:gridCol w:w="1195"/>
        <w:gridCol w:w="1137"/>
        <w:gridCol w:w="1195"/>
        <w:gridCol w:w="795"/>
        <w:gridCol w:w="1118"/>
      </w:tblGrid>
      <w:tr w:rsidR="00E6060C" w:rsidRPr="00E6060C" w14:paraId="6B33FCD2" w14:textId="77777777" w:rsidTr="00E6060C">
        <w:trPr>
          <w:cantSplit/>
          <w:trHeight w:val="562"/>
          <w:tblHeader/>
        </w:trPr>
        <w:tc>
          <w:tcPr>
            <w:tcW w:w="441" w:type="dxa"/>
            <w:tcBorders>
              <w:top w:val="single" w:sz="4" w:space="0" w:color="auto"/>
              <w:bottom w:val="single" w:sz="4" w:space="0" w:color="auto"/>
            </w:tcBorders>
            <w:shd w:val="clear" w:color="auto" w:fill="8EAADB" w:themeFill="accent5" w:themeFillTint="99"/>
          </w:tcPr>
          <w:p w14:paraId="7B2E3EE4" w14:textId="77777777" w:rsidR="00E6060C" w:rsidRPr="00E6060C" w:rsidRDefault="00E6060C" w:rsidP="00E6060C">
            <w:pPr>
              <w:ind w:left="-108"/>
              <w:contextualSpacing/>
              <w:rPr>
                <w:b/>
                <w:bCs/>
              </w:rPr>
            </w:pPr>
            <w:r w:rsidRPr="00E6060C">
              <w:rPr>
                <w:b/>
                <w:bCs/>
              </w:rPr>
              <w:t xml:space="preserve"> 16</w:t>
            </w:r>
          </w:p>
        </w:tc>
        <w:tc>
          <w:tcPr>
            <w:tcW w:w="2820" w:type="dxa"/>
            <w:tcBorders>
              <w:top w:val="single" w:sz="4" w:space="0" w:color="auto"/>
              <w:bottom w:val="single" w:sz="4" w:space="0" w:color="auto"/>
            </w:tcBorders>
            <w:shd w:val="clear" w:color="auto" w:fill="8EAADB" w:themeFill="accent5" w:themeFillTint="99"/>
          </w:tcPr>
          <w:p w14:paraId="382FBD65" w14:textId="77777777" w:rsidR="00E6060C" w:rsidRPr="00381B7C" w:rsidRDefault="00E6060C" w:rsidP="00381B7C">
            <w:pPr>
              <w:rPr>
                <w:b/>
              </w:rPr>
            </w:pPr>
            <w:r w:rsidRPr="00381B7C">
              <w:rPr>
                <w:b/>
              </w:rPr>
              <w:t xml:space="preserve">These statements concern how you </w:t>
            </w:r>
            <w:r w:rsidRPr="00381B7C">
              <w:rPr>
                <w:b/>
                <w:u w:val="single"/>
              </w:rPr>
              <w:t>feel about</w:t>
            </w:r>
            <w:r w:rsidRPr="00381B7C">
              <w:rPr>
                <w:b/>
              </w:rPr>
              <w:t xml:space="preserve"> your work. </w:t>
            </w:r>
          </w:p>
        </w:tc>
        <w:tc>
          <w:tcPr>
            <w:tcW w:w="1032" w:type="dxa"/>
            <w:tcBorders>
              <w:top w:val="single" w:sz="4" w:space="0" w:color="auto"/>
              <w:bottom w:val="single" w:sz="4" w:space="0" w:color="auto"/>
            </w:tcBorders>
            <w:shd w:val="clear" w:color="auto" w:fill="8EAADB" w:themeFill="accent5" w:themeFillTint="99"/>
          </w:tcPr>
          <w:p w14:paraId="1A819C3E" w14:textId="77777777" w:rsidR="00E6060C" w:rsidRPr="00E6060C" w:rsidRDefault="00E6060C" w:rsidP="00E6060C">
            <w:pPr>
              <w:spacing w:before="200"/>
              <w:contextualSpacing/>
              <w:jc w:val="center"/>
              <w:rPr>
                <w:b/>
                <w:bCs/>
              </w:rPr>
            </w:pPr>
            <w:r w:rsidRPr="00E6060C">
              <w:rPr>
                <w:b/>
                <w:bCs/>
              </w:rPr>
              <w:t>Strongly</w:t>
            </w:r>
          </w:p>
          <w:p w14:paraId="7953B41C" w14:textId="77777777" w:rsidR="00E6060C" w:rsidRPr="00E6060C" w:rsidRDefault="00E6060C" w:rsidP="00E6060C">
            <w:pPr>
              <w:spacing w:before="200"/>
              <w:contextualSpacing/>
              <w:jc w:val="center"/>
              <w:rPr>
                <w:b/>
                <w:bCs/>
              </w:rPr>
            </w:pPr>
            <w:r w:rsidRPr="00E6060C">
              <w:rPr>
                <w:b/>
                <w:bCs/>
              </w:rPr>
              <w:t>disagree</w:t>
            </w:r>
          </w:p>
        </w:tc>
        <w:tc>
          <w:tcPr>
            <w:tcW w:w="1010" w:type="dxa"/>
            <w:tcBorders>
              <w:top w:val="single" w:sz="4" w:space="0" w:color="auto"/>
              <w:bottom w:val="single" w:sz="4" w:space="0" w:color="auto"/>
            </w:tcBorders>
            <w:shd w:val="clear" w:color="auto" w:fill="8EAADB" w:themeFill="accent5" w:themeFillTint="99"/>
          </w:tcPr>
          <w:p w14:paraId="1B31A237" w14:textId="77777777" w:rsidR="00E6060C" w:rsidRPr="00E6060C" w:rsidRDefault="00E6060C" w:rsidP="00E6060C">
            <w:pPr>
              <w:spacing w:before="200"/>
              <w:contextualSpacing/>
              <w:jc w:val="center"/>
              <w:rPr>
                <w:b/>
                <w:bCs/>
              </w:rPr>
            </w:pPr>
            <w:r w:rsidRPr="00E6060C">
              <w:rPr>
                <w:b/>
                <w:bCs/>
              </w:rPr>
              <w:t>Disagree</w:t>
            </w:r>
          </w:p>
        </w:tc>
        <w:tc>
          <w:tcPr>
            <w:tcW w:w="1195" w:type="dxa"/>
            <w:tcBorders>
              <w:top w:val="single" w:sz="4" w:space="0" w:color="auto"/>
              <w:bottom w:val="single" w:sz="4" w:space="0" w:color="auto"/>
            </w:tcBorders>
            <w:shd w:val="clear" w:color="auto" w:fill="8EAADB" w:themeFill="accent5" w:themeFillTint="99"/>
          </w:tcPr>
          <w:p w14:paraId="5A28DE30" w14:textId="77777777" w:rsidR="00E6060C" w:rsidRPr="00E6060C" w:rsidRDefault="00E6060C" w:rsidP="00E6060C">
            <w:pPr>
              <w:spacing w:before="200"/>
              <w:contextualSpacing/>
              <w:jc w:val="center"/>
              <w:rPr>
                <w:b/>
                <w:bCs/>
              </w:rPr>
            </w:pPr>
            <w:r w:rsidRPr="00E6060C">
              <w:rPr>
                <w:b/>
                <w:bCs/>
              </w:rPr>
              <w:t>Somewhat disagree</w:t>
            </w:r>
          </w:p>
        </w:tc>
        <w:tc>
          <w:tcPr>
            <w:tcW w:w="1137" w:type="dxa"/>
            <w:tcBorders>
              <w:top w:val="single" w:sz="4" w:space="0" w:color="auto"/>
              <w:bottom w:val="single" w:sz="4" w:space="0" w:color="auto"/>
            </w:tcBorders>
            <w:shd w:val="clear" w:color="auto" w:fill="8EAADB" w:themeFill="accent5" w:themeFillTint="99"/>
          </w:tcPr>
          <w:p w14:paraId="6CE0B8D8" w14:textId="77777777" w:rsidR="00E6060C" w:rsidRPr="00E6060C" w:rsidRDefault="00E6060C" w:rsidP="00E6060C">
            <w:pPr>
              <w:spacing w:before="200"/>
              <w:contextualSpacing/>
              <w:jc w:val="center"/>
              <w:rPr>
                <w:b/>
                <w:bCs/>
              </w:rPr>
            </w:pPr>
            <w:r w:rsidRPr="00E6060C">
              <w:rPr>
                <w:b/>
                <w:bCs/>
              </w:rPr>
              <w:t>Neither agree nor disagree</w:t>
            </w:r>
          </w:p>
        </w:tc>
        <w:tc>
          <w:tcPr>
            <w:tcW w:w="1195" w:type="dxa"/>
            <w:tcBorders>
              <w:top w:val="single" w:sz="4" w:space="0" w:color="auto"/>
              <w:bottom w:val="single" w:sz="4" w:space="0" w:color="auto"/>
            </w:tcBorders>
            <w:shd w:val="clear" w:color="auto" w:fill="8EAADB" w:themeFill="accent5" w:themeFillTint="99"/>
          </w:tcPr>
          <w:p w14:paraId="04201568" w14:textId="77777777" w:rsidR="00E6060C" w:rsidRPr="00E6060C" w:rsidRDefault="00E6060C" w:rsidP="00E6060C">
            <w:pPr>
              <w:spacing w:before="200"/>
              <w:contextualSpacing/>
              <w:jc w:val="center"/>
              <w:rPr>
                <w:b/>
                <w:bCs/>
              </w:rPr>
            </w:pPr>
            <w:r w:rsidRPr="00E6060C">
              <w:rPr>
                <w:b/>
                <w:bCs/>
              </w:rPr>
              <w:t>Somewhat agree</w:t>
            </w:r>
          </w:p>
        </w:tc>
        <w:tc>
          <w:tcPr>
            <w:tcW w:w="795" w:type="dxa"/>
            <w:tcBorders>
              <w:top w:val="single" w:sz="4" w:space="0" w:color="auto"/>
              <w:bottom w:val="single" w:sz="4" w:space="0" w:color="auto"/>
            </w:tcBorders>
            <w:shd w:val="clear" w:color="auto" w:fill="8EAADB" w:themeFill="accent5" w:themeFillTint="99"/>
          </w:tcPr>
          <w:p w14:paraId="5DE1EFA6" w14:textId="77777777" w:rsidR="00E6060C" w:rsidRPr="00E6060C" w:rsidRDefault="00E6060C" w:rsidP="00E6060C">
            <w:pPr>
              <w:spacing w:before="200"/>
              <w:contextualSpacing/>
              <w:jc w:val="center"/>
              <w:rPr>
                <w:b/>
                <w:bCs/>
              </w:rPr>
            </w:pPr>
            <w:r w:rsidRPr="00E6060C">
              <w:rPr>
                <w:b/>
                <w:bCs/>
              </w:rPr>
              <w:t>Agree</w:t>
            </w:r>
          </w:p>
        </w:tc>
        <w:tc>
          <w:tcPr>
            <w:tcW w:w="1118" w:type="dxa"/>
            <w:tcBorders>
              <w:top w:val="single" w:sz="4" w:space="0" w:color="auto"/>
              <w:bottom w:val="single" w:sz="4" w:space="0" w:color="auto"/>
            </w:tcBorders>
            <w:shd w:val="clear" w:color="auto" w:fill="8EAADB" w:themeFill="accent5" w:themeFillTint="99"/>
          </w:tcPr>
          <w:p w14:paraId="3FB3AE56" w14:textId="77777777" w:rsidR="00E6060C" w:rsidRPr="00E6060C" w:rsidRDefault="00E6060C" w:rsidP="00E6060C">
            <w:pPr>
              <w:spacing w:before="200"/>
              <w:contextualSpacing/>
              <w:jc w:val="center"/>
              <w:rPr>
                <w:b/>
                <w:bCs/>
              </w:rPr>
            </w:pPr>
            <w:r w:rsidRPr="00E6060C">
              <w:rPr>
                <w:b/>
                <w:bCs/>
              </w:rPr>
              <w:t>Strongly agree</w:t>
            </w:r>
          </w:p>
        </w:tc>
      </w:tr>
      <w:tr w:rsidR="00E6060C" w:rsidRPr="00E6060C" w14:paraId="643A203F" w14:textId="77777777" w:rsidTr="00E6060C">
        <w:trPr>
          <w:cantSplit/>
          <w:trHeight w:val="562"/>
        </w:trPr>
        <w:tc>
          <w:tcPr>
            <w:tcW w:w="441" w:type="dxa"/>
            <w:tcBorders>
              <w:top w:val="single" w:sz="4" w:space="0" w:color="auto"/>
              <w:bottom w:val="nil"/>
            </w:tcBorders>
            <w:shd w:val="clear" w:color="auto" w:fill="auto"/>
            <w:vAlign w:val="center"/>
          </w:tcPr>
          <w:p w14:paraId="4476ED7D" w14:textId="77777777" w:rsidR="00E6060C" w:rsidRPr="00E6060C" w:rsidRDefault="00E6060C" w:rsidP="00E6060C">
            <w:pPr>
              <w:ind w:left="-108"/>
              <w:contextualSpacing/>
              <w:jc w:val="center"/>
            </w:pPr>
            <w:r w:rsidRPr="00E6060C">
              <w:t>1</w:t>
            </w:r>
          </w:p>
        </w:tc>
        <w:tc>
          <w:tcPr>
            <w:tcW w:w="2820" w:type="dxa"/>
            <w:tcBorders>
              <w:top w:val="single" w:sz="4" w:space="0" w:color="auto"/>
              <w:bottom w:val="nil"/>
            </w:tcBorders>
            <w:shd w:val="clear" w:color="auto" w:fill="auto"/>
            <w:vAlign w:val="center"/>
          </w:tcPr>
          <w:p w14:paraId="2181AF27"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work I do is very important to me</w:t>
            </w:r>
          </w:p>
        </w:tc>
        <w:tc>
          <w:tcPr>
            <w:tcW w:w="1032" w:type="dxa"/>
            <w:tcBorders>
              <w:top w:val="single" w:sz="4" w:space="0" w:color="auto"/>
              <w:bottom w:val="nil"/>
            </w:tcBorders>
            <w:shd w:val="clear" w:color="auto" w:fill="auto"/>
            <w:vAlign w:val="center"/>
          </w:tcPr>
          <w:p w14:paraId="07291D60" w14:textId="77777777" w:rsidR="00E6060C" w:rsidRPr="00E6060C" w:rsidRDefault="00E6060C" w:rsidP="00E6060C">
            <w:pPr>
              <w:spacing w:before="200"/>
              <w:contextualSpacing/>
              <w:jc w:val="center"/>
            </w:pPr>
            <w:r w:rsidRPr="00E6060C">
              <w:t>1</w:t>
            </w:r>
          </w:p>
        </w:tc>
        <w:tc>
          <w:tcPr>
            <w:tcW w:w="1010" w:type="dxa"/>
            <w:tcBorders>
              <w:top w:val="single" w:sz="4" w:space="0" w:color="auto"/>
              <w:bottom w:val="nil"/>
            </w:tcBorders>
            <w:shd w:val="clear" w:color="auto" w:fill="auto"/>
            <w:vAlign w:val="center"/>
          </w:tcPr>
          <w:p w14:paraId="4F5893D0" w14:textId="77777777" w:rsidR="00E6060C" w:rsidRPr="00E6060C" w:rsidRDefault="00E6060C" w:rsidP="00E6060C">
            <w:pPr>
              <w:spacing w:before="200"/>
              <w:contextualSpacing/>
              <w:jc w:val="center"/>
            </w:pPr>
            <w:r w:rsidRPr="00E6060C">
              <w:t>2</w:t>
            </w:r>
          </w:p>
        </w:tc>
        <w:tc>
          <w:tcPr>
            <w:tcW w:w="1195" w:type="dxa"/>
            <w:tcBorders>
              <w:top w:val="single" w:sz="4" w:space="0" w:color="auto"/>
              <w:bottom w:val="nil"/>
            </w:tcBorders>
            <w:shd w:val="clear" w:color="auto" w:fill="auto"/>
            <w:vAlign w:val="center"/>
          </w:tcPr>
          <w:p w14:paraId="142B6549" w14:textId="77777777" w:rsidR="00E6060C" w:rsidRPr="00E6060C" w:rsidRDefault="00E6060C" w:rsidP="00E6060C">
            <w:pPr>
              <w:spacing w:before="200"/>
              <w:contextualSpacing/>
              <w:jc w:val="center"/>
            </w:pPr>
            <w:r w:rsidRPr="00E6060C">
              <w:t>3</w:t>
            </w:r>
          </w:p>
        </w:tc>
        <w:tc>
          <w:tcPr>
            <w:tcW w:w="1137" w:type="dxa"/>
            <w:tcBorders>
              <w:top w:val="single" w:sz="4" w:space="0" w:color="auto"/>
              <w:bottom w:val="nil"/>
            </w:tcBorders>
            <w:shd w:val="clear" w:color="auto" w:fill="auto"/>
            <w:vAlign w:val="center"/>
          </w:tcPr>
          <w:p w14:paraId="5FD96960" w14:textId="77777777" w:rsidR="00E6060C" w:rsidRPr="00E6060C" w:rsidRDefault="00E6060C" w:rsidP="00E6060C">
            <w:pPr>
              <w:spacing w:before="200"/>
              <w:contextualSpacing/>
              <w:jc w:val="center"/>
            </w:pPr>
            <w:r w:rsidRPr="00E6060C">
              <w:t>4</w:t>
            </w:r>
          </w:p>
        </w:tc>
        <w:tc>
          <w:tcPr>
            <w:tcW w:w="1195" w:type="dxa"/>
            <w:tcBorders>
              <w:top w:val="single" w:sz="4" w:space="0" w:color="auto"/>
              <w:bottom w:val="nil"/>
            </w:tcBorders>
            <w:shd w:val="clear" w:color="auto" w:fill="auto"/>
            <w:vAlign w:val="center"/>
          </w:tcPr>
          <w:p w14:paraId="32AC6922" w14:textId="77777777" w:rsidR="00E6060C" w:rsidRPr="00E6060C" w:rsidRDefault="00E6060C" w:rsidP="00E6060C">
            <w:pPr>
              <w:spacing w:before="200"/>
              <w:contextualSpacing/>
              <w:jc w:val="center"/>
            </w:pPr>
            <w:r w:rsidRPr="00E6060C">
              <w:t>5</w:t>
            </w:r>
          </w:p>
        </w:tc>
        <w:tc>
          <w:tcPr>
            <w:tcW w:w="795" w:type="dxa"/>
            <w:tcBorders>
              <w:top w:val="single" w:sz="4" w:space="0" w:color="auto"/>
              <w:bottom w:val="nil"/>
            </w:tcBorders>
            <w:shd w:val="clear" w:color="auto" w:fill="auto"/>
            <w:vAlign w:val="center"/>
          </w:tcPr>
          <w:p w14:paraId="1B4A0E5A" w14:textId="77777777" w:rsidR="00E6060C" w:rsidRPr="00E6060C" w:rsidRDefault="00E6060C" w:rsidP="00E6060C">
            <w:pPr>
              <w:spacing w:before="200"/>
              <w:contextualSpacing/>
              <w:jc w:val="center"/>
            </w:pPr>
            <w:r w:rsidRPr="00E6060C">
              <w:t>6</w:t>
            </w:r>
          </w:p>
        </w:tc>
        <w:tc>
          <w:tcPr>
            <w:tcW w:w="1118" w:type="dxa"/>
            <w:tcBorders>
              <w:top w:val="single" w:sz="4" w:space="0" w:color="auto"/>
              <w:bottom w:val="nil"/>
            </w:tcBorders>
            <w:shd w:val="clear" w:color="auto" w:fill="auto"/>
            <w:vAlign w:val="center"/>
          </w:tcPr>
          <w:p w14:paraId="031553BD" w14:textId="77777777" w:rsidR="00E6060C" w:rsidRPr="00E6060C" w:rsidRDefault="00E6060C" w:rsidP="00E6060C">
            <w:pPr>
              <w:spacing w:before="200"/>
              <w:contextualSpacing/>
              <w:jc w:val="center"/>
            </w:pPr>
            <w:r w:rsidRPr="00E6060C">
              <w:t>7</w:t>
            </w:r>
          </w:p>
        </w:tc>
      </w:tr>
      <w:tr w:rsidR="00E6060C" w:rsidRPr="00E6060C" w14:paraId="6407CE11" w14:textId="77777777" w:rsidTr="00E6060C">
        <w:trPr>
          <w:cantSplit/>
          <w:trHeight w:val="287"/>
        </w:trPr>
        <w:tc>
          <w:tcPr>
            <w:tcW w:w="441" w:type="dxa"/>
            <w:tcBorders>
              <w:top w:val="nil"/>
              <w:bottom w:val="nil"/>
            </w:tcBorders>
            <w:shd w:val="clear" w:color="auto" w:fill="D9D9D9" w:themeFill="background1" w:themeFillShade="D9"/>
            <w:vAlign w:val="center"/>
          </w:tcPr>
          <w:p w14:paraId="24F3FFA3" w14:textId="77777777" w:rsidR="00E6060C" w:rsidRPr="00E6060C" w:rsidRDefault="00E6060C" w:rsidP="00E6060C">
            <w:pPr>
              <w:ind w:left="-108"/>
              <w:contextualSpacing/>
              <w:jc w:val="center"/>
            </w:pPr>
            <w:r w:rsidRPr="00E6060C">
              <w:t>2</w:t>
            </w:r>
          </w:p>
        </w:tc>
        <w:tc>
          <w:tcPr>
            <w:tcW w:w="2820" w:type="dxa"/>
            <w:tcBorders>
              <w:top w:val="nil"/>
              <w:bottom w:val="nil"/>
            </w:tcBorders>
            <w:shd w:val="clear" w:color="auto" w:fill="D9D9D9" w:themeFill="background1" w:themeFillShade="D9"/>
            <w:vAlign w:val="center"/>
          </w:tcPr>
          <w:p w14:paraId="3FA2C62A"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The work I do is meaningful to me</w:t>
            </w:r>
          </w:p>
        </w:tc>
        <w:tc>
          <w:tcPr>
            <w:tcW w:w="1032" w:type="dxa"/>
            <w:tcBorders>
              <w:top w:val="nil"/>
              <w:bottom w:val="nil"/>
            </w:tcBorders>
            <w:shd w:val="clear" w:color="auto" w:fill="D9D9D9" w:themeFill="background1" w:themeFillShade="D9"/>
            <w:vAlign w:val="center"/>
          </w:tcPr>
          <w:p w14:paraId="62990AB4"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D9D9D9" w:themeFill="background1" w:themeFillShade="D9"/>
            <w:vAlign w:val="center"/>
          </w:tcPr>
          <w:p w14:paraId="243C863E"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D9D9D9" w:themeFill="background1" w:themeFillShade="D9"/>
            <w:vAlign w:val="center"/>
          </w:tcPr>
          <w:p w14:paraId="40F6ACC0"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D9D9D9" w:themeFill="background1" w:themeFillShade="D9"/>
            <w:vAlign w:val="center"/>
          </w:tcPr>
          <w:p w14:paraId="524E0C61"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D9D9D9" w:themeFill="background1" w:themeFillShade="D9"/>
            <w:vAlign w:val="center"/>
          </w:tcPr>
          <w:p w14:paraId="173DBBC9"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D9D9D9" w:themeFill="background1" w:themeFillShade="D9"/>
            <w:vAlign w:val="center"/>
          </w:tcPr>
          <w:p w14:paraId="3659B9A1"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D9D9D9" w:themeFill="background1" w:themeFillShade="D9"/>
            <w:vAlign w:val="center"/>
          </w:tcPr>
          <w:p w14:paraId="2B332464" w14:textId="77777777" w:rsidR="00E6060C" w:rsidRPr="00E6060C" w:rsidRDefault="00E6060C" w:rsidP="00E6060C">
            <w:pPr>
              <w:spacing w:before="200"/>
              <w:contextualSpacing/>
              <w:jc w:val="center"/>
            </w:pPr>
            <w:r w:rsidRPr="00E6060C">
              <w:t>7</w:t>
            </w:r>
          </w:p>
        </w:tc>
      </w:tr>
      <w:tr w:rsidR="00E6060C" w:rsidRPr="00E6060C" w14:paraId="2FC03010" w14:textId="77777777" w:rsidTr="00E6060C">
        <w:trPr>
          <w:cantSplit/>
          <w:trHeight w:val="287"/>
        </w:trPr>
        <w:tc>
          <w:tcPr>
            <w:tcW w:w="441" w:type="dxa"/>
            <w:tcBorders>
              <w:top w:val="nil"/>
              <w:bottom w:val="nil"/>
            </w:tcBorders>
            <w:shd w:val="clear" w:color="auto" w:fill="auto"/>
            <w:vAlign w:val="center"/>
          </w:tcPr>
          <w:p w14:paraId="1A7955CB" w14:textId="77777777" w:rsidR="00E6060C" w:rsidRPr="00E6060C" w:rsidRDefault="00E6060C" w:rsidP="00E6060C">
            <w:pPr>
              <w:ind w:left="-108"/>
              <w:contextualSpacing/>
              <w:jc w:val="center"/>
            </w:pPr>
            <w:r w:rsidRPr="00E6060C">
              <w:t>3</w:t>
            </w:r>
          </w:p>
        </w:tc>
        <w:tc>
          <w:tcPr>
            <w:tcW w:w="2820" w:type="dxa"/>
            <w:tcBorders>
              <w:top w:val="nil"/>
              <w:bottom w:val="nil"/>
            </w:tcBorders>
            <w:shd w:val="clear" w:color="auto" w:fill="auto"/>
            <w:vAlign w:val="center"/>
          </w:tcPr>
          <w:p w14:paraId="3BDD0AA3"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am self-assured about my capabilities to perform my work activities</w:t>
            </w:r>
          </w:p>
        </w:tc>
        <w:tc>
          <w:tcPr>
            <w:tcW w:w="1032" w:type="dxa"/>
            <w:tcBorders>
              <w:top w:val="nil"/>
              <w:bottom w:val="nil"/>
            </w:tcBorders>
            <w:shd w:val="clear" w:color="auto" w:fill="auto"/>
            <w:vAlign w:val="center"/>
          </w:tcPr>
          <w:p w14:paraId="29EDEA67"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auto"/>
            <w:vAlign w:val="center"/>
          </w:tcPr>
          <w:p w14:paraId="27464D6F"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auto"/>
            <w:vAlign w:val="center"/>
          </w:tcPr>
          <w:p w14:paraId="4F1550E6"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auto"/>
            <w:vAlign w:val="center"/>
          </w:tcPr>
          <w:p w14:paraId="7FCD5C85"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auto"/>
            <w:vAlign w:val="center"/>
          </w:tcPr>
          <w:p w14:paraId="046359C6"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auto"/>
            <w:vAlign w:val="center"/>
          </w:tcPr>
          <w:p w14:paraId="7277B35B"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auto"/>
            <w:vAlign w:val="center"/>
          </w:tcPr>
          <w:p w14:paraId="75288D43" w14:textId="77777777" w:rsidR="00E6060C" w:rsidRPr="00E6060C" w:rsidRDefault="00E6060C" w:rsidP="00E6060C">
            <w:pPr>
              <w:spacing w:before="200"/>
              <w:contextualSpacing/>
              <w:jc w:val="center"/>
            </w:pPr>
            <w:r w:rsidRPr="00E6060C">
              <w:t>7</w:t>
            </w:r>
          </w:p>
        </w:tc>
      </w:tr>
      <w:tr w:rsidR="00E6060C" w:rsidRPr="00E6060C" w14:paraId="5A9C67D0" w14:textId="77777777" w:rsidTr="00E6060C">
        <w:trPr>
          <w:cantSplit/>
          <w:trHeight w:val="287"/>
        </w:trPr>
        <w:tc>
          <w:tcPr>
            <w:tcW w:w="441" w:type="dxa"/>
            <w:tcBorders>
              <w:top w:val="nil"/>
              <w:bottom w:val="nil"/>
            </w:tcBorders>
            <w:shd w:val="clear" w:color="auto" w:fill="D9D9D9" w:themeFill="background1" w:themeFillShade="D9"/>
            <w:vAlign w:val="center"/>
          </w:tcPr>
          <w:p w14:paraId="7B009EDD" w14:textId="77777777" w:rsidR="00E6060C" w:rsidRPr="00E6060C" w:rsidRDefault="00E6060C" w:rsidP="00E6060C">
            <w:pPr>
              <w:ind w:left="-108"/>
              <w:contextualSpacing/>
              <w:jc w:val="center"/>
            </w:pPr>
            <w:r w:rsidRPr="00E6060C">
              <w:t>4</w:t>
            </w:r>
          </w:p>
        </w:tc>
        <w:tc>
          <w:tcPr>
            <w:tcW w:w="2820" w:type="dxa"/>
            <w:tcBorders>
              <w:top w:val="nil"/>
              <w:bottom w:val="nil"/>
            </w:tcBorders>
            <w:shd w:val="clear" w:color="auto" w:fill="D9D9D9" w:themeFill="background1" w:themeFillShade="D9"/>
            <w:vAlign w:val="center"/>
          </w:tcPr>
          <w:p w14:paraId="61DB884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have mastered the skills necessary for my job</w:t>
            </w:r>
          </w:p>
        </w:tc>
        <w:tc>
          <w:tcPr>
            <w:tcW w:w="1032" w:type="dxa"/>
            <w:tcBorders>
              <w:top w:val="nil"/>
              <w:bottom w:val="nil"/>
            </w:tcBorders>
            <w:shd w:val="clear" w:color="auto" w:fill="D9D9D9" w:themeFill="background1" w:themeFillShade="D9"/>
            <w:vAlign w:val="center"/>
          </w:tcPr>
          <w:p w14:paraId="3E091AA3"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D9D9D9" w:themeFill="background1" w:themeFillShade="D9"/>
            <w:vAlign w:val="center"/>
          </w:tcPr>
          <w:p w14:paraId="7E4FB42E"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D9D9D9" w:themeFill="background1" w:themeFillShade="D9"/>
            <w:vAlign w:val="center"/>
          </w:tcPr>
          <w:p w14:paraId="52C0482A"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D9D9D9" w:themeFill="background1" w:themeFillShade="D9"/>
            <w:vAlign w:val="center"/>
          </w:tcPr>
          <w:p w14:paraId="359D4C0C"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D9D9D9" w:themeFill="background1" w:themeFillShade="D9"/>
            <w:vAlign w:val="center"/>
          </w:tcPr>
          <w:p w14:paraId="6E7B4B90"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D9D9D9" w:themeFill="background1" w:themeFillShade="D9"/>
            <w:vAlign w:val="center"/>
          </w:tcPr>
          <w:p w14:paraId="0B0EC009"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D9D9D9" w:themeFill="background1" w:themeFillShade="D9"/>
            <w:vAlign w:val="center"/>
          </w:tcPr>
          <w:p w14:paraId="4FE9E253" w14:textId="77777777" w:rsidR="00E6060C" w:rsidRPr="00E6060C" w:rsidRDefault="00E6060C" w:rsidP="00E6060C">
            <w:pPr>
              <w:spacing w:before="200"/>
              <w:contextualSpacing/>
              <w:jc w:val="center"/>
            </w:pPr>
            <w:r w:rsidRPr="00E6060C">
              <w:t>7</w:t>
            </w:r>
          </w:p>
        </w:tc>
      </w:tr>
      <w:tr w:rsidR="00E6060C" w:rsidRPr="00E6060C" w14:paraId="381E33B0" w14:textId="77777777" w:rsidTr="00E6060C">
        <w:trPr>
          <w:cantSplit/>
          <w:trHeight w:val="287"/>
        </w:trPr>
        <w:tc>
          <w:tcPr>
            <w:tcW w:w="441" w:type="dxa"/>
            <w:tcBorders>
              <w:top w:val="nil"/>
              <w:bottom w:val="nil"/>
            </w:tcBorders>
            <w:shd w:val="clear" w:color="auto" w:fill="auto"/>
            <w:vAlign w:val="center"/>
          </w:tcPr>
          <w:p w14:paraId="3D47725A" w14:textId="77777777" w:rsidR="00E6060C" w:rsidRPr="00E6060C" w:rsidRDefault="00E6060C" w:rsidP="00E6060C">
            <w:pPr>
              <w:ind w:left="-108"/>
              <w:contextualSpacing/>
              <w:jc w:val="center"/>
            </w:pPr>
            <w:r w:rsidRPr="00E6060C">
              <w:t>5</w:t>
            </w:r>
          </w:p>
        </w:tc>
        <w:tc>
          <w:tcPr>
            <w:tcW w:w="2820" w:type="dxa"/>
            <w:tcBorders>
              <w:top w:val="nil"/>
              <w:bottom w:val="nil"/>
            </w:tcBorders>
            <w:shd w:val="clear" w:color="auto" w:fill="auto"/>
            <w:vAlign w:val="center"/>
          </w:tcPr>
          <w:p w14:paraId="78FAADB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can decide on my own how to go about doing my work</w:t>
            </w:r>
          </w:p>
        </w:tc>
        <w:tc>
          <w:tcPr>
            <w:tcW w:w="1032" w:type="dxa"/>
            <w:tcBorders>
              <w:top w:val="nil"/>
              <w:bottom w:val="nil"/>
            </w:tcBorders>
            <w:shd w:val="clear" w:color="auto" w:fill="auto"/>
            <w:vAlign w:val="center"/>
          </w:tcPr>
          <w:p w14:paraId="43E799E7"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auto"/>
            <w:vAlign w:val="center"/>
          </w:tcPr>
          <w:p w14:paraId="27080AF6"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auto"/>
            <w:vAlign w:val="center"/>
          </w:tcPr>
          <w:p w14:paraId="7A994340"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auto"/>
            <w:vAlign w:val="center"/>
          </w:tcPr>
          <w:p w14:paraId="64B5DDD1"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auto"/>
            <w:vAlign w:val="center"/>
          </w:tcPr>
          <w:p w14:paraId="300B8699"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auto"/>
            <w:vAlign w:val="center"/>
          </w:tcPr>
          <w:p w14:paraId="45377618"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auto"/>
            <w:vAlign w:val="center"/>
          </w:tcPr>
          <w:p w14:paraId="7BBA60BD" w14:textId="77777777" w:rsidR="00E6060C" w:rsidRPr="00E6060C" w:rsidRDefault="00E6060C" w:rsidP="00E6060C">
            <w:pPr>
              <w:spacing w:before="200"/>
              <w:contextualSpacing/>
              <w:jc w:val="center"/>
            </w:pPr>
            <w:r w:rsidRPr="00E6060C">
              <w:t>7</w:t>
            </w:r>
          </w:p>
        </w:tc>
      </w:tr>
      <w:tr w:rsidR="00E6060C" w:rsidRPr="00E6060C" w14:paraId="4691B458" w14:textId="77777777" w:rsidTr="00E6060C">
        <w:trPr>
          <w:cantSplit/>
          <w:trHeight w:val="287"/>
        </w:trPr>
        <w:tc>
          <w:tcPr>
            <w:tcW w:w="441" w:type="dxa"/>
            <w:tcBorders>
              <w:top w:val="nil"/>
              <w:bottom w:val="nil"/>
            </w:tcBorders>
            <w:shd w:val="clear" w:color="auto" w:fill="D9D9D9" w:themeFill="background1" w:themeFillShade="D9"/>
            <w:vAlign w:val="center"/>
          </w:tcPr>
          <w:p w14:paraId="79B1B8AE" w14:textId="77777777" w:rsidR="00E6060C" w:rsidRPr="00E6060C" w:rsidRDefault="00E6060C" w:rsidP="00E6060C">
            <w:pPr>
              <w:ind w:left="-108"/>
              <w:contextualSpacing/>
              <w:jc w:val="center"/>
            </w:pPr>
            <w:r w:rsidRPr="00E6060C">
              <w:lastRenderedPageBreak/>
              <w:t>6</w:t>
            </w:r>
          </w:p>
        </w:tc>
        <w:tc>
          <w:tcPr>
            <w:tcW w:w="2820" w:type="dxa"/>
            <w:tcBorders>
              <w:top w:val="nil"/>
              <w:bottom w:val="nil"/>
            </w:tcBorders>
            <w:shd w:val="clear" w:color="auto" w:fill="D9D9D9" w:themeFill="background1" w:themeFillShade="D9"/>
            <w:vAlign w:val="center"/>
          </w:tcPr>
          <w:p w14:paraId="3206F1EF"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have considerable opportunity for independence and freedom in how I do my job</w:t>
            </w:r>
          </w:p>
        </w:tc>
        <w:tc>
          <w:tcPr>
            <w:tcW w:w="1032" w:type="dxa"/>
            <w:tcBorders>
              <w:top w:val="nil"/>
              <w:bottom w:val="nil"/>
            </w:tcBorders>
            <w:shd w:val="clear" w:color="auto" w:fill="D9D9D9" w:themeFill="background1" w:themeFillShade="D9"/>
            <w:vAlign w:val="center"/>
          </w:tcPr>
          <w:p w14:paraId="4F7C2814"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D9D9D9" w:themeFill="background1" w:themeFillShade="D9"/>
            <w:vAlign w:val="center"/>
          </w:tcPr>
          <w:p w14:paraId="691A6154"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D9D9D9" w:themeFill="background1" w:themeFillShade="D9"/>
            <w:vAlign w:val="center"/>
          </w:tcPr>
          <w:p w14:paraId="3414BA18"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D9D9D9" w:themeFill="background1" w:themeFillShade="D9"/>
            <w:vAlign w:val="center"/>
          </w:tcPr>
          <w:p w14:paraId="1A33F7BF"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D9D9D9" w:themeFill="background1" w:themeFillShade="D9"/>
            <w:vAlign w:val="center"/>
          </w:tcPr>
          <w:p w14:paraId="56B429BC"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D9D9D9" w:themeFill="background1" w:themeFillShade="D9"/>
            <w:vAlign w:val="center"/>
          </w:tcPr>
          <w:p w14:paraId="58B1F8D9"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D9D9D9" w:themeFill="background1" w:themeFillShade="D9"/>
            <w:vAlign w:val="center"/>
          </w:tcPr>
          <w:p w14:paraId="3EA477B8" w14:textId="77777777" w:rsidR="00E6060C" w:rsidRPr="00E6060C" w:rsidRDefault="00E6060C" w:rsidP="00E6060C">
            <w:pPr>
              <w:spacing w:before="200"/>
              <w:contextualSpacing/>
              <w:jc w:val="center"/>
            </w:pPr>
            <w:r w:rsidRPr="00E6060C">
              <w:t>7</w:t>
            </w:r>
          </w:p>
        </w:tc>
      </w:tr>
      <w:tr w:rsidR="00E6060C" w:rsidRPr="00E6060C" w14:paraId="20FADF07" w14:textId="77777777" w:rsidTr="00E6060C">
        <w:trPr>
          <w:cantSplit/>
          <w:trHeight w:val="287"/>
        </w:trPr>
        <w:tc>
          <w:tcPr>
            <w:tcW w:w="441" w:type="dxa"/>
            <w:tcBorders>
              <w:top w:val="nil"/>
              <w:bottom w:val="nil"/>
            </w:tcBorders>
            <w:shd w:val="clear" w:color="auto" w:fill="auto"/>
            <w:vAlign w:val="center"/>
          </w:tcPr>
          <w:p w14:paraId="5EC08063" w14:textId="77777777" w:rsidR="00E6060C" w:rsidRPr="00E6060C" w:rsidRDefault="00E6060C" w:rsidP="00E6060C">
            <w:pPr>
              <w:ind w:left="-108"/>
              <w:contextualSpacing/>
              <w:jc w:val="center"/>
            </w:pPr>
            <w:r w:rsidRPr="00E6060C">
              <w:t>7</w:t>
            </w:r>
          </w:p>
        </w:tc>
        <w:tc>
          <w:tcPr>
            <w:tcW w:w="2820" w:type="dxa"/>
            <w:tcBorders>
              <w:top w:val="nil"/>
              <w:bottom w:val="nil"/>
            </w:tcBorders>
            <w:shd w:val="clear" w:color="auto" w:fill="auto"/>
            <w:vAlign w:val="center"/>
          </w:tcPr>
          <w:p w14:paraId="1A0A4FCD"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My impact on what happens in my department is large</w:t>
            </w:r>
          </w:p>
        </w:tc>
        <w:tc>
          <w:tcPr>
            <w:tcW w:w="1032" w:type="dxa"/>
            <w:tcBorders>
              <w:top w:val="nil"/>
              <w:bottom w:val="nil"/>
            </w:tcBorders>
            <w:shd w:val="clear" w:color="auto" w:fill="auto"/>
            <w:vAlign w:val="center"/>
          </w:tcPr>
          <w:p w14:paraId="18A42C4A"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auto"/>
            <w:vAlign w:val="center"/>
          </w:tcPr>
          <w:p w14:paraId="6D43CAED"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auto"/>
            <w:vAlign w:val="center"/>
          </w:tcPr>
          <w:p w14:paraId="5CCCE134"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auto"/>
            <w:vAlign w:val="center"/>
          </w:tcPr>
          <w:p w14:paraId="3AE87284"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auto"/>
            <w:vAlign w:val="center"/>
          </w:tcPr>
          <w:p w14:paraId="027DF7A4"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auto"/>
            <w:vAlign w:val="center"/>
          </w:tcPr>
          <w:p w14:paraId="3591FF35"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auto"/>
            <w:vAlign w:val="center"/>
          </w:tcPr>
          <w:p w14:paraId="3CF869AD" w14:textId="77777777" w:rsidR="00E6060C" w:rsidRPr="00E6060C" w:rsidRDefault="00E6060C" w:rsidP="00E6060C">
            <w:pPr>
              <w:spacing w:before="200"/>
              <w:contextualSpacing/>
              <w:jc w:val="center"/>
            </w:pPr>
            <w:r w:rsidRPr="00E6060C">
              <w:t>7</w:t>
            </w:r>
          </w:p>
        </w:tc>
      </w:tr>
      <w:tr w:rsidR="00E6060C" w:rsidRPr="00E6060C" w14:paraId="793992D2" w14:textId="77777777" w:rsidTr="00E6060C">
        <w:trPr>
          <w:cantSplit/>
          <w:trHeight w:val="287"/>
        </w:trPr>
        <w:tc>
          <w:tcPr>
            <w:tcW w:w="441" w:type="dxa"/>
            <w:tcBorders>
              <w:top w:val="nil"/>
              <w:bottom w:val="nil"/>
            </w:tcBorders>
            <w:shd w:val="clear" w:color="auto" w:fill="D9D9D9" w:themeFill="background1" w:themeFillShade="D9"/>
            <w:vAlign w:val="center"/>
          </w:tcPr>
          <w:p w14:paraId="534AC677" w14:textId="77777777" w:rsidR="00E6060C" w:rsidRPr="00E6060C" w:rsidRDefault="00E6060C" w:rsidP="00E6060C">
            <w:pPr>
              <w:ind w:left="-108"/>
              <w:contextualSpacing/>
              <w:jc w:val="center"/>
            </w:pPr>
            <w:r w:rsidRPr="00E6060C">
              <w:t>8</w:t>
            </w:r>
          </w:p>
        </w:tc>
        <w:tc>
          <w:tcPr>
            <w:tcW w:w="2820" w:type="dxa"/>
            <w:tcBorders>
              <w:top w:val="nil"/>
              <w:bottom w:val="nil"/>
            </w:tcBorders>
            <w:shd w:val="clear" w:color="auto" w:fill="D9D9D9" w:themeFill="background1" w:themeFillShade="D9"/>
            <w:vAlign w:val="center"/>
          </w:tcPr>
          <w:p w14:paraId="76ACA289" w14:textId="77777777" w:rsidR="00E6060C" w:rsidRPr="00E6060C" w:rsidRDefault="00E6060C" w:rsidP="00E6060C">
            <w:pPr>
              <w:widowControl w:val="0"/>
              <w:tabs>
                <w:tab w:val="right" w:leader="dot" w:pos="7597"/>
              </w:tabs>
              <w:spacing w:before="40" w:after="40"/>
              <w:rPr>
                <w:rFonts w:eastAsia="Times" w:cs="Times New Roman"/>
                <w:lang w:eastAsia="en-GB"/>
              </w:rPr>
            </w:pPr>
            <w:r w:rsidRPr="00E6060C">
              <w:rPr>
                <w:rFonts w:eastAsia="Times" w:cs="Times New Roman"/>
                <w:lang w:eastAsia="en-GB"/>
              </w:rPr>
              <w:t>I have a significant influence over what happens in my department</w:t>
            </w:r>
          </w:p>
        </w:tc>
        <w:tc>
          <w:tcPr>
            <w:tcW w:w="1032" w:type="dxa"/>
            <w:tcBorders>
              <w:top w:val="nil"/>
              <w:bottom w:val="nil"/>
            </w:tcBorders>
            <w:shd w:val="clear" w:color="auto" w:fill="D9D9D9" w:themeFill="background1" w:themeFillShade="D9"/>
            <w:vAlign w:val="center"/>
          </w:tcPr>
          <w:p w14:paraId="57E463C5" w14:textId="77777777" w:rsidR="00E6060C" w:rsidRPr="00E6060C" w:rsidRDefault="00E6060C" w:rsidP="00E6060C">
            <w:pPr>
              <w:spacing w:before="200"/>
              <w:contextualSpacing/>
              <w:jc w:val="center"/>
            </w:pPr>
            <w:r w:rsidRPr="00E6060C">
              <w:t>1</w:t>
            </w:r>
          </w:p>
        </w:tc>
        <w:tc>
          <w:tcPr>
            <w:tcW w:w="1010" w:type="dxa"/>
            <w:tcBorders>
              <w:top w:val="nil"/>
              <w:bottom w:val="nil"/>
            </w:tcBorders>
            <w:shd w:val="clear" w:color="auto" w:fill="D9D9D9" w:themeFill="background1" w:themeFillShade="D9"/>
            <w:vAlign w:val="center"/>
          </w:tcPr>
          <w:p w14:paraId="6FD45C19" w14:textId="77777777" w:rsidR="00E6060C" w:rsidRPr="00E6060C" w:rsidRDefault="00E6060C" w:rsidP="00E6060C">
            <w:pPr>
              <w:spacing w:before="200"/>
              <w:contextualSpacing/>
              <w:jc w:val="center"/>
            </w:pPr>
            <w:r w:rsidRPr="00E6060C">
              <w:t>2</w:t>
            </w:r>
          </w:p>
        </w:tc>
        <w:tc>
          <w:tcPr>
            <w:tcW w:w="1195" w:type="dxa"/>
            <w:tcBorders>
              <w:top w:val="nil"/>
              <w:bottom w:val="nil"/>
            </w:tcBorders>
            <w:shd w:val="clear" w:color="auto" w:fill="D9D9D9" w:themeFill="background1" w:themeFillShade="D9"/>
            <w:vAlign w:val="center"/>
          </w:tcPr>
          <w:p w14:paraId="40DE1BA0" w14:textId="77777777" w:rsidR="00E6060C" w:rsidRPr="00E6060C" w:rsidRDefault="00E6060C" w:rsidP="00E6060C">
            <w:pPr>
              <w:spacing w:before="200"/>
              <w:contextualSpacing/>
              <w:jc w:val="center"/>
            </w:pPr>
            <w:r w:rsidRPr="00E6060C">
              <w:t>3</w:t>
            </w:r>
          </w:p>
        </w:tc>
        <w:tc>
          <w:tcPr>
            <w:tcW w:w="1137" w:type="dxa"/>
            <w:tcBorders>
              <w:top w:val="nil"/>
              <w:bottom w:val="nil"/>
            </w:tcBorders>
            <w:shd w:val="clear" w:color="auto" w:fill="D9D9D9" w:themeFill="background1" w:themeFillShade="D9"/>
            <w:vAlign w:val="center"/>
          </w:tcPr>
          <w:p w14:paraId="23D69C5F" w14:textId="77777777" w:rsidR="00E6060C" w:rsidRPr="00E6060C" w:rsidRDefault="00E6060C" w:rsidP="00E6060C">
            <w:pPr>
              <w:spacing w:before="200"/>
              <w:contextualSpacing/>
              <w:jc w:val="center"/>
            </w:pPr>
            <w:r w:rsidRPr="00E6060C">
              <w:t>4</w:t>
            </w:r>
          </w:p>
        </w:tc>
        <w:tc>
          <w:tcPr>
            <w:tcW w:w="1195" w:type="dxa"/>
            <w:tcBorders>
              <w:top w:val="nil"/>
              <w:bottom w:val="nil"/>
            </w:tcBorders>
            <w:shd w:val="clear" w:color="auto" w:fill="D9D9D9" w:themeFill="background1" w:themeFillShade="D9"/>
            <w:vAlign w:val="center"/>
          </w:tcPr>
          <w:p w14:paraId="7B39BAC8" w14:textId="77777777" w:rsidR="00E6060C" w:rsidRPr="00E6060C" w:rsidRDefault="00E6060C" w:rsidP="00E6060C">
            <w:pPr>
              <w:spacing w:before="200"/>
              <w:contextualSpacing/>
              <w:jc w:val="center"/>
            </w:pPr>
            <w:r w:rsidRPr="00E6060C">
              <w:t>5</w:t>
            </w:r>
          </w:p>
        </w:tc>
        <w:tc>
          <w:tcPr>
            <w:tcW w:w="795" w:type="dxa"/>
            <w:tcBorders>
              <w:top w:val="nil"/>
              <w:bottom w:val="nil"/>
            </w:tcBorders>
            <w:shd w:val="clear" w:color="auto" w:fill="D9D9D9" w:themeFill="background1" w:themeFillShade="D9"/>
            <w:vAlign w:val="center"/>
          </w:tcPr>
          <w:p w14:paraId="70BF756D" w14:textId="77777777" w:rsidR="00E6060C" w:rsidRPr="00E6060C" w:rsidRDefault="00E6060C" w:rsidP="00E6060C">
            <w:pPr>
              <w:spacing w:before="200"/>
              <w:contextualSpacing/>
              <w:jc w:val="center"/>
            </w:pPr>
            <w:r w:rsidRPr="00E6060C">
              <w:t>6</w:t>
            </w:r>
          </w:p>
        </w:tc>
        <w:tc>
          <w:tcPr>
            <w:tcW w:w="1118" w:type="dxa"/>
            <w:tcBorders>
              <w:top w:val="nil"/>
              <w:bottom w:val="nil"/>
            </w:tcBorders>
            <w:shd w:val="clear" w:color="auto" w:fill="D9D9D9" w:themeFill="background1" w:themeFillShade="D9"/>
            <w:vAlign w:val="center"/>
          </w:tcPr>
          <w:p w14:paraId="7C08D0A7" w14:textId="77777777" w:rsidR="00E6060C" w:rsidRPr="00E6060C" w:rsidRDefault="00E6060C" w:rsidP="00E6060C">
            <w:pPr>
              <w:spacing w:before="200"/>
              <w:contextualSpacing/>
              <w:jc w:val="center"/>
            </w:pPr>
            <w:r w:rsidRPr="00E6060C">
              <w:t>7</w:t>
            </w:r>
          </w:p>
        </w:tc>
      </w:tr>
    </w:tbl>
    <w:p w14:paraId="30C281BE" w14:textId="77777777" w:rsidR="00E6060C" w:rsidRPr="00E6060C" w:rsidRDefault="00E6060C" w:rsidP="00E6060C">
      <w:pPr>
        <w:rPr>
          <w:rFonts w:eastAsia="Times New Roman" w:cs="Arial"/>
          <w:b/>
          <w:sz w:val="28"/>
          <w:szCs w:val="28"/>
          <w:lang w:val="en-US"/>
        </w:rPr>
      </w:pPr>
    </w:p>
    <w:p w14:paraId="30F82ED1" w14:textId="77777777" w:rsidR="00E6060C" w:rsidRPr="00E6060C" w:rsidRDefault="00E6060C" w:rsidP="00E6060C">
      <w:pPr>
        <w:jc w:val="center"/>
        <w:rPr>
          <w:rFonts w:eastAsia="Times New Roman" w:cs="Arial"/>
          <w:b/>
          <w:sz w:val="28"/>
          <w:szCs w:val="28"/>
          <w:lang w:val="en-US"/>
        </w:rPr>
      </w:pPr>
      <w:r w:rsidRPr="00E6060C">
        <w:rPr>
          <w:rFonts w:eastAsia="Times New Roman" w:cs="Arial"/>
          <w:b/>
          <w:sz w:val="28"/>
          <w:szCs w:val="28"/>
          <w:lang w:val="en-US"/>
        </w:rPr>
        <w:t>Part 4 - Background details</w:t>
      </w:r>
    </w:p>
    <w:p w14:paraId="3C28C4C5" w14:textId="77777777" w:rsidR="00E6060C" w:rsidRPr="00E6060C" w:rsidRDefault="00E6060C" w:rsidP="00E6060C">
      <w:pPr>
        <w:contextualSpacing/>
        <w:jc w:val="center"/>
        <w:rPr>
          <w:rFonts w:eastAsia="Times New Roman" w:cs="Arial"/>
          <w:b/>
          <w:lang w:val="en-US"/>
        </w:rPr>
      </w:pPr>
    </w:p>
    <w:tbl>
      <w:tblPr>
        <w:tblW w:w="10701" w:type="dxa"/>
        <w:jc w:val="center"/>
        <w:tblBorders>
          <w:top w:val="single" w:sz="4" w:space="0" w:color="auto"/>
        </w:tblBorders>
        <w:tblLayout w:type="fixed"/>
        <w:tblLook w:val="01E0" w:firstRow="1" w:lastRow="1" w:firstColumn="1" w:lastColumn="1" w:noHBand="0" w:noVBand="0"/>
      </w:tblPr>
      <w:tblGrid>
        <w:gridCol w:w="571"/>
        <w:gridCol w:w="595"/>
        <w:gridCol w:w="598"/>
        <w:gridCol w:w="602"/>
        <w:gridCol w:w="130"/>
        <w:gridCol w:w="106"/>
        <w:gridCol w:w="145"/>
        <w:gridCol w:w="146"/>
        <w:gridCol w:w="77"/>
        <w:gridCol w:w="136"/>
        <w:gridCol w:w="192"/>
        <w:gridCol w:w="168"/>
        <w:gridCol w:w="107"/>
        <w:gridCol w:w="596"/>
        <w:gridCol w:w="6"/>
        <w:gridCol w:w="613"/>
        <w:gridCol w:w="238"/>
        <w:gridCol w:w="54"/>
        <w:gridCol w:w="67"/>
        <w:gridCol w:w="99"/>
        <w:gridCol w:w="198"/>
        <w:gridCol w:w="554"/>
        <w:gridCol w:w="445"/>
        <w:gridCol w:w="52"/>
        <w:gridCol w:w="84"/>
        <w:gridCol w:w="573"/>
        <w:gridCol w:w="54"/>
        <w:gridCol w:w="74"/>
        <w:gridCol w:w="221"/>
        <w:gridCol w:w="359"/>
        <w:gridCol w:w="128"/>
        <w:gridCol w:w="434"/>
        <w:gridCol w:w="121"/>
        <w:gridCol w:w="12"/>
        <w:gridCol w:w="391"/>
        <w:gridCol w:w="47"/>
        <w:gridCol w:w="33"/>
        <w:gridCol w:w="601"/>
        <w:gridCol w:w="62"/>
        <w:gridCol w:w="1012"/>
      </w:tblGrid>
      <w:tr w:rsidR="00E6060C" w:rsidRPr="00E6060C" w14:paraId="51657014" w14:textId="77777777" w:rsidTr="00E6060C">
        <w:trPr>
          <w:cantSplit/>
          <w:trHeight w:val="400"/>
          <w:tblHeader/>
          <w:jc w:val="center"/>
        </w:trPr>
        <w:tc>
          <w:tcPr>
            <w:tcW w:w="10701" w:type="dxa"/>
            <w:gridSpan w:val="40"/>
            <w:tcBorders>
              <w:top w:val="single" w:sz="4" w:space="0" w:color="auto"/>
              <w:bottom w:val="single" w:sz="4" w:space="0" w:color="auto"/>
            </w:tcBorders>
            <w:shd w:val="clear" w:color="auto" w:fill="8EAADB" w:themeFill="accent5" w:themeFillTint="99"/>
            <w:vAlign w:val="center"/>
          </w:tcPr>
          <w:p w14:paraId="03117FEE"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About you and your job</w:t>
            </w:r>
          </w:p>
        </w:tc>
      </w:tr>
      <w:tr w:rsidR="00E6060C" w:rsidRPr="00E6060C" w14:paraId="5757D244" w14:textId="77777777" w:rsidTr="00E6060C">
        <w:trPr>
          <w:cantSplit/>
          <w:trHeight w:val="285"/>
          <w:jc w:val="center"/>
        </w:trPr>
        <w:tc>
          <w:tcPr>
            <w:tcW w:w="571" w:type="dxa"/>
            <w:tcBorders>
              <w:top w:val="single" w:sz="4" w:space="0" w:color="auto"/>
            </w:tcBorders>
            <w:shd w:val="clear" w:color="auto" w:fill="auto"/>
            <w:vAlign w:val="center"/>
          </w:tcPr>
          <w:p w14:paraId="3B8985F6"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17</w:t>
            </w:r>
          </w:p>
        </w:tc>
        <w:tc>
          <w:tcPr>
            <w:tcW w:w="3598" w:type="dxa"/>
            <w:gridSpan w:val="13"/>
            <w:tcBorders>
              <w:top w:val="single" w:sz="4" w:space="0" w:color="auto"/>
            </w:tcBorders>
            <w:shd w:val="clear" w:color="auto" w:fill="auto"/>
            <w:vAlign w:val="center"/>
          </w:tcPr>
          <w:p w14:paraId="25E4FEEB"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How old are you</w:t>
            </w:r>
            <w:r w:rsidRPr="00E6060C">
              <w:rPr>
                <w:rFonts w:eastAsia="Times" w:cs="Times New Roman"/>
                <w:bCs/>
                <w:lang w:eastAsia="en-GB"/>
              </w:rPr>
              <w:t>?    ______years</w:t>
            </w:r>
          </w:p>
        </w:tc>
        <w:tc>
          <w:tcPr>
            <w:tcW w:w="3111" w:type="dxa"/>
            <w:gridSpan w:val="14"/>
            <w:tcBorders>
              <w:top w:val="single" w:sz="4" w:space="0" w:color="auto"/>
            </w:tcBorders>
            <w:shd w:val="clear" w:color="auto" w:fill="auto"/>
            <w:vAlign w:val="center"/>
          </w:tcPr>
          <w:p w14:paraId="5D143AF6" w14:textId="77777777" w:rsidR="00E6060C" w:rsidRPr="00E6060C" w:rsidRDefault="00E6060C" w:rsidP="00E6060C">
            <w:pPr>
              <w:contextualSpacing/>
              <w:rPr>
                <w:rFonts w:eastAsia="Times" w:cs="Times New Roman"/>
                <w:b/>
                <w:bCs/>
                <w:lang w:eastAsia="en-GB"/>
              </w:rPr>
            </w:pPr>
            <w:r w:rsidRPr="00E6060C">
              <w:rPr>
                <w:rFonts w:eastAsia="Times" w:cs="Times New Roman"/>
                <w:b/>
                <w:bCs/>
                <w:lang w:eastAsia="en-GB"/>
              </w:rPr>
              <w:t>18    Are you male or female?</w:t>
            </w:r>
          </w:p>
        </w:tc>
        <w:tc>
          <w:tcPr>
            <w:tcW w:w="708" w:type="dxa"/>
            <w:gridSpan w:val="3"/>
            <w:tcBorders>
              <w:top w:val="single" w:sz="4" w:space="0" w:color="auto"/>
            </w:tcBorders>
            <w:shd w:val="clear" w:color="auto" w:fill="auto"/>
            <w:vAlign w:val="center"/>
          </w:tcPr>
          <w:p w14:paraId="6C26D50B" w14:textId="77777777" w:rsidR="00E6060C" w:rsidRPr="00E6060C" w:rsidRDefault="00E6060C" w:rsidP="00E6060C">
            <w:pPr>
              <w:contextualSpacing/>
              <w:rPr>
                <w:rFonts w:eastAsia="Times" w:cs="Times New Roman"/>
                <w:lang w:eastAsia="en-GB"/>
              </w:rPr>
            </w:pPr>
            <w:r w:rsidRPr="00E6060C">
              <w:rPr>
                <w:rFonts w:eastAsia="Times" w:cs="Times New Roman"/>
                <w:lang w:eastAsia="en-GB"/>
              </w:rPr>
              <w:t>Male</w:t>
            </w:r>
          </w:p>
        </w:tc>
        <w:tc>
          <w:tcPr>
            <w:tcW w:w="567" w:type="dxa"/>
            <w:gridSpan w:val="3"/>
            <w:tcBorders>
              <w:top w:val="single" w:sz="4" w:space="0" w:color="auto"/>
            </w:tcBorders>
            <w:shd w:val="clear" w:color="auto" w:fill="auto"/>
            <w:vAlign w:val="center"/>
          </w:tcPr>
          <w:p w14:paraId="28C7F37E" w14:textId="77777777" w:rsidR="00E6060C" w:rsidRPr="00E6060C" w:rsidRDefault="00E6060C" w:rsidP="00E6060C">
            <w:pPr>
              <w:contextualSpacing/>
              <w:rPr>
                <w:rFonts w:eastAsia="Times" w:cs="Times New Roman"/>
                <w:b/>
                <w:bCs/>
                <w:lang w:eastAsia="en-GB"/>
              </w:rPr>
            </w:pPr>
            <w:r w:rsidRPr="00E6060C">
              <w:rPr>
                <w:rFonts w:ascii="Arial Narrow" w:hAnsi="Arial Narrow" w:cs="Arial"/>
                <w:sz w:val="52"/>
                <w:szCs w:val="52"/>
              </w:rPr>
              <w:sym w:font="Wingdings" w:char="F06F"/>
            </w:r>
          </w:p>
        </w:tc>
        <w:tc>
          <w:tcPr>
            <w:tcW w:w="1134" w:type="dxa"/>
            <w:gridSpan w:val="5"/>
            <w:tcBorders>
              <w:top w:val="single" w:sz="4" w:space="0" w:color="auto"/>
            </w:tcBorders>
            <w:shd w:val="clear" w:color="auto" w:fill="auto"/>
            <w:vAlign w:val="center"/>
          </w:tcPr>
          <w:p w14:paraId="19D50337" w14:textId="77777777" w:rsidR="00E6060C" w:rsidRPr="00E6060C" w:rsidRDefault="00E6060C" w:rsidP="00E6060C">
            <w:pPr>
              <w:contextualSpacing/>
              <w:jc w:val="right"/>
              <w:rPr>
                <w:rFonts w:eastAsia="Times" w:cs="Times New Roman"/>
                <w:lang w:eastAsia="en-GB"/>
              </w:rPr>
            </w:pPr>
            <w:r w:rsidRPr="00E6060C">
              <w:rPr>
                <w:rFonts w:eastAsia="Times" w:cs="Times New Roman"/>
                <w:lang w:eastAsia="en-GB"/>
              </w:rPr>
              <w:t>Female</w:t>
            </w:r>
          </w:p>
        </w:tc>
        <w:tc>
          <w:tcPr>
            <w:tcW w:w="1012" w:type="dxa"/>
            <w:tcBorders>
              <w:top w:val="single" w:sz="4" w:space="0" w:color="auto"/>
            </w:tcBorders>
            <w:shd w:val="clear" w:color="auto" w:fill="auto"/>
            <w:vAlign w:val="center"/>
          </w:tcPr>
          <w:p w14:paraId="1BE911AD" w14:textId="77777777" w:rsidR="00E6060C" w:rsidRPr="00E6060C" w:rsidRDefault="00E6060C" w:rsidP="00E6060C">
            <w:pPr>
              <w:contextualSpacing/>
              <w:rPr>
                <w:rFonts w:eastAsia="Times" w:cs="Times New Roman"/>
                <w:b/>
                <w:bCs/>
                <w:lang w:eastAsia="en-GB"/>
              </w:rPr>
            </w:pPr>
            <w:r w:rsidRPr="00E6060C">
              <w:rPr>
                <w:rFonts w:ascii="Arial Narrow" w:hAnsi="Arial Narrow" w:cs="Arial"/>
                <w:sz w:val="52"/>
                <w:szCs w:val="52"/>
              </w:rPr>
              <w:sym w:font="Wingdings" w:char="F06F"/>
            </w:r>
          </w:p>
        </w:tc>
      </w:tr>
      <w:tr w:rsidR="00E6060C" w:rsidRPr="00E6060C" w14:paraId="135702A4" w14:textId="77777777" w:rsidTr="00E6060C">
        <w:trPr>
          <w:cantSplit/>
          <w:trHeight w:val="461"/>
          <w:jc w:val="center"/>
        </w:trPr>
        <w:tc>
          <w:tcPr>
            <w:tcW w:w="571" w:type="dxa"/>
            <w:shd w:val="clear" w:color="auto" w:fill="D9D9D9" w:themeFill="background1" w:themeFillShade="D9"/>
            <w:vAlign w:val="center"/>
          </w:tcPr>
          <w:p w14:paraId="5F2A7249"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19</w:t>
            </w:r>
          </w:p>
        </w:tc>
        <w:tc>
          <w:tcPr>
            <w:tcW w:w="1925" w:type="dxa"/>
            <w:gridSpan w:val="4"/>
            <w:shd w:val="clear" w:color="auto" w:fill="D9D9D9" w:themeFill="background1" w:themeFillShade="D9"/>
            <w:vAlign w:val="center"/>
          </w:tcPr>
          <w:p w14:paraId="7A6F56D3"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 xml:space="preserve">What is your current role?    </w:t>
            </w:r>
          </w:p>
        </w:tc>
        <w:tc>
          <w:tcPr>
            <w:tcW w:w="1673" w:type="dxa"/>
            <w:gridSpan w:val="9"/>
            <w:shd w:val="clear" w:color="auto" w:fill="D9D9D9" w:themeFill="background1" w:themeFillShade="D9"/>
            <w:vAlign w:val="center"/>
          </w:tcPr>
          <w:p w14:paraId="1C62C39B" w14:textId="77777777" w:rsidR="00E6060C" w:rsidRPr="00E6060C" w:rsidRDefault="00E6060C" w:rsidP="00E6060C">
            <w:pPr>
              <w:contextualSpacing/>
              <w:jc w:val="right"/>
              <w:rPr>
                <w:rFonts w:eastAsia="Times" w:cs="Times New Roman"/>
                <w:lang w:eastAsia="en-GB"/>
              </w:rPr>
            </w:pPr>
            <w:r w:rsidRPr="00E6060C">
              <w:rPr>
                <w:rFonts w:eastAsia="Times" w:cs="Times New Roman"/>
                <w:lang w:eastAsia="en-GB"/>
              </w:rPr>
              <w:t>Sister / Charge Nurse</w:t>
            </w:r>
          </w:p>
        </w:tc>
        <w:tc>
          <w:tcPr>
            <w:tcW w:w="911" w:type="dxa"/>
            <w:gridSpan w:val="4"/>
            <w:shd w:val="clear" w:color="auto" w:fill="D9D9D9" w:themeFill="background1" w:themeFillShade="D9"/>
            <w:vAlign w:val="center"/>
          </w:tcPr>
          <w:p w14:paraId="13F6DAF7" w14:textId="77777777" w:rsidR="00E6060C" w:rsidRPr="00E6060C" w:rsidRDefault="00E6060C" w:rsidP="00E6060C">
            <w:pPr>
              <w:contextualSpacing/>
              <w:rPr>
                <w:rFonts w:eastAsia="Times" w:cs="Times New Roman"/>
                <w:lang w:eastAsia="en-GB"/>
              </w:rPr>
            </w:pPr>
            <w:r w:rsidRPr="00E6060C">
              <w:rPr>
                <w:rFonts w:ascii="Arial Narrow" w:hAnsi="Arial Narrow" w:cs="Arial"/>
                <w:sz w:val="52"/>
                <w:szCs w:val="52"/>
              </w:rPr>
              <w:sym w:font="Wingdings" w:char="F06F"/>
            </w:r>
          </w:p>
        </w:tc>
        <w:tc>
          <w:tcPr>
            <w:tcW w:w="1363" w:type="dxa"/>
            <w:gridSpan w:val="5"/>
            <w:shd w:val="clear" w:color="auto" w:fill="D9D9D9" w:themeFill="background1" w:themeFillShade="D9"/>
            <w:vAlign w:val="center"/>
          </w:tcPr>
          <w:p w14:paraId="003AFE6A" w14:textId="77777777" w:rsidR="00E6060C" w:rsidRPr="00E6060C" w:rsidRDefault="00E6060C" w:rsidP="00E6060C">
            <w:pPr>
              <w:contextualSpacing/>
              <w:jc w:val="right"/>
              <w:rPr>
                <w:rFonts w:eastAsia="Times" w:cs="Times New Roman"/>
                <w:lang w:eastAsia="en-GB"/>
              </w:rPr>
            </w:pPr>
            <w:r w:rsidRPr="00E6060C">
              <w:rPr>
                <w:rFonts w:eastAsia="Times" w:cs="Times New Roman"/>
                <w:lang w:eastAsia="en-GB"/>
              </w:rPr>
              <w:t>Staff nurse</w:t>
            </w:r>
          </w:p>
        </w:tc>
        <w:tc>
          <w:tcPr>
            <w:tcW w:w="1058" w:type="dxa"/>
            <w:gridSpan w:val="6"/>
            <w:shd w:val="clear" w:color="auto" w:fill="D9D9D9" w:themeFill="background1" w:themeFillShade="D9"/>
            <w:vAlign w:val="center"/>
          </w:tcPr>
          <w:p w14:paraId="723EE353" w14:textId="77777777" w:rsidR="00E6060C" w:rsidRPr="00E6060C" w:rsidRDefault="00E6060C" w:rsidP="00E6060C">
            <w:pPr>
              <w:contextualSpacing/>
              <w:rPr>
                <w:rFonts w:eastAsia="Times" w:cs="Times New Roman"/>
                <w:lang w:eastAsia="en-GB"/>
              </w:rPr>
            </w:pPr>
            <w:r w:rsidRPr="00E6060C">
              <w:rPr>
                <w:rFonts w:ascii="Arial Narrow" w:hAnsi="Arial Narrow" w:cs="Arial"/>
                <w:sz w:val="52"/>
                <w:szCs w:val="52"/>
              </w:rPr>
              <w:sym w:font="Wingdings" w:char="F06F"/>
            </w:r>
          </w:p>
        </w:tc>
        <w:tc>
          <w:tcPr>
            <w:tcW w:w="1445" w:type="dxa"/>
            <w:gridSpan w:val="6"/>
            <w:shd w:val="clear" w:color="auto" w:fill="D9D9D9" w:themeFill="background1" w:themeFillShade="D9"/>
            <w:vAlign w:val="center"/>
          </w:tcPr>
          <w:p w14:paraId="71A3D78B" w14:textId="77777777" w:rsidR="00E6060C" w:rsidRPr="00E6060C" w:rsidRDefault="00E6060C" w:rsidP="00E6060C">
            <w:pPr>
              <w:contextualSpacing/>
              <w:jc w:val="right"/>
              <w:rPr>
                <w:rFonts w:eastAsia="Times" w:cs="Times New Roman"/>
                <w:lang w:eastAsia="en-GB"/>
              </w:rPr>
            </w:pPr>
            <w:r w:rsidRPr="00E6060C">
              <w:rPr>
                <w:rFonts w:eastAsia="Times" w:cs="Times New Roman"/>
                <w:lang w:eastAsia="en-GB"/>
              </w:rPr>
              <w:t>Healthcare Assistant</w:t>
            </w:r>
          </w:p>
        </w:tc>
        <w:tc>
          <w:tcPr>
            <w:tcW w:w="1755" w:type="dxa"/>
            <w:gridSpan w:val="5"/>
            <w:shd w:val="clear" w:color="auto" w:fill="D9D9D9" w:themeFill="background1" w:themeFillShade="D9"/>
            <w:vAlign w:val="center"/>
          </w:tcPr>
          <w:p w14:paraId="3590E968" w14:textId="77777777" w:rsidR="00E6060C" w:rsidRPr="00E6060C" w:rsidRDefault="00E6060C" w:rsidP="00E6060C">
            <w:pPr>
              <w:contextualSpacing/>
              <w:rPr>
                <w:rFonts w:eastAsia="Times" w:cs="Times New Roman"/>
                <w:lang w:eastAsia="en-GB"/>
              </w:rPr>
            </w:pPr>
            <w:r w:rsidRPr="00E6060C">
              <w:rPr>
                <w:rFonts w:ascii="Arial Narrow" w:hAnsi="Arial Narrow" w:cs="Arial"/>
                <w:sz w:val="52"/>
                <w:szCs w:val="52"/>
              </w:rPr>
              <w:sym w:font="Wingdings" w:char="F06F"/>
            </w:r>
          </w:p>
        </w:tc>
      </w:tr>
      <w:tr w:rsidR="00E6060C" w:rsidRPr="00E6060C" w14:paraId="76E71C36" w14:textId="77777777" w:rsidTr="00E6060C">
        <w:trPr>
          <w:cantSplit/>
          <w:trHeight w:val="461"/>
          <w:jc w:val="center"/>
        </w:trPr>
        <w:tc>
          <w:tcPr>
            <w:tcW w:w="571" w:type="dxa"/>
            <w:shd w:val="clear" w:color="auto" w:fill="auto"/>
            <w:vAlign w:val="center"/>
          </w:tcPr>
          <w:p w14:paraId="0C0D087A" w14:textId="77777777" w:rsidR="00E6060C" w:rsidRPr="00E6060C" w:rsidRDefault="00E6060C" w:rsidP="00E6060C">
            <w:pPr>
              <w:contextualSpacing/>
              <w:rPr>
                <w:rFonts w:eastAsia="Times" w:cs="Times New Roman"/>
                <w:bCs/>
                <w:lang w:eastAsia="en-GB"/>
              </w:rPr>
            </w:pPr>
          </w:p>
        </w:tc>
        <w:tc>
          <w:tcPr>
            <w:tcW w:w="1925" w:type="dxa"/>
            <w:gridSpan w:val="4"/>
            <w:shd w:val="clear" w:color="auto" w:fill="auto"/>
            <w:vAlign w:val="center"/>
          </w:tcPr>
          <w:p w14:paraId="6B0ADAF4" w14:textId="77777777" w:rsidR="00E6060C" w:rsidRPr="00E6060C" w:rsidRDefault="00E6060C" w:rsidP="00E6060C">
            <w:pPr>
              <w:contextualSpacing/>
              <w:rPr>
                <w:rFonts w:eastAsia="Times" w:cs="Times New Roman"/>
                <w:b/>
                <w:bCs/>
                <w:lang w:eastAsia="en-GB"/>
              </w:rPr>
            </w:pPr>
          </w:p>
        </w:tc>
        <w:tc>
          <w:tcPr>
            <w:tcW w:w="1673" w:type="dxa"/>
            <w:gridSpan w:val="9"/>
            <w:shd w:val="clear" w:color="auto" w:fill="auto"/>
            <w:vAlign w:val="center"/>
          </w:tcPr>
          <w:p w14:paraId="1A7EAA0B" w14:textId="77777777" w:rsidR="00E6060C" w:rsidRPr="00E6060C" w:rsidRDefault="00E6060C" w:rsidP="00E6060C">
            <w:pPr>
              <w:contextualSpacing/>
              <w:jc w:val="right"/>
              <w:rPr>
                <w:rFonts w:eastAsia="Times" w:cs="Times New Roman"/>
                <w:lang w:eastAsia="en-GB"/>
              </w:rPr>
            </w:pPr>
            <w:r w:rsidRPr="00E6060C">
              <w:rPr>
                <w:rFonts w:eastAsia="Times" w:cs="Times New Roman"/>
                <w:lang w:eastAsia="en-GB"/>
              </w:rPr>
              <w:t>Other</w:t>
            </w:r>
          </w:p>
        </w:tc>
        <w:tc>
          <w:tcPr>
            <w:tcW w:w="911" w:type="dxa"/>
            <w:gridSpan w:val="4"/>
            <w:shd w:val="clear" w:color="auto" w:fill="auto"/>
            <w:vAlign w:val="center"/>
          </w:tcPr>
          <w:p w14:paraId="084E34F4" w14:textId="77777777" w:rsidR="00E6060C" w:rsidRPr="00E6060C" w:rsidRDefault="00E6060C" w:rsidP="00E6060C">
            <w:pPr>
              <w:contextualSpacing/>
              <w:rPr>
                <w:rFonts w:ascii="Arial Narrow" w:hAnsi="Arial Narrow" w:cs="Arial"/>
                <w:sz w:val="52"/>
                <w:szCs w:val="52"/>
              </w:rPr>
            </w:pPr>
            <w:r w:rsidRPr="00E6060C">
              <w:rPr>
                <w:rFonts w:ascii="Arial Narrow" w:hAnsi="Arial Narrow" w:cs="Arial"/>
                <w:sz w:val="52"/>
                <w:szCs w:val="52"/>
              </w:rPr>
              <w:sym w:font="Wingdings" w:char="F06F"/>
            </w:r>
          </w:p>
        </w:tc>
        <w:tc>
          <w:tcPr>
            <w:tcW w:w="1363" w:type="dxa"/>
            <w:gridSpan w:val="5"/>
            <w:shd w:val="clear" w:color="auto" w:fill="auto"/>
            <w:vAlign w:val="center"/>
          </w:tcPr>
          <w:p w14:paraId="3B5216A9" w14:textId="77777777" w:rsidR="00E6060C" w:rsidRPr="00E6060C" w:rsidRDefault="00E6060C" w:rsidP="00E6060C">
            <w:pPr>
              <w:contextualSpacing/>
              <w:jc w:val="right"/>
              <w:rPr>
                <w:rFonts w:eastAsia="Times" w:cs="Times New Roman"/>
                <w:lang w:eastAsia="en-GB"/>
              </w:rPr>
            </w:pPr>
          </w:p>
        </w:tc>
        <w:tc>
          <w:tcPr>
            <w:tcW w:w="1058" w:type="dxa"/>
            <w:gridSpan w:val="6"/>
            <w:shd w:val="clear" w:color="auto" w:fill="auto"/>
            <w:vAlign w:val="center"/>
          </w:tcPr>
          <w:p w14:paraId="573C16B4" w14:textId="77777777" w:rsidR="00E6060C" w:rsidRPr="00E6060C" w:rsidRDefault="00E6060C" w:rsidP="00E6060C">
            <w:pPr>
              <w:contextualSpacing/>
              <w:rPr>
                <w:rFonts w:ascii="Arial Narrow" w:hAnsi="Arial Narrow" w:cs="Arial"/>
                <w:sz w:val="52"/>
                <w:szCs w:val="52"/>
              </w:rPr>
            </w:pPr>
          </w:p>
        </w:tc>
        <w:tc>
          <w:tcPr>
            <w:tcW w:w="1445" w:type="dxa"/>
            <w:gridSpan w:val="6"/>
            <w:shd w:val="clear" w:color="auto" w:fill="auto"/>
            <w:vAlign w:val="center"/>
          </w:tcPr>
          <w:p w14:paraId="373FD1E8" w14:textId="77777777" w:rsidR="00E6060C" w:rsidRPr="00E6060C" w:rsidRDefault="00E6060C" w:rsidP="00E6060C">
            <w:pPr>
              <w:contextualSpacing/>
              <w:jc w:val="right"/>
              <w:rPr>
                <w:rFonts w:eastAsia="Times" w:cs="Times New Roman"/>
                <w:lang w:eastAsia="en-GB"/>
              </w:rPr>
            </w:pPr>
          </w:p>
        </w:tc>
        <w:tc>
          <w:tcPr>
            <w:tcW w:w="1755" w:type="dxa"/>
            <w:gridSpan w:val="5"/>
            <w:shd w:val="clear" w:color="auto" w:fill="auto"/>
            <w:vAlign w:val="center"/>
          </w:tcPr>
          <w:p w14:paraId="266474F2" w14:textId="77777777" w:rsidR="00E6060C" w:rsidRPr="00E6060C" w:rsidRDefault="00E6060C" w:rsidP="00E6060C">
            <w:pPr>
              <w:contextualSpacing/>
              <w:rPr>
                <w:rFonts w:ascii="Arial Narrow" w:hAnsi="Arial Narrow" w:cs="Arial"/>
                <w:sz w:val="52"/>
                <w:szCs w:val="52"/>
              </w:rPr>
            </w:pPr>
          </w:p>
        </w:tc>
      </w:tr>
      <w:tr w:rsidR="00E6060C" w:rsidRPr="00E6060C" w14:paraId="4A1F0E14" w14:textId="77777777" w:rsidTr="00E6060C">
        <w:trPr>
          <w:cantSplit/>
          <w:trHeight w:val="461"/>
          <w:jc w:val="center"/>
        </w:trPr>
        <w:tc>
          <w:tcPr>
            <w:tcW w:w="571" w:type="dxa"/>
            <w:shd w:val="clear" w:color="auto" w:fill="D9D9D9" w:themeFill="background1" w:themeFillShade="D9"/>
            <w:vAlign w:val="center"/>
          </w:tcPr>
          <w:p w14:paraId="1B323B94" w14:textId="77777777" w:rsidR="00E6060C" w:rsidRPr="00E6060C" w:rsidRDefault="00E6060C" w:rsidP="00E6060C">
            <w:pPr>
              <w:contextualSpacing/>
              <w:rPr>
                <w:rFonts w:eastAsia="Times" w:cs="Times New Roman"/>
                <w:bCs/>
                <w:lang w:eastAsia="en-GB"/>
              </w:rPr>
            </w:pPr>
          </w:p>
        </w:tc>
        <w:tc>
          <w:tcPr>
            <w:tcW w:w="1925" w:type="dxa"/>
            <w:gridSpan w:val="4"/>
            <w:shd w:val="clear" w:color="auto" w:fill="D9D9D9" w:themeFill="background1" w:themeFillShade="D9"/>
            <w:vAlign w:val="center"/>
          </w:tcPr>
          <w:p w14:paraId="71246F42" w14:textId="77777777" w:rsidR="00E6060C" w:rsidRPr="00E6060C" w:rsidRDefault="00E6060C" w:rsidP="00E6060C">
            <w:pPr>
              <w:contextualSpacing/>
              <w:rPr>
                <w:rFonts w:eastAsia="Times" w:cs="Times New Roman"/>
                <w:b/>
                <w:bCs/>
                <w:lang w:eastAsia="en-GB"/>
              </w:rPr>
            </w:pPr>
          </w:p>
        </w:tc>
        <w:tc>
          <w:tcPr>
            <w:tcW w:w="1673" w:type="dxa"/>
            <w:gridSpan w:val="9"/>
            <w:shd w:val="clear" w:color="auto" w:fill="D9D9D9" w:themeFill="background1" w:themeFillShade="D9"/>
            <w:vAlign w:val="center"/>
          </w:tcPr>
          <w:p w14:paraId="1DCD36A8" w14:textId="77777777" w:rsidR="00E6060C" w:rsidRPr="00E6060C" w:rsidRDefault="00E6060C" w:rsidP="00E6060C">
            <w:pPr>
              <w:contextualSpacing/>
              <w:jc w:val="right"/>
              <w:rPr>
                <w:rFonts w:eastAsia="Times" w:cs="Times New Roman"/>
                <w:lang w:eastAsia="en-GB"/>
              </w:rPr>
            </w:pPr>
            <w:r w:rsidRPr="00E6060C">
              <w:rPr>
                <w:rFonts w:eastAsia="Times" w:cs="Times New Roman"/>
                <w:lang w:eastAsia="en-GB"/>
              </w:rPr>
              <w:t>If other, please state</w:t>
            </w:r>
          </w:p>
        </w:tc>
        <w:tc>
          <w:tcPr>
            <w:tcW w:w="6532" w:type="dxa"/>
            <w:gridSpan w:val="26"/>
            <w:shd w:val="clear" w:color="auto" w:fill="D9D9D9" w:themeFill="background1" w:themeFillShade="D9"/>
            <w:vAlign w:val="center"/>
          </w:tcPr>
          <w:p w14:paraId="64B69249" w14:textId="77777777" w:rsidR="00E6060C" w:rsidRPr="00E6060C" w:rsidRDefault="00E6060C" w:rsidP="00E6060C">
            <w:pPr>
              <w:contextualSpacing/>
              <w:rPr>
                <w:rFonts w:cs="Arial"/>
              </w:rPr>
            </w:pPr>
          </w:p>
          <w:p w14:paraId="4B16F0C2" w14:textId="77777777" w:rsidR="00E6060C" w:rsidRPr="00E6060C" w:rsidRDefault="00E6060C" w:rsidP="00E6060C">
            <w:pPr>
              <w:contextualSpacing/>
              <w:rPr>
                <w:rFonts w:cs="Arial"/>
              </w:rPr>
            </w:pPr>
            <w:r w:rsidRPr="00E6060C">
              <w:rPr>
                <w:rFonts w:cs="Arial"/>
              </w:rPr>
              <w:t>………………………………………………………...........</w:t>
            </w:r>
          </w:p>
        </w:tc>
      </w:tr>
      <w:tr w:rsidR="00E6060C" w:rsidRPr="00E6060C" w14:paraId="47078AA8" w14:textId="77777777" w:rsidTr="00E6060C">
        <w:trPr>
          <w:cantSplit/>
          <w:trHeight w:val="519"/>
          <w:jc w:val="center"/>
        </w:trPr>
        <w:tc>
          <w:tcPr>
            <w:tcW w:w="571" w:type="dxa"/>
            <w:shd w:val="clear" w:color="auto" w:fill="auto"/>
            <w:vAlign w:val="center"/>
          </w:tcPr>
          <w:p w14:paraId="246BF9AC"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20</w:t>
            </w:r>
          </w:p>
        </w:tc>
        <w:tc>
          <w:tcPr>
            <w:tcW w:w="10130" w:type="dxa"/>
            <w:gridSpan w:val="39"/>
            <w:shd w:val="clear" w:color="auto" w:fill="auto"/>
            <w:vAlign w:val="center"/>
          </w:tcPr>
          <w:p w14:paraId="5D55FE3E" w14:textId="77777777" w:rsidR="00E6060C" w:rsidRPr="00E6060C" w:rsidRDefault="00E6060C" w:rsidP="00E6060C">
            <w:pPr>
              <w:contextualSpacing/>
              <w:rPr>
                <w:rFonts w:eastAsia="Times" w:cs="Times"/>
                <w:b/>
                <w:lang w:eastAsia="en-GB"/>
              </w:rPr>
            </w:pPr>
            <w:r w:rsidRPr="00E6060C">
              <w:rPr>
                <w:rFonts w:eastAsia="Times" w:cs="Times"/>
                <w:b/>
                <w:lang w:eastAsia="en-GB"/>
              </w:rPr>
              <w:t>What is your current band?</w:t>
            </w:r>
          </w:p>
        </w:tc>
      </w:tr>
      <w:tr w:rsidR="00E6060C" w:rsidRPr="00E6060C" w14:paraId="1A2D738B" w14:textId="77777777" w:rsidTr="00E6060C">
        <w:trPr>
          <w:cantSplit/>
          <w:trHeight w:val="344"/>
          <w:jc w:val="center"/>
        </w:trPr>
        <w:tc>
          <w:tcPr>
            <w:tcW w:w="571" w:type="dxa"/>
            <w:shd w:val="clear" w:color="auto" w:fill="D9D9D9" w:themeFill="background1" w:themeFillShade="D9"/>
          </w:tcPr>
          <w:p w14:paraId="075F2BB9" w14:textId="77777777" w:rsidR="00E6060C" w:rsidRPr="00E6060C" w:rsidRDefault="00E6060C" w:rsidP="00E6060C">
            <w:pPr>
              <w:contextualSpacing/>
              <w:jc w:val="right"/>
              <w:rPr>
                <w:rFonts w:eastAsia="Times" w:cs="Times New Roman"/>
                <w:bCs/>
                <w:lang w:eastAsia="en-GB"/>
              </w:rPr>
            </w:pPr>
          </w:p>
        </w:tc>
        <w:tc>
          <w:tcPr>
            <w:tcW w:w="595" w:type="dxa"/>
            <w:shd w:val="clear" w:color="auto" w:fill="D9D9D9" w:themeFill="background1" w:themeFillShade="D9"/>
            <w:vAlign w:val="center"/>
          </w:tcPr>
          <w:p w14:paraId="691CFFC4" w14:textId="77777777" w:rsidR="00E6060C" w:rsidRPr="00E6060C" w:rsidRDefault="00E6060C" w:rsidP="00E6060C">
            <w:pPr>
              <w:contextualSpacing/>
              <w:jc w:val="right"/>
              <w:rPr>
                <w:rFonts w:eastAsia="Times" w:cs="Times"/>
                <w:lang w:eastAsia="en-GB"/>
              </w:rPr>
            </w:pPr>
            <w:r w:rsidRPr="00E6060C">
              <w:rPr>
                <w:rFonts w:eastAsia="Times" w:cs="Times"/>
                <w:lang w:eastAsia="en-GB"/>
              </w:rPr>
              <w:t>1</w:t>
            </w:r>
          </w:p>
        </w:tc>
        <w:tc>
          <w:tcPr>
            <w:tcW w:w="598" w:type="dxa"/>
            <w:shd w:val="clear" w:color="auto" w:fill="D9D9D9" w:themeFill="background1" w:themeFillShade="D9"/>
            <w:vAlign w:val="center"/>
          </w:tcPr>
          <w:p w14:paraId="188CFED0"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602" w:type="dxa"/>
            <w:shd w:val="clear" w:color="auto" w:fill="D9D9D9" w:themeFill="background1" w:themeFillShade="D9"/>
            <w:vAlign w:val="center"/>
          </w:tcPr>
          <w:p w14:paraId="741827A8" w14:textId="77777777" w:rsidR="00E6060C" w:rsidRPr="00E6060C" w:rsidRDefault="00E6060C" w:rsidP="00E6060C">
            <w:pPr>
              <w:contextualSpacing/>
              <w:jc w:val="right"/>
              <w:rPr>
                <w:rFonts w:eastAsia="Times" w:cs="Times"/>
                <w:lang w:eastAsia="en-GB"/>
              </w:rPr>
            </w:pPr>
            <w:r w:rsidRPr="00E6060C">
              <w:rPr>
                <w:rFonts w:eastAsia="Times" w:cs="Times"/>
                <w:lang w:eastAsia="en-GB"/>
              </w:rPr>
              <w:t>2</w:t>
            </w:r>
          </w:p>
        </w:tc>
        <w:tc>
          <w:tcPr>
            <w:tcW w:w="604" w:type="dxa"/>
            <w:gridSpan w:val="5"/>
            <w:shd w:val="clear" w:color="auto" w:fill="D9D9D9" w:themeFill="background1" w:themeFillShade="D9"/>
            <w:vAlign w:val="center"/>
          </w:tcPr>
          <w:p w14:paraId="5DB65DC7" w14:textId="77777777" w:rsidR="00E6060C" w:rsidRPr="00E6060C" w:rsidRDefault="00E6060C" w:rsidP="00E6060C">
            <w:pPr>
              <w:contextualSpacing/>
              <w:jc w:val="right"/>
              <w:rPr>
                <w:rFonts w:eastAsia="Times" w:cs="Times"/>
                <w:lang w:eastAsia="en-GB"/>
              </w:rPr>
            </w:pPr>
            <w:r w:rsidRPr="00E6060C">
              <w:rPr>
                <w:rFonts w:ascii="Arial Narrow" w:hAnsi="Arial Narrow" w:cs="Arial"/>
                <w:sz w:val="52"/>
                <w:szCs w:val="52"/>
              </w:rPr>
              <w:sym w:font="Wingdings" w:char="F06F"/>
            </w:r>
          </w:p>
        </w:tc>
        <w:tc>
          <w:tcPr>
            <w:tcW w:w="603" w:type="dxa"/>
            <w:gridSpan w:val="4"/>
            <w:shd w:val="clear" w:color="auto" w:fill="D9D9D9" w:themeFill="background1" w:themeFillShade="D9"/>
            <w:vAlign w:val="center"/>
          </w:tcPr>
          <w:p w14:paraId="38387DF9" w14:textId="77777777" w:rsidR="00E6060C" w:rsidRPr="00E6060C" w:rsidRDefault="00E6060C" w:rsidP="00E6060C">
            <w:pPr>
              <w:contextualSpacing/>
              <w:jc w:val="right"/>
              <w:rPr>
                <w:rFonts w:eastAsia="Times" w:cs="Times"/>
                <w:lang w:eastAsia="en-GB"/>
              </w:rPr>
            </w:pPr>
            <w:r w:rsidRPr="00E6060C">
              <w:rPr>
                <w:rFonts w:eastAsia="Times" w:cs="Times"/>
                <w:lang w:eastAsia="en-GB"/>
              </w:rPr>
              <w:t>3</w:t>
            </w:r>
          </w:p>
        </w:tc>
        <w:tc>
          <w:tcPr>
            <w:tcW w:w="596" w:type="dxa"/>
            <w:shd w:val="clear" w:color="auto" w:fill="D9D9D9" w:themeFill="background1" w:themeFillShade="D9"/>
            <w:vAlign w:val="center"/>
          </w:tcPr>
          <w:p w14:paraId="6A459BC3" w14:textId="77777777" w:rsidR="00E6060C" w:rsidRPr="00E6060C" w:rsidRDefault="00E6060C" w:rsidP="00E6060C">
            <w:pPr>
              <w:contextualSpacing/>
              <w:jc w:val="right"/>
              <w:rPr>
                <w:rFonts w:eastAsia="Times" w:cs="Times"/>
                <w:lang w:eastAsia="en-GB"/>
              </w:rPr>
            </w:pPr>
            <w:r w:rsidRPr="00E6060C">
              <w:rPr>
                <w:rFonts w:ascii="Arial Narrow" w:hAnsi="Arial Narrow" w:cs="Arial"/>
                <w:sz w:val="52"/>
                <w:szCs w:val="52"/>
              </w:rPr>
              <w:sym w:font="Wingdings" w:char="F06F"/>
            </w:r>
          </w:p>
        </w:tc>
        <w:tc>
          <w:tcPr>
            <w:tcW w:w="619" w:type="dxa"/>
            <w:gridSpan w:val="2"/>
            <w:shd w:val="clear" w:color="auto" w:fill="D9D9D9" w:themeFill="background1" w:themeFillShade="D9"/>
            <w:vAlign w:val="center"/>
          </w:tcPr>
          <w:p w14:paraId="0B756DAC" w14:textId="77777777" w:rsidR="00E6060C" w:rsidRPr="00E6060C" w:rsidRDefault="00E6060C" w:rsidP="00E6060C">
            <w:pPr>
              <w:contextualSpacing/>
              <w:jc w:val="right"/>
              <w:rPr>
                <w:rFonts w:eastAsia="Times" w:cs="Times"/>
                <w:lang w:eastAsia="en-GB"/>
              </w:rPr>
            </w:pPr>
            <w:r w:rsidRPr="00E6060C">
              <w:rPr>
                <w:rFonts w:eastAsia="Times" w:cs="Times"/>
                <w:lang w:eastAsia="en-GB"/>
              </w:rPr>
              <w:t>4</w:t>
            </w:r>
          </w:p>
        </w:tc>
        <w:tc>
          <w:tcPr>
            <w:tcW w:w="656" w:type="dxa"/>
            <w:gridSpan w:val="5"/>
            <w:shd w:val="clear" w:color="auto" w:fill="D9D9D9" w:themeFill="background1" w:themeFillShade="D9"/>
            <w:vAlign w:val="center"/>
          </w:tcPr>
          <w:p w14:paraId="32FD0D31" w14:textId="77777777" w:rsidR="00E6060C" w:rsidRPr="00E6060C" w:rsidRDefault="00E6060C" w:rsidP="00E6060C">
            <w:pPr>
              <w:contextualSpacing/>
              <w:jc w:val="right"/>
              <w:rPr>
                <w:rFonts w:eastAsia="Times" w:cs="Times"/>
                <w:lang w:eastAsia="en-GB"/>
              </w:rPr>
            </w:pPr>
            <w:r w:rsidRPr="00E6060C">
              <w:rPr>
                <w:rFonts w:ascii="Arial Narrow" w:hAnsi="Arial Narrow" w:cs="Arial"/>
                <w:sz w:val="52"/>
                <w:szCs w:val="52"/>
              </w:rPr>
              <w:sym w:font="Wingdings" w:char="F06F"/>
            </w:r>
          </w:p>
        </w:tc>
        <w:tc>
          <w:tcPr>
            <w:tcW w:w="554" w:type="dxa"/>
            <w:shd w:val="clear" w:color="auto" w:fill="D9D9D9" w:themeFill="background1" w:themeFillShade="D9"/>
            <w:vAlign w:val="center"/>
          </w:tcPr>
          <w:p w14:paraId="30EFE300" w14:textId="77777777" w:rsidR="00E6060C" w:rsidRPr="00E6060C" w:rsidRDefault="00E6060C" w:rsidP="00E6060C">
            <w:pPr>
              <w:contextualSpacing/>
              <w:jc w:val="right"/>
              <w:rPr>
                <w:rFonts w:eastAsia="Times" w:cs="Times"/>
                <w:lang w:eastAsia="en-GB"/>
              </w:rPr>
            </w:pPr>
            <w:r w:rsidRPr="00E6060C">
              <w:rPr>
                <w:rFonts w:eastAsia="Times" w:cs="Times"/>
                <w:lang w:eastAsia="en-GB"/>
              </w:rPr>
              <w:t>5</w:t>
            </w:r>
          </w:p>
        </w:tc>
        <w:tc>
          <w:tcPr>
            <w:tcW w:w="581" w:type="dxa"/>
            <w:gridSpan w:val="3"/>
            <w:shd w:val="clear" w:color="auto" w:fill="D9D9D9" w:themeFill="background1" w:themeFillShade="D9"/>
            <w:vAlign w:val="center"/>
          </w:tcPr>
          <w:p w14:paraId="7DE43470" w14:textId="77777777" w:rsidR="00E6060C" w:rsidRPr="00E6060C" w:rsidRDefault="00E6060C" w:rsidP="00E6060C">
            <w:pPr>
              <w:contextualSpacing/>
              <w:jc w:val="right"/>
              <w:rPr>
                <w:rFonts w:eastAsia="Times" w:cs="Times"/>
                <w:lang w:eastAsia="en-GB"/>
              </w:rPr>
            </w:pPr>
            <w:r w:rsidRPr="00E6060C">
              <w:rPr>
                <w:rFonts w:ascii="Arial Narrow" w:hAnsi="Arial Narrow" w:cs="Arial"/>
                <w:sz w:val="52"/>
                <w:szCs w:val="52"/>
              </w:rPr>
              <w:sym w:font="Wingdings" w:char="F06F"/>
            </w:r>
          </w:p>
        </w:tc>
        <w:tc>
          <w:tcPr>
            <w:tcW w:w="627" w:type="dxa"/>
            <w:gridSpan w:val="2"/>
            <w:shd w:val="clear" w:color="auto" w:fill="D9D9D9" w:themeFill="background1" w:themeFillShade="D9"/>
            <w:vAlign w:val="center"/>
          </w:tcPr>
          <w:p w14:paraId="36BCAACB" w14:textId="77777777" w:rsidR="00E6060C" w:rsidRPr="00E6060C" w:rsidRDefault="00E6060C" w:rsidP="00E6060C">
            <w:pPr>
              <w:contextualSpacing/>
              <w:jc w:val="right"/>
              <w:rPr>
                <w:rFonts w:eastAsia="Times" w:cs="Times"/>
                <w:lang w:eastAsia="en-GB"/>
              </w:rPr>
            </w:pPr>
            <w:r w:rsidRPr="00E6060C">
              <w:rPr>
                <w:rFonts w:eastAsia="Times" w:cs="Times"/>
                <w:lang w:eastAsia="en-GB"/>
              </w:rPr>
              <w:t>6</w:t>
            </w:r>
          </w:p>
        </w:tc>
        <w:tc>
          <w:tcPr>
            <w:tcW w:w="654" w:type="dxa"/>
            <w:gridSpan w:val="3"/>
            <w:shd w:val="clear" w:color="auto" w:fill="D9D9D9" w:themeFill="background1" w:themeFillShade="D9"/>
            <w:vAlign w:val="center"/>
          </w:tcPr>
          <w:p w14:paraId="7EF0FC31" w14:textId="77777777" w:rsidR="00E6060C" w:rsidRPr="00E6060C" w:rsidRDefault="00E6060C" w:rsidP="00E6060C">
            <w:pPr>
              <w:contextualSpacing/>
              <w:jc w:val="right"/>
              <w:rPr>
                <w:rFonts w:eastAsia="Times" w:cs="Times"/>
                <w:lang w:eastAsia="en-GB"/>
              </w:rPr>
            </w:pPr>
            <w:r w:rsidRPr="00E6060C">
              <w:rPr>
                <w:rFonts w:ascii="Arial Narrow" w:hAnsi="Arial Narrow" w:cs="Arial"/>
                <w:sz w:val="52"/>
                <w:szCs w:val="52"/>
              </w:rPr>
              <w:sym w:font="Wingdings" w:char="F06F"/>
            </w:r>
          </w:p>
        </w:tc>
        <w:tc>
          <w:tcPr>
            <w:tcW w:w="562" w:type="dxa"/>
            <w:gridSpan w:val="2"/>
            <w:shd w:val="clear" w:color="auto" w:fill="D9D9D9" w:themeFill="background1" w:themeFillShade="D9"/>
            <w:vAlign w:val="center"/>
          </w:tcPr>
          <w:p w14:paraId="7E07EAD1" w14:textId="77777777" w:rsidR="00E6060C" w:rsidRPr="00E6060C" w:rsidRDefault="00E6060C" w:rsidP="00E6060C">
            <w:pPr>
              <w:contextualSpacing/>
              <w:jc w:val="right"/>
              <w:rPr>
                <w:rFonts w:eastAsia="Times" w:cs="Times"/>
                <w:lang w:eastAsia="en-GB"/>
              </w:rPr>
            </w:pPr>
            <w:r w:rsidRPr="00E6060C">
              <w:rPr>
                <w:rFonts w:eastAsia="Times" w:cs="Times"/>
                <w:lang w:eastAsia="en-GB"/>
              </w:rPr>
              <w:t>7</w:t>
            </w:r>
          </w:p>
        </w:tc>
        <w:tc>
          <w:tcPr>
            <w:tcW w:w="604" w:type="dxa"/>
            <w:gridSpan w:val="5"/>
            <w:shd w:val="clear" w:color="auto" w:fill="D9D9D9" w:themeFill="background1" w:themeFillShade="D9"/>
            <w:vAlign w:val="center"/>
          </w:tcPr>
          <w:p w14:paraId="10C8606B" w14:textId="77777777" w:rsidR="00E6060C" w:rsidRPr="00E6060C" w:rsidRDefault="00E6060C" w:rsidP="00E6060C">
            <w:pPr>
              <w:contextualSpacing/>
              <w:jc w:val="right"/>
              <w:rPr>
                <w:rFonts w:eastAsia="Times" w:cs="Times"/>
                <w:lang w:eastAsia="en-GB"/>
              </w:rPr>
            </w:pPr>
            <w:r w:rsidRPr="00E6060C">
              <w:rPr>
                <w:rFonts w:ascii="Arial Narrow" w:hAnsi="Arial Narrow" w:cs="Arial"/>
                <w:sz w:val="52"/>
                <w:szCs w:val="52"/>
              </w:rPr>
              <w:sym w:font="Wingdings" w:char="F06F"/>
            </w:r>
          </w:p>
        </w:tc>
        <w:tc>
          <w:tcPr>
            <w:tcW w:w="601" w:type="dxa"/>
            <w:shd w:val="clear" w:color="auto" w:fill="D9D9D9" w:themeFill="background1" w:themeFillShade="D9"/>
            <w:vAlign w:val="center"/>
          </w:tcPr>
          <w:p w14:paraId="7227B286" w14:textId="77777777" w:rsidR="00E6060C" w:rsidRPr="00E6060C" w:rsidRDefault="00E6060C" w:rsidP="00E6060C">
            <w:pPr>
              <w:contextualSpacing/>
              <w:jc w:val="right"/>
              <w:rPr>
                <w:rFonts w:eastAsia="Times" w:cs="Times"/>
                <w:lang w:eastAsia="en-GB"/>
              </w:rPr>
            </w:pPr>
            <w:r w:rsidRPr="00E6060C">
              <w:rPr>
                <w:rFonts w:eastAsia="Times" w:cs="Times"/>
                <w:lang w:eastAsia="en-GB"/>
              </w:rPr>
              <w:t xml:space="preserve">     8</w:t>
            </w:r>
          </w:p>
        </w:tc>
        <w:tc>
          <w:tcPr>
            <w:tcW w:w="1074" w:type="dxa"/>
            <w:gridSpan w:val="2"/>
            <w:shd w:val="clear" w:color="auto" w:fill="D9D9D9" w:themeFill="background1" w:themeFillShade="D9"/>
            <w:vAlign w:val="center"/>
          </w:tcPr>
          <w:p w14:paraId="77F8ADB8"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r>
      <w:tr w:rsidR="00E6060C" w:rsidRPr="00E6060C" w14:paraId="622FFBDF" w14:textId="77777777" w:rsidTr="00E6060C">
        <w:trPr>
          <w:cantSplit/>
          <w:trHeight w:val="421"/>
          <w:jc w:val="center"/>
        </w:trPr>
        <w:tc>
          <w:tcPr>
            <w:tcW w:w="571" w:type="dxa"/>
            <w:shd w:val="clear" w:color="auto" w:fill="auto"/>
          </w:tcPr>
          <w:p w14:paraId="5CB64D2C"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21</w:t>
            </w:r>
          </w:p>
        </w:tc>
        <w:tc>
          <w:tcPr>
            <w:tcW w:w="2535" w:type="dxa"/>
            <w:gridSpan w:val="9"/>
            <w:shd w:val="clear" w:color="auto" w:fill="auto"/>
          </w:tcPr>
          <w:p w14:paraId="58BB7B3B" w14:textId="77777777" w:rsidR="00E6060C" w:rsidRPr="00E6060C" w:rsidRDefault="00E6060C" w:rsidP="00E6060C">
            <w:pPr>
              <w:contextualSpacing/>
              <w:rPr>
                <w:rFonts w:eastAsia="Times" w:cs="Times"/>
                <w:b/>
                <w:u w:val="single"/>
                <w:lang w:eastAsia="en-GB"/>
              </w:rPr>
            </w:pPr>
            <w:r w:rsidRPr="00E6060C">
              <w:rPr>
                <w:rFonts w:eastAsia="Times" w:cs="Times"/>
                <w:b/>
                <w:u w:val="single"/>
                <w:lang w:eastAsia="en-GB"/>
              </w:rPr>
              <w:t>Registered Nurses</w:t>
            </w:r>
            <w:r w:rsidRPr="00E6060C">
              <w:rPr>
                <w:rFonts w:eastAsia="Times" w:cs="Times"/>
                <w:b/>
                <w:lang w:eastAsia="en-GB"/>
              </w:rPr>
              <w:t xml:space="preserve"> How long have you been qualified?</w:t>
            </w:r>
          </w:p>
        </w:tc>
        <w:tc>
          <w:tcPr>
            <w:tcW w:w="1063" w:type="dxa"/>
            <w:gridSpan w:val="4"/>
            <w:shd w:val="clear" w:color="auto" w:fill="auto"/>
            <w:vAlign w:val="bottom"/>
          </w:tcPr>
          <w:p w14:paraId="2B737601" w14:textId="77777777" w:rsidR="00E6060C" w:rsidRPr="00E6060C" w:rsidRDefault="00E6060C" w:rsidP="00E6060C">
            <w:pPr>
              <w:contextualSpacing/>
              <w:jc w:val="center"/>
              <w:rPr>
                <w:rFonts w:eastAsia="Times" w:cs="Times"/>
                <w:lang w:eastAsia="en-GB"/>
              </w:rPr>
            </w:pPr>
            <w:r w:rsidRPr="00E6060C">
              <w:rPr>
                <w:rFonts w:eastAsia="Times" w:cs="Times"/>
                <w:lang w:eastAsia="en-GB"/>
              </w:rPr>
              <w:t>1 yr or less</w:t>
            </w:r>
          </w:p>
        </w:tc>
        <w:tc>
          <w:tcPr>
            <w:tcW w:w="1077" w:type="dxa"/>
            <w:gridSpan w:val="6"/>
            <w:shd w:val="clear" w:color="auto" w:fill="auto"/>
            <w:vAlign w:val="bottom"/>
          </w:tcPr>
          <w:p w14:paraId="0782C99A"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1249" w:type="dxa"/>
            <w:gridSpan w:val="4"/>
            <w:shd w:val="clear" w:color="auto" w:fill="auto"/>
            <w:vAlign w:val="bottom"/>
          </w:tcPr>
          <w:p w14:paraId="3F7CC621" w14:textId="77777777" w:rsidR="00E6060C" w:rsidRPr="00E6060C" w:rsidRDefault="00E6060C" w:rsidP="00E6060C">
            <w:pPr>
              <w:contextualSpacing/>
              <w:jc w:val="center"/>
              <w:rPr>
                <w:rFonts w:eastAsia="Times" w:cs="Times"/>
                <w:lang w:eastAsia="en-GB"/>
              </w:rPr>
            </w:pPr>
            <w:r w:rsidRPr="00E6060C">
              <w:rPr>
                <w:rFonts w:eastAsia="Times" w:cs="Times"/>
                <w:lang w:eastAsia="en-GB"/>
              </w:rPr>
              <w:t>2-5 yrs</w:t>
            </w:r>
          </w:p>
        </w:tc>
        <w:tc>
          <w:tcPr>
            <w:tcW w:w="1365" w:type="dxa"/>
            <w:gridSpan w:val="6"/>
            <w:shd w:val="clear" w:color="auto" w:fill="auto"/>
            <w:vAlign w:val="bottom"/>
          </w:tcPr>
          <w:p w14:paraId="30C9A7C5"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1133" w:type="dxa"/>
            <w:gridSpan w:val="6"/>
            <w:shd w:val="clear" w:color="auto" w:fill="auto"/>
            <w:vAlign w:val="bottom"/>
          </w:tcPr>
          <w:p w14:paraId="43360ADB" w14:textId="77777777" w:rsidR="00E6060C" w:rsidRPr="00E6060C" w:rsidRDefault="00E6060C" w:rsidP="00E6060C">
            <w:pPr>
              <w:contextualSpacing/>
              <w:jc w:val="center"/>
              <w:rPr>
                <w:rFonts w:eastAsia="Times" w:cs="Times"/>
                <w:lang w:eastAsia="en-GB"/>
              </w:rPr>
            </w:pPr>
            <w:r w:rsidRPr="00E6060C">
              <w:rPr>
                <w:rFonts w:eastAsia="Times" w:cs="Times"/>
                <w:lang w:eastAsia="en-GB"/>
              </w:rPr>
              <w:t>6-10 yrs</w:t>
            </w:r>
          </w:p>
        </w:tc>
        <w:tc>
          <w:tcPr>
            <w:tcW w:w="1708" w:type="dxa"/>
            <w:gridSpan w:val="4"/>
            <w:shd w:val="clear" w:color="auto" w:fill="auto"/>
            <w:vAlign w:val="bottom"/>
          </w:tcPr>
          <w:p w14:paraId="0B4B48AE"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r>
      <w:tr w:rsidR="00E6060C" w:rsidRPr="00E6060C" w14:paraId="6610B502" w14:textId="77777777" w:rsidTr="00E6060C">
        <w:trPr>
          <w:cantSplit/>
          <w:trHeight w:val="421"/>
          <w:jc w:val="center"/>
        </w:trPr>
        <w:tc>
          <w:tcPr>
            <w:tcW w:w="571" w:type="dxa"/>
            <w:shd w:val="clear" w:color="auto" w:fill="D9D9D9" w:themeFill="background1" w:themeFillShade="D9"/>
          </w:tcPr>
          <w:p w14:paraId="65DE90D9" w14:textId="77777777" w:rsidR="00E6060C" w:rsidRPr="00E6060C" w:rsidRDefault="00E6060C" w:rsidP="00E6060C">
            <w:pPr>
              <w:contextualSpacing/>
              <w:rPr>
                <w:rFonts w:eastAsia="Times" w:cs="Times New Roman"/>
                <w:b/>
                <w:lang w:eastAsia="en-GB"/>
              </w:rPr>
            </w:pPr>
          </w:p>
        </w:tc>
        <w:tc>
          <w:tcPr>
            <w:tcW w:w="2176" w:type="dxa"/>
            <w:gridSpan w:val="6"/>
            <w:shd w:val="clear" w:color="auto" w:fill="D9D9D9" w:themeFill="background1" w:themeFillShade="D9"/>
          </w:tcPr>
          <w:p w14:paraId="2667B1D2" w14:textId="77777777" w:rsidR="00E6060C" w:rsidRPr="00E6060C" w:rsidRDefault="00E6060C" w:rsidP="00E6060C">
            <w:pPr>
              <w:contextualSpacing/>
              <w:rPr>
                <w:rFonts w:eastAsia="Times" w:cs="Times"/>
                <w:lang w:eastAsia="en-GB"/>
              </w:rPr>
            </w:pPr>
          </w:p>
        </w:tc>
        <w:tc>
          <w:tcPr>
            <w:tcW w:w="1422" w:type="dxa"/>
            <w:gridSpan w:val="7"/>
            <w:shd w:val="clear" w:color="auto" w:fill="D9D9D9" w:themeFill="background1" w:themeFillShade="D9"/>
            <w:vAlign w:val="center"/>
          </w:tcPr>
          <w:p w14:paraId="731D88B9" w14:textId="77777777" w:rsidR="00E6060C" w:rsidRPr="00E6060C" w:rsidRDefault="00E6060C" w:rsidP="00E6060C">
            <w:pPr>
              <w:contextualSpacing/>
              <w:jc w:val="right"/>
              <w:rPr>
                <w:rFonts w:cs="Arial"/>
              </w:rPr>
            </w:pPr>
            <w:r w:rsidRPr="00E6060C">
              <w:rPr>
                <w:rFonts w:cs="Arial"/>
              </w:rPr>
              <w:t>11-15 yrs</w:t>
            </w:r>
          </w:p>
        </w:tc>
        <w:tc>
          <w:tcPr>
            <w:tcW w:w="1077" w:type="dxa"/>
            <w:gridSpan w:val="6"/>
            <w:shd w:val="clear" w:color="auto" w:fill="D9D9D9" w:themeFill="background1" w:themeFillShade="D9"/>
          </w:tcPr>
          <w:p w14:paraId="4F130D54" w14:textId="77777777" w:rsidR="00E6060C" w:rsidRPr="00E6060C" w:rsidRDefault="00E6060C" w:rsidP="00E6060C">
            <w:pPr>
              <w:contextualSpacing/>
              <w:rPr>
                <w:rFonts w:cs="Arial"/>
                <w:sz w:val="52"/>
                <w:szCs w:val="52"/>
              </w:rPr>
            </w:pPr>
            <w:r w:rsidRPr="00E6060C">
              <w:rPr>
                <w:rFonts w:ascii="Arial Narrow" w:hAnsi="Arial Narrow" w:cs="Arial"/>
                <w:sz w:val="52"/>
                <w:szCs w:val="52"/>
              </w:rPr>
              <w:sym w:font="Wingdings" w:char="F06F"/>
            </w:r>
          </w:p>
        </w:tc>
        <w:tc>
          <w:tcPr>
            <w:tcW w:w="1249" w:type="dxa"/>
            <w:gridSpan w:val="4"/>
            <w:shd w:val="clear" w:color="auto" w:fill="D9D9D9" w:themeFill="background1" w:themeFillShade="D9"/>
            <w:vAlign w:val="center"/>
          </w:tcPr>
          <w:p w14:paraId="28F32D8D" w14:textId="77777777" w:rsidR="00E6060C" w:rsidRPr="00E6060C" w:rsidRDefault="00E6060C" w:rsidP="00E6060C">
            <w:pPr>
              <w:contextualSpacing/>
              <w:jc w:val="right"/>
              <w:rPr>
                <w:rFonts w:cs="Arial"/>
              </w:rPr>
            </w:pPr>
            <w:r w:rsidRPr="00E6060C">
              <w:rPr>
                <w:rFonts w:cs="Arial"/>
              </w:rPr>
              <w:t xml:space="preserve">Over </w:t>
            </w:r>
          </w:p>
          <w:p w14:paraId="1427527E" w14:textId="77777777" w:rsidR="00E6060C" w:rsidRPr="00E6060C" w:rsidRDefault="00E6060C" w:rsidP="00E6060C">
            <w:pPr>
              <w:contextualSpacing/>
              <w:jc w:val="right"/>
              <w:rPr>
                <w:rFonts w:cs="Arial"/>
              </w:rPr>
            </w:pPr>
            <w:r w:rsidRPr="00E6060C">
              <w:rPr>
                <w:rFonts w:cs="Arial"/>
              </w:rPr>
              <w:t>15 yrs</w:t>
            </w:r>
          </w:p>
        </w:tc>
        <w:tc>
          <w:tcPr>
            <w:tcW w:w="1365" w:type="dxa"/>
            <w:gridSpan w:val="6"/>
            <w:shd w:val="clear" w:color="auto" w:fill="D9D9D9" w:themeFill="background1" w:themeFillShade="D9"/>
          </w:tcPr>
          <w:p w14:paraId="43945E33" w14:textId="77777777" w:rsidR="00E6060C" w:rsidRPr="00E6060C" w:rsidRDefault="00E6060C" w:rsidP="00E6060C">
            <w:pPr>
              <w:contextualSpacing/>
              <w:rPr>
                <w:rFonts w:cs="Arial"/>
                <w:sz w:val="52"/>
                <w:szCs w:val="52"/>
              </w:rPr>
            </w:pPr>
            <w:r w:rsidRPr="00E6060C">
              <w:rPr>
                <w:rFonts w:ascii="Arial Narrow" w:hAnsi="Arial Narrow" w:cs="Arial"/>
                <w:sz w:val="52"/>
                <w:szCs w:val="52"/>
              </w:rPr>
              <w:sym w:font="Wingdings" w:char="F06F"/>
            </w:r>
          </w:p>
        </w:tc>
        <w:tc>
          <w:tcPr>
            <w:tcW w:w="1133" w:type="dxa"/>
            <w:gridSpan w:val="6"/>
            <w:shd w:val="clear" w:color="auto" w:fill="D9D9D9" w:themeFill="background1" w:themeFillShade="D9"/>
          </w:tcPr>
          <w:p w14:paraId="2DEEADBC" w14:textId="77777777" w:rsidR="00E6060C" w:rsidRPr="00E6060C" w:rsidRDefault="00E6060C" w:rsidP="00E6060C">
            <w:pPr>
              <w:contextualSpacing/>
              <w:jc w:val="right"/>
              <w:rPr>
                <w:rFonts w:cs="Arial"/>
              </w:rPr>
            </w:pPr>
          </w:p>
        </w:tc>
        <w:tc>
          <w:tcPr>
            <w:tcW w:w="1708" w:type="dxa"/>
            <w:gridSpan w:val="4"/>
            <w:shd w:val="clear" w:color="auto" w:fill="D9D9D9" w:themeFill="background1" w:themeFillShade="D9"/>
          </w:tcPr>
          <w:p w14:paraId="388BCBA8" w14:textId="77777777" w:rsidR="00E6060C" w:rsidRPr="00E6060C" w:rsidRDefault="00E6060C" w:rsidP="00E6060C">
            <w:pPr>
              <w:contextualSpacing/>
              <w:rPr>
                <w:rFonts w:cs="Arial"/>
                <w:sz w:val="52"/>
                <w:szCs w:val="52"/>
              </w:rPr>
            </w:pPr>
          </w:p>
        </w:tc>
      </w:tr>
      <w:tr w:rsidR="00E6060C" w:rsidRPr="00E6060C" w14:paraId="537086E8" w14:textId="77777777" w:rsidTr="00E6060C">
        <w:trPr>
          <w:cantSplit/>
          <w:trHeight w:val="421"/>
          <w:jc w:val="center"/>
        </w:trPr>
        <w:tc>
          <w:tcPr>
            <w:tcW w:w="571" w:type="dxa"/>
            <w:shd w:val="clear" w:color="auto" w:fill="auto"/>
          </w:tcPr>
          <w:p w14:paraId="29FD0AC9"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22</w:t>
            </w:r>
          </w:p>
        </w:tc>
        <w:tc>
          <w:tcPr>
            <w:tcW w:w="2322" w:type="dxa"/>
            <w:gridSpan w:val="7"/>
            <w:shd w:val="clear" w:color="auto" w:fill="auto"/>
          </w:tcPr>
          <w:p w14:paraId="6B937A90" w14:textId="77777777" w:rsidR="00E6060C" w:rsidRPr="00E6060C" w:rsidRDefault="00E6060C" w:rsidP="00E6060C">
            <w:pPr>
              <w:contextualSpacing/>
              <w:rPr>
                <w:rFonts w:eastAsia="Times" w:cs="Times"/>
                <w:b/>
                <w:lang w:eastAsia="en-GB"/>
              </w:rPr>
            </w:pPr>
            <w:r w:rsidRPr="00E6060C">
              <w:rPr>
                <w:rFonts w:eastAsia="Times" w:cs="Times"/>
                <w:b/>
                <w:lang w:eastAsia="en-GB"/>
              </w:rPr>
              <w:t>What is your highest level of qualification?</w:t>
            </w:r>
          </w:p>
        </w:tc>
        <w:tc>
          <w:tcPr>
            <w:tcW w:w="1276" w:type="dxa"/>
            <w:gridSpan w:val="6"/>
            <w:shd w:val="clear" w:color="auto" w:fill="auto"/>
          </w:tcPr>
          <w:p w14:paraId="13D1D356" w14:textId="77777777" w:rsidR="00E6060C" w:rsidRPr="00E6060C" w:rsidRDefault="00E6060C" w:rsidP="00E6060C">
            <w:pPr>
              <w:contextualSpacing/>
              <w:jc w:val="right"/>
              <w:rPr>
                <w:rFonts w:eastAsia="Times" w:cs="Times"/>
                <w:bCs/>
                <w:lang w:eastAsia="en-GB"/>
              </w:rPr>
            </w:pPr>
            <w:r w:rsidRPr="00E6060C">
              <w:rPr>
                <w:rFonts w:eastAsia="Times" w:cs="Times"/>
                <w:bCs/>
                <w:lang w:eastAsia="en-GB"/>
              </w:rPr>
              <w:t>GCSE</w:t>
            </w:r>
          </w:p>
        </w:tc>
        <w:tc>
          <w:tcPr>
            <w:tcW w:w="1077" w:type="dxa"/>
            <w:gridSpan w:val="6"/>
            <w:shd w:val="clear" w:color="auto" w:fill="auto"/>
          </w:tcPr>
          <w:p w14:paraId="73A548CE" w14:textId="77777777" w:rsidR="00E6060C" w:rsidRPr="00E6060C" w:rsidRDefault="00E6060C" w:rsidP="00E6060C">
            <w:pPr>
              <w:contextualSpacing/>
              <w:rPr>
                <w:rFonts w:eastAsia="Times" w:cs="Times"/>
                <w:bCs/>
                <w:lang w:eastAsia="en-GB"/>
              </w:rPr>
            </w:pPr>
            <w:r w:rsidRPr="00E6060C">
              <w:rPr>
                <w:rFonts w:ascii="Arial Narrow" w:hAnsi="Arial Narrow" w:cs="Arial"/>
                <w:bCs/>
                <w:sz w:val="52"/>
                <w:szCs w:val="52"/>
              </w:rPr>
              <w:sym w:font="Wingdings" w:char="F06F"/>
            </w:r>
          </w:p>
        </w:tc>
        <w:tc>
          <w:tcPr>
            <w:tcW w:w="1249" w:type="dxa"/>
            <w:gridSpan w:val="4"/>
            <w:shd w:val="clear" w:color="auto" w:fill="auto"/>
          </w:tcPr>
          <w:p w14:paraId="26E6FA61" w14:textId="77777777" w:rsidR="00E6060C" w:rsidRPr="00E6060C" w:rsidRDefault="00E6060C" w:rsidP="00E6060C">
            <w:pPr>
              <w:contextualSpacing/>
              <w:jc w:val="right"/>
              <w:rPr>
                <w:rFonts w:eastAsia="Times" w:cs="Times"/>
                <w:lang w:eastAsia="en-GB"/>
              </w:rPr>
            </w:pPr>
            <w:r w:rsidRPr="00E6060C">
              <w:rPr>
                <w:rFonts w:eastAsia="Times" w:cs="Times"/>
                <w:lang w:eastAsia="en-GB"/>
              </w:rPr>
              <w:t>A-Level</w:t>
            </w:r>
          </w:p>
        </w:tc>
        <w:tc>
          <w:tcPr>
            <w:tcW w:w="1006" w:type="dxa"/>
            <w:gridSpan w:val="5"/>
            <w:shd w:val="clear" w:color="auto" w:fill="auto"/>
          </w:tcPr>
          <w:p w14:paraId="06201250"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1492" w:type="dxa"/>
            <w:gridSpan w:val="7"/>
            <w:shd w:val="clear" w:color="auto" w:fill="auto"/>
          </w:tcPr>
          <w:p w14:paraId="176B4DF3" w14:textId="77777777" w:rsidR="00E6060C" w:rsidRPr="00E6060C" w:rsidRDefault="00E6060C" w:rsidP="00E6060C">
            <w:pPr>
              <w:contextualSpacing/>
              <w:jc w:val="right"/>
              <w:rPr>
                <w:rFonts w:eastAsia="Times" w:cs="Times"/>
                <w:lang w:eastAsia="en-GB"/>
              </w:rPr>
            </w:pPr>
            <w:r w:rsidRPr="00E6060C">
              <w:rPr>
                <w:rFonts w:eastAsia="Times" w:cs="Times"/>
                <w:lang w:eastAsia="en-GB"/>
              </w:rPr>
              <w:t>NVQ or equivalent</w:t>
            </w:r>
          </w:p>
        </w:tc>
        <w:tc>
          <w:tcPr>
            <w:tcW w:w="1708" w:type="dxa"/>
            <w:gridSpan w:val="4"/>
            <w:shd w:val="clear" w:color="auto" w:fill="auto"/>
          </w:tcPr>
          <w:p w14:paraId="0A9A1050"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r>
      <w:tr w:rsidR="00E6060C" w:rsidRPr="00E6060C" w14:paraId="4B143CAC" w14:textId="77777777" w:rsidTr="00E6060C">
        <w:trPr>
          <w:cantSplit/>
          <w:trHeight w:val="421"/>
          <w:jc w:val="center"/>
        </w:trPr>
        <w:tc>
          <w:tcPr>
            <w:tcW w:w="571" w:type="dxa"/>
            <w:shd w:val="clear" w:color="auto" w:fill="D9D9D9" w:themeFill="background1" w:themeFillShade="D9"/>
          </w:tcPr>
          <w:p w14:paraId="1EF454D0" w14:textId="77777777" w:rsidR="00E6060C" w:rsidRPr="00E6060C" w:rsidRDefault="00E6060C" w:rsidP="00E6060C">
            <w:pPr>
              <w:contextualSpacing/>
              <w:rPr>
                <w:rFonts w:eastAsia="Times" w:cs="Times New Roman"/>
                <w:bCs/>
                <w:lang w:eastAsia="en-GB"/>
              </w:rPr>
            </w:pPr>
          </w:p>
        </w:tc>
        <w:tc>
          <w:tcPr>
            <w:tcW w:w="2176" w:type="dxa"/>
            <w:gridSpan w:val="6"/>
            <w:shd w:val="clear" w:color="auto" w:fill="D9D9D9" w:themeFill="background1" w:themeFillShade="D9"/>
          </w:tcPr>
          <w:p w14:paraId="1E6683EF" w14:textId="77777777" w:rsidR="00E6060C" w:rsidRPr="00E6060C" w:rsidRDefault="00E6060C" w:rsidP="00E6060C">
            <w:pPr>
              <w:contextualSpacing/>
              <w:rPr>
                <w:rFonts w:eastAsia="Times" w:cs="Times"/>
                <w:bCs/>
                <w:lang w:eastAsia="en-GB"/>
              </w:rPr>
            </w:pPr>
          </w:p>
        </w:tc>
        <w:tc>
          <w:tcPr>
            <w:tcW w:w="1428" w:type="dxa"/>
            <w:gridSpan w:val="8"/>
            <w:shd w:val="clear" w:color="auto" w:fill="D9D9D9" w:themeFill="background1" w:themeFillShade="D9"/>
          </w:tcPr>
          <w:p w14:paraId="5DE02F87" w14:textId="77777777" w:rsidR="00E6060C" w:rsidRPr="00E6060C" w:rsidRDefault="00E6060C" w:rsidP="00E6060C">
            <w:pPr>
              <w:contextualSpacing/>
              <w:jc w:val="right"/>
              <w:rPr>
                <w:rFonts w:eastAsia="Times" w:cs="Times"/>
                <w:bCs/>
                <w:lang w:eastAsia="en-GB"/>
              </w:rPr>
            </w:pPr>
            <w:r w:rsidRPr="00E6060C">
              <w:rPr>
                <w:rFonts w:eastAsia="Times" w:cs="Times"/>
                <w:lang w:eastAsia="en-GB"/>
              </w:rPr>
              <w:t>Diploma</w:t>
            </w:r>
          </w:p>
        </w:tc>
        <w:tc>
          <w:tcPr>
            <w:tcW w:w="851" w:type="dxa"/>
            <w:gridSpan w:val="2"/>
            <w:shd w:val="clear" w:color="auto" w:fill="D9D9D9" w:themeFill="background1" w:themeFillShade="D9"/>
          </w:tcPr>
          <w:p w14:paraId="7C8C47B9"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1469" w:type="dxa"/>
            <w:gridSpan w:val="7"/>
            <w:shd w:val="clear" w:color="auto" w:fill="D9D9D9" w:themeFill="background1" w:themeFillShade="D9"/>
          </w:tcPr>
          <w:p w14:paraId="2CA883D0" w14:textId="77777777" w:rsidR="00E6060C" w:rsidRPr="00E6060C" w:rsidRDefault="00E6060C" w:rsidP="00E6060C">
            <w:pPr>
              <w:contextualSpacing/>
              <w:jc w:val="right"/>
              <w:rPr>
                <w:rFonts w:eastAsia="Times" w:cs="Times"/>
                <w:lang w:eastAsia="en-GB"/>
              </w:rPr>
            </w:pPr>
            <w:r w:rsidRPr="00E6060C">
              <w:rPr>
                <w:rFonts w:eastAsia="Times" w:cs="Times"/>
                <w:bCs/>
                <w:lang w:eastAsia="en-GB"/>
              </w:rPr>
              <w:t>Degree</w:t>
            </w:r>
          </w:p>
        </w:tc>
        <w:tc>
          <w:tcPr>
            <w:tcW w:w="1006" w:type="dxa"/>
            <w:gridSpan w:val="5"/>
            <w:shd w:val="clear" w:color="auto" w:fill="D9D9D9" w:themeFill="background1" w:themeFillShade="D9"/>
          </w:tcPr>
          <w:p w14:paraId="57D582ED"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1492" w:type="dxa"/>
            <w:gridSpan w:val="7"/>
            <w:shd w:val="clear" w:color="auto" w:fill="D9D9D9" w:themeFill="background1" w:themeFillShade="D9"/>
          </w:tcPr>
          <w:p w14:paraId="350C9910" w14:textId="77777777" w:rsidR="00E6060C" w:rsidRPr="00E6060C" w:rsidRDefault="00E6060C" w:rsidP="00E6060C">
            <w:pPr>
              <w:contextualSpacing/>
              <w:jc w:val="right"/>
              <w:rPr>
                <w:rFonts w:eastAsia="Times" w:cs="Times"/>
                <w:lang w:eastAsia="en-GB"/>
              </w:rPr>
            </w:pPr>
            <w:r w:rsidRPr="00E6060C">
              <w:rPr>
                <w:rFonts w:eastAsia="Times" w:cs="Times"/>
                <w:lang w:eastAsia="en-GB"/>
              </w:rPr>
              <w:t>Postgraduate degree</w:t>
            </w:r>
          </w:p>
        </w:tc>
        <w:tc>
          <w:tcPr>
            <w:tcW w:w="1708" w:type="dxa"/>
            <w:gridSpan w:val="4"/>
            <w:shd w:val="clear" w:color="auto" w:fill="D9D9D9" w:themeFill="background1" w:themeFillShade="D9"/>
          </w:tcPr>
          <w:p w14:paraId="3F58C1EB"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r>
      <w:tr w:rsidR="00E6060C" w:rsidRPr="00E6060C" w14:paraId="14AEDFDE" w14:textId="77777777" w:rsidTr="00E6060C">
        <w:trPr>
          <w:cantSplit/>
          <w:trHeight w:val="421"/>
          <w:jc w:val="center"/>
        </w:trPr>
        <w:tc>
          <w:tcPr>
            <w:tcW w:w="571" w:type="dxa"/>
            <w:shd w:val="clear" w:color="auto" w:fill="auto"/>
          </w:tcPr>
          <w:p w14:paraId="62686654" w14:textId="77777777" w:rsidR="00E6060C" w:rsidRPr="00E6060C" w:rsidRDefault="00E6060C" w:rsidP="00E6060C">
            <w:pPr>
              <w:contextualSpacing/>
              <w:rPr>
                <w:rFonts w:eastAsia="Times" w:cs="Times New Roman"/>
                <w:bCs/>
                <w:lang w:eastAsia="en-GB"/>
              </w:rPr>
            </w:pPr>
          </w:p>
        </w:tc>
        <w:tc>
          <w:tcPr>
            <w:tcW w:w="2031" w:type="dxa"/>
            <w:gridSpan w:val="5"/>
            <w:shd w:val="clear" w:color="auto" w:fill="auto"/>
          </w:tcPr>
          <w:p w14:paraId="5A2A882B" w14:textId="77777777" w:rsidR="00E6060C" w:rsidRPr="00E6060C" w:rsidRDefault="00E6060C" w:rsidP="00E6060C">
            <w:pPr>
              <w:contextualSpacing/>
              <w:rPr>
                <w:rFonts w:eastAsia="Times" w:cs="Times"/>
                <w:bCs/>
                <w:lang w:eastAsia="en-GB"/>
              </w:rPr>
            </w:pPr>
          </w:p>
        </w:tc>
        <w:tc>
          <w:tcPr>
            <w:tcW w:w="1567" w:type="dxa"/>
            <w:gridSpan w:val="8"/>
            <w:shd w:val="clear" w:color="auto" w:fill="auto"/>
          </w:tcPr>
          <w:p w14:paraId="2CB6C9CA" w14:textId="77777777" w:rsidR="00E6060C" w:rsidRPr="00E6060C" w:rsidRDefault="00E6060C" w:rsidP="00E6060C">
            <w:pPr>
              <w:contextualSpacing/>
              <w:jc w:val="right"/>
              <w:rPr>
                <w:rFonts w:eastAsia="Times" w:cs="Times"/>
                <w:bCs/>
                <w:lang w:eastAsia="en-GB"/>
              </w:rPr>
            </w:pPr>
            <w:r w:rsidRPr="00E6060C">
              <w:rPr>
                <w:rFonts w:eastAsia="Times" w:cs="Times"/>
                <w:bCs/>
                <w:lang w:eastAsia="en-GB"/>
              </w:rPr>
              <w:t xml:space="preserve">If other, </w:t>
            </w:r>
          </w:p>
          <w:p w14:paraId="7B6820FF" w14:textId="77777777" w:rsidR="00E6060C" w:rsidRPr="00E6060C" w:rsidRDefault="00E6060C" w:rsidP="00E6060C">
            <w:pPr>
              <w:contextualSpacing/>
              <w:jc w:val="right"/>
              <w:rPr>
                <w:rFonts w:eastAsia="Times" w:cs="Times"/>
                <w:bCs/>
                <w:lang w:eastAsia="en-GB"/>
              </w:rPr>
            </w:pPr>
            <w:r w:rsidRPr="00E6060C">
              <w:rPr>
                <w:rFonts w:eastAsia="Times" w:cs="Times"/>
                <w:bCs/>
                <w:lang w:eastAsia="en-GB"/>
              </w:rPr>
              <w:t>please state</w:t>
            </w:r>
          </w:p>
        </w:tc>
        <w:tc>
          <w:tcPr>
            <w:tcW w:w="6532" w:type="dxa"/>
            <w:gridSpan w:val="26"/>
            <w:shd w:val="clear" w:color="auto" w:fill="auto"/>
          </w:tcPr>
          <w:p w14:paraId="64C6D5F0" w14:textId="77777777" w:rsidR="00E6060C" w:rsidRPr="00E6060C" w:rsidRDefault="00E6060C" w:rsidP="00E6060C">
            <w:pPr>
              <w:contextualSpacing/>
              <w:rPr>
                <w:rFonts w:eastAsia="Times" w:cs="Times"/>
                <w:bCs/>
                <w:lang w:eastAsia="en-GB"/>
              </w:rPr>
            </w:pPr>
          </w:p>
          <w:p w14:paraId="3B0A4968" w14:textId="77777777" w:rsidR="00E6060C" w:rsidRPr="00E6060C" w:rsidRDefault="00E6060C" w:rsidP="00E6060C">
            <w:pPr>
              <w:contextualSpacing/>
              <w:rPr>
                <w:rFonts w:eastAsia="Times" w:cs="Times"/>
                <w:bCs/>
                <w:lang w:eastAsia="en-GB"/>
              </w:rPr>
            </w:pPr>
            <w:r w:rsidRPr="00E6060C">
              <w:rPr>
                <w:rFonts w:eastAsia="Times" w:cs="Times"/>
                <w:bCs/>
                <w:lang w:eastAsia="en-GB"/>
              </w:rPr>
              <w:t>…………………………………………………………………...</w:t>
            </w:r>
          </w:p>
        </w:tc>
      </w:tr>
      <w:tr w:rsidR="00E6060C" w:rsidRPr="00E6060C" w14:paraId="04D3BEE8" w14:textId="77777777" w:rsidTr="00E6060C">
        <w:trPr>
          <w:cantSplit/>
          <w:trHeight w:val="354"/>
          <w:jc w:val="center"/>
        </w:trPr>
        <w:tc>
          <w:tcPr>
            <w:tcW w:w="571" w:type="dxa"/>
            <w:shd w:val="clear" w:color="auto" w:fill="D9D9D9" w:themeFill="background1" w:themeFillShade="D9"/>
            <w:vAlign w:val="center"/>
          </w:tcPr>
          <w:p w14:paraId="13CF0D43"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23</w:t>
            </w:r>
          </w:p>
        </w:tc>
        <w:tc>
          <w:tcPr>
            <w:tcW w:w="2895" w:type="dxa"/>
            <w:gridSpan w:val="11"/>
            <w:shd w:val="clear" w:color="auto" w:fill="D9D9D9" w:themeFill="background1" w:themeFillShade="D9"/>
            <w:vAlign w:val="center"/>
          </w:tcPr>
          <w:p w14:paraId="093C6D01" w14:textId="77777777" w:rsidR="00E6060C" w:rsidRPr="00E6060C" w:rsidRDefault="00E6060C" w:rsidP="00E6060C">
            <w:pPr>
              <w:contextualSpacing/>
              <w:rPr>
                <w:rFonts w:eastAsia="Times" w:cs="Times"/>
                <w:b/>
                <w:lang w:eastAsia="en-GB"/>
              </w:rPr>
            </w:pPr>
            <w:r w:rsidRPr="00E6060C">
              <w:rPr>
                <w:rFonts w:eastAsia="Times" w:cs="Times"/>
                <w:b/>
                <w:lang w:eastAsia="en-GB"/>
              </w:rPr>
              <w:t xml:space="preserve">Do you manage other staff? </w:t>
            </w:r>
          </w:p>
        </w:tc>
        <w:tc>
          <w:tcPr>
            <w:tcW w:w="709" w:type="dxa"/>
            <w:gridSpan w:val="3"/>
            <w:shd w:val="clear" w:color="auto" w:fill="D9D9D9" w:themeFill="background1" w:themeFillShade="D9"/>
            <w:vAlign w:val="center"/>
          </w:tcPr>
          <w:p w14:paraId="6E2E7289" w14:textId="77777777" w:rsidR="00E6060C" w:rsidRPr="00E6060C" w:rsidRDefault="00E6060C" w:rsidP="00E6060C">
            <w:pPr>
              <w:contextualSpacing/>
              <w:jc w:val="right"/>
              <w:rPr>
                <w:rFonts w:eastAsia="Times" w:cs="Times"/>
                <w:bCs/>
                <w:lang w:eastAsia="en-GB"/>
              </w:rPr>
            </w:pPr>
            <w:r w:rsidRPr="00E6060C">
              <w:rPr>
                <w:rFonts w:eastAsia="Times" w:cs="Times"/>
                <w:bCs/>
                <w:lang w:eastAsia="en-GB"/>
              </w:rPr>
              <w:t>Yes</w:t>
            </w:r>
          </w:p>
        </w:tc>
        <w:tc>
          <w:tcPr>
            <w:tcW w:w="972" w:type="dxa"/>
            <w:gridSpan w:val="4"/>
            <w:shd w:val="clear" w:color="auto" w:fill="D9D9D9" w:themeFill="background1" w:themeFillShade="D9"/>
            <w:vAlign w:val="center"/>
          </w:tcPr>
          <w:p w14:paraId="06ECF44C"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1296" w:type="dxa"/>
            <w:gridSpan w:val="4"/>
            <w:shd w:val="clear" w:color="auto" w:fill="D9D9D9" w:themeFill="background1" w:themeFillShade="D9"/>
            <w:vAlign w:val="center"/>
          </w:tcPr>
          <w:p w14:paraId="4B64CB45" w14:textId="77777777" w:rsidR="00E6060C" w:rsidRPr="00E6060C" w:rsidRDefault="00E6060C" w:rsidP="00E6060C">
            <w:pPr>
              <w:contextualSpacing/>
              <w:jc w:val="right"/>
              <w:rPr>
                <w:rFonts w:eastAsia="Times" w:cs="Times"/>
                <w:lang w:eastAsia="en-GB"/>
              </w:rPr>
            </w:pPr>
            <w:r w:rsidRPr="00E6060C">
              <w:rPr>
                <w:rFonts w:eastAsia="Times" w:cs="Times"/>
                <w:lang w:eastAsia="en-GB"/>
              </w:rPr>
              <w:t>No</w:t>
            </w:r>
          </w:p>
        </w:tc>
        <w:tc>
          <w:tcPr>
            <w:tcW w:w="2100" w:type="dxa"/>
            <w:gridSpan w:val="10"/>
            <w:shd w:val="clear" w:color="auto" w:fill="D9D9D9" w:themeFill="background1" w:themeFillShade="D9"/>
          </w:tcPr>
          <w:p w14:paraId="74D6F0BA"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2158" w:type="dxa"/>
            <w:gridSpan w:val="7"/>
            <w:shd w:val="clear" w:color="auto" w:fill="D9D9D9" w:themeFill="background1" w:themeFillShade="D9"/>
          </w:tcPr>
          <w:p w14:paraId="74DE0787" w14:textId="77777777" w:rsidR="00E6060C" w:rsidRPr="00E6060C" w:rsidRDefault="00E6060C" w:rsidP="00E6060C">
            <w:pPr>
              <w:contextualSpacing/>
              <w:rPr>
                <w:rFonts w:eastAsia="Times" w:cs="Times"/>
                <w:lang w:eastAsia="en-GB"/>
              </w:rPr>
            </w:pPr>
          </w:p>
        </w:tc>
      </w:tr>
      <w:tr w:rsidR="00E6060C" w:rsidRPr="00E6060C" w14:paraId="2AE64EC8" w14:textId="77777777" w:rsidTr="00E6060C">
        <w:trPr>
          <w:cantSplit/>
          <w:trHeight w:val="638"/>
          <w:jc w:val="center"/>
        </w:trPr>
        <w:tc>
          <w:tcPr>
            <w:tcW w:w="571" w:type="dxa"/>
            <w:shd w:val="clear" w:color="auto" w:fill="auto"/>
          </w:tcPr>
          <w:p w14:paraId="4A4F7D4F"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24</w:t>
            </w:r>
          </w:p>
        </w:tc>
        <w:tc>
          <w:tcPr>
            <w:tcW w:w="2727" w:type="dxa"/>
            <w:gridSpan w:val="10"/>
            <w:shd w:val="clear" w:color="auto" w:fill="auto"/>
          </w:tcPr>
          <w:p w14:paraId="66870DEC" w14:textId="77777777" w:rsidR="00E6060C" w:rsidRPr="00E6060C" w:rsidRDefault="00E6060C" w:rsidP="00E6060C">
            <w:pPr>
              <w:contextualSpacing/>
              <w:rPr>
                <w:rFonts w:eastAsia="Times" w:cs="Times"/>
                <w:b/>
                <w:lang w:eastAsia="en-GB"/>
              </w:rPr>
            </w:pPr>
            <w:r w:rsidRPr="00E6060C">
              <w:rPr>
                <w:rFonts w:eastAsia="Times" w:cs="Times"/>
                <w:b/>
                <w:lang w:eastAsia="en-GB"/>
              </w:rPr>
              <w:t>Do you work full time or part time?</w:t>
            </w:r>
          </w:p>
        </w:tc>
        <w:tc>
          <w:tcPr>
            <w:tcW w:w="877" w:type="dxa"/>
            <w:gridSpan w:val="4"/>
            <w:shd w:val="clear" w:color="auto" w:fill="auto"/>
          </w:tcPr>
          <w:p w14:paraId="662E08D9" w14:textId="77777777" w:rsidR="00E6060C" w:rsidRPr="00E6060C" w:rsidRDefault="00E6060C" w:rsidP="00E6060C">
            <w:pPr>
              <w:contextualSpacing/>
              <w:jc w:val="right"/>
              <w:rPr>
                <w:rFonts w:eastAsia="Times" w:cs="Times"/>
                <w:bCs/>
                <w:lang w:eastAsia="en-GB"/>
              </w:rPr>
            </w:pPr>
            <w:r w:rsidRPr="00E6060C">
              <w:rPr>
                <w:rFonts w:eastAsia="Times" w:cs="Times"/>
                <w:bCs/>
                <w:lang w:eastAsia="en-GB"/>
              </w:rPr>
              <w:t>Full time</w:t>
            </w:r>
          </w:p>
        </w:tc>
        <w:tc>
          <w:tcPr>
            <w:tcW w:w="972" w:type="dxa"/>
            <w:gridSpan w:val="4"/>
            <w:shd w:val="clear" w:color="auto" w:fill="auto"/>
          </w:tcPr>
          <w:p w14:paraId="0F165F2D" w14:textId="77777777" w:rsidR="00E6060C" w:rsidRPr="00E6060C" w:rsidRDefault="00E6060C" w:rsidP="00E6060C">
            <w:pPr>
              <w:ind w:right="520"/>
              <w:contextualSpacing/>
              <w:jc w:val="right"/>
              <w:rPr>
                <w:rFonts w:eastAsia="Times" w:cs="Times"/>
                <w:lang w:eastAsia="en-GB"/>
              </w:rPr>
            </w:pPr>
            <w:r w:rsidRPr="00E6060C">
              <w:rPr>
                <w:rFonts w:ascii="Arial Narrow" w:hAnsi="Arial Narrow" w:cs="Arial"/>
                <w:sz w:val="52"/>
                <w:szCs w:val="52"/>
              </w:rPr>
              <w:sym w:font="Wingdings" w:char="F06F"/>
            </w:r>
          </w:p>
        </w:tc>
        <w:tc>
          <w:tcPr>
            <w:tcW w:w="1296" w:type="dxa"/>
            <w:gridSpan w:val="4"/>
            <w:shd w:val="clear" w:color="auto" w:fill="auto"/>
          </w:tcPr>
          <w:p w14:paraId="684DFBDD" w14:textId="77777777" w:rsidR="00E6060C" w:rsidRPr="00E6060C" w:rsidRDefault="00E6060C" w:rsidP="00E6060C">
            <w:pPr>
              <w:contextualSpacing/>
              <w:jc w:val="right"/>
              <w:rPr>
                <w:rFonts w:eastAsia="Times" w:cs="Times"/>
                <w:lang w:eastAsia="en-GB"/>
              </w:rPr>
            </w:pPr>
            <w:r w:rsidRPr="00E6060C">
              <w:rPr>
                <w:rFonts w:eastAsia="Times" w:cs="Times"/>
                <w:lang w:eastAsia="en-GB"/>
              </w:rPr>
              <w:t>Part time</w:t>
            </w:r>
          </w:p>
        </w:tc>
        <w:tc>
          <w:tcPr>
            <w:tcW w:w="709" w:type="dxa"/>
            <w:gridSpan w:val="3"/>
            <w:shd w:val="clear" w:color="auto" w:fill="auto"/>
          </w:tcPr>
          <w:p w14:paraId="12C4482C" w14:textId="77777777" w:rsidR="00E6060C" w:rsidRPr="00E6060C" w:rsidRDefault="00E6060C" w:rsidP="00E6060C">
            <w:pPr>
              <w:contextualSpacing/>
              <w:rPr>
                <w:rFonts w:eastAsia="Times" w:cs="Times"/>
                <w:lang w:eastAsia="en-GB"/>
              </w:rPr>
            </w:pPr>
            <w:r w:rsidRPr="00E6060C">
              <w:rPr>
                <w:rFonts w:ascii="Arial Narrow" w:hAnsi="Arial Narrow" w:cs="Arial"/>
                <w:sz w:val="52"/>
                <w:szCs w:val="52"/>
              </w:rPr>
              <w:sym w:font="Wingdings" w:char="F06F"/>
            </w:r>
          </w:p>
        </w:tc>
        <w:tc>
          <w:tcPr>
            <w:tcW w:w="3549" w:type="dxa"/>
            <w:gridSpan w:val="14"/>
            <w:shd w:val="clear" w:color="auto" w:fill="auto"/>
          </w:tcPr>
          <w:p w14:paraId="0F116F44" w14:textId="77777777" w:rsidR="00E6060C" w:rsidRPr="00E6060C" w:rsidRDefault="00E6060C" w:rsidP="00E6060C">
            <w:pPr>
              <w:contextualSpacing/>
              <w:rPr>
                <w:rFonts w:eastAsia="Times" w:cs="Times"/>
                <w:lang w:eastAsia="en-GB"/>
              </w:rPr>
            </w:pPr>
          </w:p>
        </w:tc>
      </w:tr>
      <w:tr w:rsidR="00E6060C" w:rsidRPr="00E6060C" w14:paraId="6A1B261E" w14:textId="77777777" w:rsidTr="00E6060C">
        <w:trPr>
          <w:cantSplit/>
          <w:trHeight w:val="409"/>
          <w:jc w:val="center"/>
        </w:trPr>
        <w:tc>
          <w:tcPr>
            <w:tcW w:w="571" w:type="dxa"/>
            <w:shd w:val="clear" w:color="auto" w:fill="D9D9D9" w:themeFill="background1" w:themeFillShade="D9"/>
            <w:vAlign w:val="center"/>
          </w:tcPr>
          <w:p w14:paraId="606928A5"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t>25</w:t>
            </w:r>
          </w:p>
        </w:tc>
        <w:tc>
          <w:tcPr>
            <w:tcW w:w="3604" w:type="dxa"/>
            <w:gridSpan w:val="14"/>
            <w:shd w:val="clear" w:color="auto" w:fill="D9D9D9" w:themeFill="background1" w:themeFillShade="D9"/>
            <w:vAlign w:val="center"/>
          </w:tcPr>
          <w:p w14:paraId="3D49218D" w14:textId="77777777" w:rsidR="00E6060C" w:rsidRPr="00E6060C" w:rsidRDefault="00E6060C" w:rsidP="00E6060C">
            <w:pPr>
              <w:contextualSpacing/>
              <w:rPr>
                <w:rFonts w:eastAsia="Times" w:cs="Times"/>
                <w:b/>
                <w:lang w:eastAsia="en-GB"/>
              </w:rPr>
            </w:pPr>
            <w:r w:rsidRPr="00E6060C">
              <w:rPr>
                <w:rFonts w:eastAsia="Times" w:cs="Times"/>
                <w:b/>
                <w:lang w:eastAsia="en-GB"/>
              </w:rPr>
              <w:t>How long have you worked on this ward?</w:t>
            </w:r>
          </w:p>
        </w:tc>
        <w:tc>
          <w:tcPr>
            <w:tcW w:w="3105" w:type="dxa"/>
            <w:gridSpan w:val="13"/>
            <w:shd w:val="clear" w:color="auto" w:fill="D9D9D9" w:themeFill="background1" w:themeFillShade="D9"/>
            <w:vAlign w:val="center"/>
          </w:tcPr>
          <w:p w14:paraId="3998EF5F" w14:textId="77777777" w:rsidR="00E6060C" w:rsidRPr="00E6060C" w:rsidRDefault="00E6060C" w:rsidP="00E6060C">
            <w:pPr>
              <w:contextualSpacing/>
              <w:rPr>
                <w:rFonts w:eastAsia="Times" w:cs="Times"/>
                <w:lang w:eastAsia="en-GB"/>
              </w:rPr>
            </w:pPr>
            <w:r w:rsidRPr="00E6060C">
              <w:rPr>
                <w:rFonts w:eastAsia="Times" w:cs="Times"/>
                <w:u w:val="single"/>
                <w:lang w:eastAsia="en-GB"/>
              </w:rPr>
              <w:tab/>
            </w:r>
            <w:r w:rsidRPr="00E6060C">
              <w:rPr>
                <w:rFonts w:eastAsia="Times" w:cs="Times"/>
                <w:u w:val="single"/>
                <w:lang w:eastAsia="en-GB"/>
              </w:rPr>
              <w:tab/>
            </w:r>
            <w:r w:rsidRPr="00E6060C">
              <w:rPr>
                <w:rFonts w:eastAsia="Times" w:cs="Times"/>
                <w:lang w:eastAsia="en-GB"/>
              </w:rPr>
              <w:t>years</w:t>
            </w:r>
          </w:p>
        </w:tc>
        <w:tc>
          <w:tcPr>
            <w:tcW w:w="3421" w:type="dxa"/>
            <w:gridSpan w:val="12"/>
            <w:shd w:val="clear" w:color="auto" w:fill="D9D9D9" w:themeFill="background1" w:themeFillShade="D9"/>
            <w:vAlign w:val="center"/>
          </w:tcPr>
          <w:p w14:paraId="3B23DE7D" w14:textId="77777777" w:rsidR="00E6060C" w:rsidRPr="00E6060C" w:rsidRDefault="00E6060C" w:rsidP="00E6060C">
            <w:pPr>
              <w:contextualSpacing/>
              <w:rPr>
                <w:rFonts w:eastAsia="Times" w:cs="Times"/>
                <w:b/>
                <w:bCs/>
                <w:lang w:eastAsia="en-GB"/>
              </w:rPr>
            </w:pPr>
            <w:r w:rsidRPr="00E6060C">
              <w:rPr>
                <w:rFonts w:eastAsia="Times" w:cs="Times"/>
                <w:u w:val="single"/>
                <w:lang w:eastAsia="en-GB"/>
              </w:rPr>
              <w:tab/>
            </w:r>
            <w:r w:rsidRPr="00E6060C">
              <w:rPr>
                <w:rFonts w:eastAsia="Times" w:cs="Times"/>
                <w:u w:val="single"/>
                <w:lang w:eastAsia="en-GB"/>
              </w:rPr>
              <w:tab/>
            </w:r>
            <w:r w:rsidRPr="00E6060C">
              <w:rPr>
                <w:rFonts w:eastAsia="Times" w:cs="Times"/>
                <w:lang w:eastAsia="en-GB"/>
              </w:rPr>
              <w:t>months</w:t>
            </w:r>
          </w:p>
        </w:tc>
      </w:tr>
      <w:tr w:rsidR="00E6060C" w:rsidRPr="00E6060C" w14:paraId="5C0425F0" w14:textId="77777777" w:rsidTr="00E6060C">
        <w:trPr>
          <w:cantSplit/>
          <w:trHeight w:val="423"/>
          <w:jc w:val="center"/>
        </w:trPr>
        <w:tc>
          <w:tcPr>
            <w:tcW w:w="571" w:type="dxa"/>
            <w:shd w:val="clear" w:color="auto" w:fill="auto"/>
          </w:tcPr>
          <w:p w14:paraId="2E923C65" w14:textId="77777777" w:rsidR="00E6060C" w:rsidRPr="00E6060C" w:rsidRDefault="00E6060C" w:rsidP="00E6060C">
            <w:pPr>
              <w:contextualSpacing/>
              <w:rPr>
                <w:rFonts w:eastAsia="Times" w:cs="Times New Roman"/>
                <w:b/>
                <w:lang w:eastAsia="en-GB"/>
              </w:rPr>
            </w:pPr>
            <w:r w:rsidRPr="00E6060C">
              <w:rPr>
                <w:rFonts w:eastAsia="Times" w:cs="Times New Roman"/>
                <w:b/>
                <w:lang w:eastAsia="en-GB"/>
              </w:rPr>
              <w:lastRenderedPageBreak/>
              <w:t>26</w:t>
            </w:r>
          </w:p>
        </w:tc>
        <w:tc>
          <w:tcPr>
            <w:tcW w:w="3604" w:type="dxa"/>
            <w:gridSpan w:val="14"/>
            <w:shd w:val="clear" w:color="auto" w:fill="auto"/>
            <w:vAlign w:val="center"/>
          </w:tcPr>
          <w:p w14:paraId="3B23ACF5" w14:textId="77777777" w:rsidR="00E6060C" w:rsidRPr="00E6060C" w:rsidRDefault="00E6060C" w:rsidP="00E6060C">
            <w:pPr>
              <w:contextualSpacing/>
              <w:rPr>
                <w:rFonts w:eastAsia="Times" w:cs="Times"/>
                <w:b/>
                <w:lang w:eastAsia="en-GB"/>
              </w:rPr>
            </w:pPr>
            <w:r w:rsidRPr="00E6060C">
              <w:rPr>
                <w:rFonts w:eastAsia="Times" w:cs="Times"/>
                <w:b/>
                <w:lang w:eastAsia="en-GB"/>
              </w:rPr>
              <w:t>How long have you worked in this hospital?</w:t>
            </w:r>
          </w:p>
          <w:p w14:paraId="62AF0AAB" w14:textId="77777777" w:rsidR="00E6060C" w:rsidRPr="00E6060C" w:rsidRDefault="00E6060C" w:rsidP="00E6060C">
            <w:pPr>
              <w:contextualSpacing/>
              <w:rPr>
                <w:rFonts w:eastAsia="Times" w:cs="Times"/>
                <w:b/>
                <w:lang w:eastAsia="en-GB"/>
              </w:rPr>
            </w:pPr>
          </w:p>
        </w:tc>
        <w:tc>
          <w:tcPr>
            <w:tcW w:w="3105" w:type="dxa"/>
            <w:gridSpan w:val="13"/>
            <w:shd w:val="clear" w:color="auto" w:fill="auto"/>
            <w:vAlign w:val="center"/>
          </w:tcPr>
          <w:p w14:paraId="70392FE3" w14:textId="77777777" w:rsidR="00E6060C" w:rsidRPr="00E6060C" w:rsidRDefault="00E6060C" w:rsidP="00E6060C">
            <w:pPr>
              <w:contextualSpacing/>
              <w:rPr>
                <w:rFonts w:eastAsia="Times" w:cs="Times"/>
                <w:lang w:eastAsia="en-GB"/>
              </w:rPr>
            </w:pPr>
            <w:r w:rsidRPr="00E6060C">
              <w:rPr>
                <w:rFonts w:eastAsia="Times" w:cs="Times"/>
                <w:u w:val="single"/>
                <w:lang w:eastAsia="en-GB"/>
              </w:rPr>
              <w:tab/>
            </w:r>
            <w:r w:rsidRPr="00E6060C">
              <w:rPr>
                <w:rFonts w:eastAsia="Times" w:cs="Times"/>
                <w:u w:val="single"/>
                <w:lang w:eastAsia="en-GB"/>
              </w:rPr>
              <w:tab/>
            </w:r>
            <w:r w:rsidRPr="00E6060C">
              <w:rPr>
                <w:rFonts w:eastAsia="Times" w:cs="Times"/>
                <w:lang w:eastAsia="en-GB"/>
              </w:rPr>
              <w:t>years</w:t>
            </w:r>
          </w:p>
        </w:tc>
        <w:tc>
          <w:tcPr>
            <w:tcW w:w="3421" w:type="dxa"/>
            <w:gridSpan w:val="12"/>
            <w:shd w:val="clear" w:color="auto" w:fill="auto"/>
            <w:vAlign w:val="center"/>
          </w:tcPr>
          <w:p w14:paraId="5CEF1BA3" w14:textId="77777777" w:rsidR="00E6060C" w:rsidRPr="00E6060C" w:rsidRDefault="00E6060C" w:rsidP="00E6060C">
            <w:pPr>
              <w:contextualSpacing/>
              <w:rPr>
                <w:rFonts w:eastAsia="Times" w:cs="Times"/>
                <w:lang w:eastAsia="en-GB"/>
              </w:rPr>
            </w:pPr>
            <w:r w:rsidRPr="00E6060C">
              <w:rPr>
                <w:rFonts w:eastAsia="Times" w:cs="Times"/>
                <w:u w:val="single"/>
                <w:lang w:eastAsia="en-GB"/>
              </w:rPr>
              <w:tab/>
            </w:r>
            <w:r w:rsidRPr="00E6060C">
              <w:rPr>
                <w:rFonts w:eastAsia="Times" w:cs="Times"/>
                <w:u w:val="single"/>
                <w:lang w:eastAsia="en-GB"/>
              </w:rPr>
              <w:tab/>
            </w:r>
            <w:r w:rsidRPr="00E6060C">
              <w:rPr>
                <w:rFonts w:eastAsia="Times" w:cs="Times"/>
                <w:lang w:eastAsia="en-GB"/>
              </w:rPr>
              <w:t>Months</w:t>
            </w:r>
          </w:p>
        </w:tc>
      </w:tr>
    </w:tbl>
    <w:p w14:paraId="26304D58" w14:textId="77777777" w:rsidR="00E6060C" w:rsidRPr="00E6060C" w:rsidRDefault="00E6060C" w:rsidP="00E6060C">
      <w:pPr>
        <w:spacing w:line="360" w:lineRule="auto"/>
        <w:contextualSpacing/>
        <w:jc w:val="center"/>
        <w:rPr>
          <w:rFonts w:eastAsia="Times New Roman" w:cs="Arial"/>
          <w:b/>
          <w:sz w:val="28"/>
          <w:szCs w:val="28"/>
          <w:lang w:val="en-US"/>
        </w:rPr>
      </w:pPr>
    </w:p>
    <w:p w14:paraId="2613E4B0" w14:textId="77777777" w:rsidR="00E6060C" w:rsidRPr="00E6060C" w:rsidRDefault="00E6060C" w:rsidP="00E6060C">
      <w:pPr>
        <w:spacing w:line="360" w:lineRule="auto"/>
        <w:contextualSpacing/>
        <w:jc w:val="center"/>
        <w:rPr>
          <w:rFonts w:eastAsia="Times New Roman" w:cs="Arial"/>
          <w:b/>
          <w:sz w:val="28"/>
          <w:szCs w:val="28"/>
          <w:lang w:val="en-US"/>
        </w:rPr>
      </w:pPr>
      <w:r w:rsidRPr="00E6060C">
        <w:rPr>
          <w:rFonts w:eastAsia="Times New Roman" w:cs="Arial"/>
          <w:b/>
          <w:sz w:val="28"/>
          <w:szCs w:val="28"/>
          <w:lang w:val="en-US"/>
        </w:rPr>
        <w:t>Part 5 – Evaluation questions</w:t>
      </w:r>
    </w:p>
    <w:p w14:paraId="643904DC" w14:textId="77777777" w:rsidR="00E6060C" w:rsidRPr="00E6060C" w:rsidRDefault="00E6060C" w:rsidP="00E6060C">
      <w:pPr>
        <w:spacing w:line="360" w:lineRule="auto"/>
        <w:contextualSpacing/>
        <w:rPr>
          <w:rFonts w:eastAsia="Times New Roman" w:cs="Arial"/>
          <w:lang w:val="en-US"/>
        </w:rPr>
      </w:pPr>
    </w:p>
    <w:p w14:paraId="7A7C4C5A" w14:textId="77777777" w:rsidR="00E6060C" w:rsidRPr="00E6060C" w:rsidRDefault="00E6060C" w:rsidP="00E6060C">
      <w:pPr>
        <w:spacing w:line="360" w:lineRule="auto"/>
        <w:contextualSpacing/>
        <w:rPr>
          <w:rFonts w:eastAsia="Times New Roman" w:cs="Arial"/>
          <w:lang w:val="en-US"/>
        </w:rPr>
      </w:pPr>
      <w:r w:rsidRPr="00E6060C">
        <w:rPr>
          <w:rFonts w:eastAsia="Times New Roman" w:cs="Arial"/>
          <w:lang w:val="en-US"/>
        </w:rPr>
        <w:t xml:space="preserve">Based on questionnaires filled in by patients, carers and nursing staff on your ward last summer, ward teams identified areas they do well and areas which could be improved. A small number of people from each ward were supported to make changes. The following questions are about this project. </w:t>
      </w:r>
    </w:p>
    <w:p w14:paraId="0D8A1022" w14:textId="77777777" w:rsidR="00E6060C" w:rsidRPr="00E6060C" w:rsidRDefault="00E6060C" w:rsidP="00E6060C">
      <w:pPr>
        <w:spacing w:line="360" w:lineRule="auto"/>
        <w:contextualSpacing/>
        <w:rPr>
          <w:rFonts w:eastAsia="Times New Roman" w:cs="Arial"/>
          <w:lang w:val="en-US"/>
        </w:rPr>
      </w:pPr>
    </w:p>
    <w:p w14:paraId="0499B083" w14:textId="77777777" w:rsidR="00E6060C" w:rsidRPr="00E6060C" w:rsidRDefault="00E6060C" w:rsidP="00F15DDF">
      <w:pPr>
        <w:numPr>
          <w:ilvl w:val="0"/>
          <w:numId w:val="20"/>
        </w:numPr>
        <w:spacing w:line="360" w:lineRule="auto"/>
        <w:ind w:left="426" w:hanging="426"/>
        <w:contextualSpacing/>
        <w:rPr>
          <w:rFonts w:eastAsia="Times New Roman" w:cs="Arial"/>
          <w:b/>
          <w:lang w:val="en-US"/>
        </w:rPr>
      </w:pPr>
      <w:r w:rsidRPr="00E6060C">
        <w:rPr>
          <w:rFonts w:eastAsia="Times New Roman" w:cs="Arial"/>
          <w:b/>
          <w:lang w:val="en-US"/>
        </w:rPr>
        <w:t>Were you aware of the EnRich project before filling in this questionnaire?</w:t>
      </w:r>
      <w:r w:rsidRPr="00E6060C">
        <w:rPr>
          <w:rFonts w:eastAsia="Times New Roman" w:cs="Arial"/>
          <w:b/>
          <w:lang w:val="en-US"/>
        </w:rPr>
        <w:tab/>
      </w:r>
    </w:p>
    <w:p w14:paraId="171541FF" w14:textId="77777777" w:rsidR="00E6060C" w:rsidRPr="00E6060C" w:rsidRDefault="00E6060C" w:rsidP="00E6060C">
      <w:pPr>
        <w:spacing w:line="360" w:lineRule="auto"/>
        <w:rPr>
          <w:rFonts w:eastAsia="Times New Roman" w:cs="Arial"/>
          <w:lang w:val="en-US"/>
        </w:rPr>
      </w:pPr>
      <w:r w:rsidRPr="00E6060C">
        <w:rPr>
          <w:rFonts w:ascii="Arial Narrow" w:hAnsi="Arial Narrow"/>
          <w:sz w:val="52"/>
          <w:szCs w:val="52"/>
        </w:rPr>
        <w:sym w:font="Wingdings" w:char="F06F"/>
      </w:r>
      <w:r w:rsidRPr="00E6060C">
        <w:rPr>
          <w:rFonts w:eastAsia="Times New Roman" w:cs="Arial"/>
          <w:lang w:val="en-US"/>
        </w:rPr>
        <w:t>Yes</w:t>
      </w:r>
      <w:r w:rsidRPr="00E6060C">
        <w:rPr>
          <w:rFonts w:eastAsia="Times New Roman" w:cs="Arial"/>
          <w:lang w:val="en-US"/>
        </w:rPr>
        <w:tab/>
      </w:r>
      <w:r w:rsidRPr="00E6060C">
        <w:rPr>
          <w:rFonts w:ascii="Arial Narrow" w:hAnsi="Arial Narrow"/>
          <w:sz w:val="52"/>
          <w:szCs w:val="52"/>
        </w:rPr>
        <w:sym w:font="Wingdings" w:char="F06F"/>
      </w:r>
      <w:r w:rsidRPr="00E6060C">
        <w:rPr>
          <w:rFonts w:eastAsia="Times New Roman" w:cs="Arial"/>
          <w:lang w:val="en-US"/>
        </w:rPr>
        <w:t>No</w:t>
      </w:r>
    </w:p>
    <w:p w14:paraId="25919427" w14:textId="77777777" w:rsidR="00E6060C" w:rsidRPr="00E6060C" w:rsidRDefault="00E6060C" w:rsidP="00E6060C">
      <w:pPr>
        <w:spacing w:line="360" w:lineRule="auto"/>
        <w:contextualSpacing/>
        <w:rPr>
          <w:rFonts w:eastAsia="Times New Roman" w:cs="Arial"/>
          <w:lang w:val="en-US"/>
        </w:rPr>
      </w:pPr>
      <w:r w:rsidRPr="00E6060C">
        <w:rPr>
          <w:rFonts w:eastAsia="Times New Roman" w:cs="Arial"/>
          <w:lang w:val="en-US"/>
        </w:rPr>
        <w:t>If you answered ‘no’ to the above question, please continue to the ‘comments’ box at the end of the questionnaire.</w:t>
      </w:r>
    </w:p>
    <w:p w14:paraId="5CED5EB4" w14:textId="77777777" w:rsidR="00E6060C" w:rsidRPr="00E6060C" w:rsidRDefault="00E6060C" w:rsidP="00E6060C">
      <w:pPr>
        <w:spacing w:line="360" w:lineRule="auto"/>
        <w:contextualSpacing/>
        <w:rPr>
          <w:rFonts w:eastAsia="Times New Roman" w:cs="Arial"/>
          <w:lang w:val="en-US"/>
        </w:rPr>
      </w:pPr>
      <w:r w:rsidRPr="00E6060C">
        <w:rPr>
          <w:rFonts w:eastAsia="Times New Roman" w:cs="Arial"/>
          <w:lang w:val="en-US"/>
        </w:rPr>
        <w:t xml:space="preserve">  </w:t>
      </w:r>
    </w:p>
    <w:p w14:paraId="1957049F" w14:textId="77777777" w:rsidR="00E6060C" w:rsidRPr="00E6060C" w:rsidRDefault="00E6060C" w:rsidP="00E6060C">
      <w:pPr>
        <w:spacing w:line="360" w:lineRule="auto"/>
        <w:contextualSpacing/>
        <w:rPr>
          <w:rFonts w:eastAsia="Times New Roman" w:cs="Arial"/>
          <w:lang w:val="en-US"/>
        </w:rPr>
      </w:pPr>
      <w:r w:rsidRPr="00E6060C">
        <w:rPr>
          <w:rFonts w:eastAsia="Times New Roman" w:cs="Arial"/>
          <w:b/>
          <w:lang w:val="en-US"/>
        </w:rPr>
        <w:t>Have you taken an active part in the EnRICH project?</w:t>
      </w:r>
      <w:r w:rsidRPr="00E6060C">
        <w:rPr>
          <w:rFonts w:eastAsia="Times New Roman" w:cs="Arial"/>
          <w:lang w:val="en-US"/>
        </w:rPr>
        <w:tab/>
      </w:r>
      <w:r w:rsidRPr="00E6060C">
        <w:rPr>
          <w:rFonts w:eastAsia="Times New Roman" w:cs="Arial"/>
          <w:lang w:val="en-US"/>
        </w:rPr>
        <w:tab/>
      </w:r>
      <w:r w:rsidRPr="00E6060C">
        <w:rPr>
          <w:rFonts w:ascii="Arial Narrow" w:hAnsi="Arial Narrow"/>
          <w:sz w:val="52"/>
          <w:szCs w:val="52"/>
        </w:rPr>
        <w:sym w:font="Wingdings" w:char="F06F"/>
      </w:r>
      <w:r w:rsidRPr="00E6060C">
        <w:rPr>
          <w:rFonts w:eastAsia="Times New Roman" w:cs="Arial"/>
          <w:lang w:val="en-US"/>
        </w:rPr>
        <w:t>Yes</w:t>
      </w:r>
      <w:r w:rsidRPr="00E6060C">
        <w:rPr>
          <w:rFonts w:eastAsia="Times New Roman" w:cs="Arial"/>
          <w:lang w:val="en-US"/>
        </w:rPr>
        <w:tab/>
      </w:r>
      <w:r w:rsidRPr="00E6060C">
        <w:rPr>
          <w:rFonts w:ascii="Arial Narrow" w:hAnsi="Arial Narrow"/>
          <w:sz w:val="52"/>
          <w:szCs w:val="52"/>
        </w:rPr>
        <w:sym w:font="Wingdings" w:char="F06F"/>
      </w:r>
      <w:r w:rsidRPr="00E6060C">
        <w:rPr>
          <w:rFonts w:eastAsia="Times New Roman" w:cs="Arial"/>
          <w:lang w:val="en-US"/>
        </w:rPr>
        <w:t>No</w:t>
      </w:r>
    </w:p>
    <w:p w14:paraId="3A590A73" w14:textId="77777777" w:rsidR="00E6060C" w:rsidRPr="00E6060C" w:rsidRDefault="00E6060C" w:rsidP="00E6060C">
      <w:pPr>
        <w:spacing w:after="200" w:line="360" w:lineRule="auto"/>
        <w:ind w:left="426"/>
        <w:contextualSpacing/>
        <w:rPr>
          <w:rFonts w:eastAsia="Times New Roman" w:cs="Arial"/>
          <w:lang w:val="en-US"/>
        </w:rPr>
      </w:pPr>
    </w:p>
    <w:tbl>
      <w:tblPr>
        <w:tblW w:w="9889" w:type="dxa"/>
        <w:tblBorders>
          <w:top w:val="single" w:sz="4" w:space="0" w:color="auto"/>
          <w:bottom w:val="single" w:sz="4" w:space="0" w:color="auto"/>
          <w:insideV w:val="single" w:sz="4" w:space="0" w:color="auto"/>
        </w:tblBorders>
        <w:tblLayout w:type="fixed"/>
        <w:tblLook w:val="01E0" w:firstRow="1" w:lastRow="1" w:firstColumn="1" w:lastColumn="1" w:noHBand="0" w:noVBand="0"/>
      </w:tblPr>
      <w:tblGrid>
        <w:gridCol w:w="464"/>
        <w:gridCol w:w="7299"/>
        <w:gridCol w:w="1063"/>
        <w:gridCol w:w="1063"/>
      </w:tblGrid>
      <w:tr w:rsidR="00E6060C" w:rsidRPr="00E6060C" w14:paraId="0FB9BE7C" w14:textId="77777777" w:rsidTr="00E6060C">
        <w:trPr>
          <w:trHeight w:val="476"/>
        </w:trPr>
        <w:tc>
          <w:tcPr>
            <w:tcW w:w="7763" w:type="dxa"/>
            <w:gridSpan w:val="2"/>
            <w:tcBorders>
              <w:top w:val="single" w:sz="4" w:space="0" w:color="auto"/>
              <w:bottom w:val="single" w:sz="4" w:space="0" w:color="auto"/>
            </w:tcBorders>
            <w:shd w:val="clear" w:color="auto" w:fill="8EAADB" w:themeFill="accent5" w:themeFillTint="99"/>
          </w:tcPr>
          <w:p w14:paraId="04F2AA95" w14:textId="77777777" w:rsidR="00E6060C" w:rsidRPr="00E6060C" w:rsidRDefault="00E6060C" w:rsidP="00F15DDF">
            <w:pPr>
              <w:numPr>
                <w:ilvl w:val="0"/>
                <w:numId w:val="20"/>
              </w:numPr>
              <w:spacing w:after="200" w:line="240" w:lineRule="auto"/>
              <w:ind w:left="426" w:hanging="426"/>
              <w:contextualSpacing/>
              <w:rPr>
                <w:rFonts w:eastAsia="Times New Roman" w:cs="Arial"/>
                <w:b/>
                <w:bCs/>
                <w:lang w:val="en-US"/>
              </w:rPr>
            </w:pPr>
            <w:r w:rsidRPr="00E6060C">
              <w:rPr>
                <w:rFonts w:eastAsia="Times New Roman" w:cs="Arial"/>
                <w:b/>
                <w:lang w:val="en-US"/>
              </w:rPr>
              <w:t>If yes, in what way(s)?   Please tick all that apply.</w:t>
            </w:r>
          </w:p>
        </w:tc>
        <w:tc>
          <w:tcPr>
            <w:tcW w:w="1063" w:type="dxa"/>
            <w:tcBorders>
              <w:top w:val="single" w:sz="4" w:space="0" w:color="auto"/>
              <w:bottom w:val="single" w:sz="4" w:space="0" w:color="auto"/>
            </w:tcBorders>
            <w:shd w:val="clear" w:color="auto" w:fill="8EAADB" w:themeFill="accent5" w:themeFillTint="99"/>
          </w:tcPr>
          <w:p w14:paraId="6C86D092" w14:textId="77777777" w:rsidR="00E6060C" w:rsidRPr="00E6060C" w:rsidRDefault="00E6060C" w:rsidP="00E6060C">
            <w:pPr>
              <w:contextualSpacing/>
              <w:jc w:val="center"/>
              <w:rPr>
                <w:rFonts w:eastAsia="Times New Roman" w:cs="Arial"/>
                <w:bCs/>
              </w:rPr>
            </w:pPr>
            <w:r w:rsidRPr="00E6060C">
              <w:rPr>
                <w:rFonts w:eastAsia="Times New Roman" w:cs="Arial"/>
                <w:bCs/>
              </w:rPr>
              <w:t>Yes</w:t>
            </w:r>
          </w:p>
        </w:tc>
        <w:tc>
          <w:tcPr>
            <w:tcW w:w="1063" w:type="dxa"/>
            <w:tcBorders>
              <w:top w:val="single" w:sz="4" w:space="0" w:color="auto"/>
              <w:bottom w:val="single" w:sz="4" w:space="0" w:color="auto"/>
              <w:right w:val="single" w:sz="4" w:space="0" w:color="auto"/>
            </w:tcBorders>
            <w:shd w:val="clear" w:color="auto" w:fill="8EAADB" w:themeFill="accent5" w:themeFillTint="99"/>
          </w:tcPr>
          <w:p w14:paraId="0AFC64F5" w14:textId="77777777" w:rsidR="00E6060C" w:rsidRPr="00E6060C" w:rsidRDefault="00E6060C" w:rsidP="00E6060C">
            <w:pPr>
              <w:contextualSpacing/>
              <w:jc w:val="center"/>
              <w:rPr>
                <w:rFonts w:eastAsia="Times New Roman" w:cs="Arial"/>
                <w:bCs/>
              </w:rPr>
            </w:pPr>
            <w:r w:rsidRPr="00E6060C">
              <w:rPr>
                <w:rFonts w:eastAsia="Times New Roman" w:cs="Arial"/>
                <w:bCs/>
              </w:rPr>
              <w:t>No</w:t>
            </w:r>
          </w:p>
        </w:tc>
      </w:tr>
      <w:tr w:rsidR="00E6060C" w:rsidRPr="00E6060C" w14:paraId="06CDA0E1" w14:textId="77777777" w:rsidTr="00E6060C">
        <w:tc>
          <w:tcPr>
            <w:tcW w:w="464" w:type="dxa"/>
            <w:tcBorders>
              <w:top w:val="single" w:sz="4" w:space="0" w:color="auto"/>
              <w:bottom w:val="nil"/>
              <w:right w:val="nil"/>
            </w:tcBorders>
            <w:shd w:val="clear" w:color="auto" w:fill="FFFFFF" w:themeFill="background1"/>
            <w:vAlign w:val="center"/>
          </w:tcPr>
          <w:p w14:paraId="63CD465B"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1</w:t>
            </w:r>
          </w:p>
        </w:tc>
        <w:tc>
          <w:tcPr>
            <w:tcW w:w="7299" w:type="dxa"/>
            <w:tcBorders>
              <w:top w:val="single" w:sz="4" w:space="0" w:color="auto"/>
              <w:left w:val="nil"/>
              <w:bottom w:val="nil"/>
            </w:tcBorders>
            <w:shd w:val="clear" w:color="auto" w:fill="FFFFFF" w:themeFill="background1"/>
            <w:vAlign w:val="center"/>
          </w:tcPr>
          <w:p w14:paraId="5510EA72" w14:textId="77777777" w:rsidR="00E6060C" w:rsidRPr="00E6060C" w:rsidRDefault="00E6060C" w:rsidP="00E6060C">
            <w:pPr>
              <w:spacing w:line="360" w:lineRule="auto"/>
              <w:contextualSpacing/>
              <w:rPr>
                <w:rFonts w:eastAsia="Times New Roman" w:cs="Arial"/>
              </w:rPr>
            </w:pPr>
            <w:r w:rsidRPr="00E6060C">
              <w:rPr>
                <w:rFonts w:eastAsia="Times New Roman" w:cs="Arial"/>
              </w:rPr>
              <w:t>Attended project workshops</w:t>
            </w:r>
          </w:p>
        </w:tc>
        <w:tc>
          <w:tcPr>
            <w:tcW w:w="1063" w:type="dxa"/>
            <w:tcBorders>
              <w:top w:val="single" w:sz="4" w:space="0" w:color="auto"/>
              <w:bottom w:val="nil"/>
            </w:tcBorders>
            <w:shd w:val="clear" w:color="auto" w:fill="FFFFFF" w:themeFill="background1"/>
            <w:vAlign w:val="center"/>
          </w:tcPr>
          <w:p w14:paraId="04FF0C02" w14:textId="77777777" w:rsidR="00E6060C" w:rsidRPr="00E6060C" w:rsidRDefault="00E6060C" w:rsidP="00E6060C">
            <w:pPr>
              <w:contextualSpacing/>
              <w:jc w:val="center"/>
              <w:rPr>
                <w:rFonts w:eastAsia="Times New Roman" w:cs="Arial"/>
              </w:rPr>
            </w:pPr>
          </w:p>
        </w:tc>
        <w:tc>
          <w:tcPr>
            <w:tcW w:w="1063" w:type="dxa"/>
            <w:tcBorders>
              <w:top w:val="single" w:sz="4" w:space="0" w:color="auto"/>
              <w:bottom w:val="nil"/>
              <w:right w:val="single" w:sz="4" w:space="0" w:color="auto"/>
            </w:tcBorders>
            <w:shd w:val="clear" w:color="auto" w:fill="FFFFFF" w:themeFill="background1"/>
            <w:vAlign w:val="center"/>
          </w:tcPr>
          <w:p w14:paraId="477C4E1E" w14:textId="77777777" w:rsidR="00E6060C" w:rsidRPr="00E6060C" w:rsidRDefault="00E6060C" w:rsidP="00E6060C">
            <w:pPr>
              <w:contextualSpacing/>
              <w:jc w:val="center"/>
              <w:rPr>
                <w:rFonts w:eastAsia="Times New Roman" w:cs="Arial"/>
              </w:rPr>
            </w:pPr>
          </w:p>
        </w:tc>
      </w:tr>
      <w:tr w:rsidR="00E6060C" w:rsidRPr="00E6060C" w14:paraId="25A92C4A" w14:textId="77777777" w:rsidTr="00E6060C">
        <w:tc>
          <w:tcPr>
            <w:tcW w:w="464" w:type="dxa"/>
            <w:tcBorders>
              <w:top w:val="nil"/>
              <w:bottom w:val="nil"/>
              <w:right w:val="nil"/>
            </w:tcBorders>
            <w:shd w:val="clear" w:color="auto" w:fill="D9D9D9" w:themeFill="background1" w:themeFillShade="D9"/>
            <w:vAlign w:val="center"/>
          </w:tcPr>
          <w:p w14:paraId="19A19243"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2</w:t>
            </w:r>
          </w:p>
        </w:tc>
        <w:tc>
          <w:tcPr>
            <w:tcW w:w="7299" w:type="dxa"/>
            <w:tcBorders>
              <w:top w:val="nil"/>
              <w:left w:val="nil"/>
              <w:bottom w:val="nil"/>
            </w:tcBorders>
            <w:shd w:val="clear" w:color="auto" w:fill="D9D9D9" w:themeFill="background1" w:themeFillShade="D9"/>
            <w:vAlign w:val="center"/>
          </w:tcPr>
          <w:p w14:paraId="6674C27E" w14:textId="77777777" w:rsidR="00E6060C" w:rsidRPr="00E6060C" w:rsidRDefault="00E6060C" w:rsidP="00E6060C">
            <w:pPr>
              <w:spacing w:line="360" w:lineRule="auto"/>
              <w:contextualSpacing/>
              <w:rPr>
                <w:rFonts w:eastAsia="Times New Roman" w:cs="Arial"/>
              </w:rPr>
            </w:pPr>
            <w:r w:rsidRPr="00E6060C">
              <w:rPr>
                <w:rFonts w:eastAsia="Times New Roman" w:cs="Arial"/>
                <w:u w:val="single"/>
              </w:rPr>
              <w:t>Led</w:t>
            </w:r>
            <w:r w:rsidRPr="00E6060C">
              <w:rPr>
                <w:rFonts w:eastAsia="Times New Roman" w:cs="Arial"/>
              </w:rPr>
              <w:t xml:space="preserve"> the implementation of change on your ward</w:t>
            </w:r>
          </w:p>
        </w:tc>
        <w:tc>
          <w:tcPr>
            <w:tcW w:w="1063" w:type="dxa"/>
            <w:tcBorders>
              <w:top w:val="nil"/>
              <w:bottom w:val="nil"/>
            </w:tcBorders>
            <w:shd w:val="clear" w:color="auto" w:fill="D9D9D9" w:themeFill="background1" w:themeFillShade="D9"/>
            <w:vAlign w:val="center"/>
          </w:tcPr>
          <w:p w14:paraId="285657C8" w14:textId="77777777" w:rsidR="00E6060C" w:rsidRPr="00E6060C" w:rsidRDefault="00E6060C" w:rsidP="00E6060C">
            <w:pPr>
              <w:contextualSpacing/>
              <w:jc w:val="center"/>
              <w:rPr>
                <w:rFonts w:eastAsia="Times New Roman" w:cs="Arial"/>
              </w:rPr>
            </w:pPr>
          </w:p>
        </w:tc>
        <w:tc>
          <w:tcPr>
            <w:tcW w:w="1063" w:type="dxa"/>
            <w:tcBorders>
              <w:top w:val="nil"/>
              <w:bottom w:val="nil"/>
              <w:right w:val="single" w:sz="4" w:space="0" w:color="auto"/>
            </w:tcBorders>
            <w:shd w:val="clear" w:color="auto" w:fill="D9D9D9" w:themeFill="background1" w:themeFillShade="D9"/>
            <w:vAlign w:val="center"/>
          </w:tcPr>
          <w:p w14:paraId="13725EBD" w14:textId="77777777" w:rsidR="00E6060C" w:rsidRPr="00E6060C" w:rsidRDefault="00E6060C" w:rsidP="00E6060C">
            <w:pPr>
              <w:contextualSpacing/>
              <w:jc w:val="center"/>
              <w:rPr>
                <w:rFonts w:eastAsia="Times New Roman" w:cs="Arial"/>
              </w:rPr>
            </w:pPr>
          </w:p>
        </w:tc>
      </w:tr>
      <w:tr w:rsidR="00E6060C" w:rsidRPr="00E6060C" w14:paraId="6AFA0B38" w14:textId="77777777" w:rsidTr="00E6060C">
        <w:tc>
          <w:tcPr>
            <w:tcW w:w="464" w:type="dxa"/>
            <w:tcBorders>
              <w:top w:val="nil"/>
              <w:bottom w:val="nil"/>
              <w:right w:val="nil"/>
            </w:tcBorders>
            <w:shd w:val="clear" w:color="auto" w:fill="auto"/>
            <w:vAlign w:val="center"/>
          </w:tcPr>
          <w:p w14:paraId="6614CC20"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3</w:t>
            </w:r>
          </w:p>
        </w:tc>
        <w:tc>
          <w:tcPr>
            <w:tcW w:w="7299" w:type="dxa"/>
            <w:tcBorders>
              <w:top w:val="nil"/>
              <w:left w:val="nil"/>
              <w:bottom w:val="nil"/>
            </w:tcBorders>
            <w:shd w:val="clear" w:color="auto" w:fill="auto"/>
            <w:vAlign w:val="center"/>
          </w:tcPr>
          <w:p w14:paraId="46E7DF23" w14:textId="77777777" w:rsidR="00E6060C" w:rsidRPr="00E6060C" w:rsidRDefault="00E6060C" w:rsidP="00E6060C">
            <w:pPr>
              <w:spacing w:line="360" w:lineRule="auto"/>
              <w:contextualSpacing/>
              <w:rPr>
                <w:rFonts w:eastAsia="Times New Roman" w:cs="Arial"/>
              </w:rPr>
            </w:pPr>
            <w:r w:rsidRPr="00E6060C">
              <w:rPr>
                <w:rFonts w:eastAsia="Times New Roman" w:cs="Arial"/>
              </w:rPr>
              <w:t>Tried to implement the changes encouraged by the project</w:t>
            </w:r>
          </w:p>
        </w:tc>
        <w:tc>
          <w:tcPr>
            <w:tcW w:w="1063" w:type="dxa"/>
            <w:tcBorders>
              <w:top w:val="nil"/>
              <w:bottom w:val="nil"/>
            </w:tcBorders>
            <w:shd w:val="clear" w:color="auto" w:fill="auto"/>
            <w:vAlign w:val="center"/>
          </w:tcPr>
          <w:p w14:paraId="486810B0" w14:textId="77777777" w:rsidR="00E6060C" w:rsidRPr="00E6060C" w:rsidRDefault="00E6060C" w:rsidP="00E6060C">
            <w:pPr>
              <w:contextualSpacing/>
              <w:jc w:val="center"/>
              <w:rPr>
                <w:rFonts w:eastAsia="Times New Roman" w:cs="Arial"/>
              </w:rPr>
            </w:pPr>
          </w:p>
        </w:tc>
        <w:tc>
          <w:tcPr>
            <w:tcW w:w="1063" w:type="dxa"/>
            <w:tcBorders>
              <w:top w:val="nil"/>
              <w:bottom w:val="nil"/>
              <w:right w:val="single" w:sz="4" w:space="0" w:color="auto"/>
            </w:tcBorders>
            <w:shd w:val="clear" w:color="auto" w:fill="auto"/>
            <w:vAlign w:val="center"/>
          </w:tcPr>
          <w:p w14:paraId="5B551B02" w14:textId="77777777" w:rsidR="00E6060C" w:rsidRPr="00E6060C" w:rsidRDefault="00E6060C" w:rsidP="00E6060C">
            <w:pPr>
              <w:contextualSpacing/>
              <w:jc w:val="center"/>
              <w:rPr>
                <w:rFonts w:eastAsia="Times New Roman" w:cs="Arial"/>
              </w:rPr>
            </w:pPr>
          </w:p>
        </w:tc>
      </w:tr>
      <w:tr w:rsidR="00E6060C" w:rsidRPr="00E6060C" w14:paraId="6F66A068" w14:textId="77777777" w:rsidTr="00E6060C">
        <w:tc>
          <w:tcPr>
            <w:tcW w:w="464" w:type="dxa"/>
            <w:tcBorders>
              <w:top w:val="nil"/>
              <w:bottom w:val="nil"/>
              <w:right w:val="nil"/>
            </w:tcBorders>
            <w:shd w:val="clear" w:color="auto" w:fill="D9D9D9" w:themeFill="background1" w:themeFillShade="D9"/>
            <w:vAlign w:val="center"/>
          </w:tcPr>
          <w:p w14:paraId="158D47FA"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4</w:t>
            </w:r>
          </w:p>
        </w:tc>
        <w:tc>
          <w:tcPr>
            <w:tcW w:w="7299" w:type="dxa"/>
            <w:tcBorders>
              <w:top w:val="nil"/>
              <w:left w:val="nil"/>
              <w:bottom w:val="nil"/>
            </w:tcBorders>
            <w:shd w:val="clear" w:color="auto" w:fill="D9D9D9" w:themeFill="background1" w:themeFillShade="D9"/>
            <w:vAlign w:val="center"/>
          </w:tcPr>
          <w:p w14:paraId="680EF332" w14:textId="77777777" w:rsidR="00E6060C" w:rsidRPr="00E6060C" w:rsidRDefault="00E6060C" w:rsidP="00E6060C">
            <w:pPr>
              <w:spacing w:line="360" w:lineRule="auto"/>
              <w:contextualSpacing/>
              <w:rPr>
                <w:rFonts w:eastAsia="Times New Roman" w:cs="Arial"/>
              </w:rPr>
            </w:pPr>
            <w:r w:rsidRPr="00E6060C">
              <w:rPr>
                <w:rFonts w:eastAsia="Times New Roman" w:cs="Arial"/>
              </w:rPr>
              <w:t>Talked to others about the project</w:t>
            </w:r>
          </w:p>
        </w:tc>
        <w:tc>
          <w:tcPr>
            <w:tcW w:w="1063" w:type="dxa"/>
            <w:tcBorders>
              <w:top w:val="nil"/>
              <w:bottom w:val="nil"/>
            </w:tcBorders>
            <w:shd w:val="clear" w:color="auto" w:fill="D9D9D9" w:themeFill="background1" w:themeFillShade="D9"/>
            <w:vAlign w:val="center"/>
          </w:tcPr>
          <w:p w14:paraId="2094B9E8" w14:textId="77777777" w:rsidR="00E6060C" w:rsidRPr="00E6060C" w:rsidRDefault="00E6060C" w:rsidP="00E6060C">
            <w:pPr>
              <w:contextualSpacing/>
              <w:jc w:val="center"/>
              <w:rPr>
                <w:rFonts w:eastAsia="Times New Roman" w:cs="Arial"/>
              </w:rPr>
            </w:pPr>
          </w:p>
        </w:tc>
        <w:tc>
          <w:tcPr>
            <w:tcW w:w="1063" w:type="dxa"/>
            <w:tcBorders>
              <w:top w:val="nil"/>
              <w:bottom w:val="nil"/>
              <w:right w:val="single" w:sz="4" w:space="0" w:color="auto"/>
            </w:tcBorders>
            <w:shd w:val="clear" w:color="auto" w:fill="D9D9D9" w:themeFill="background1" w:themeFillShade="D9"/>
            <w:vAlign w:val="center"/>
          </w:tcPr>
          <w:p w14:paraId="04ACAC9C" w14:textId="77777777" w:rsidR="00E6060C" w:rsidRPr="00E6060C" w:rsidRDefault="00E6060C" w:rsidP="00E6060C">
            <w:pPr>
              <w:contextualSpacing/>
              <w:jc w:val="center"/>
              <w:rPr>
                <w:rFonts w:eastAsia="Times New Roman" w:cs="Arial"/>
              </w:rPr>
            </w:pPr>
          </w:p>
        </w:tc>
      </w:tr>
      <w:tr w:rsidR="00E6060C" w:rsidRPr="00E6060C" w14:paraId="52FA5715" w14:textId="77777777" w:rsidTr="00E6060C">
        <w:tc>
          <w:tcPr>
            <w:tcW w:w="464" w:type="dxa"/>
            <w:tcBorders>
              <w:top w:val="nil"/>
              <w:bottom w:val="nil"/>
              <w:right w:val="nil"/>
            </w:tcBorders>
            <w:shd w:val="clear" w:color="auto" w:fill="auto"/>
            <w:vAlign w:val="center"/>
          </w:tcPr>
          <w:p w14:paraId="4F24976A"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5</w:t>
            </w:r>
          </w:p>
        </w:tc>
        <w:tc>
          <w:tcPr>
            <w:tcW w:w="7299" w:type="dxa"/>
            <w:tcBorders>
              <w:top w:val="nil"/>
              <w:left w:val="nil"/>
              <w:bottom w:val="nil"/>
            </w:tcBorders>
            <w:shd w:val="clear" w:color="auto" w:fill="auto"/>
            <w:vAlign w:val="center"/>
          </w:tcPr>
          <w:p w14:paraId="49D18B0F" w14:textId="77777777" w:rsidR="00E6060C" w:rsidRPr="00E6060C" w:rsidRDefault="00E6060C" w:rsidP="00E6060C">
            <w:pPr>
              <w:spacing w:line="360" w:lineRule="auto"/>
              <w:contextualSpacing/>
              <w:rPr>
                <w:rFonts w:eastAsia="Times New Roman" w:cs="Arial"/>
              </w:rPr>
            </w:pPr>
            <w:r w:rsidRPr="00E6060C">
              <w:rPr>
                <w:rFonts w:eastAsia="Times New Roman" w:cs="Arial"/>
              </w:rPr>
              <w:t>Encouraged others to take part in the project</w:t>
            </w:r>
          </w:p>
        </w:tc>
        <w:tc>
          <w:tcPr>
            <w:tcW w:w="1063" w:type="dxa"/>
            <w:tcBorders>
              <w:top w:val="nil"/>
              <w:bottom w:val="nil"/>
            </w:tcBorders>
            <w:shd w:val="clear" w:color="auto" w:fill="auto"/>
            <w:vAlign w:val="center"/>
          </w:tcPr>
          <w:p w14:paraId="06D09838" w14:textId="77777777" w:rsidR="00E6060C" w:rsidRPr="00E6060C" w:rsidRDefault="00E6060C" w:rsidP="00E6060C">
            <w:pPr>
              <w:contextualSpacing/>
              <w:jc w:val="center"/>
              <w:rPr>
                <w:rFonts w:eastAsia="Times New Roman" w:cs="Arial"/>
              </w:rPr>
            </w:pPr>
          </w:p>
        </w:tc>
        <w:tc>
          <w:tcPr>
            <w:tcW w:w="1063" w:type="dxa"/>
            <w:tcBorders>
              <w:top w:val="nil"/>
              <w:bottom w:val="nil"/>
              <w:right w:val="single" w:sz="4" w:space="0" w:color="auto"/>
            </w:tcBorders>
            <w:shd w:val="clear" w:color="auto" w:fill="auto"/>
            <w:vAlign w:val="center"/>
          </w:tcPr>
          <w:p w14:paraId="0B6C40B0" w14:textId="77777777" w:rsidR="00E6060C" w:rsidRPr="00E6060C" w:rsidRDefault="00E6060C" w:rsidP="00E6060C">
            <w:pPr>
              <w:contextualSpacing/>
              <w:jc w:val="center"/>
              <w:rPr>
                <w:rFonts w:eastAsia="Times New Roman" w:cs="Arial"/>
              </w:rPr>
            </w:pPr>
          </w:p>
        </w:tc>
      </w:tr>
      <w:tr w:rsidR="00E6060C" w:rsidRPr="00E6060C" w14:paraId="0716153F" w14:textId="77777777" w:rsidTr="00E6060C">
        <w:tc>
          <w:tcPr>
            <w:tcW w:w="464" w:type="dxa"/>
            <w:tcBorders>
              <w:top w:val="nil"/>
              <w:bottom w:val="single" w:sz="4" w:space="0" w:color="auto"/>
              <w:right w:val="nil"/>
            </w:tcBorders>
            <w:shd w:val="clear" w:color="auto" w:fill="D9D9D9" w:themeFill="background1" w:themeFillShade="D9"/>
            <w:vAlign w:val="center"/>
          </w:tcPr>
          <w:p w14:paraId="68EBB4D7"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6</w:t>
            </w:r>
          </w:p>
        </w:tc>
        <w:tc>
          <w:tcPr>
            <w:tcW w:w="7299" w:type="dxa"/>
            <w:tcBorders>
              <w:top w:val="nil"/>
              <w:left w:val="nil"/>
              <w:bottom w:val="single" w:sz="4" w:space="0" w:color="auto"/>
            </w:tcBorders>
            <w:shd w:val="clear" w:color="auto" w:fill="D9D9D9" w:themeFill="background1" w:themeFillShade="D9"/>
            <w:vAlign w:val="center"/>
          </w:tcPr>
          <w:p w14:paraId="358591BE" w14:textId="77777777" w:rsidR="00E6060C" w:rsidRPr="00E6060C" w:rsidRDefault="00E6060C" w:rsidP="00E6060C">
            <w:pPr>
              <w:spacing w:line="360" w:lineRule="auto"/>
              <w:contextualSpacing/>
              <w:rPr>
                <w:rFonts w:eastAsia="Times New Roman" w:cs="Arial"/>
              </w:rPr>
            </w:pPr>
            <w:r w:rsidRPr="00E6060C">
              <w:rPr>
                <w:rFonts w:eastAsia="Times New Roman" w:cs="Arial"/>
              </w:rPr>
              <w:t>Other (please specify):</w:t>
            </w:r>
          </w:p>
          <w:p w14:paraId="6035069B" w14:textId="77777777" w:rsidR="00E6060C" w:rsidRPr="00E6060C" w:rsidRDefault="00E6060C" w:rsidP="00E6060C">
            <w:pPr>
              <w:spacing w:line="360" w:lineRule="auto"/>
              <w:contextualSpacing/>
              <w:rPr>
                <w:rFonts w:eastAsia="Times New Roman" w:cs="Arial"/>
              </w:rPr>
            </w:pPr>
            <w:r w:rsidRPr="00E6060C">
              <w:rPr>
                <w:rFonts w:eastAsia="Times New Roman" w:cs="Arial"/>
              </w:rPr>
              <w:t>________________________________________________________________</w:t>
            </w:r>
          </w:p>
        </w:tc>
        <w:tc>
          <w:tcPr>
            <w:tcW w:w="1063" w:type="dxa"/>
            <w:tcBorders>
              <w:top w:val="nil"/>
              <w:bottom w:val="single" w:sz="4" w:space="0" w:color="auto"/>
            </w:tcBorders>
            <w:shd w:val="clear" w:color="auto" w:fill="D9D9D9" w:themeFill="background1" w:themeFillShade="D9"/>
            <w:vAlign w:val="center"/>
          </w:tcPr>
          <w:p w14:paraId="6D4B4751" w14:textId="77777777" w:rsidR="00E6060C" w:rsidRPr="00E6060C" w:rsidRDefault="00E6060C" w:rsidP="00E6060C">
            <w:pPr>
              <w:contextualSpacing/>
              <w:rPr>
                <w:rFonts w:eastAsia="Times New Roman" w:cs="Arial"/>
              </w:rPr>
            </w:pPr>
          </w:p>
        </w:tc>
        <w:tc>
          <w:tcPr>
            <w:tcW w:w="1063" w:type="dxa"/>
            <w:tcBorders>
              <w:top w:val="nil"/>
              <w:bottom w:val="single" w:sz="4" w:space="0" w:color="auto"/>
              <w:right w:val="single" w:sz="4" w:space="0" w:color="auto"/>
            </w:tcBorders>
            <w:shd w:val="clear" w:color="auto" w:fill="D9D9D9" w:themeFill="background1" w:themeFillShade="D9"/>
            <w:vAlign w:val="center"/>
          </w:tcPr>
          <w:p w14:paraId="7BFBD48D" w14:textId="77777777" w:rsidR="00E6060C" w:rsidRPr="00E6060C" w:rsidRDefault="00E6060C" w:rsidP="00E6060C">
            <w:pPr>
              <w:contextualSpacing/>
              <w:rPr>
                <w:rFonts w:eastAsia="Times New Roman" w:cs="Arial"/>
              </w:rPr>
            </w:pPr>
          </w:p>
        </w:tc>
      </w:tr>
    </w:tbl>
    <w:p w14:paraId="7539B447" w14:textId="77777777" w:rsidR="00E6060C" w:rsidRPr="00E6060C" w:rsidRDefault="00E6060C" w:rsidP="00E6060C">
      <w:pPr>
        <w:spacing w:line="360" w:lineRule="auto"/>
        <w:contextualSpacing/>
        <w:rPr>
          <w:rFonts w:eastAsia="Times New Roman" w:cs="Arial"/>
          <w:lang w:val="en-US"/>
        </w:rPr>
      </w:pPr>
    </w:p>
    <w:p w14:paraId="41C5EFF2" w14:textId="77777777" w:rsidR="00E6060C" w:rsidRPr="00E6060C" w:rsidRDefault="00E6060C" w:rsidP="00F15DDF">
      <w:pPr>
        <w:numPr>
          <w:ilvl w:val="0"/>
          <w:numId w:val="20"/>
        </w:numPr>
        <w:spacing w:line="360" w:lineRule="auto"/>
        <w:ind w:left="426" w:hanging="426"/>
        <w:contextualSpacing/>
        <w:rPr>
          <w:rFonts w:eastAsia="Times New Roman" w:cs="Arial"/>
          <w:b/>
          <w:lang w:val="en-US"/>
        </w:rPr>
      </w:pPr>
      <w:r w:rsidRPr="00E6060C">
        <w:rPr>
          <w:rFonts w:eastAsia="Times New Roman" w:cs="Arial"/>
          <w:b/>
          <w:lang w:val="en-US"/>
        </w:rPr>
        <w:t xml:space="preserve">Do you think that the EnRICH project resulted in changes in the way care is delivered on your ward? </w:t>
      </w:r>
      <w:r w:rsidRPr="00E6060C">
        <w:rPr>
          <w:rFonts w:eastAsia="Times New Roman" w:cs="Arial"/>
          <w:b/>
          <w:lang w:val="en-US"/>
        </w:rPr>
        <w:tab/>
      </w:r>
      <w:r w:rsidRPr="00E6060C">
        <w:rPr>
          <w:rFonts w:eastAsia="Times New Roman" w:cs="Arial"/>
          <w:b/>
          <w:lang w:val="en-US"/>
        </w:rPr>
        <w:tab/>
      </w:r>
    </w:p>
    <w:p w14:paraId="6192DCF8" w14:textId="77777777" w:rsidR="00E6060C" w:rsidRPr="00E6060C" w:rsidRDefault="00E6060C" w:rsidP="00E6060C">
      <w:pPr>
        <w:spacing w:line="360" w:lineRule="auto"/>
        <w:ind w:left="426"/>
        <w:contextualSpacing/>
        <w:rPr>
          <w:rFonts w:eastAsia="Times New Roman" w:cs="Arial"/>
          <w:lang w:val="en-US"/>
        </w:rPr>
      </w:pPr>
      <w:r w:rsidRPr="00E6060C">
        <w:rPr>
          <w:rFonts w:ascii="Arial Narrow" w:hAnsi="Arial Narrow"/>
          <w:sz w:val="52"/>
          <w:szCs w:val="52"/>
        </w:rPr>
        <w:sym w:font="Wingdings" w:char="F06F"/>
      </w:r>
      <w:r w:rsidRPr="00E6060C">
        <w:rPr>
          <w:rFonts w:eastAsia="Times New Roman" w:cs="Arial"/>
          <w:lang w:val="en-US"/>
        </w:rPr>
        <w:t>Yes</w:t>
      </w:r>
      <w:r w:rsidRPr="00E6060C">
        <w:rPr>
          <w:rFonts w:eastAsia="Times New Roman" w:cs="Arial"/>
          <w:lang w:val="en-US"/>
        </w:rPr>
        <w:tab/>
      </w:r>
      <w:r w:rsidRPr="00E6060C">
        <w:rPr>
          <w:rFonts w:ascii="Arial Narrow" w:hAnsi="Arial Narrow"/>
          <w:sz w:val="52"/>
          <w:szCs w:val="52"/>
        </w:rPr>
        <w:sym w:font="Wingdings" w:char="F06F"/>
      </w:r>
      <w:r w:rsidRPr="00E6060C">
        <w:rPr>
          <w:rFonts w:eastAsia="Times New Roman" w:cs="Arial"/>
          <w:lang w:val="en-US"/>
        </w:rPr>
        <w:t>No</w:t>
      </w:r>
    </w:p>
    <w:tbl>
      <w:tblPr>
        <w:tblW w:w="9821" w:type="dxa"/>
        <w:tblBorders>
          <w:top w:val="single" w:sz="4" w:space="0" w:color="auto"/>
          <w:bottom w:val="single" w:sz="4" w:space="0" w:color="auto"/>
        </w:tblBorders>
        <w:tblLayout w:type="fixed"/>
        <w:tblLook w:val="01E0" w:firstRow="1" w:lastRow="1" w:firstColumn="1" w:lastColumn="1" w:noHBand="0" w:noVBand="0"/>
      </w:tblPr>
      <w:tblGrid>
        <w:gridCol w:w="464"/>
        <w:gridCol w:w="4039"/>
        <w:gridCol w:w="993"/>
        <w:gridCol w:w="1133"/>
        <w:gridCol w:w="1209"/>
        <w:gridCol w:w="851"/>
        <w:gridCol w:w="1132"/>
      </w:tblGrid>
      <w:tr w:rsidR="00E6060C" w:rsidRPr="00E6060C" w14:paraId="149F288B" w14:textId="77777777" w:rsidTr="00E6060C">
        <w:trPr>
          <w:trHeight w:val="476"/>
        </w:trPr>
        <w:tc>
          <w:tcPr>
            <w:tcW w:w="4503" w:type="dxa"/>
            <w:gridSpan w:val="2"/>
            <w:tcBorders>
              <w:top w:val="single" w:sz="4" w:space="0" w:color="auto"/>
              <w:bottom w:val="single" w:sz="4" w:space="0" w:color="auto"/>
            </w:tcBorders>
            <w:shd w:val="clear" w:color="auto" w:fill="8EAADB" w:themeFill="accent5" w:themeFillTint="99"/>
          </w:tcPr>
          <w:p w14:paraId="5A340FED" w14:textId="77777777" w:rsidR="00E6060C" w:rsidRPr="00E6060C" w:rsidRDefault="00E6060C" w:rsidP="00F15DDF">
            <w:pPr>
              <w:numPr>
                <w:ilvl w:val="0"/>
                <w:numId w:val="20"/>
              </w:numPr>
              <w:spacing w:after="200" w:line="240" w:lineRule="auto"/>
              <w:ind w:left="426" w:hanging="426"/>
              <w:contextualSpacing/>
              <w:rPr>
                <w:rFonts w:eastAsia="Times New Roman" w:cs="Arial"/>
                <w:b/>
                <w:bCs/>
                <w:lang w:val="en-US"/>
              </w:rPr>
            </w:pPr>
            <w:r w:rsidRPr="00E6060C">
              <w:rPr>
                <w:rFonts w:eastAsia="Times New Roman" w:cs="Arial"/>
                <w:b/>
                <w:bCs/>
                <w:lang w:val="en-US"/>
              </w:rPr>
              <w:lastRenderedPageBreak/>
              <w:t xml:space="preserve">Do you feel that the following things have improved on your ward </w:t>
            </w:r>
            <w:r w:rsidRPr="00E6060C">
              <w:rPr>
                <w:rFonts w:eastAsia="Times New Roman" w:cs="Arial"/>
                <w:b/>
                <w:bCs/>
                <w:u w:val="single"/>
                <w:lang w:val="en-US"/>
              </w:rPr>
              <w:t>due to the EnRICH project</w:t>
            </w:r>
            <w:r w:rsidRPr="00E6060C">
              <w:rPr>
                <w:rFonts w:eastAsia="Times New Roman" w:cs="Arial"/>
                <w:b/>
                <w:lang w:val="en-US"/>
              </w:rPr>
              <w:t>?</w:t>
            </w:r>
          </w:p>
        </w:tc>
        <w:tc>
          <w:tcPr>
            <w:tcW w:w="993" w:type="dxa"/>
            <w:tcBorders>
              <w:top w:val="single" w:sz="4" w:space="0" w:color="auto"/>
              <w:bottom w:val="single" w:sz="4" w:space="0" w:color="auto"/>
            </w:tcBorders>
            <w:shd w:val="clear" w:color="auto" w:fill="8EAADB" w:themeFill="accent5" w:themeFillTint="99"/>
          </w:tcPr>
          <w:p w14:paraId="1A53DE47" w14:textId="77777777" w:rsidR="00E6060C" w:rsidRPr="00E6060C" w:rsidRDefault="00E6060C" w:rsidP="00E6060C">
            <w:pPr>
              <w:contextualSpacing/>
              <w:rPr>
                <w:rFonts w:eastAsia="Times New Roman" w:cs="Arial"/>
                <w:b/>
                <w:bCs/>
              </w:rPr>
            </w:pPr>
            <w:r w:rsidRPr="00E6060C">
              <w:rPr>
                <w:rFonts w:eastAsia="Times New Roman" w:cs="Arial"/>
                <w:b/>
                <w:bCs/>
              </w:rPr>
              <w:t>Strongly disagree</w:t>
            </w:r>
          </w:p>
        </w:tc>
        <w:tc>
          <w:tcPr>
            <w:tcW w:w="1133" w:type="dxa"/>
            <w:tcBorders>
              <w:top w:val="single" w:sz="4" w:space="0" w:color="auto"/>
              <w:bottom w:val="single" w:sz="4" w:space="0" w:color="auto"/>
            </w:tcBorders>
            <w:shd w:val="clear" w:color="auto" w:fill="8EAADB" w:themeFill="accent5" w:themeFillTint="99"/>
          </w:tcPr>
          <w:p w14:paraId="1E8301D7" w14:textId="77777777" w:rsidR="00E6060C" w:rsidRPr="00E6060C" w:rsidRDefault="00E6060C" w:rsidP="00E6060C">
            <w:pPr>
              <w:contextualSpacing/>
              <w:rPr>
                <w:rFonts w:eastAsia="Times New Roman" w:cs="Arial"/>
                <w:b/>
                <w:bCs/>
              </w:rPr>
            </w:pPr>
            <w:r w:rsidRPr="00E6060C">
              <w:rPr>
                <w:rFonts w:eastAsia="Times New Roman" w:cs="Arial"/>
                <w:b/>
                <w:bCs/>
              </w:rPr>
              <w:t>Disagree</w:t>
            </w:r>
          </w:p>
        </w:tc>
        <w:tc>
          <w:tcPr>
            <w:tcW w:w="1209" w:type="dxa"/>
            <w:tcBorders>
              <w:top w:val="single" w:sz="4" w:space="0" w:color="auto"/>
              <w:bottom w:val="single" w:sz="4" w:space="0" w:color="auto"/>
            </w:tcBorders>
            <w:shd w:val="clear" w:color="auto" w:fill="8EAADB" w:themeFill="accent5" w:themeFillTint="99"/>
          </w:tcPr>
          <w:p w14:paraId="22EA69DA" w14:textId="77777777" w:rsidR="00E6060C" w:rsidRPr="00E6060C" w:rsidRDefault="00E6060C" w:rsidP="00E6060C">
            <w:pPr>
              <w:contextualSpacing/>
              <w:rPr>
                <w:rFonts w:eastAsia="Times New Roman" w:cs="Arial"/>
                <w:b/>
                <w:bCs/>
              </w:rPr>
            </w:pPr>
            <w:r w:rsidRPr="00E6060C">
              <w:rPr>
                <w:rFonts w:eastAsia="Times New Roman" w:cs="Arial"/>
                <w:b/>
                <w:bCs/>
              </w:rPr>
              <w:t>Neither agree nor disagree</w:t>
            </w:r>
          </w:p>
        </w:tc>
        <w:tc>
          <w:tcPr>
            <w:tcW w:w="851" w:type="dxa"/>
            <w:tcBorders>
              <w:top w:val="single" w:sz="4" w:space="0" w:color="auto"/>
              <w:bottom w:val="single" w:sz="4" w:space="0" w:color="auto"/>
            </w:tcBorders>
            <w:shd w:val="clear" w:color="auto" w:fill="8EAADB" w:themeFill="accent5" w:themeFillTint="99"/>
          </w:tcPr>
          <w:p w14:paraId="15EB9462" w14:textId="77777777" w:rsidR="00E6060C" w:rsidRPr="00E6060C" w:rsidRDefault="00E6060C" w:rsidP="00E6060C">
            <w:pPr>
              <w:contextualSpacing/>
              <w:rPr>
                <w:rFonts w:eastAsia="Times New Roman" w:cs="Arial"/>
                <w:b/>
                <w:bCs/>
              </w:rPr>
            </w:pPr>
            <w:r w:rsidRPr="00E6060C">
              <w:rPr>
                <w:rFonts w:eastAsia="Times New Roman" w:cs="Arial"/>
                <w:b/>
                <w:bCs/>
              </w:rPr>
              <w:t>Agree</w:t>
            </w:r>
          </w:p>
        </w:tc>
        <w:tc>
          <w:tcPr>
            <w:tcW w:w="1132" w:type="dxa"/>
            <w:tcBorders>
              <w:top w:val="single" w:sz="4" w:space="0" w:color="auto"/>
              <w:bottom w:val="single" w:sz="4" w:space="0" w:color="auto"/>
            </w:tcBorders>
            <w:shd w:val="clear" w:color="auto" w:fill="8EAADB" w:themeFill="accent5" w:themeFillTint="99"/>
          </w:tcPr>
          <w:p w14:paraId="09A83252" w14:textId="77777777" w:rsidR="00E6060C" w:rsidRPr="00E6060C" w:rsidRDefault="00E6060C" w:rsidP="00E6060C">
            <w:pPr>
              <w:contextualSpacing/>
              <w:rPr>
                <w:rFonts w:eastAsia="Times New Roman" w:cs="Arial"/>
                <w:b/>
                <w:bCs/>
              </w:rPr>
            </w:pPr>
            <w:r w:rsidRPr="00E6060C">
              <w:rPr>
                <w:rFonts w:eastAsia="Times New Roman" w:cs="Arial"/>
                <w:b/>
                <w:bCs/>
              </w:rPr>
              <w:t>Strongly agree</w:t>
            </w:r>
          </w:p>
        </w:tc>
      </w:tr>
      <w:tr w:rsidR="00E6060C" w:rsidRPr="00E6060C" w14:paraId="36B3F01F" w14:textId="77777777" w:rsidTr="00E6060C">
        <w:tc>
          <w:tcPr>
            <w:tcW w:w="464" w:type="dxa"/>
            <w:tcBorders>
              <w:top w:val="nil"/>
              <w:bottom w:val="nil"/>
            </w:tcBorders>
            <w:shd w:val="clear" w:color="auto" w:fill="auto"/>
            <w:vAlign w:val="center"/>
          </w:tcPr>
          <w:p w14:paraId="38E30B2D"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1</w:t>
            </w:r>
          </w:p>
        </w:tc>
        <w:tc>
          <w:tcPr>
            <w:tcW w:w="4039" w:type="dxa"/>
            <w:tcBorders>
              <w:top w:val="nil"/>
              <w:bottom w:val="nil"/>
            </w:tcBorders>
            <w:shd w:val="clear" w:color="auto" w:fill="auto"/>
            <w:vAlign w:val="center"/>
          </w:tcPr>
          <w:p w14:paraId="79309D67" w14:textId="77777777" w:rsidR="00E6060C" w:rsidRPr="00E6060C" w:rsidRDefault="00E6060C" w:rsidP="00E6060C">
            <w:pPr>
              <w:spacing w:line="360" w:lineRule="auto"/>
              <w:contextualSpacing/>
              <w:rPr>
                <w:rFonts w:eastAsia="Times New Roman" w:cs="Arial"/>
              </w:rPr>
            </w:pPr>
            <w:r w:rsidRPr="00E6060C">
              <w:rPr>
                <w:rFonts w:eastAsia="Times New Roman" w:cs="Arial"/>
              </w:rPr>
              <w:t>The patients’ experience of care</w:t>
            </w:r>
          </w:p>
        </w:tc>
        <w:tc>
          <w:tcPr>
            <w:tcW w:w="993" w:type="dxa"/>
            <w:tcBorders>
              <w:top w:val="nil"/>
              <w:bottom w:val="nil"/>
            </w:tcBorders>
            <w:shd w:val="clear" w:color="auto" w:fill="auto"/>
            <w:vAlign w:val="center"/>
          </w:tcPr>
          <w:p w14:paraId="59137360"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1</w:t>
            </w:r>
          </w:p>
        </w:tc>
        <w:tc>
          <w:tcPr>
            <w:tcW w:w="1133" w:type="dxa"/>
            <w:tcBorders>
              <w:top w:val="nil"/>
              <w:bottom w:val="nil"/>
            </w:tcBorders>
            <w:shd w:val="clear" w:color="auto" w:fill="auto"/>
            <w:vAlign w:val="center"/>
          </w:tcPr>
          <w:p w14:paraId="5A3E068F"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2</w:t>
            </w:r>
          </w:p>
        </w:tc>
        <w:tc>
          <w:tcPr>
            <w:tcW w:w="1209" w:type="dxa"/>
            <w:tcBorders>
              <w:top w:val="nil"/>
              <w:bottom w:val="nil"/>
            </w:tcBorders>
            <w:shd w:val="clear" w:color="auto" w:fill="auto"/>
            <w:vAlign w:val="center"/>
          </w:tcPr>
          <w:p w14:paraId="188E903E"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3</w:t>
            </w:r>
          </w:p>
        </w:tc>
        <w:tc>
          <w:tcPr>
            <w:tcW w:w="851" w:type="dxa"/>
            <w:tcBorders>
              <w:top w:val="nil"/>
              <w:bottom w:val="nil"/>
            </w:tcBorders>
            <w:shd w:val="clear" w:color="auto" w:fill="auto"/>
            <w:vAlign w:val="center"/>
          </w:tcPr>
          <w:p w14:paraId="30404A67"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4</w:t>
            </w:r>
          </w:p>
        </w:tc>
        <w:tc>
          <w:tcPr>
            <w:tcW w:w="1132" w:type="dxa"/>
            <w:tcBorders>
              <w:top w:val="nil"/>
              <w:bottom w:val="nil"/>
            </w:tcBorders>
            <w:shd w:val="clear" w:color="auto" w:fill="auto"/>
            <w:vAlign w:val="center"/>
          </w:tcPr>
          <w:p w14:paraId="2D732DE2"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5</w:t>
            </w:r>
          </w:p>
        </w:tc>
      </w:tr>
      <w:tr w:rsidR="00E6060C" w:rsidRPr="00E6060C" w14:paraId="276C988B" w14:textId="77777777" w:rsidTr="00E6060C">
        <w:tc>
          <w:tcPr>
            <w:tcW w:w="464" w:type="dxa"/>
            <w:tcBorders>
              <w:top w:val="nil"/>
              <w:bottom w:val="nil"/>
            </w:tcBorders>
            <w:shd w:val="clear" w:color="auto" w:fill="D9D9D9" w:themeFill="background1" w:themeFillShade="D9"/>
            <w:vAlign w:val="center"/>
          </w:tcPr>
          <w:p w14:paraId="300FB7DE"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2</w:t>
            </w:r>
          </w:p>
        </w:tc>
        <w:tc>
          <w:tcPr>
            <w:tcW w:w="4039" w:type="dxa"/>
            <w:tcBorders>
              <w:top w:val="nil"/>
              <w:bottom w:val="nil"/>
            </w:tcBorders>
            <w:shd w:val="clear" w:color="auto" w:fill="D9D9D9" w:themeFill="background1" w:themeFillShade="D9"/>
            <w:vAlign w:val="center"/>
          </w:tcPr>
          <w:p w14:paraId="660D9AFC" w14:textId="77777777" w:rsidR="00E6060C" w:rsidRPr="00E6060C" w:rsidRDefault="00E6060C" w:rsidP="00E6060C">
            <w:pPr>
              <w:spacing w:line="360" w:lineRule="auto"/>
              <w:contextualSpacing/>
              <w:rPr>
                <w:rFonts w:eastAsia="Times New Roman" w:cs="Arial"/>
              </w:rPr>
            </w:pPr>
            <w:r w:rsidRPr="00E6060C">
              <w:rPr>
                <w:rFonts w:eastAsia="Times New Roman" w:cs="Arial"/>
              </w:rPr>
              <w:t>Staff morale</w:t>
            </w:r>
          </w:p>
        </w:tc>
        <w:tc>
          <w:tcPr>
            <w:tcW w:w="993" w:type="dxa"/>
            <w:tcBorders>
              <w:top w:val="nil"/>
              <w:bottom w:val="nil"/>
            </w:tcBorders>
            <w:shd w:val="clear" w:color="auto" w:fill="D9D9D9" w:themeFill="background1" w:themeFillShade="D9"/>
            <w:vAlign w:val="center"/>
          </w:tcPr>
          <w:p w14:paraId="32FF9F7F"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1</w:t>
            </w:r>
          </w:p>
        </w:tc>
        <w:tc>
          <w:tcPr>
            <w:tcW w:w="1133" w:type="dxa"/>
            <w:tcBorders>
              <w:top w:val="nil"/>
              <w:bottom w:val="nil"/>
            </w:tcBorders>
            <w:shd w:val="clear" w:color="auto" w:fill="D9D9D9" w:themeFill="background1" w:themeFillShade="D9"/>
            <w:vAlign w:val="center"/>
          </w:tcPr>
          <w:p w14:paraId="13969ED6"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2</w:t>
            </w:r>
          </w:p>
        </w:tc>
        <w:tc>
          <w:tcPr>
            <w:tcW w:w="1209" w:type="dxa"/>
            <w:tcBorders>
              <w:top w:val="nil"/>
              <w:bottom w:val="nil"/>
            </w:tcBorders>
            <w:shd w:val="clear" w:color="auto" w:fill="D9D9D9" w:themeFill="background1" w:themeFillShade="D9"/>
            <w:vAlign w:val="center"/>
          </w:tcPr>
          <w:p w14:paraId="1458271A"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3</w:t>
            </w:r>
          </w:p>
        </w:tc>
        <w:tc>
          <w:tcPr>
            <w:tcW w:w="851" w:type="dxa"/>
            <w:tcBorders>
              <w:top w:val="nil"/>
              <w:bottom w:val="nil"/>
            </w:tcBorders>
            <w:shd w:val="clear" w:color="auto" w:fill="D9D9D9" w:themeFill="background1" w:themeFillShade="D9"/>
            <w:vAlign w:val="center"/>
          </w:tcPr>
          <w:p w14:paraId="14E0BC22"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4</w:t>
            </w:r>
          </w:p>
        </w:tc>
        <w:tc>
          <w:tcPr>
            <w:tcW w:w="1132" w:type="dxa"/>
            <w:tcBorders>
              <w:top w:val="nil"/>
              <w:bottom w:val="nil"/>
            </w:tcBorders>
            <w:shd w:val="clear" w:color="auto" w:fill="D9D9D9" w:themeFill="background1" w:themeFillShade="D9"/>
            <w:vAlign w:val="center"/>
          </w:tcPr>
          <w:p w14:paraId="0C9E13DC"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5</w:t>
            </w:r>
          </w:p>
        </w:tc>
      </w:tr>
      <w:tr w:rsidR="00E6060C" w:rsidRPr="00E6060C" w14:paraId="729E80EF" w14:textId="77777777" w:rsidTr="00E6060C">
        <w:tc>
          <w:tcPr>
            <w:tcW w:w="464" w:type="dxa"/>
            <w:tcBorders>
              <w:top w:val="nil"/>
              <w:bottom w:val="nil"/>
            </w:tcBorders>
            <w:shd w:val="clear" w:color="auto" w:fill="auto"/>
            <w:vAlign w:val="center"/>
          </w:tcPr>
          <w:p w14:paraId="0C24DA20"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3</w:t>
            </w:r>
          </w:p>
        </w:tc>
        <w:tc>
          <w:tcPr>
            <w:tcW w:w="4039" w:type="dxa"/>
            <w:tcBorders>
              <w:top w:val="nil"/>
              <w:bottom w:val="nil"/>
            </w:tcBorders>
            <w:shd w:val="clear" w:color="auto" w:fill="auto"/>
            <w:vAlign w:val="center"/>
          </w:tcPr>
          <w:p w14:paraId="7CD0B7FE" w14:textId="77777777" w:rsidR="00E6060C" w:rsidRPr="00E6060C" w:rsidRDefault="00E6060C" w:rsidP="00E6060C">
            <w:pPr>
              <w:spacing w:line="360" w:lineRule="auto"/>
              <w:contextualSpacing/>
              <w:rPr>
                <w:rFonts w:eastAsia="Times New Roman" w:cs="Arial"/>
              </w:rPr>
            </w:pPr>
            <w:r w:rsidRPr="00E6060C">
              <w:rPr>
                <w:rFonts w:eastAsia="Times New Roman" w:cs="Arial"/>
              </w:rPr>
              <w:t>The ability of the team to identify areas for improvement</w:t>
            </w:r>
          </w:p>
        </w:tc>
        <w:tc>
          <w:tcPr>
            <w:tcW w:w="993" w:type="dxa"/>
            <w:tcBorders>
              <w:top w:val="nil"/>
              <w:bottom w:val="nil"/>
            </w:tcBorders>
            <w:shd w:val="clear" w:color="auto" w:fill="auto"/>
            <w:vAlign w:val="center"/>
          </w:tcPr>
          <w:p w14:paraId="6E2F7837"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1</w:t>
            </w:r>
          </w:p>
        </w:tc>
        <w:tc>
          <w:tcPr>
            <w:tcW w:w="1133" w:type="dxa"/>
            <w:tcBorders>
              <w:top w:val="nil"/>
              <w:bottom w:val="nil"/>
            </w:tcBorders>
            <w:shd w:val="clear" w:color="auto" w:fill="auto"/>
            <w:vAlign w:val="center"/>
          </w:tcPr>
          <w:p w14:paraId="2E23DA61"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2</w:t>
            </w:r>
          </w:p>
        </w:tc>
        <w:tc>
          <w:tcPr>
            <w:tcW w:w="1209" w:type="dxa"/>
            <w:tcBorders>
              <w:top w:val="nil"/>
              <w:bottom w:val="nil"/>
            </w:tcBorders>
            <w:shd w:val="clear" w:color="auto" w:fill="auto"/>
            <w:vAlign w:val="center"/>
          </w:tcPr>
          <w:p w14:paraId="307D9394"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3</w:t>
            </w:r>
          </w:p>
        </w:tc>
        <w:tc>
          <w:tcPr>
            <w:tcW w:w="851" w:type="dxa"/>
            <w:tcBorders>
              <w:top w:val="nil"/>
              <w:bottom w:val="nil"/>
            </w:tcBorders>
            <w:shd w:val="clear" w:color="auto" w:fill="auto"/>
            <w:vAlign w:val="center"/>
          </w:tcPr>
          <w:p w14:paraId="5C937486"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4</w:t>
            </w:r>
          </w:p>
        </w:tc>
        <w:tc>
          <w:tcPr>
            <w:tcW w:w="1132" w:type="dxa"/>
            <w:tcBorders>
              <w:top w:val="nil"/>
              <w:bottom w:val="nil"/>
            </w:tcBorders>
            <w:shd w:val="clear" w:color="auto" w:fill="auto"/>
            <w:vAlign w:val="center"/>
          </w:tcPr>
          <w:p w14:paraId="1FEA17C4"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5</w:t>
            </w:r>
          </w:p>
        </w:tc>
      </w:tr>
      <w:tr w:rsidR="00E6060C" w:rsidRPr="00E6060C" w14:paraId="540E010D" w14:textId="77777777" w:rsidTr="00E6060C">
        <w:tc>
          <w:tcPr>
            <w:tcW w:w="464" w:type="dxa"/>
            <w:tcBorders>
              <w:top w:val="nil"/>
              <w:bottom w:val="nil"/>
            </w:tcBorders>
            <w:shd w:val="clear" w:color="auto" w:fill="D9D9D9" w:themeFill="background1" w:themeFillShade="D9"/>
            <w:vAlign w:val="center"/>
          </w:tcPr>
          <w:p w14:paraId="45C53CA5"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4</w:t>
            </w:r>
          </w:p>
        </w:tc>
        <w:tc>
          <w:tcPr>
            <w:tcW w:w="4039" w:type="dxa"/>
            <w:tcBorders>
              <w:top w:val="nil"/>
              <w:bottom w:val="nil"/>
            </w:tcBorders>
            <w:shd w:val="clear" w:color="auto" w:fill="D9D9D9" w:themeFill="background1" w:themeFillShade="D9"/>
            <w:vAlign w:val="center"/>
          </w:tcPr>
          <w:p w14:paraId="3AB46E78" w14:textId="77777777" w:rsidR="00E6060C" w:rsidRPr="00E6060C" w:rsidRDefault="00E6060C" w:rsidP="00E6060C">
            <w:pPr>
              <w:spacing w:line="360" w:lineRule="auto"/>
              <w:contextualSpacing/>
              <w:rPr>
                <w:rFonts w:eastAsia="Times New Roman" w:cs="Arial"/>
              </w:rPr>
            </w:pPr>
            <w:r w:rsidRPr="00E6060C">
              <w:rPr>
                <w:rFonts w:eastAsia="Times New Roman" w:cs="Arial"/>
              </w:rPr>
              <w:t xml:space="preserve">The opportunity to hear about new ways of working </w:t>
            </w:r>
          </w:p>
        </w:tc>
        <w:tc>
          <w:tcPr>
            <w:tcW w:w="993" w:type="dxa"/>
            <w:tcBorders>
              <w:top w:val="nil"/>
              <w:bottom w:val="nil"/>
            </w:tcBorders>
            <w:shd w:val="clear" w:color="auto" w:fill="D9D9D9" w:themeFill="background1" w:themeFillShade="D9"/>
            <w:vAlign w:val="center"/>
          </w:tcPr>
          <w:p w14:paraId="36FEB3FB"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1</w:t>
            </w:r>
          </w:p>
        </w:tc>
        <w:tc>
          <w:tcPr>
            <w:tcW w:w="1133" w:type="dxa"/>
            <w:tcBorders>
              <w:top w:val="nil"/>
              <w:bottom w:val="nil"/>
            </w:tcBorders>
            <w:shd w:val="clear" w:color="auto" w:fill="D9D9D9" w:themeFill="background1" w:themeFillShade="D9"/>
            <w:vAlign w:val="center"/>
          </w:tcPr>
          <w:p w14:paraId="644B7B79"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2</w:t>
            </w:r>
          </w:p>
        </w:tc>
        <w:tc>
          <w:tcPr>
            <w:tcW w:w="1209" w:type="dxa"/>
            <w:tcBorders>
              <w:top w:val="nil"/>
              <w:bottom w:val="nil"/>
            </w:tcBorders>
            <w:shd w:val="clear" w:color="auto" w:fill="D9D9D9" w:themeFill="background1" w:themeFillShade="D9"/>
            <w:vAlign w:val="center"/>
          </w:tcPr>
          <w:p w14:paraId="3ECCC240"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3</w:t>
            </w:r>
          </w:p>
        </w:tc>
        <w:tc>
          <w:tcPr>
            <w:tcW w:w="851" w:type="dxa"/>
            <w:tcBorders>
              <w:top w:val="nil"/>
              <w:bottom w:val="nil"/>
            </w:tcBorders>
            <w:shd w:val="clear" w:color="auto" w:fill="D9D9D9" w:themeFill="background1" w:themeFillShade="D9"/>
            <w:vAlign w:val="center"/>
          </w:tcPr>
          <w:p w14:paraId="5044DD4D"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4</w:t>
            </w:r>
          </w:p>
        </w:tc>
        <w:tc>
          <w:tcPr>
            <w:tcW w:w="1132" w:type="dxa"/>
            <w:tcBorders>
              <w:top w:val="nil"/>
              <w:bottom w:val="nil"/>
            </w:tcBorders>
            <w:shd w:val="clear" w:color="auto" w:fill="D9D9D9" w:themeFill="background1" w:themeFillShade="D9"/>
            <w:vAlign w:val="center"/>
          </w:tcPr>
          <w:p w14:paraId="7CEABAD2"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5</w:t>
            </w:r>
          </w:p>
        </w:tc>
      </w:tr>
      <w:tr w:rsidR="00E6060C" w:rsidRPr="00E6060C" w14:paraId="58DE5711" w14:textId="77777777" w:rsidTr="00E6060C">
        <w:tc>
          <w:tcPr>
            <w:tcW w:w="464" w:type="dxa"/>
            <w:tcBorders>
              <w:top w:val="nil"/>
              <w:bottom w:val="single" w:sz="4" w:space="0" w:color="auto"/>
            </w:tcBorders>
            <w:shd w:val="clear" w:color="auto" w:fill="auto"/>
            <w:vAlign w:val="center"/>
          </w:tcPr>
          <w:p w14:paraId="384B25D1" w14:textId="77777777" w:rsidR="00E6060C" w:rsidRPr="00E6060C" w:rsidRDefault="00E6060C" w:rsidP="00E6060C">
            <w:pPr>
              <w:spacing w:line="360" w:lineRule="auto"/>
              <w:contextualSpacing/>
              <w:rPr>
                <w:rFonts w:eastAsia="Times New Roman" w:cs="Arial"/>
                <w:lang w:val="en-AU"/>
              </w:rPr>
            </w:pPr>
            <w:r w:rsidRPr="00E6060C">
              <w:rPr>
                <w:rFonts w:eastAsia="Times New Roman" w:cs="Arial"/>
                <w:lang w:val="en-AU"/>
              </w:rPr>
              <w:t>5</w:t>
            </w:r>
          </w:p>
        </w:tc>
        <w:tc>
          <w:tcPr>
            <w:tcW w:w="4039" w:type="dxa"/>
            <w:tcBorders>
              <w:top w:val="nil"/>
              <w:bottom w:val="single" w:sz="4" w:space="0" w:color="auto"/>
            </w:tcBorders>
            <w:shd w:val="clear" w:color="auto" w:fill="auto"/>
            <w:vAlign w:val="center"/>
          </w:tcPr>
          <w:p w14:paraId="35F69174" w14:textId="77777777" w:rsidR="00E6060C" w:rsidRPr="00E6060C" w:rsidRDefault="00E6060C" w:rsidP="00E6060C">
            <w:pPr>
              <w:spacing w:line="360" w:lineRule="auto"/>
              <w:contextualSpacing/>
              <w:rPr>
                <w:rFonts w:eastAsia="Times New Roman" w:cs="Arial"/>
              </w:rPr>
            </w:pPr>
            <w:r w:rsidRPr="00E6060C">
              <w:rPr>
                <w:rFonts w:eastAsia="Times New Roman" w:cs="Arial"/>
              </w:rPr>
              <w:t xml:space="preserve">Feeling that your ideas are heard </w:t>
            </w:r>
          </w:p>
        </w:tc>
        <w:tc>
          <w:tcPr>
            <w:tcW w:w="993" w:type="dxa"/>
            <w:tcBorders>
              <w:top w:val="nil"/>
              <w:bottom w:val="single" w:sz="4" w:space="0" w:color="auto"/>
            </w:tcBorders>
            <w:shd w:val="clear" w:color="auto" w:fill="auto"/>
            <w:vAlign w:val="center"/>
          </w:tcPr>
          <w:p w14:paraId="4F36D067"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1</w:t>
            </w:r>
          </w:p>
        </w:tc>
        <w:tc>
          <w:tcPr>
            <w:tcW w:w="1133" w:type="dxa"/>
            <w:tcBorders>
              <w:top w:val="nil"/>
              <w:bottom w:val="single" w:sz="4" w:space="0" w:color="auto"/>
            </w:tcBorders>
            <w:shd w:val="clear" w:color="auto" w:fill="auto"/>
            <w:vAlign w:val="center"/>
          </w:tcPr>
          <w:p w14:paraId="04E5E147"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2</w:t>
            </w:r>
          </w:p>
        </w:tc>
        <w:tc>
          <w:tcPr>
            <w:tcW w:w="1209" w:type="dxa"/>
            <w:tcBorders>
              <w:top w:val="nil"/>
              <w:bottom w:val="single" w:sz="4" w:space="0" w:color="auto"/>
            </w:tcBorders>
            <w:shd w:val="clear" w:color="auto" w:fill="auto"/>
            <w:vAlign w:val="center"/>
          </w:tcPr>
          <w:p w14:paraId="02001CD1"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3</w:t>
            </w:r>
          </w:p>
        </w:tc>
        <w:tc>
          <w:tcPr>
            <w:tcW w:w="851" w:type="dxa"/>
            <w:tcBorders>
              <w:top w:val="nil"/>
              <w:bottom w:val="single" w:sz="4" w:space="0" w:color="auto"/>
            </w:tcBorders>
            <w:shd w:val="clear" w:color="auto" w:fill="auto"/>
            <w:vAlign w:val="center"/>
          </w:tcPr>
          <w:p w14:paraId="595E1DFE"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4</w:t>
            </w:r>
          </w:p>
        </w:tc>
        <w:tc>
          <w:tcPr>
            <w:tcW w:w="1132" w:type="dxa"/>
            <w:tcBorders>
              <w:top w:val="nil"/>
              <w:bottom w:val="single" w:sz="4" w:space="0" w:color="auto"/>
            </w:tcBorders>
            <w:shd w:val="clear" w:color="auto" w:fill="auto"/>
            <w:vAlign w:val="center"/>
          </w:tcPr>
          <w:p w14:paraId="0AB18F97" w14:textId="77777777" w:rsidR="00E6060C" w:rsidRPr="00E6060C" w:rsidRDefault="00E6060C" w:rsidP="00E6060C">
            <w:pPr>
              <w:spacing w:line="360" w:lineRule="auto"/>
              <w:contextualSpacing/>
              <w:jc w:val="center"/>
              <w:rPr>
                <w:rFonts w:eastAsia="Times New Roman" w:cs="Arial"/>
              </w:rPr>
            </w:pPr>
            <w:r w:rsidRPr="00E6060C">
              <w:rPr>
                <w:rFonts w:eastAsia="Times New Roman" w:cs="Arial"/>
              </w:rPr>
              <w:t>5</w:t>
            </w:r>
          </w:p>
        </w:tc>
      </w:tr>
    </w:tbl>
    <w:p w14:paraId="64BEFE64" w14:textId="77777777" w:rsidR="00E6060C" w:rsidRPr="00E6060C" w:rsidRDefault="00E6060C" w:rsidP="00E6060C">
      <w:pPr>
        <w:widowControl w:val="0"/>
        <w:ind w:right="265"/>
        <w:contextualSpacing/>
        <w:jc w:val="center"/>
        <w:rPr>
          <w:rFonts w:eastAsia="Times New Roman" w:cs="Times New Roman"/>
          <w:b/>
          <w:bCs/>
          <w:lang w:val="en-US"/>
        </w:rPr>
      </w:pPr>
    </w:p>
    <w:p w14:paraId="0E322CA8" w14:textId="77777777" w:rsidR="00E6060C" w:rsidRPr="00E6060C" w:rsidRDefault="00E6060C" w:rsidP="00E6060C">
      <w:pPr>
        <w:widowControl w:val="0"/>
        <w:ind w:right="265"/>
        <w:contextualSpacing/>
        <w:jc w:val="center"/>
        <w:rPr>
          <w:rFonts w:eastAsia="Times New Roman" w:cs="Times New Roman"/>
          <w:b/>
          <w:bCs/>
          <w:lang w:val="en-US"/>
        </w:rPr>
      </w:pPr>
    </w:p>
    <w:p w14:paraId="35E7D2D8" w14:textId="77777777" w:rsidR="00E6060C" w:rsidRPr="00E6060C" w:rsidRDefault="00E6060C" w:rsidP="00E6060C">
      <w:pPr>
        <w:widowControl w:val="0"/>
        <w:ind w:right="265"/>
        <w:contextualSpacing/>
        <w:jc w:val="center"/>
        <w:rPr>
          <w:rFonts w:eastAsia="Times New Roman" w:cs="Times New Roman"/>
          <w:b/>
          <w:bCs/>
          <w:lang w:val="en-US"/>
        </w:rPr>
      </w:pPr>
      <w:r w:rsidRPr="00E6060C">
        <w:rPr>
          <w:rFonts w:eastAsia="Times New Roman" w:cs="Times New Roman"/>
          <w:b/>
          <w:bCs/>
          <w:lang w:val="en-US"/>
        </w:rPr>
        <w:t>Thank you for completing this questionnaire. If you have any further thoughts or comments for the research team, please use the space provided and continue on a separate sheet if required.</w:t>
      </w:r>
    </w:p>
    <w:p w14:paraId="19906996" w14:textId="77777777" w:rsidR="00E6060C" w:rsidRPr="00E6060C" w:rsidRDefault="00E6060C" w:rsidP="00E6060C">
      <w:pPr>
        <w:widowControl w:val="0"/>
        <w:ind w:right="265"/>
        <w:contextualSpacing/>
        <w:rPr>
          <w:rFonts w:eastAsia="Times New Roman" w:cs="Times New Roman"/>
          <w:b/>
          <w:bCs/>
          <w:lang w:val="en-US"/>
        </w:rPr>
      </w:pPr>
    </w:p>
    <w:tbl>
      <w:tblPr>
        <w:tblW w:w="1080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807"/>
      </w:tblGrid>
      <w:tr w:rsidR="00E6060C" w:rsidRPr="00E6060C" w14:paraId="40F330D1" w14:textId="77777777" w:rsidTr="00E6060C">
        <w:trPr>
          <w:cantSplit/>
          <w:trHeight w:val="1152"/>
          <w:jc w:val="center"/>
        </w:trPr>
        <w:tc>
          <w:tcPr>
            <w:tcW w:w="10807" w:type="dxa"/>
            <w:shd w:val="clear" w:color="auto" w:fill="auto"/>
          </w:tcPr>
          <w:p w14:paraId="542F4D0C" w14:textId="77777777" w:rsidR="00E6060C" w:rsidRPr="00E6060C" w:rsidRDefault="00E6060C" w:rsidP="00E6060C">
            <w:pPr>
              <w:contextualSpacing/>
              <w:rPr>
                <w:rFonts w:eastAsia="Times" w:cs="Arial"/>
                <w:lang w:eastAsia="en-GB"/>
              </w:rPr>
            </w:pPr>
          </w:p>
          <w:p w14:paraId="35ABAFFC" w14:textId="77777777" w:rsidR="00E6060C" w:rsidRPr="00E6060C" w:rsidRDefault="00E6060C" w:rsidP="00E6060C">
            <w:pPr>
              <w:contextualSpacing/>
              <w:rPr>
                <w:rFonts w:eastAsia="Times" w:cs="Arial"/>
                <w:lang w:eastAsia="en-GB"/>
              </w:rPr>
            </w:pPr>
          </w:p>
          <w:p w14:paraId="168B1C3C" w14:textId="77777777" w:rsidR="00E6060C" w:rsidRPr="00E6060C" w:rsidRDefault="00E6060C" w:rsidP="00E6060C">
            <w:pPr>
              <w:contextualSpacing/>
              <w:rPr>
                <w:rFonts w:eastAsia="Times" w:cs="Arial"/>
                <w:lang w:eastAsia="en-GB"/>
              </w:rPr>
            </w:pPr>
          </w:p>
          <w:p w14:paraId="71C6DA6C" w14:textId="77777777" w:rsidR="00E6060C" w:rsidRPr="00E6060C" w:rsidRDefault="00E6060C" w:rsidP="00E6060C">
            <w:pPr>
              <w:contextualSpacing/>
              <w:rPr>
                <w:rFonts w:eastAsia="Times" w:cs="Arial"/>
                <w:lang w:eastAsia="en-GB"/>
              </w:rPr>
            </w:pPr>
          </w:p>
          <w:p w14:paraId="74B65D03" w14:textId="77777777" w:rsidR="00E6060C" w:rsidRPr="00E6060C" w:rsidRDefault="00E6060C" w:rsidP="00E6060C">
            <w:pPr>
              <w:contextualSpacing/>
              <w:rPr>
                <w:rFonts w:eastAsia="Times" w:cs="Arial"/>
                <w:lang w:eastAsia="en-GB"/>
              </w:rPr>
            </w:pPr>
          </w:p>
          <w:p w14:paraId="131B3EFE" w14:textId="77777777" w:rsidR="00E6060C" w:rsidRPr="00E6060C" w:rsidRDefault="00E6060C" w:rsidP="00E6060C">
            <w:pPr>
              <w:contextualSpacing/>
              <w:rPr>
                <w:rFonts w:eastAsia="Times" w:cs="Arial"/>
                <w:lang w:eastAsia="en-GB"/>
              </w:rPr>
            </w:pPr>
          </w:p>
          <w:p w14:paraId="174C5657" w14:textId="77777777" w:rsidR="00E6060C" w:rsidRPr="00E6060C" w:rsidRDefault="00E6060C" w:rsidP="00E6060C">
            <w:pPr>
              <w:contextualSpacing/>
              <w:rPr>
                <w:rFonts w:eastAsia="Times" w:cs="Arial"/>
                <w:lang w:eastAsia="en-GB"/>
              </w:rPr>
            </w:pPr>
          </w:p>
          <w:p w14:paraId="669906B1" w14:textId="77777777" w:rsidR="00E6060C" w:rsidRPr="00E6060C" w:rsidRDefault="00E6060C" w:rsidP="00E6060C">
            <w:pPr>
              <w:contextualSpacing/>
              <w:rPr>
                <w:rFonts w:eastAsia="Times" w:cs="Arial"/>
                <w:lang w:eastAsia="en-GB"/>
              </w:rPr>
            </w:pPr>
          </w:p>
          <w:p w14:paraId="17A2B242" w14:textId="77777777" w:rsidR="00E6060C" w:rsidRPr="00E6060C" w:rsidRDefault="00E6060C" w:rsidP="00E6060C">
            <w:pPr>
              <w:contextualSpacing/>
              <w:rPr>
                <w:rFonts w:eastAsia="Times" w:cs="Arial"/>
                <w:lang w:eastAsia="en-GB"/>
              </w:rPr>
            </w:pPr>
          </w:p>
          <w:p w14:paraId="579D4E6A" w14:textId="77777777" w:rsidR="00E6060C" w:rsidRPr="00E6060C" w:rsidRDefault="00E6060C" w:rsidP="00E6060C">
            <w:pPr>
              <w:contextualSpacing/>
              <w:rPr>
                <w:rFonts w:eastAsia="Times" w:cs="Arial"/>
                <w:lang w:eastAsia="en-GB"/>
              </w:rPr>
            </w:pPr>
          </w:p>
          <w:p w14:paraId="48D61A70" w14:textId="77777777" w:rsidR="00E6060C" w:rsidRPr="00E6060C" w:rsidRDefault="00E6060C" w:rsidP="00E6060C">
            <w:pPr>
              <w:contextualSpacing/>
              <w:rPr>
                <w:rFonts w:eastAsia="Times" w:cs="Arial"/>
                <w:lang w:eastAsia="en-GB"/>
              </w:rPr>
            </w:pPr>
          </w:p>
          <w:p w14:paraId="58C12409" w14:textId="77777777" w:rsidR="00E6060C" w:rsidRPr="00E6060C" w:rsidRDefault="00E6060C" w:rsidP="00E6060C">
            <w:pPr>
              <w:contextualSpacing/>
              <w:rPr>
                <w:rFonts w:eastAsia="Times" w:cs="Arial"/>
                <w:lang w:eastAsia="en-GB"/>
              </w:rPr>
            </w:pPr>
          </w:p>
          <w:p w14:paraId="049055F3" w14:textId="77777777" w:rsidR="00E6060C" w:rsidRPr="00E6060C" w:rsidRDefault="00E6060C" w:rsidP="00E6060C">
            <w:pPr>
              <w:contextualSpacing/>
              <w:rPr>
                <w:rFonts w:eastAsia="Times" w:cs="Arial"/>
                <w:lang w:eastAsia="en-GB"/>
              </w:rPr>
            </w:pPr>
          </w:p>
          <w:p w14:paraId="303DF53D" w14:textId="77777777" w:rsidR="00E6060C" w:rsidRPr="00E6060C" w:rsidRDefault="00E6060C" w:rsidP="00E6060C">
            <w:pPr>
              <w:contextualSpacing/>
              <w:rPr>
                <w:rFonts w:eastAsia="Times" w:cs="Arial"/>
                <w:lang w:eastAsia="en-GB"/>
              </w:rPr>
            </w:pPr>
          </w:p>
          <w:p w14:paraId="53F5F435" w14:textId="77777777" w:rsidR="00E6060C" w:rsidRPr="00E6060C" w:rsidRDefault="00E6060C" w:rsidP="00E6060C">
            <w:pPr>
              <w:contextualSpacing/>
              <w:rPr>
                <w:rFonts w:eastAsia="Times" w:cs="Arial"/>
                <w:lang w:eastAsia="en-GB"/>
              </w:rPr>
            </w:pPr>
          </w:p>
          <w:p w14:paraId="1DA6874C" w14:textId="77777777" w:rsidR="00E6060C" w:rsidRPr="00E6060C" w:rsidRDefault="00E6060C" w:rsidP="00E6060C">
            <w:pPr>
              <w:contextualSpacing/>
              <w:rPr>
                <w:rFonts w:eastAsia="Times" w:cs="Arial"/>
                <w:lang w:eastAsia="en-GB"/>
              </w:rPr>
            </w:pPr>
          </w:p>
          <w:p w14:paraId="18A1339F" w14:textId="77777777" w:rsidR="00E6060C" w:rsidRPr="00E6060C" w:rsidRDefault="00E6060C" w:rsidP="00E6060C">
            <w:pPr>
              <w:contextualSpacing/>
              <w:rPr>
                <w:rFonts w:eastAsia="Times" w:cs="Arial"/>
                <w:lang w:eastAsia="en-GB"/>
              </w:rPr>
            </w:pPr>
          </w:p>
          <w:p w14:paraId="7B461966" w14:textId="77777777" w:rsidR="00E6060C" w:rsidRPr="00E6060C" w:rsidRDefault="00E6060C" w:rsidP="00E6060C">
            <w:pPr>
              <w:contextualSpacing/>
              <w:rPr>
                <w:rFonts w:eastAsia="Times" w:cs="Arial"/>
                <w:lang w:eastAsia="en-GB"/>
              </w:rPr>
            </w:pPr>
          </w:p>
          <w:p w14:paraId="4B495890" w14:textId="77777777" w:rsidR="00E6060C" w:rsidRPr="00E6060C" w:rsidRDefault="00E6060C" w:rsidP="00E6060C">
            <w:pPr>
              <w:contextualSpacing/>
              <w:rPr>
                <w:rFonts w:eastAsia="Times" w:cs="Arial"/>
                <w:lang w:eastAsia="en-GB"/>
              </w:rPr>
            </w:pPr>
          </w:p>
          <w:p w14:paraId="57D7658D" w14:textId="77777777" w:rsidR="00E6060C" w:rsidRPr="00E6060C" w:rsidRDefault="00E6060C" w:rsidP="00E6060C">
            <w:pPr>
              <w:contextualSpacing/>
              <w:rPr>
                <w:rFonts w:eastAsia="Times" w:cs="Arial"/>
                <w:lang w:eastAsia="en-GB"/>
              </w:rPr>
            </w:pPr>
          </w:p>
          <w:p w14:paraId="7D5FB8DF" w14:textId="77777777" w:rsidR="00E6060C" w:rsidRPr="00E6060C" w:rsidRDefault="00E6060C" w:rsidP="00E6060C">
            <w:pPr>
              <w:contextualSpacing/>
              <w:rPr>
                <w:rFonts w:eastAsia="Times" w:cs="Arial"/>
                <w:lang w:eastAsia="en-GB"/>
              </w:rPr>
            </w:pPr>
          </w:p>
          <w:p w14:paraId="5C443D5E" w14:textId="77777777" w:rsidR="00E6060C" w:rsidRPr="00E6060C" w:rsidRDefault="00E6060C" w:rsidP="00E6060C">
            <w:pPr>
              <w:contextualSpacing/>
              <w:rPr>
                <w:rFonts w:eastAsia="Times" w:cs="Arial"/>
                <w:lang w:eastAsia="en-GB"/>
              </w:rPr>
            </w:pPr>
          </w:p>
        </w:tc>
      </w:tr>
    </w:tbl>
    <w:p w14:paraId="4CA48A75" w14:textId="77777777" w:rsidR="00E6060C" w:rsidRPr="00E6060C" w:rsidRDefault="00E6060C" w:rsidP="00E6060C">
      <w:pPr>
        <w:widowControl w:val="0"/>
        <w:contextualSpacing/>
        <w:rPr>
          <w:rFonts w:eastAsia="Times New Roman" w:cs="Times New Roman"/>
          <w:b/>
          <w:bCs/>
          <w:lang w:val="en-US"/>
        </w:rPr>
      </w:pPr>
    </w:p>
    <w:p w14:paraId="5F607DBF" w14:textId="77777777" w:rsidR="00E6060C" w:rsidRPr="00E6060C" w:rsidRDefault="00E6060C" w:rsidP="00E6060C">
      <w:pPr>
        <w:widowControl w:val="0"/>
        <w:contextualSpacing/>
        <w:jc w:val="center"/>
        <w:rPr>
          <w:rFonts w:eastAsia="Times New Roman" w:cs="Times New Roman"/>
          <w:b/>
          <w:bCs/>
          <w:lang w:val="en-US"/>
        </w:rPr>
      </w:pPr>
    </w:p>
    <w:p w14:paraId="13C50106" w14:textId="77777777" w:rsidR="00E6060C" w:rsidRPr="00E6060C" w:rsidRDefault="00E6060C" w:rsidP="00E6060C">
      <w:pPr>
        <w:widowControl w:val="0"/>
        <w:contextualSpacing/>
        <w:jc w:val="center"/>
        <w:rPr>
          <w:rFonts w:eastAsia="Times New Roman" w:cs="Times New Roman"/>
          <w:b/>
          <w:bCs/>
          <w:u w:val="single"/>
          <w:lang w:val="en-US"/>
        </w:rPr>
      </w:pPr>
      <w:r w:rsidRPr="00E6060C">
        <w:rPr>
          <w:rFonts w:eastAsia="Times New Roman" w:cs="Times New Roman"/>
          <w:b/>
          <w:bCs/>
          <w:lang w:val="en-US"/>
        </w:rPr>
        <w:t xml:space="preserve">Thank you for your views, they are really important to us. </w:t>
      </w:r>
      <w:r w:rsidRPr="00E6060C">
        <w:rPr>
          <w:rFonts w:eastAsia="Times New Roman" w:cs="Times New Roman"/>
          <w:b/>
          <w:bCs/>
          <w:u w:val="single"/>
          <w:lang w:val="en-US"/>
        </w:rPr>
        <w:t xml:space="preserve">PLEASE PLACE THE QUESTIONNAIRE IN THE ENVELOPE PROVIDED AND PLACE IT IN THE ENRICH PROJECT BOX ON THE WARD AS SOON AS POSSIBLE. </w:t>
      </w:r>
    </w:p>
    <w:p w14:paraId="07C50798" w14:textId="77777777" w:rsidR="00E6060C" w:rsidRPr="00E6060C" w:rsidRDefault="00E6060C" w:rsidP="00E6060C">
      <w:pPr>
        <w:widowControl w:val="0"/>
        <w:contextualSpacing/>
        <w:jc w:val="center"/>
        <w:rPr>
          <w:rFonts w:eastAsia="Times New Roman" w:cs="Times New Roman"/>
          <w:b/>
          <w:bCs/>
          <w:u w:val="single"/>
          <w:lang w:val="en-US"/>
        </w:rPr>
      </w:pPr>
    </w:p>
    <w:p w14:paraId="2CC0FF7A" w14:textId="77777777" w:rsidR="00E6060C" w:rsidRPr="00E6060C" w:rsidRDefault="00E6060C" w:rsidP="00E6060C">
      <w:pPr>
        <w:widowControl w:val="0"/>
        <w:contextualSpacing/>
        <w:jc w:val="center"/>
        <w:rPr>
          <w:rFonts w:eastAsia="Times New Roman" w:cs="Times New Roman"/>
          <w:b/>
          <w:bCs/>
        </w:rPr>
      </w:pPr>
      <w:r w:rsidRPr="00E6060C">
        <w:rPr>
          <w:rFonts w:eastAsia="Times New Roman" w:cs="Times New Roman"/>
          <w:b/>
          <w:bCs/>
          <w:lang w:val="en-US"/>
        </w:rPr>
        <w:t xml:space="preserve">If you have any further comments, or wish to discuss the project in any way please contact </w:t>
      </w:r>
      <w:r w:rsidRPr="00E6060C">
        <w:rPr>
          <w:rFonts w:eastAsia="Times New Roman" w:cs="Times New Roman"/>
          <w:b/>
          <w:bCs/>
          <w:u w:val="single"/>
          <w:lang w:val="en-US"/>
        </w:rPr>
        <w:t>Jayne Brown</w:t>
      </w:r>
      <w:r w:rsidRPr="00E6060C">
        <w:rPr>
          <w:rFonts w:eastAsia="Times New Roman" w:cs="Times New Roman"/>
          <w:b/>
          <w:bCs/>
          <w:lang w:val="en-US"/>
        </w:rPr>
        <w:t xml:space="preserve"> </w:t>
      </w:r>
      <w:r w:rsidRPr="00E6060C">
        <w:rPr>
          <w:rFonts w:eastAsia="Times New Roman" w:cs="Times New Roman"/>
          <w:b/>
          <w:bCs/>
        </w:rPr>
        <w:t>Landline: +44 (0) 116 201 3961</w:t>
      </w:r>
      <w:r w:rsidRPr="00E6060C">
        <w:rPr>
          <w:rFonts w:eastAsia="Times New Roman" w:cs="Times New Roman"/>
          <w:b/>
          <w:bCs/>
        </w:rPr>
        <w:tab/>
        <w:t>Mobile: 07881823529</w:t>
      </w:r>
      <w:r w:rsidRPr="00E6060C">
        <w:rPr>
          <w:rFonts w:eastAsia="Times New Roman" w:cs="Times New Roman"/>
          <w:b/>
          <w:bCs/>
          <w:lang w:val="en-US"/>
        </w:rPr>
        <w:t xml:space="preserve"> </w:t>
      </w:r>
      <w:r w:rsidRPr="00E6060C">
        <w:rPr>
          <w:rFonts w:eastAsia="Times New Roman" w:cs="Times New Roman"/>
          <w:b/>
          <w:bCs/>
        </w:rPr>
        <w:t xml:space="preserve">Email: </w:t>
      </w:r>
      <w:hyperlink r:id="rId58" w:history="1">
        <w:r w:rsidRPr="00E6060C">
          <w:rPr>
            <w:rFonts w:eastAsia="Times New Roman" w:cs="Times New Roman"/>
            <w:b/>
            <w:bCs/>
            <w:color w:val="0563C1" w:themeColor="hyperlink"/>
            <w:u w:val="single"/>
          </w:rPr>
          <w:t>jbrown@dmu.ac.uk</w:t>
        </w:r>
      </w:hyperlink>
      <w:r w:rsidRPr="00E6060C">
        <w:rPr>
          <w:rFonts w:eastAsia="Times New Roman" w:cs="Times New Roman"/>
          <w:b/>
          <w:bCs/>
        </w:rPr>
        <w:t>.</w:t>
      </w:r>
    </w:p>
    <w:p w14:paraId="0315BA13" w14:textId="77777777" w:rsidR="00E6060C" w:rsidRPr="00E6060C" w:rsidRDefault="00E6060C" w:rsidP="00E6060C">
      <w:pPr>
        <w:widowControl w:val="0"/>
        <w:contextualSpacing/>
        <w:jc w:val="center"/>
        <w:rPr>
          <w:rFonts w:asciiTheme="majorHAnsi" w:eastAsiaTheme="majorEastAsia" w:hAnsiTheme="majorHAnsi" w:cstheme="majorBidi"/>
          <w:b/>
          <w:sz w:val="26"/>
          <w:szCs w:val="26"/>
        </w:rPr>
      </w:pPr>
      <w:r w:rsidRPr="00E6060C">
        <w:rPr>
          <w:rFonts w:eastAsia="Times New Roman" w:cs="Times New Roman"/>
          <w:b/>
          <w:bCs/>
          <w:lang w:val="en-US"/>
        </w:rPr>
        <w:t>Thank you.</w:t>
      </w:r>
      <w:r w:rsidRPr="00E6060C">
        <w:rPr>
          <w:b/>
        </w:rPr>
        <w:t xml:space="preserve">                                                                                                                                           </w:t>
      </w:r>
      <w:r w:rsidRPr="00E6060C">
        <w:rPr>
          <w:b/>
        </w:rPr>
        <w:br w:type="page"/>
      </w:r>
    </w:p>
    <w:p w14:paraId="73901AB4" w14:textId="77777777" w:rsidR="00E6060C" w:rsidRPr="00E6060C" w:rsidRDefault="00E6060C" w:rsidP="00E6060C">
      <w:pPr>
        <w:keepNext/>
        <w:keepLines/>
        <w:spacing w:before="40"/>
        <w:outlineLvl w:val="1"/>
        <w:rPr>
          <w:rFonts w:asciiTheme="majorHAnsi" w:eastAsiaTheme="majorEastAsia" w:hAnsiTheme="majorHAnsi" w:cstheme="majorBidi"/>
          <w:b/>
          <w:sz w:val="26"/>
          <w:szCs w:val="26"/>
        </w:rPr>
        <w:sectPr w:rsidR="00E6060C" w:rsidRPr="00E6060C" w:rsidSect="00E6060C">
          <w:pgSz w:w="11906" w:h="16838"/>
          <w:pgMar w:top="1440" w:right="1440" w:bottom="993" w:left="1440" w:header="708" w:footer="708" w:gutter="0"/>
          <w:cols w:space="708"/>
          <w:docGrid w:linePitch="360"/>
        </w:sectPr>
      </w:pPr>
    </w:p>
    <w:p w14:paraId="7A5D673F" w14:textId="7F5EFA45" w:rsidR="00E6060C" w:rsidRPr="00E6060C" w:rsidRDefault="00983715" w:rsidP="007B44F8">
      <w:pPr>
        <w:pStyle w:val="Heading2nonumbers"/>
      </w:pPr>
      <w:bookmarkStart w:id="563" w:name="_Toc468286063"/>
      <w:r>
        <w:lastRenderedPageBreak/>
        <w:t>Appendix 6:</w:t>
      </w:r>
      <w:r w:rsidR="00E6060C" w:rsidRPr="00E6060C">
        <w:t xml:space="preserve"> Study 2 attendance record of nursing staff at the five core participatory intervention workshops</w:t>
      </w:r>
      <w:bookmarkEnd w:id="563"/>
    </w:p>
    <w:p w14:paraId="6C4ED664" w14:textId="77777777" w:rsidR="00E6060C" w:rsidRPr="00E6060C" w:rsidRDefault="00E6060C" w:rsidP="00E6060C"/>
    <w:tbl>
      <w:tblPr>
        <w:tblStyle w:val="TableGrid8"/>
        <w:tblW w:w="15326" w:type="dxa"/>
        <w:tblInd w:w="-5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1288"/>
        <w:gridCol w:w="1121"/>
        <w:gridCol w:w="1121"/>
        <w:gridCol w:w="1134"/>
        <w:gridCol w:w="1134"/>
        <w:gridCol w:w="1134"/>
        <w:gridCol w:w="1134"/>
        <w:gridCol w:w="1134"/>
        <w:gridCol w:w="1134"/>
        <w:gridCol w:w="1134"/>
        <w:gridCol w:w="1134"/>
        <w:gridCol w:w="1134"/>
        <w:gridCol w:w="993"/>
      </w:tblGrid>
      <w:tr w:rsidR="00E6060C" w:rsidRPr="00E6060C" w14:paraId="50A37A11" w14:textId="77777777" w:rsidTr="00E6060C">
        <w:trPr>
          <w:tblHeader/>
        </w:trPr>
        <w:tc>
          <w:tcPr>
            <w:tcW w:w="597" w:type="dxa"/>
            <w:vMerge w:val="restart"/>
            <w:tcBorders>
              <w:top w:val="single" w:sz="4" w:space="0" w:color="auto"/>
              <w:bottom w:val="single" w:sz="4" w:space="0" w:color="auto"/>
            </w:tcBorders>
          </w:tcPr>
          <w:p w14:paraId="2783B9EF" w14:textId="77777777" w:rsidR="00E6060C" w:rsidRPr="00E6060C" w:rsidRDefault="00E6060C" w:rsidP="00E6060C">
            <w:pPr>
              <w:jc w:val="center"/>
              <w:rPr>
                <w:b/>
              </w:rPr>
            </w:pPr>
            <w:r w:rsidRPr="00E6060C">
              <w:rPr>
                <w:b/>
              </w:rPr>
              <w:t>No</w:t>
            </w:r>
          </w:p>
        </w:tc>
        <w:tc>
          <w:tcPr>
            <w:tcW w:w="1288" w:type="dxa"/>
            <w:tcBorders>
              <w:top w:val="single" w:sz="4" w:space="0" w:color="auto"/>
              <w:bottom w:val="single" w:sz="4" w:space="0" w:color="auto"/>
            </w:tcBorders>
          </w:tcPr>
          <w:p w14:paraId="0380C631" w14:textId="77777777" w:rsidR="00E6060C" w:rsidRPr="00E6060C" w:rsidRDefault="00E6060C" w:rsidP="00E6060C">
            <w:pPr>
              <w:jc w:val="center"/>
              <w:rPr>
                <w:b/>
              </w:rPr>
            </w:pPr>
          </w:p>
        </w:tc>
        <w:tc>
          <w:tcPr>
            <w:tcW w:w="3376" w:type="dxa"/>
            <w:gridSpan w:val="3"/>
            <w:tcBorders>
              <w:top w:val="single" w:sz="4" w:space="0" w:color="auto"/>
              <w:bottom w:val="single" w:sz="4" w:space="0" w:color="auto"/>
            </w:tcBorders>
          </w:tcPr>
          <w:p w14:paraId="7E3FFA66" w14:textId="77777777" w:rsidR="00E6060C" w:rsidRPr="00E6060C" w:rsidRDefault="00E6060C" w:rsidP="00E6060C">
            <w:pPr>
              <w:jc w:val="center"/>
              <w:rPr>
                <w:b/>
              </w:rPr>
            </w:pPr>
            <w:r w:rsidRPr="00E6060C">
              <w:rPr>
                <w:b/>
              </w:rPr>
              <w:t>Workshop 1</w:t>
            </w:r>
          </w:p>
        </w:tc>
        <w:tc>
          <w:tcPr>
            <w:tcW w:w="2268" w:type="dxa"/>
            <w:gridSpan w:val="2"/>
            <w:tcBorders>
              <w:top w:val="single" w:sz="4" w:space="0" w:color="auto"/>
              <w:bottom w:val="single" w:sz="4" w:space="0" w:color="auto"/>
            </w:tcBorders>
          </w:tcPr>
          <w:p w14:paraId="77760886" w14:textId="77777777" w:rsidR="00E6060C" w:rsidRPr="00E6060C" w:rsidRDefault="00E6060C" w:rsidP="00E6060C">
            <w:pPr>
              <w:jc w:val="center"/>
              <w:rPr>
                <w:b/>
              </w:rPr>
            </w:pPr>
            <w:r w:rsidRPr="00E6060C">
              <w:rPr>
                <w:b/>
              </w:rPr>
              <w:t>Workshop 2</w:t>
            </w:r>
          </w:p>
        </w:tc>
        <w:tc>
          <w:tcPr>
            <w:tcW w:w="2268" w:type="dxa"/>
            <w:gridSpan w:val="2"/>
            <w:tcBorders>
              <w:top w:val="single" w:sz="4" w:space="0" w:color="auto"/>
              <w:bottom w:val="single" w:sz="4" w:space="0" w:color="auto"/>
            </w:tcBorders>
          </w:tcPr>
          <w:p w14:paraId="0631E50F" w14:textId="77777777" w:rsidR="00E6060C" w:rsidRPr="00E6060C" w:rsidRDefault="00E6060C" w:rsidP="00E6060C">
            <w:pPr>
              <w:jc w:val="center"/>
              <w:rPr>
                <w:b/>
              </w:rPr>
            </w:pPr>
            <w:r w:rsidRPr="00E6060C">
              <w:rPr>
                <w:b/>
              </w:rPr>
              <w:t>Workshop 3</w:t>
            </w:r>
          </w:p>
        </w:tc>
        <w:tc>
          <w:tcPr>
            <w:tcW w:w="2268" w:type="dxa"/>
            <w:gridSpan w:val="2"/>
            <w:tcBorders>
              <w:top w:val="single" w:sz="4" w:space="0" w:color="auto"/>
              <w:bottom w:val="single" w:sz="4" w:space="0" w:color="auto"/>
            </w:tcBorders>
          </w:tcPr>
          <w:p w14:paraId="432D24F9" w14:textId="77777777" w:rsidR="00E6060C" w:rsidRPr="00E6060C" w:rsidRDefault="00E6060C" w:rsidP="00E6060C">
            <w:pPr>
              <w:jc w:val="center"/>
              <w:rPr>
                <w:b/>
              </w:rPr>
            </w:pPr>
            <w:r w:rsidRPr="00E6060C">
              <w:rPr>
                <w:b/>
              </w:rPr>
              <w:t>Workshop 4</w:t>
            </w:r>
          </w:p>
        </w:tc>
        <w:tc>
          <w:tcPr>
            <w:tcW w:w="2268" w:type="dxa"/>
            <w:gridSpan w:val="2"/>
            <w:tcBorders>
              <w:top w:val="single" w:sz="4" w:space="0" w:color="auto"/>
              <w:bottom w:val="single" w:sz="4" w:space="0" w:color="auto"/>
            </w:tcBorders>
          </w:tcPr>
          <w:p w14:paraId="35F04AF6" w14:textId="77777777" w:rsidR="00E6060C" w:rsidRPr="00E6060C" w:rsidRDefault="00E6060C" w:rsidP="00E6060C">
            <w:pPr>
              <w:jc w:val="center"/>
              <w:rPr>
                <w:b/>
              </w:rPr>
            </w:pPr>
            <w:r w:rsidRPr="00E6060C">
              <w:rPr>
                <w:b/>
              </w:rPr>
              <w:t>Workshop 5</w:t>
            </w:r>
          </w:p>
        </w:tc>
        <w:tc>
          <w:tcPr>
            <w:tcW w:w="993" w:type="dxa"/>
            <w:tcBorders>
              <w:top w:val="single" w:sz="4" w:space="0" w:color="auto"/>
              <w:bottom w:val="single" w:sz="4" w:space="0" w:color="auto"/>
            </w:tcBorders>
          </w:tcPr>
          <w:p w14:paraId="5E78856C" w14:textId="77777777" w:rsidR="00E6060C" w:rsidRPr="00E6060C" w:rsidRDefault="00E6060C" w:rsidP="00E6060C">
            <w:pPr>
              <w:jc w:val="center"/>
              <w:rPr>
                <w:b/>
              </w:rPr>
            </w:pPr>
            <w:r w:rsidRPr="00E6060C">
              <w:rPr>
                <w:b/>
              </w:rPr>
              <w:t>Total</w:t>
            </w:r>
          </w:p>
        </w:tc>
      </w:tr>
      <w:tr w:rsidR="00E6060C" w:rsidRPr="00E6060C" w14:paraId="4C5B45D3" w14:textId="77777777" w:rsidTr="00E6060C">
        <w:tc>
          <w:tcPr>
            <w:tcW w:w="597" w:type="dxa"/>
            <w:vMerge/>
            <w:tcBorders>
              <w:top w:val="single" w:sz="4" w:space="0" w:color="auto"/>
              <w:bottom w:val="single" w:sz="4" w:space="0" w:color="auto"/>
            </w:tcBorders>
          </w:tcPr>
          <w:p w14:paraId="2A8EC55B" w14:textId="77777777" w:rsidR="00E6060C" w:rsidRPr="00E6060C" w:rsidRDefault="00E6060C" w:rsidP="00E6060C">
            <w:pPr>
              <w:rPr>
                <w:b/>
              </w:rPr>
            </w:pPr>
          </w:p>
        </w:tc>
        <w:tc>
          <w:tcPr>
            <w:tcW w:w="1288" w:type="dxa"/>
            <w:tcBorders>
              <w:top w:val="single" w:sz="4" w:space="0" w:color="auto"/>
              <w:bottom w:val="single" w:sz="4" w:space="0" w:color="auto"/>
            </w:tcBorders>
          </w:tcPr>
          <w:p w14:paraId="4235EC1B" w14:textId="77777777" w:rsidR="00E6060C" w:rsidRPr="00E6060C" w:rsidRDefault="00E6060C" w:rsidP="00E6060C">
            <w:pPr>
              <w:rPr>
                <w:b/>
                <w:vertAlign w:val="superscript"/>
              </w:rPr>
            </w:pPr>
            <w:r w:rsidRPr="00E6060C">
              <w:rPr>
                <w:b/>
              </w:rPr>
              <w:t>Attendees</w:t>
            </w:r>
            <w:r w:rsidRPr="00E6060C">
              <w:rPr>
                <w:b/>
                <w:vertAlign w:val="superscript"/>
              </w:rPr>
              <w:t>1</w:t>
            </w:r>
          </w:p>
        </w:tc>
        <w:tc>
          <w:tcPr>
            <w:tcW w:w="1121" w:type="dxa"/>
            <w:tcBorders>
              <w:top w:val="single" w:sz="4" w:space="0" w:color="auto"/>
              <w:bottom w:val="single" w:sz="4" w:space="0" w:color="auto"/>
            </w:tcBorders>
          </w:tcPr>
          <w:p w14:paraId="29AF9C8E" w14:textId="77777777" w:rsidR="00E6060C" w:rsidRPr="00E6060C" w:rsidRDefault="00E6060C" w:rsidP="00E6060C">
            <w:pPr>
              <w:jc w:val="center"/>
              <w:rPr>
                <w:b/>
              </w:rPr>
            </w:pPr>
            <w:r w:rsidRPr="00E6060C">
              <w:rPr>
                <w:b/>
              </w:rPr>
              <w:t>03.09.14</w:t>
            </w:r>
          </w:p>
        </w:tc>
        <w:tc>
          <w:tcPr>
            <w:tcW w:w="1121" w:type="dxa"/>
            <w:tcBorders>
              <w:top w:val="single" w:sz="4" w:space="0" w:color="auto"/>
              <w:bottom w:val="single" w:sz="4" w:space="0" w:color="auto"/>
            </w:tcBorders>
          </w:tcPr>
          <w:p w14:paraId="5115B7C5" w14:textId="77777777" w:rsidR="00E6060C" w:rsidRPr="00E6060C" w:rsidRDefault="00E6060C" w:rsidP="00E6060C">
            <w:pPr>
              <w:jc w:val="center"/>
              <w:rPr>
                <w:b/>
              </w:rPr>
            </w:pPr>
            <w:r w:rsidRPr="00E6060C">
              <w:rPr>
                <w:b/>
              </w:rPr>
              <w:t>04.09.14</w:t>
            </w:r>
          </w:p>
        </w:tc>
        <w:tc>
          <w:tcPr>
            <w:tcW w:w="1134" w:type="dxa"/>
            <w:tcBorders>
              <w:top w:val="single" w:sz="4" w:space="0" w:color="auto"/>
              <w:bottom w:val="single" w:sz="4" w:space="0" w:color="auto"/>
            </w:tcBorders>
          </w:tcPr>
          <w:p w14:paraId="4937E5A5" w14:textId="77777777" w:rsidR="00E6060C" w:rsidRPr="00E6060C" w:rsidRDefault="00E6060C" w:rsidP="00E6060C">
            <w:pPr>
              <w:jc w:val="center"/>
              <w:rPr>
                <w:b/>
              </w:rPr>
            </w:pPr>
            <w:r w:rsidRPr="00E6060C">
              <w:rPr>
                <w:b/>
              </w:rPr>
              <w:t>05.09.14</w:t>
            </w:r>
          </w:p>
        </w:tc>
        <w:tc>
          <w:tcPr>
            <w:tcW w:w="1134" w:type="dxa"/>
            <w:tcBorders>
              <w:top w:val="single" w:sz="4" w:space="0" w:color="auto"/>
              <w:bottom w:val="single" w:sz="4" w:space="0" w:color="auto"/>
            </w:tcBorders>
          </w:tcPr>
          <w:p w14:paraId="0071C60F" w14:textId="77777777" w:rsidR="00E6060C" w:rsidRPr="00E6060C" w:rsidRDefault="00E6060C" w:rsidP="00E6060C">
            <w:pPr>
              <w:jc w:val="center"/>
              <w:rPr>
                <w:b/>
              </w:rPr>
            </w:pPr>
            <w:r w:rsidRPr="00E6060C">
              <w:rPr>
                <w:b/>
              </w:rPr>
              <w:t>15.10.14</w:t>
            </w:r>
          </w:p>
        </w:tc>
        <w:tc>
          <w:tcPr>
            <w:tcW w:w="1134" w:type="dxa"/>
            <w:tcBorders>
              <w:top w:val="single" w:sz="4" w:space="0" w:color="auto"/>
              <w:bottom w:val="single" w:sz="4" w:space="0" w:color="auto"/>
            </w:tcBorders>
          </w:tcPr>
          <w:p w14:paraId="27C7DC22" w14:textId="77777777" w:rsidR="00E6060C" w:rsidRPr="00E6060C" w:rsidRDefault="00E6060C" w:rsidP="00E6060C">
            <w:pPr>
              <w:jc w:val="center"/>
              <w:rPr>
                <w:b/>
              </w:rPr>
            </w:pPr>
            <w:r w:rsidRPr="00E6060C">
              <w:rPr>
                <w:b/>
              </w:rPr>
              <w:t>16.10.14</w:t>
            </w:r>
          </w:p>
        </w:tc>
        <w:tc>
          <w:tcPr>
            <w:tcW w:w="1134" w:type="dxa"/>
            <w:tcBorders>
              <w:top w:val="single" w:sz="4" w:space="0" w:color="auto"/>
              <w:bottom w:val="single" w:sz="4" w:space="0" w:color="auto"/>
            </w:tcBorders>
          </w:tcPr>
          <w:p w14:paraId="3954BE0C" w14:textId="77777777" w:rsidR="00E6060C" w:rsidRPr="00E6060C" w:rsidRDefault="00E6060C" w:rsidP="00E6060C">
            <w:pPr>
              <w:jc w:val="center"/>
              <w:rPr>
                <w:b/>
              </w:rPr>
            </w:pPr>
            <w:r w:rsidRPr="00E6060C">
              <w:rPr>
                <w:b/>
              </w:rPr>
              <w:t>24.11.14</w:t>
            </w:r>
          </w:p>
        </w:tc>
        <w:tc>
          <w:tcPr>
            <w:tcW w:w="1134" w:type="dxa"/>
            <w:tcBorders>
              <w:top w:val="single" w:sz="4" w:space="0" w:color="auto"/>
              <w:bottom w:val="single" w:sz="4" w:space="0" w:color="auto"/>
            </w:tcBorders>
          </w:tcPr>
          <w:p w14:paraId="030BB275" w14:textId="77777777" w:rsidR="00E6060C" w:rsidRPr="00E6060C" w:rsidRDefault="00E6060C" w:rsidP="00E6060C">
            <w:pPr>
              <w:jc w:val="center"/>
              <w:rPr>
                <w:b/>
              </w:rPr>
            </w:pPr>
            <w:r w:rsidRPr="00E6060C">
              <w:rPr>
                <w:b/>
              </w:rPr>
              <w:t>25.11.14</w:t>
            </w:r>
          </w:p>
        </w:tc>
        <w:tc>
          <w:tcPr>
            <w:tcW w:w="1134" w:type="dxa"/>
            <w:tcBorders>
              <w:top w:val="single" w:sz="4" w:space="0" w:color="auto"/>
              <w:bottom w:val="single" w:sz="4" w:space="0" w:color="auto"/>
            </w:tcBorders>
          </w:tcPr>
          <w:p w14:paraId="72C9F76F" w14:textId="77777777" w:rsidR="00E6060C" w:rsidRPr="00E6060C" w:rsidRDefault="00E6060C" w:rsidP="00E6060C">
            <w:pPr>
              <w:jc w:val="center"/>
              <w:rPr>
                <w:b/>
              </w:rPr>
            </w:pPr>
            <w:r w:rsidRPr="00E6060C">
              <w:rPr>
                <w:b/>
              </w:rPr>
              <w:t>23.02.15</w:t>
            </w:r>
          </w:p>
        </w:tc>
        <w:tc>
          <w:tcPr>
            <w:tcW w:w="1134" w:type="dxa"/>
            <w:tcBorders>
              <w:top w:val="single" w:sz="4" w:space="0" w:color="auto"/>
              <w:bottom w:val="single" w:sz="4" w:space="0" w:color="auto"/>
            </w:tcBorders>
          </w:tcPr>
          <w:p w14:paraId="492661BA" w14:textId="77777777" w:rsidR="00E6060C" w:rsidRPr="00E6060C" w:rsidRDefault="00E6060C" w:rsidP="00E6060C">
            <w:pPr>
              <w:jc w:val="center"/>
              <w:rPr>
                <w:b/>
              </w:rPr>
            </w:pPr>
            <w:r w:rsidRPr="00E6060C">
              <w:rPr>
                <w:b/>
              </w:rPr>
              <w:t>24.02.15</w:t>
            </w:r>
          </w:p>
        </w:tc>
        <w:tc>
          <w:tcPr>
            <w:tcW w:w="1134" w:type="dxa"/>
            <w:tcBorders>
              <w:top w:val="single" w:sz="4" w:space="0" w:color="auto"/>
              <w:bottom w:val="single" w:sz="4" w:space="0" w:color="auto"/>
            </w:tcBorders>
          </w:tcPr>
          <w:p w14:paraId="607FE579" w14:textId="77777777" w:rsidR="00E6060C" w:rsidRPr="00E6060C" w:rsidRDefault="00E6060C" w:rsidP="00E6060C">
            <w:pPr>
              <w:jc w:val="center"/>
              <w:rPr>
                <w:b/>
              </w:rPr>
            </w:pPr>
            <w:r w:rsidRPr="00E6060C">
              <w:rPr>
                <w:b/>
              </w:rPr>
              <w:t>20.05.15</w:t>
            </w:r>
          </w:p>
        </w:tc>
        <w:tc>
          <w:tcPr>
            <w:tcW w:w="1134" w:type="dxa"/>
            <w:tcBorders>
              <w:top w:val="single" w:sz="4" w:space="0" w:color="auto"/>
              <w:bottom w:val="single" w:sz="4" w:space="0" w:color="auto"/>
            </w:tcBorders>
          </w:tcPr>
          <w:p w14:paraId="2593490C" w14:textId="77777777" w:rsidR="00E6060C" w:rsidRPr="00E6060C" w:rsidRDefault="00E6060C" w:rsidP="00E6060C">
            <w:pPr>
              <w:jc w:val="center"/>
              <w:rPr>
                <w:b/>
              </w:rPr>
            </w:pPr>
            <w:r w:rsidRPr="00E6060C">
              <w:rPr>
                <w:b/>
              </w:rPr>
              <w:t>21.05.15</w:t>
            </w:r>
          </w:p>
        </w:tc>
        <w:tc>
          <w:tcPr>
            <w:tcW w:w="993" w:type="dxa"/>
            <w:tcBorders>
              <w:top w:val="single" w:sz="4" w:space="0" w:color="auto"/>
              <w:bottom w:val="single" w:sz="4" w:space="0" w:color="auto"/>
            </w:tcBorders>
          </w:tcPr>
          <w:p w14:paraId="1E660F07" w14:textId="77777777" w:rsidR="00E6060C" w:rsidRPr="00E6060C" w:rsidRDefault="00E6060C" w:rsidP="00E6060C">
            <w:pPr>
              <w:jc w:val="center"/>
              <w:rPr>
                <w:b/>
              </w:rPr>
            </w:pPr>
          </w:p>
        </w:tc>
      </w:tr>
      <w:tr w:rsidR="00E6060C" w:rsidRPr="00E6060C" w14:paraId="247612F1" w14:textId="77777777" w:rsidTr="00E6060C">
        <w:tc>
          <w:tcPr>
            <w:tcW w:w="597" w:type="dxa"/>
            <w:tcBorders>
              <w:top w:val="single" w:sz="4" w:space="0" w:color="auto"/>
            </w:tcBorders>
          </w:tcPr>
          <w:p w14:paraId="64929807" w14:textId="77777777" w:rsidR="00E6060C" w:rsidRPr="00E6060C" w:rsidRDefault="00E6060C" w:rsidP="00E6060C">
            <w:r w:rsidRPr="00E6060C">
              <w:t>1</w:t>
            </w:r>
          </w:p>
        </w:tc>
        <w:tc>
          <w:tcPr>
            <w:tcW w:w="1288" w:type="dxa"/>
            <w:tcBorders>
              <w:top w:val="single" w:sz="4" w:space="0" w:color="auto"/>
            </w:tcBorders>
          </w:tcPr>
          <w:p w14:paraId="66DF1F5B" w14:textId="77777777" w:rsidR="00E6060C" w:rsidRPr="00E6060C" w:rsidRDefault="00E6060C" w:rsidP="00E6060C">
            <w:r w:rsidRPr="00E6060C">
              <w:t>Senior nurse</w:t>
            </w:r>
            <w:r w:rsidRPr="00E6060C">
              <w:rPr>
                <w:vertAlign w:val="superscript"/>
              </w:rPr>
              <w:t>2</w:t>
            </w:r>
          </w:p>
        </w:tc>
        <w:tc>
          <w:tcPr>
            <w:tcW w:w="1121" w:type="dxa"/>
            <w:tcBorders>
              <w:top w:val="single" w:sz="4" w:space="0" w:color="auto"/>
            </w:tcBorders>
          </w:tcPr>
          <w:p w14:paraId="18C2C598" w14:textId="77777777" w:rsidR="00E6060C" w:rsidRPr="00E6060C" w:rsidRDefault="00E6060C" w:rsidP="00E6060C">
            <w:pPr>
              <w:jc w:val="center"/>
            </w:pPr>
            <w:r w:rsidRPr="00E6060C">
              <w:t>Y</w:t>
            </w:r>
          </w:p>
        </w:tc>
        <w:tc>
          <w:tcPr>
            <w:tcW w:w="1121" w:type="dxa"/>
            <w:tcBorders>
              <w:top w:val="single" w:sz="4" w:space="0" w:color="auto"/>
            </w:tcBorders>
          </w:tcPr>
          <w:p w14:paraId="03232267" w14:textId="77777777" w:rsidR="00E6060C" w:rsidRPr="00E6060C" w:rsidRDefault="00E6060C" w:rsidP="00E6060C">
            <w:pPr>
              <w:jc w:val="center"/>
            </w:pPr>
            <w:r w:rsidRPr="00E6060C">
              <w:t>Y</w:t>
            </w:r>
          </w:p>
        </w:tc>
        <w:tc>
          <w:tcPr>
            <w:tcW w:w="1134" w:type="dxa"/>
            <w:tcBorders>
              <w:top w:val="single" w:sz="4" w:space="0" w:color="auto"/>
            </w:tcBorders>
          </w:tcPr>
          <w:p w14:paraId="75EB7626" w14:textId="77777777" w:rsidR="00E6060C" w:rsidRPr="00E6060C" w:rsidRDefault="00E6060C" w:rsidP="00E6060C">
            <w:pPr>
              <w:jc w:val="center"/>
            </w:pPr>
            <w:r w:rsidRPr="00E6060C">
              <w:t>Y</w:t>
            </w:r>
          </w:p>
        </w:tc>
        <w:tc>
          <w:tcPr>
            <w:tcW w:w="1134" w:type="dxa"/>
            <w:tcBorders>
              <w:top w:val="single" w:sz="4" w:space="0" w:color="auto"/>
            </w:tcBorders>
          </w:tcPr>
          <w:p w14:paraId="65207A81" w14:textId="77777777" w:rsidR="00E6060C" w:rsidRPr="00E6060C" w:rsidRDefault="00E6060C" w:rsidP="00E6060C">
            <w:pPr>
              <w:jc w:val="center"/>
            </w:pPr>
            <w:r w:rsidRPr="00E6060C">
              <w:t>Y</w:t>
            </w:r>
          </w:p>
        </w:tc>
        <w:tc>
          <w:tcPr>
            <w:tcW w:w="1134" w:type="dxa"/>
            <w:tcBorders>
              <w:top w:val="single" w:sz="4" w:space="0" w:color="auto"/>
            </w:tcBorders>
          </w:tcPr>
          <w:p w14:paraId="2A088A98" w14:textId="77777777" w:rsidR="00E6060C" w:rsidRPr="00E6060C" w:rsidRDefault="00E6060C" w:rsidP="00E6060C">
            <w:pPr>
              <w:jc w:val="center"/>
            </w:pPr>
            <w:r w:rsidRPr="00E6060C">
              <w:t>Y</w:t>
            </w:r>
          </w:p>
        </w:tc>
        <w:tc>
          <w:tcPr>
            <w:tcW w:w="1134" w:type="dxa"/>
            <w:tcBorders>
              <w:top w:val="single" w:sz="4" w:space="0" w:color="auto"/>
            </w:tcBorders>
          </w:tcPr>
          <w:p w14:paraId="24B9B9FE" w14:textId="77777777" w:rsidR="00E6060C" w:rsidRPr="00E6060C" w:rsidRDefault="00E6060C" w:rsidP="00E6060C">
            <w:pPr>
              <w:jc w:val="center"/>
            </w:pPr>
            <w:r w:rsidRPr="00E6060C">
              <w:t>Y</w:t>
            </w:r>
          </w:p>
        </w:tc>
        <w:tc>
          <w:tcPr>
            <w:tcW w:w="1134" w:type="dxa"/>
            <w:tcBorders>
              <w:top w:val="single" w:sz="4" w:space="0" w:color="auto"/>
            </w:tcBorders>
          </w:tcPr>
          <w:p w14:paraId="042117C6" w14:textId="77777777" w:rsidR="00E6060C" w:rsidRPr="00E6060C" w:rsidRDefault="00E6060C" w:rsidP="00E6060C">
            <w:pPr>
              <w:jc w:val="center"/>
            </w:pPr>
            <w:r w:rsidRPr="00E6060C">
              <w:t>Y</w:t>
            </w:r>
          </w:p>
        </w:tc>
        <w:tc>
          <w:tcPr>
            <w:tcW w:w="1134" w:type="dxa"/>
            <w:tcBorders>
              <w:top w:val="single" w:sz="4" w:space="0" w:color="auto"/>
            </w:tcBorders>
          </w:tcPr>
          <w:p w14:paraId="0499B9E3" w14:textId="77777777" w:rsidR="00E6060C" w:rsidRPr="00E6060C" w:rsidRDefault="00E6060C" w:rsidP="00E6060C">
            <w:pPr>
              <w:jc w:val="center"/>
            </w:pPr>
            <w:r w:rsidRPr="00E6060C">
              <w:t>Y</w:t>
            </w:r>
          </w:p>
        </w:tc>
        <w:tc>
          <w:tcPr>
            <w:tcW w:w="1134" w:type="dxa"/>
            <w:tcBorders>
              <w:top w:val="single" w:sz="4" w:space="0" w:color="auto"/>
            </w:tcBorders>
          </w:tcPr>
          <w:p w14:paraId="187CDA5C" w14:textId="77777777" w:rsidR="00E6060C" w:rsidRPr="00E6060C" w:rsidRDefault="00E6060C" w:rsidP="00E6060C">
            <w:pPr>
              <w:jc w:val="center"/>
            </w:pPr>
            <w:r w:rsidRPr="00E6060C">
              <w:t>Y</w:t>
            </w:r>
          </w:p>
        </w:tc>
        <w:tc>
          <w:tcPr>
            <w:tcW w:w="1134" w:type="dxa"/>
            <w:tcBorders>
              <w:top w:val="single" w:sz="4" w:space="0" w:color="auto"/>
            </w:tcBorders>
          </w:tcPr>
          <w:p w14:paraId="08D1CB4D" w14:textId="77777777" w:rsidR="00E6060C" w:rsidRPr="00E6060C" w:rsidRDefault="00E6060C" w:rsidP="00E6060C">
            <w:pPr>
              <w:jc w:val="center"/>
            </w:pPr>
            <w:r w:rsidRPr="00E6060C">
              <w:t>N</w:t>
            </w:r>
          </w:p>
        </w:tc>
        <w:tc>
          <w:tcPr>
            <w:tcW w:w="1134" w:type="dxa"/>
            <w:tcBorders>
              <w:top w:val="single" w:sz="4" w:space="0" w:color="auto"/>
            </w:tcBorders>
          </w:tcPr>
          <w:p w14:paraId="7370EE36" w14:textId="77777777" w:rsidR="00E6060C" w:rsidRPr="00E6060C" w:rsidRDefault="00E6060C" w:rsidP="00E6060C">
            <w:pPr>
              <w:jc w:val="center"/>
            </w:pPr>
            <w:r w:rsidRPr="00E6060C">
              <w:t>U</w:t>
            </w:r>
          </w:p>
        </w:tc>
        <w:tc>
          <w:tcPr>
            <w:tcW w:w="993" w:type="dxa"/>
            <w:tcBorders>
              <w:top w:val="single" w:sz="4" w:space="0" w:color="auto"/>
            </w:tcBorders>
          </w:tcPr>
          <w:p w14:paraId="4E6F7205" w14:textId="77777777" w:rsidR="00E6060C" w:rsidRPr="00E6060C" w:rsidRDefault="00E6060C" w:rsidP="00E6060C">
            <w:pPr>
              <w:jc w:val="center"/>
              <w:rPr>
                <w:b/>
              </w:rPr>
            </w:pPr>
            <w:r w:rsidRPr="00E6060C">
              <w:rPr>
                <w:b/>
              </w:rPr>
              <w:t>9/11</w:t>
            </w:r>
          </w:p>
        </w:tc>
      </w:tr>
      <w:tr w:rsidR="00E6060C" w:rsidRPr="00E6060C" w14:paraId="5A0A732F" w14:textId="77777777" w:rsidTr="00E6060C">
        <w:tc>
          <w:tcPr>
            <w:tcW w:w="597" w:type="dxa"/>
          </w:tcPr>
          <w:p w14:paraId="60C17B52" w14:textId="77777777" w:rsidR="00E6060C" w:rsidRPr="00E6060C" w:rsidRDefault="00E6060C" w:rsidP="00E6060C">
            <w:r w:rsidRPr="00E6060C">
              <w:t>2</w:t>
            </w:r>
          </w:p>
        </w:tc>
        <w:tc>
          <w:tcPr>
            <w:tcW w:w="1288" w:type="dxa"/>
          </w:tcPr>
          <w:p w14:paraId="79A4D579" w14:textId="77777777" w:rsidR="00E6060C" w:rsidRPr="00E6060C" w:rsidRDefault="00E6060C" w:rsidP="00E6060C">
            <w:r w:rsidRPr="00E6060C">
              <w:t>Healthcare assistant</w:t>
            </w:r>
          </w:p>
        </w:tc>
        <w:tc>
          <w:tcPr>
            <w:tcW w:w="1121" w:type="dxa"/>
          </w:tcPr>
          <w:p w14:paraId="439E773F" w14:textId="77777777" w:rsidR="00E6060C" w:rsidRPr="00E6060C" w:rsidRDefault="00E6060C" w:rsidP="00E6060C">
            <w:pPr>
              <w:jc w:val="center"/>
            </w:pPr>
            <w:r w:rsidRPr="00E6060C">
              <w:t>Y</w:t>
            </w:r>
          </w:p>
        </w:tc>
        <w:tc>
          <w:tcPr>
            <w:tcW w:w="1121" w:type="dxa"/>
          </w:tcPr>
          <w:p w14:paraId="31518221" w14:textId="77777777" w:rsidR="00E6060C" w:rsidRPr="00E6060C" w:rsidRDefault="00E6060C" w:rsidP="00E6060C">
            <w:pPr>
              <w:jc w:val="center"/>
            </w:pPr>
            <w:r w:rsidRPr="00E6060C">
              <w:t>Y</w:t>
            </w:r>
          </w:p>
        </w:tc>
        <w:tc>
          <w:tcPr>
            <w:tcW w:w="1134" w:type="dxa"/>
          </w:tcPr>
          <w:p w14:paraId="1EFA0874" w14:textId="77777777" w:rsidR="00E6060C" w:rsidRPr="00E6060C" w:rsidRDefault="00E6060C" w:rsidP="00E6060C">
            <w:pPr>
              <w:jc w:val="center"/>
            </w:pPr>
            <w:r w:rsidRPr="00E6060C">
              <w:t>Y</w:t>
            </w:r>
          </w:p>
        </w:tc>
        <w:tc>
          <w:tcPr>
            <w:tcW w:w="1134" w:type="dxa"/>
          </w:tcPr>
          <w:p w14:paraId="79230328" w14:textId="77777777" w:rsidR="00E6060C" w:rsidRPr="00E6060C" w:rsidRDefault="00E6060C" w:rsidP="00E6060C">
            <w:pPr>
              <w:jc w:val="center"/>
            </w:pPr>
            <w:r w:rsidRPr="00E6060C">
              <w:t>Y</w:t>
            </w:r>
          </w:p>
        </w:tc>
        <w:tc>
          <w:tcPr>
            <w:tcW w:w="1134" w:type="dxa"/>
          </w:tcPr>
          <w:p w14:paraId="4F3D1E80" w14:textId="77777777" w:rsidR="00E6060C" w:rsidRPr="00E6060C" w:rsidRDefault="00E6060C" w:rsidP="00E6060C">
            <w:pPr>
              <w:jc w:val="center"/>
            </w:pPr>
            <w:r w:rsidRPr="00E6060C">
              <w:t>N</w:t>
            </w:r>
          </w:p>
        </w:tc>
        <w:tc>
          <w:tcPr>
            <w:tcW w:w="1134" w:type="dxa"/>
          </w:tcPr>
          <w:p w14:paraId="76C7EFD6" w14:textId="77777777" w:rsidR="00E6060C" w:rsidRPr="00E6060C" w:rsidRDefault="00E6060C" w:rsidP="00E6060C">
            <w:pPr>
              <w:jc w:val="center"/>
            </w:pPr>
            <w:r w:rsidRPr="00E6060C">
              <w:t>Y</w:t>
            </w:r>
          </w:p>
        </w:tc>
        <w:tc>
          <w:tcPr>
            <w:tcW w:w="1134" w:type="dxa"/>
          </w:tcPr>
          <w:p w14:paraId="6F48CEB0" w14:textId="77777777" w:rsidR="00E6060C" w:rsidRPr="00E6060C" w:rsidRDefault="00E6060C" w:rsidP="00E6060C">
            <w:pPr>
              <w:jc w:val="center"/>
            </w:pPr>
            <w:r w:rsidRPr="00E6060C">
              <w:t>Y</w:t>
            </w:r>
          </w:p>
        </w:tc>
        <w:tc>
          <w:tcPr>
            <w:tcW w:w="1134" w:type="dxa"/>
          </w:tcPr>
          <w:p w14:paraId="572E3025" w14:textId="77777777" w:rsidR="00E6060C" w:rsidRPr="00E6060C" w:rsidRDefault="00E6060C" w:rsidP="00E6060C">
            <w:pPr>
              <w:jc w:val="center"/>
            </w:pPr>
            <w:r w:rsidRPr="00E6060C">
              <w:t>Left and replaced (did not attend)</w:t>
            </w:r>
          </w:p>
        </w:tc>
        <w:tc>
          <w:tcPr>
            <w:tcW w:w="1134" w:type="dxa"/>
          </w:tcPr>
          <w:p w14:paraId="21F9DF2C" w14:textId="77777777" w:rsidR="00E6060C" w:rsidRPr="00E6060C" w:rsidRDefault="00E6060C" w:rsidP="00E6060C">
            <w:pPr>
              <w:jc w:val="center"/>
            </w:pPr>
            <w:r w:rsidRPr="00E6060C">
              <w:t>N</w:t>
            </w:r>
          </w:p>
        </w:tc>
        <w:tc>
          <w:tcPr>
            <w:tcW w:w="1134" w:type="dxa"/>
          </w:tcPr>
          <w:p w14:paraId="09F36BC3" w14:textId="77777777" w:rsidR="00E6060C" w:rsidRPr="00E6060C" w:rsidRDefault="00E6060C" w:rsidP="00E6060C">
            <w:pPr>
              <w:jc w:val="center"/>
            </w:pPr>
            <w:r w:rsidRPr="00E6060C">
              <w:t>Y</w:t>
            </w:r>
          </w:p>
        </w:tc>
        <w:tc>
          <w:tcPr>
            <w:tcW w:w="1134" w:type="dxa"/>
          </w:tcPr>
          <w:p w14:paraId="5A79C3F9" w14:textId="77777777" w:rsidR="00E6060C" w:rsidRPr="00E6060C" w:rsidRDefault="00E6060C" w:rsidP="00E6060C">
            <w:pPr>
              <w:jc w:val="center"/>
            </w:pPr>
            <w:r w:rsidRPr="00E6060C">
              <w:t>Y</w:t>
            </w:r>
          </w:p>
        </w:tc>
        <w:tc>
          <w:tcPr>
            <w:tcW w:w="993" w:type="dxa"/>
          </w:tcPr>
          <w:p w14:paraId="0C6000C6" w14:textId="77777777" w:rsidR="00E6060C" w:rsidRPr="00E6060C" w:rsidRDefault="00E6060C" w:rsidP="00E6060C">
            <w:pPr>
              <w:jc w:val="center"/>
              <w:rPr>
                <w:b/>
              </w:rPr>
            </w:pPr>
            <w:r w:rsidRPr="00E6060C">
              <w:rPr>
                <w:b/>
              </w:rPr>
              <w:t>8/11</w:t>
            </w:r>
          </w:p>
        </w:tc>
      </w:tr>
      <w:tr w:rsidR="00E6060C" w:rsidRPr="00E6060C" w14:paraId="59E4D33E" w14:textId="77777777" w:rsidTr="00E6060C">
        <w:tc>
          <w:tcPr>
            <w:tcW w:w="597" w:type="dxa"/>
          </w:tcPr>
          <w:p w14:paraId="5DF1C84F" w14:textId="77777777" w:rsidR="00E6060C" w:rsidRPr="00E6060C" w:rsidRDefault="00E6060C" w:rsidP="00E6060C">
            <w:r w:rsidRPr="00E6060C">
              <w:t>3</w:t>
            </w:r>
          </w:p>
        </w:tc>
        <w:tc>
          <w:tcPr>
            <w:tcW w:w="1288" w:type="dxa"/>
          </w:tcPr>
          <w:p w14:paraId="1F9E70AB" w14:textId="77777777" w:rsidR="00E6060C" w:rsidRPr="00E6060C" w:rsidRDefault="00E6060C" w:rsidP="00E6060C">
            <w:r w:rsidRPr="00E6060C">
              <w:t>Senior Nurse</w:t>
            </w:r>
          </w:p>
        </w:tc>
        <w:tc>
          <w:tcPr>
            <w:tcW w:w="1121" w:type="dxa"/>
          </w:tcPr>
          <w:p w14:paraId="1C550E2A" w14:textId="77777777" w:rsidR="00E6060C" w:rsidRPr="00E6060C" w:rsidRDefault="00E6060C" w:rsidP="00E6060C">
            <w:pPr>
              <w:jc w:val="center"/>
            </w:pPr>
            <w:r w:rsidRPr="00E6060C">
              <w:t>Y</w:t>
            </w:r>
          </w:p>
        </w:tc>
        <w:tc>
          <w:tcPr>
            <w:tcW w:w="1121" w:type="dxa"/>
          </w:tcPr>
          <w:p w14:paraId="060D2406" w14:textId="77777777" w:rsidR="00E6060C" w:rsidRPr="00E6060C" w:rsidRDefault="00E6060C" w:rsidP="00E6060C">
            <w:pPr>
              <w:jc w:val="center"/>
            </w:pPr>
            <w:r w:rsidRPr="00E6060C">
              <w:t>Y</w:t>
            </w:r>
          </w:p>
        </w:tc>
        <w:tc>
          <w:tcPr>
            <w:tcW w:w="1134" w:type="dxa"/>
          </w:tcPr>
          <w:p w14:paraId="412BA796" w14:textId="77777777" w:rsidR="00E6060C" w:rsidRPr="00E6060C" w:rsidRDefault="00E6060C" w:rsidP="00E6060C">
            <w:pPr>
              <w:jc w:val="center"/>
            </w:pPr>
            <w:r w:rsidRPr="00E6060C">
              <w:t>Y</w:t>
            </w:r>
          </w:p>
        </w:tc>
        <w:tc>
          <w:tcPr>
            <w:tcW w:w="1134" w:type="dxa"/>
          </w:tcPr>
          <w:p w14:paraId="42C9022E" w14:textId="77777777" w:rsidR="00E6060C" w:rsidRPr="00E6060C" w:rsidRDefault="00E6060C" w:rsidP="00E6060C">
            <w:pPr>
              <w:jc w:val="center"/>
            </w:pPr>
            <w:r w:rsidRPr="00E6060C">
              <w:t>Y</w:t>
            </w:r>
          </w:p>
        </w:tc>
        <w:tc>
          <w:tcPr>
            <w:tcW w:w="1134" w:type="dxa"/>
          </w:tcPr>
          <w:p w14:paraId="34656CA3" w14:textId="77777777" w:rsidR="00E6060C" w:rsidRPr="00E6060C" w:rsidRDefault="00E6060C" w:rsidP="00E6060C">
            <w:pPr>
              <w:jc w:val="center"/>
            </w:pPr>
            <w:r w:rsidRPr="00E6060C">
              <w:t>N</w:t>
            </w:r>
          </w:p>
        </w:tc>
        <w:tc>
          <w:tcPr>
            <w:tcW w:w="1134" w:type="dxa"/>
          </w:tcPr>
          <w:p w14:paraId="32057F75" w14:textId="77777777" w:rsidR="00E6060C" w:rsidRPr="00E6060C" w:rsidRDefault="00E6060C" w:rsidP="00E6060C">
            <w:pPr>
              <w:jc w:val="center"/>
            </w:pPr>
            <w:r w:rsidRPr="00E6060C">
              <w:t>N</w:t>
            </w:r>
          </w:p>
        </w:tc>
        <w:tc>
          <w:tcPr>
            <w:tcW w:w="1134" w:type="dxa"/>
          </w:tcPr>
          <w:p w14:paraId="17F787F8" w14:textId="77777777" w:rsidR="00E6060C" w:rsidRPr="00E6060C" w:rsidRDefault="00E6060C" w:rsidP="00E6060C">
            <w:pPr>
              <w:jc w:val="center"/>
            </w:pPr>
            <w:r w:rsidRPr="00E6060C">
              <w:t>N</w:t>
            </w:r>
          </w:p>
        </w:tc>
        <w:tc>
          <w:tcPr>
            <w:tcW w:w="1134" w:type="dxa"/>
          </w:tcPr>
          <w:p w14:paraId="0E27EE1E" w14:textId="77777777" w:rsidR="00E6060C" w:rsidRPr="00E6060C" w:rsidRDefault="00E6060C" w:rsidP="00E6060C">
            <w:pPr>
              <w:jc w:val="center"/>
            </w:pPr>
            <w:r w:rsidRPr="00E6060C">
              <w:t>Left and replaced (did not attend)</w:t>
            </w:r>
          </w:p>
        </w:tc>
        <w:tc>
          <w:tcPr>
            <w:tcW w:w="1134" w:type="dxa"/>
          </w:tcPr>
          <w:p w14:paraId="2CE6B124" w14:textId="77777777" w:rsidR="00E6060C" w:rsidRPr="00E6060C" w:rsidRDefault="00E6060C" w:rsidP="00E6060C">
            <w:pPr>
              <w:jc w:val="center"/>
            </w:pPr>
            <w:r w:rsidRPr="00E6060C">
              <w:t>N</w:t>
            </w:r>
          </w:p>
        </w:tc>
        <w:tc>
          <w:tcPr>
            <w:tcW w:w="1134" w:type="dxa"/>
          </w:tcPr>
          <w:p w14:paraId="29268D6B" w14:textId="77777777" w:rsidR="00E6060C" w:rsidRPr="00E6060C" w:rsidRDefault="00E6060C" w:rsidP="00E6060C">
            <w:pPr>
              <w:jc w:val="center"/>
              <w:rPr>
                <w:vertAlign w:val="superscript"/>
              </w:rPr>
            </w:pPr>
            <w:r w:rsidRPr="00E6060C">
              <w:t>Ward left study</w:t>
            </w:r>
            <w:r w:rsidRPr="00E6060C">
              <w:rPr>
                <w:vertAlign w:val="superscript"/>
              </w:rPr>
              <w:t>3</w:t>
            </w:r>
          </w:p>
        </w:tc>
        <w:tc>
          <w:tcPr>
            <w:tcW w:w="1134" w:type="dxa"/>
          </w:tcPr>
          <w:p w14:paraId="470C0575" w14:textId="77777777" w:rsidR="00E6060C" w:rsidRPr="00E6060C" w:rsidRDefault="00E6060C" w:rsidP="00E6060C">
            <w:pPr>
              <w:jc w:val="center"/>
            </w:pPr>
            <w:r w:rsidRPr="00E6060C">
              <w:t>-</w:t>
            </w:r>
          </w:p>
        </w:tc>
        <w:tc>
          <w:tcPr>
            <w:tcW w:w="993" w:type="dxa"/>
          </w:tcPr>
          <w:p w14:paraId="333A2D33" w14:textId="77777777" w:rsidR="00E6060C" w:rsidRPr="00E6060C" w:rsidRDefault="00E6060C" w:rsidP="00E6060C">
            <w:pPr>
              <w:jc w:val="center"/>
              <w:rPr>
                <w:b/>
              </w:rPr>
            </w:pPr>
            <w:r w:rsidRPr="00E6060C">
              <w:rPr>
                <w:b/>
              </w:rPr>
              <w:t>4/11</w:t>
            </w:r>
          </w:p>
        </w:tc>
      </w:tr>
      <w:tr w:rsidR="00E6060C" w:rsidRPr="00E6060C" w14:paraId="417AF79A" w14:textId="77777777" w:rsidTr="00E6060C">
        <w:tc>
          <w:tcPr>
            <w:tcW w:w="597" w:type="dxa"/>
          </w:tcPr>
          <w:p w14:paraId="3A88E9EF" w14:textId="77777777" w:rsidR="00E6060C" w:rsidRPr="00E6060C" w:rsidRDefault="00E6060C" w:rsidP="00E6060C">
            <w:r w:rsidRPr="00E6060C">
              <w:t>4</w:t>
            </w:r>
          </w:p>
        </w:tc>
        <w:tc>
          <w:tcPr>
            <w:tcW w:w="1288" w:type="dxa"/>
          </w:tcPr>
          <w:p w14:paraId="31834BB1" w14:textId="77777777" w:rsidR="00E6060C" w:rsidRPr="00E6060C" w:rsidRDefault="00E6060C" w:rsidP="00E6060C">
            <w:r w:rsidRPr="00E6060C">
              <w:t>Deputy Sister</w:t>
            </w:r>
          </w:p>
        </w:tc>
        <w:tc>
          <w:tcPr>
            <w:tcW w:w="1121" w:type="dxa"/>
          </w:tcPr>
          <w:p w14:paraId="14FBA549" w14:textId="77777777" w:rsidR="00E6060C" w:rsidRPr="00E6060C" w:rsidRDefault="00E6060C" w:rsidP="00E6060C">
            <w:pPr>
              <w:jc w:val="center"/>
            </w:pPr>
            <w:r w:rsidRPr="00E6060C">
              <w:t>N</w:t>
            </w:r>
          </w:p>
        </w:tc>
        <w:tc>
          <w:tcPr>
            <w:tcW w:w="1121" w:type="dxa"/>
          </w:tcPr>
          <w:p w14:paraId="1500AF26" w14:textId="77777777" w:rsidR="00E6060C" w:rsidRPr="00E6060C" w:rsidRDefault="00E6060C" w:rsidP="00E6060C">
            <w:pPr>
              <w:jc w:val="center"/>
            </w:pPr>
            <w:r w:rsidRPr="00E6060C">
              <w:t>N</w:t>
            </w:r>
          </w:p>
        </w:tc>
        <w:tc>
          <w:tcPr>
            <w:tcW w:w="1134" w:type="dxa"/>
          </w:tcPr>
          <w:p w14:paraId="564BFF2C" w14:textId="77777777" w:rsidR="00E6060C" w:rsidRPr="00E6060C" w:rsidRDefault="00E6060C" w:rsidP="00E6060C">
            <w:pPr>
              <w:jc w:val="center"/>
            </w:pPr>
            <w:r w:rsidRPr="00E6060C">
              <w:t>N</w:t>
            </w:r>
          </w:p>
        </w:tc>
        <w:tc>
          <w:tcPr>
            <w:tcW w:w="1134" w:type="dxa"/>
          </w:tcPr>
          <w:p w14:paraId="3C8927EE" w14:textId="77777777" w:rsidR="00E6060C" w:rsidRPr="00E6060C" w:rsidRDefault="00E6060C" w:rsidP="00E6060C">
            <w:pPr>
              <w:jc w:val="center"/>
            </w:pPr>
            <w:r w:rsidRPr="00E6060C">
              <w:t>N</w:t>
            </w:r>
          </w:p>
        </w:tc>
        <w:tc>
          <w:tcPr>
            <w:tcW w:w="1134" w:type="dxa"/>
          </w:tcPr>
          <w:p w14:paraId="74CDB358" w14:textId="77777777" w:rsidR="00E6060C" w:rsidRPr="00E6060C" w:rsidRDefault="00E6060C" w:rsidP="00E6060C">
            <w:pPr>
              <w:jc w:val="center"/>
            </w:pPr>
            <w:r w:rsidRPr="00E6060C">
              <w:t>N</w:t>
            </w:r>
          </w:p>
        </w:tc>
        <w:tc>
          <w:tcPr>
            <w:tcW w:w="1134" w:type="dxa"/>
          </w:tcPr>
          <w:p w14:paraId="126627AA" w14:textId="77777777" w:rsidR="00E6060C" w:rsidRPr="00E6060C" w:rsidRDefault="00E6060C" w:rsidP="00E6060C">
            <w:pPr>
              <w:jc w:val="center"/>
            </w:pPr>
            <w:r w:rsidRPr="00E6060C">
              <w:t>N</w:t>
            </w:r>
          </w:p>
        </w:tc>
        <w:tc>
          <w:tcPr>
            <w:tcW w:w="1134" w:type="dxa"/>
          </w:tcPr>
          <w:p w14:paraId="740C5F6C" w14:textId="77777777" w:rsidR="00E6060C" w:rsidRPr="00E6060C" w:rsidRDefault="00E6060C" w:rsidP="00E6060C">
            <w:pPr>
              <w:jc w:val="center"/>
            </w:pPr>
            <w:r w:rsidRPr="00E6060C">
              <w:t>N</w:t>
            </w:r>
          </w:p>
        </w:tc>
        <w:tc>
          <w:tcPr>
            <w:tcW w:w="1134" w:type="dxa"/>
          </w:tcPr>
          <w:p w14:paraId="19B5BB0E" w14:textId="77777777" w:rsidR="00E6060C" w:rsidRPr="00E6060C" w:rsidRDefault="00E6060C" w:rsidP="00E6060C">
            <w:pPr>
              <w:jc w:val="center"/>
            </w:pPr>
            <w:r w:rsidRPr="00E6060C">
              <w:t>N</w:t>
            </w:r>
          </w:p>
        </w:tc>
        <w:tc>
          <w:tcPr>
            <w:tcW w:w="1134" w:type="dxa"/>
          </w:tcPr>
          <w:p w14:paraId="6BD5D5A2" w14:textId="77777777" w:rsidR="00E6060C" w:rsidRPr="00E6060C" w:rsidRDefault="00E6060C" w:rsidP="00E6060C">
            <w:pPr>
              <w:jc w:val="center"/>
            </w:pPr>
            <w:r w:rsidRPr="00E6060C">
              <w:t>N</w:t>
            </w:r>
          </w:p>
        </w:tc>
        <w:tc>
          <w:tcPr>
            <w:tcW w:w="1134" w:type="dxa"/>
          </w:tcPr>
          <w:p w14:paraId="0571A7FC" w14:textId="77777777" w:rsidR="00E6060C" w:rsidRPr="00E6060C" w:rsidRDefault="00E6060C" w:rsidP="00E6060C">
            <w:pPr>
              <w:jc w:val="center"/>
              <w:rPr>
                <w:vertAlign w:val="superscript"/>
              </w:rPr>
            </w:pPr>
            <w:r w:rsidRPr="00E6060C">
              <w:t>Ward left study</w:t>
            </w:r>
            <w:r w:rsidRPr="00E6060C">
              <w:rPr>
                <w:vertAlign w:val="superscript"/>
              </w:rPr>
              <w:t>3</w:t>
            </w:r>
          </w:p>
        </w:tc>
        <w:tc>
          <w:tcPr>
            <w:tcW w:w="1134" w:type="dxa"/>
          </w:tcPr>
          <w:p w14:paraId="74461309" w14:textId="77777777" w:rsidR="00E6060C" w:rsidRPr="00E6060C" w:rsidRDefault="00E6060C" w:rsidP="00E6060C">
            <w:pPr>
              <w:jc w:val="center"/>
            </w:pPr>
            <w:r w:rsidRPr="00E6060C">
              <w:t>-</w:t>
            </w:r>
          </w:p>
        </w:tc>
        <w:tc>
          <w:tcPr>
            <w:tcW w:w="993" w:type="dxa"/>
          </w:tcPr>
          <w:p w14:paraId="3F552BB8" w14:textId="77777777" w:rsidR="00E6060C" w:rsidRPr="00E6060C" w:rsidRDefault="00E6060C" w:rsidP="00E6060C">
            <w:pPr>
              <w:jc w:val="center"/>
              <w:rPr>
                <w:b/>
              </w:rPr>
            </w:pPr>
            <w:r w:rsidRPr="00E6060C">
              <w:rPr>
                <w:b/>
              </w:rPr>
              <w:t>0/11</w:t>
            </w:r>
          </w:p>
        </w:tc>
      </w:tr>
      <w:tr w:rsidR="00E6060C" w:rsidRPr="00E6060C" w14:paraId="3A16E5A9" w14:textId="77777777" w:rsidTr="00E6060C">
        <w:tc>
          <w:tcPr>
            <w:tcW w:w="597" w:type="dxa"/>
          </w:tcPr>
          <w:p w14:paraId="2579ACE8" w14:textId="77777777" w:rsidR="00E6060C" w:rsidRPr="00E6060C" w:rsidRDefault="00E6060C" w:rsidP="00E6060C">
            <w:r w:rsidRPr="00E6060C">
              <w:t>5</w:t>
            </w:r>
          </w:p>
        </w:tc>
        <w:tc>
          <w:tcPr>
            <w:tcW w:w="1288" w:type="dxa"/>
          </w:tcPr>
          <w:p w14:paraId="47EB1194" w14:textId="77777777" w:rsidR="00E6060C" w:rsidRPr="00E6060C" w:rsidRDefault="00E6060C" w:rsidP="00E6060C">
            <w:r w:rsidRPr="00E6060C">
              <w:t>Sister</w:t>
            </w:r>
          </w:p>
        </w:tc>
        <w:tc>
          <w:tcPr>
            <w:tcW w:w="1121" w:type="dxa"/>
          </w:tcPr>
          <w:p w14:paraId="200E37AE" w14:textId="77777777" w:rsidR="00E6060C" w:rsidRPr="00E6060C" w:rsidRDefault="00E6060C" w:rsidP="00E6060C">
            <w:pPr>
              <w:jc w:val="center"/>
            </w:pPr>
            <w:r w:rsidRPr="00E6060C">
              <w:t>Y</w:t>
            </w:r>
          </w:p>
        </w:tc>
        <w:tc>
          <w:tcPr>
            <w:tcW w:w="1121" w:type="dxa"/>
          </w:tcPr>
          <w:p w14:paraId="5C7ACAAD" w14:textId="77777777" w:rsidR="00E6060C" w:rsidRPr="00E6060C" w:rsidRDefault="00E6060C" w:rsidP="00E6060C">
            <w:pPr>
              <w:jc w:val="center"/>
            </w:pPr>
            <w:r w:rsidRPr="00E6060C">
              <w:t>Y</w:t>
            </w:r>
          </w:p>
        </w:tc>
        <w:tc>
          <w:tcPr>
            <w:tcW w:w="1134" w:type="dxa"/>
          </w:tcPr>
          <w:p w14:paraId="6DBE3F16" w14:textId="77777777" w:rsidR="00E6060C" w:rsidRPr="00E6060C" w:rsidRDefault="00E6060C" w:rsidP="00E6060C">
            <w:pPr>
              <w:jc w:val="center"/>
            </w:pPr>
            <w:r w:rsidRPr="00E6060C">
              <w:t>Y</w:t>
            </w:r>
          </w:p>
        </w:tc>
        <w:tc>
          <w:tcPr>
            <w:tcW w:w="1134" w:type="dxa"/>
          </w:tcPr>
          <w:p w14:paraId="368732F1" w14:textId="77777777" w:rsidR="00E6060C" w:rsidRPr="00E6060C" w:rsidRDefault="00E6060C" w:rsidP="00E6060C">
            <w:pPr>
              <w:jc w:val="center"/>
            </w:pPr>
            <w:r w:rsidRPr="00E6060C">
              <w:t>Y</w:t>
            </w:r>
          </w:p>
        </w:tc>
        <w:tc>
          <w:tcPr>
            <w:tcW w:w="1134" w:type="dxa"/>
          </w:tcPr>
          <w:p w14:paraId="7BBA1C71" w14:textId="77777777" w:rsidR="00E6060C" w:rsidRPr="00E6060C" w:rsidRDefault="00E6060C" w:rsidP="00E6060C">
            <w:pPr>
              <w:jc w:val="center"/>
            </w:pPr>
            <w:r w:rsidRPr="00E6060C">
              <w:t>Y</w:t>
            </w:r>
          </w:p>
        </w:tc>
        <w:tc>
          <w:tcPr>
            <w:tcW w:w="1134" w:type="dxa"/>
          </w:tcPr>
          <w:p w14:paraId="2DE21389" w14:textId="77777777" w:rsidR="00E6060C" w:rsidRPr="00E6060C" w:rsidRDefault="00E6060C" w:rsidP="00E6060C">
            <w:pPr>
              <w:jc w:val="center"/>
            </w:pPr>
            <w:r w:rsidRPr="00E6060C">
              <w:t>Y</w:t>
            </w:r>
          </w:p>
        </w:tc>
        <w:tc>
          <w:tcPr>
            <w:tcW w:w="1134" w:type="dxa"/>
          </w:tcPr>
          <w:p w14:paraId="55144B9B" w14:textId="77777777" w:rsidR="00E6060C" w:rsidRPr="00E6060C" w:rsidRDefault="00E6060C" w:rsidP="00E6060C">
            <w:pPr>
              <w:jc w:val="center"/>
            </w:pPr>
            <w:r w:rsidRPr="00E6060C">
              <w:t>Y</w:t>
            </w:r>
          </w:p>
        </w:tc>
        <w:tc>
          <w:tcPr>
            <w:tcW w:w="1134" w:type="dxa"/>
          </w:tcPr>
          <w:p w14:paraId="06A5552D" w14:textId="77777777" w:rsidR="00E6060C" w:rsidRPr="00E6060C" w:rsidRDefault="00E6060C" w:rsidP="00E6060C">
            <w:pPr>
              <w:jc w:val="center"/>
            </w:pPr>
            <w:r w:rsidRPr="00E6060C">
              <w:t>Y</w:t>
            </w:r>
          </w:p>
        </w:tc>
        <w:tc>
          <w:tcPr>
            <w:tcW w:w="1134" w:type="dxa"/>
          </w:tcPr>
          <w:p w14:paraId="0FC146FD" w14:textId="77777777" w:rsidR="00E6060C" w:rsidRPr="00E6060C" w:rsidRDefault="00E6060C" w:rsidP="00E6060C">
            <w:pPr>
              <w:jc w:val="center"/>
            </w:pPr>
            <w:r w:rsidRPr="00E6060C">
              <w:t>N</w:t>
            </w:r>
          </w:p>
        </w:tc>
        <w:tc>
          <w:tcPr>
            <w:tcW w:w="1134" w:type="dxa"/>
          </w:tcPr>
          <w:p w14:paraId="04CD0EC3" w14:textId="77777777" w:rsidR="00E6060C" w:rsidRPr="00E6060C" w:rsidRDefault="00E6060C" w:rsidP="00E6060C">
            <w:pPr>
              <w:jc w:val="center"/>
            </w:pPr>
            <w:r w:rsidRPr="00E6060C">
              <w:t>Y</w:t>
            </w:r>
          </w:p>
        </w:tc>
        <w:tc>
          <w:tcPr>
            <w:tcW w:w="1134" w:type="dxa"/>
          </w:tcPr>
          <w:p w14:paraId="49BC00D1" w14:textId="77777777" w:rsidR="00E6060C" w:rsidRPr="00E6060C" w:rsidRDefault="00E6060C" w:rsidP="00E6060C">
            <w:pPr>
              <w:jc w:val="center"/>
            </w:pPr>
            <w:r w:rsidRPr="00E6060C">
              <w:t>Y</w:t>
            </w:r>
          </w:p>
        </w:tc>
        <w:tc>
          <w:tcPr>
            <w:tcW w:w="993" w:type="dxa"/>
          </w:tcPr>
          <w:p w14:paraId="4C7831AF" w14:textId="77777777" w:rsidR="00E6060C" w:rsidRPr="00E6060C" w:rsidRDefault="00E6060C" w:rsidP="00E6060C">
            <w:pPr>
              <w:jc w:val="center"/>
              <w:rPr>
                <w:b/>
              </w:rPr>
            </w:pPr>
            <w:r w:rsidRPr="00E6060C">
              <w:rPr>
                <w:b/>
              </w:rPr>
              <w:t>10/11</w:t>
            </w:r>
          </w:p>
        </w:tc>
      </w:tr>
      <w:tr w:rsidR="00E6060C" w:rsidRPr="00E6060C" w14:paraId="52AFF8A8" w14:textId="77777777" w:rsidTr="00E6060C">
        <w:tc>
          <w:tcPr>
            <w:tcW w:w="597" w:type="dxa"/>
          </w:tcPr>
          <w:p w14:paraId="1B754B21" w14:textId="77777777" w:rsidR="00E6060C" w:rsidRPr="00E6060C" w:rsidRDefault="00E6060C" w:rsidP="00E6060C">
            <w:r w:rsidRPr="00E6060C">
              <w:t>6</w:t>
            </w:r>
          </w:p>
        </w:tc>
        <w:tc>
          <w:tcPr>
            <w:tcW w:w="1288" w:type="dxa"/>
          </w:tcPr>
          <w:p w14:paraId="7DCFF672" w14:textId="77777777" w:rsidR="00E6060C" w:rsidRPr="00E6060C" w:rsidRDefault="00E6060C" w:rsidP="00E6060C">
            <w:r w:rsidRPr="00E6060C">
              <w:t>Healthcare assistant</w:t>
            </w:r>
          </w:p>
        </w:tc>
        <w:tc>
          <w:tcPr>
            <w:tcW w:w="1121" w:type="dxa"/>
          </w:tcPr>
          <w:p w14:paraId="2E2E5BDE" w14:textId="77777777" w:rsidR="00E6060C" w:rsidRPr="00E6060C" w:rsidRDefault="00E6060C" w:rsidP="00E6060C">
            <w:pPr>
              <w:jc w:val="center"/>
            </w:pPr>
            <w:r w:rsidRPr="00E6060C">
              <w:t>Y</w:t>
            </w:r>
          </w:p>
        </w:tc>
        <w:tc>
          <w:tcPr>
            <w:tcW w:w="1121" w:type="dxa"/>
          </w:tcPr>
          <w:p w14:paraId="43870F37" w14:textId="77777777" w:rsidR="00E6060C" w:rsidRPr="00E6060C" w:rsidRDefault="00E6060C" w:rsidP="00E6060C">
            <w:pPr>
              <w:jc w:val="center"/>
            </w:pPr>
            <w:r w:rsidRPr="00E6060C">
              <w:t>Y</w:t>
            </w:r>
          </w:p>
        </w:tc>
        <w:tc>
          <w:tcPr>
            <w:tcW w:w="1134" w:type="dxa"/>
          </w:tcPr>
          <w:p w14:paraId="2F5F9A55" w14:textId="77777777" w:rsidR="00E6060C" w:rsidRPr="00E6060C" w:rsidRDefault="00E6060C" w:rsidP="00E6060C">
            <w:pPr>
              <w:jc w:val="center"/>
            </w:pPr>
            <w:r w:rsidRPr="00E6060C">
              <w:t>Y</w:t>
            </w:r>
          </w:p>
        </w:tc>
        <w:tc>
          <w:tcPr>
            <w:tcW w:w="1134" w:type="dxa"/>
          </w:tcPr>
          <w:p w14:paraId="01B07132" w14:textId="77777777" w:rsidR="00E6060C" w:rsidRPr="00E6060C" w:rsidRDefault="00E6060C" w:rsidP="00E6060C">
            <w:pPr>
              <w:jc w:val="center"/>
            </w:pPr>
            <w:r w:rsidRPr="00E6060C">
              <w:t>N</w:t>
            </w:r>
          </w:p>
        </w:tc>
        <w:tc>
          <w:tcPr>
            <w:tcW w:w="1134" w:type="dxa"/>
          </w:tcPr>
          <w:p w14:paraId="68F3351F" w14:textId="77777777" w:rsidR="00E6060C" w:rsidRPr="00E6060C" w:rsidRDefault="00E6060C" w:rsidP="00E6060C">
            <w:pPr>
              <w:jc w:val="center"/>
            </w:pPr>
            <w:r w:rsidRPr="00E6060C">
              <w:t>N</w:t>
            </w:r>
          </w:p>
        </w:tc>
        <w:tc>
          <w:tcPr>
            <w:tcW w:w="1134" w:type="dxa"/>
          </w:tcPr>
          <w:p w14:paraId="5549DBAD" w14:textId="77777777" w:rsidR="00E6060C" w:rsidRPr="00E6060C" w:rsidRDefault="00E6060C" w:rsidP="00E6060C">
            <w:pPr>
              <w:jc w:val="center"/>
            </w:pPr>
            <w:r w:rsidRPr="00E6060C">
              <w:t>Y</w:t>
            </w:r>
          </w:p>
        </w:tc>
        <w:tc>
          <w:tcPr>
            <w:tcW w:w="1134" w:type="dxa"/>
          </w:tcPr>
          <w:p w14:paraId="0D7D5E88" w14:textId="77777777" w:rsidR="00E6060C" w:rsidRPr="00E6060C" w:rsidRDefault="00E6060C" w:rsidP="00E6060C">
            <w:pPr>
              <w:jc w:val="center"/>
            </w:pPr>
            <w:r w:rsidRPr="00E6060C">
              <w:t>Y</w:t>
            </w:r>
          </w:p>
        </w:tc>
        <w:tc>
          <w:tcPr>
            <w:tcW w:w="1134" w:type="dxa"/>
          </w:tcPr>
          <w:p w14:paraId="1DA0435A" w14:textId="77777777" w:rsidR="00E6060C" w:rsidRPr="00E6060C" w:rsidRDefault="00E6060C" w:rsidP="00E6060C">
            <w:pPr>
              <w:jc w:val="center"/>
            </w:pPr>
            <w:r w:rsidRPr="00E6060C">
              <w:t>N</w:t>
            </w:r>
          </w:p>
        </w:tc>
        <w:tc>
          <w:tcPr>
            <w:tcW w:w="1134" w:type="dxa"/>
          </w:tcPr>
          <w:p w14:paraId="28449329" w14:textId="77777777" w:rsidR="00E6060C" w:rsidRPr="00E6060C" w:rsidRDefault="00E6060C" w:rsidP="00E6060C">
            <w:pPr>
              <w:jc w:val="center"/>
            </w:pPr>
            <w:r w:rsidRPr="00E6060C">
              <w:t>N</w:t>
            </w:r>
          </w:p>
        </w:tc>
        <w:tc>
          <w:tcPr>
            <w:tcW w:w="1134" w:type="dxa"/>
          </w:tcPr>
          <w:p w14:paraId="69CE5FF6" w14:textId="77777777" w:rsidR="00E6060C" w:rsidRPr="00E6060C" w:rsidRDefault="00E6060C" w:rsidP="00E6060C">
            <w:pPr>
              <w:jc w:val="center"/>
            </w:pPr>
            <w:r w:rsidRPr="00E6060C">
              <w:t>Y</w:t>
            </w:r>
          </w:p>
        </w:tc>
        <w:tc>
          <w:tcPr>
            <w:tcW w:w="1134" w:type="dxa"/>
          </w:tcPr>
          <w:p w14:paraId="2D4458EE" w14:textId="77777777" w:rsidR="00E6060C" w:rsidRPr="00E6060C" w:rsidRDefault="00E6060C" w:rsidP="00E6060C">
            <w:pPr>
              <w:jc w:val="center"/>
            </w:pPr>
            <w:r w:rsidRPr="00E6060C">
              <w:t>Y</w:t>
            </w:r>
          </w:p>
        </w:tc>
        <w:tc>
          <w:tcPr>
            <w:tcW w:w="993" w:type="dxa"/>
          </w:tcPr>
          <w:p w14:paraId="32145FE7" w14:textId="77777777" w:rsidR="00E6060C" w:rsidRPr="00E6060C" w:rsidRDefault="00E6060C" w:rsidP="00E6060C">
            <w:pPr>
              <w:jc w:val="center"/>
              <w:rPr>
                <w:b/>
              </w:rPr>
            </w:pPr>
            <w:r w:rsidRPr="00E6060C">
              <w:rPr>
                <w:b/>
              </w:rPr>
              <w:t>7/11</w:t>
            </w:r>
          </w:p>
        </w:tc>
      </w:tr>
      <w:tr w:rsidR="00E6060C" w:rsidRPr="00E6060C" w14:paraId="33663D76" w14:textId="77777777" w:rsidTr="00E6060C">
        <w:tc>
          <w:tcPr>
            <w:tcW w:w="597" w:type="dxa"/>
          </w:tcPr>
          <w:p w14:paraId="43E339C5" w14:textId="77777777" w:rsidR="00E6060C" w:rsidRPr="00E6060C" w:rsidRDefault="00E6060C" w:rsidP="00E6060C">
            <w:r w:rsidRPr="00E6060C">
              <w:t>7</w:t>
            </w:r>
          </w:p>
        </w:tc>
        <w:tc>
          <w:tcPr>
            <w:tcW w:w="1288" w:type="dxa"/>
          </w:tcPr>
          <w:p w14:paraId="7F2C1441" w14:textId="77777777" w:rsidR="00E6060C" w:rsidRPr="00E6060C" w:rsidRDefault="00E6060C" w:rsidP="00E6060C">
            <w:r w:rsidRPr="00E6060C">
              <w:t>Deputy sister</w:t>
            </w:r>
          </w:p>
        </w:tc>
        <w:tc>
          <w:tcPr>
            <w:tcW w:w="1121" w:type="dxa"/>
          </w:tcPr>
          <w:p w14:paraId="5911EBB6" w14:textId="77777777" w:rsidR="00E6060C" w:rsidRPr="00E6060C" w:rsidRDefault="00E6060C" w:rsidP="00E6060C">
            <w:pPr>
              <w:jc w:val="center"/>
            </w:pPr>
            <w:r w:rsidRPr="00E6060C">
              <w:t>Y</w:t>
            </w:r>
          </w:p>
        </w:tc>
        <w:tc>
          <w:tcPr>
            <w:tcW w:w="1121" w:type="dxa"/>
          </w:tcPr>
          <w:p w14:paraId="1F8C86C0" w14:textId="77777777" w:rsidR="00E6060C" w:rsidRPr="00E6060C" w:rsidRDefault="00E6060C" w:rsidP="00E6060C">
            <w:pPr>
              <w:jc w:val="center"/>
            </w:pPr>
            <w:r w:rsidRPr="00E6060C">
              <w:t>Y</w:t>
            </w:r>
          </w:p>
        </w:tc>
        <w:tc>
          <w:tcPr>
            <w:tcW w:w="1134" w:type="dxa"/>
          </w:tcPr>
          <w:p w14:paraId="6D1A4139" w14:textId="77777777" w:rsidR="00E6060C" w:rsidRPr="00E6060C" w:rsidRDefault="00E6060C" w:rsidP="00E6060C">
            <w:pPr>
              <w:jc w:val="center"/>
            </w:pPr>
            <w:r w:rsidRPr="00E6060C">
              <w:t>Y</w:t>
            </w:r>
          </w:p>
        </w:tc>
        <w:tc>
          <w:tcPr>
            <w:tcW w:w="1134" w:type="dxa"/>
          </w:tcPr>
          <w:p w14:paraId="234520DE" w14:textId="77777777" w:rsidR="00E6060C" w:rsidRPr="00E6060C" w:rsidRDefault="00E6060C" w:rsidP="00E6060C">
            <w:pPr>
              <w:jc w:val="center"/>
            </w:pPr>
            <w:r w:rsidRPr="00E6060C">
              <w:t>Y</w:t>
            </w:r>
          </w:p>
        </w:tc>
        <w:tc>
          <w:tcPr>
            <w:tcW w:w="1134" w:type="dxa"/>
          </w:tcPr>
          <w:p w14:paraId="2E0AB38D" w14:textId="77777777" w:rsidR="00E6060C" w:rsidRPr="00E6060C" w:rsidRDefault="00E6060C" w:rsidP="00E6060C">
            <w:pPr>
              <w:jc w:val="center"/>
            </w:pPr>
            <w:r w:rsidRPr="00E6060C">
              <w:t>Y</w:t>
            </w:r>
          </w:p>
        </w:tc>
        <w:tc>
          <w:tcPr>
            <w:tcW w:w="1134" w:type="dxa"/>
          </w:tcPr>
          <w:p w14:paraId="6B96E5F6" w14:textId="77777777" w:rsidR="00E6060C" w:rsidRPr="00E6060C" w:rsidRDefault="00E6060C" w:rsidP="00E6060C">
            <w:pPr>
              <w:jc w:val="center"/>
            </w:pPr>
            <w:r w:rsidRPr="00E6060C">
              <w:t>Y</w:t>
            </w:r>
          </w:p>
        </w:tc>
        <w:tc>
          <w:tcPr>
            <w:tcW w:w="1134" w:type="dxa"/>
          </w:tcPr>
          <w:p w14:paraId="170101FC" w14:textId="77777777" w:rsidR="00E6060C" w:rsidRPr="00E6060C" w:rsidRDefault="00E6060C" w:rsidP="00E6060C">
            <w:pPr>
              <w:jc w:val="center"/>
            </w:pPr>
            <w:r w:rsidRPr="00E6060C">
              <w:t>Y</w:t>
            </w:r>
          </w:p>
        </w:tc>
        <w:tc>
          <w:tcPr>
            <w:tcW w:w="1134" w:type="dxa"/>
          </w:tcPr>
          <w:p w14:paraId="1CB5DE84" w14:textId="77777777" w:rsidR="00E6060C" w:rsidRPr="00E6060C" w:rsidRDefault="00E6060C" w:rsidP="00E6060C">
            <w:pPr>
              <w:jc w:val="center"/>
            </w:pPr>
            <w:r w:rsidRPr="00E6060C">
              <w:t>N</w:t>
            </w:r>
          </w:p>
        </w:tc>
        <w:tc>
          <w:tcPr>
            <w:tcW w:w="1134" w:type="dxa"/>
          </w:tcPr>
          <w:p w14:paraId="082629C0" w14:textId="77777777" w:rsidR="00E6060C" w:rsidRPr="00E6060C" w:rsidRDefault="00E6060C" w:rsidP="00E6060C">
            <w:pPr>
              <w:jc w:val="center"/>
            </w:pPr>
            <w:r w:rsidRPr="00E6060C">
              <w:t>N</w:t>
            </w:r>
          </w:p>
        </w:tc>
        <w:tc>
          <w:tcPr>
            <w:tcW w:w="1134" w:type="dxa"/>
          </w:tcPr>
          <w:p w14:paraId="3B1C5C47" w14:textId="77777777" w:rsidR="00E6060C" w:rsidRPr="00E6060C" w:rsidRDefault="00E6060C" w:rsidP="00E6060C">
            <w:pPr>
              <w:jc w:val="center"/>
            </w:pPr>
            <w:r w:rsidRPr="00E6060C">
              <w:t>N</w:t>
            </w:r>
          </w:p>
        </w:tc>
        <w:tc>
          <w:tcPr>
            <w:tcW w:w="1134" w:type="dxa"/>
          </w:tcPr>
          <w:p w14:paraId="4A0CEC1B" w14:textId="77777777" w:rsidR="00E6060C" w:rsidRPr="00E6060C" w:rsidRDefault="00E6060C" w:rsidP="00E6060C">
            <w:pPr>
              <w:jc w:val="center"/>
            </w:pPr>
            <w:r w:rsidRPr="00E6060C">
              <w:t>N</w:t>
            </w:r>
          </w:p>
        </w:tc>
        <w:tc>
          <w:tcPr>
            <w:tcW w:w="993" w:type="dxa"/>
          </w:tcPr>
          <w:p w14:paraId="6CCA9941" w14:textId="77777777" w:rsidR="00E6060C" w:rsidRPr="00E6060C" w:rsidRDefault="00E6060C" w:rsidP="00E6060C">
            <w:pPr>
              <w:jc w:val="center"/>
              <w:rPr>
                <w:b/>
              </w:rPr>
            </w:pPr>
            <w:r w:rsidRPr="00E6060C">
              <w:rPr>
                <w:b/>
              </w:rPr>
              <w:t>7/11</w:t>
            </w:r>
          </w:p>
        </w:tc>
      </w:tr>
      <w:tr w:rsidR="00E6060C" w:rsidRPr="00E6060C" w14:paraId="12B1F640" w14:textId="77777777" w:rsidTr="00E6060C">
        <w:tc>
          <w:tcPr>
            <w:tcW w:w="597" w:type="dxa"/>
          </w:tcPr>
          <w:p w14:paraId="7450B29A" w14:textId="77777777" w:rsidR="00E6060C" w:rsidRPr="00E6060C" w:rsidRDefault="00E6060C" w:rsidP="00E6060C">
            <w:r w:rsidRPr="00E6060C">
              <w:t>8</w:t>
            </w:r>
          </w:p>
        </w:tc>
        <w:tc>
          <w:tcPr>
            <w:tcW w:w="1288" w:type="dxa"/>
          </w:tcPr>
          <w:p w14:paraId="56E0BCDF" w14:textId="77777777" w:rsidR="00E6060C" w:rsidRPr="00E6060C" w:rsidRDefault="00E6060C" w:rsidP="00E6060C">
            <w:r w:rsidRPr="00E6060C">
              <w:t>Healthcare assistant</w:t>
            </w:r>
          </w:p>
        </w:tc>
        <w:tc>
          <w:tcPr>
            <w:tcW w:w="1121" w:type="dxa"/>
          </w:tcPr>
          <w:p w14:paraId="06BAABD4" w14:textId="77777777" w:rsidR="00E6060C" w:rsidRPr="00E6060C" w:rsidRDefault="00E6060C" w:rsidP="00E6060C">
            <w:pPr>
              <w:jc w:val="center"/>
            </w:pPr>
            <w:r w:rsidRPr="00E6060C">
              <w:t>Y</w:t>
            </w:r>
          </w:p>
        </w:tc>
        <w:tc>
          <w:tcPr>
            <w:tcW w:w="1121" w:type="dxa"/>
          </w:tcPr>
          <w:p w14:paraId="425E9E4F" w14:textId="77777777" w:rsidR="00E6060C" w:rsidRPr="00E6060C" w:rsidRDefault="00E6060C" w:rsidP="00E6060C">
            <w:pPr>
              <w:jc w:val="center"/>
            </w:pPr>
            <w:r w:rsidRPr="00E6060C">
              <w:t>Y</w:t>
            </w:r>
          </w:p>
        </w:tc>
        <w:tc>
          <w:tcPr>
            <w:tcW w:w="1134" w:type="dxa"/>
          </w:tcPr>
          <w:p w14:paraId="42EC22AD" w14:textId="77777777" w:rsidR="00E6060C" w:rsidRPr="00E6060C" w:rsidRDefault="00E6060C" w:rsidP="00E6060C">
            <w:pPr>
              <w:jc w:val="center"/>
            </w:pPr>
            <w:r w:rsidRPr="00E6060C">
              <w:t>Y</w:t>
            </w:r>
          </w:p>
        </w:tc>
        <w:tc>
          <w:tcPr>
            <w:tcW w:w="1134" w:type="dxa"/>
          </w:tcPr>
          <w:p w14:paraId="77FB28DA" w14:textId="77777777" w:rsidR="00E6060C" w:rsidRPr="00E6060C" w:rsidRDefault="00E6060C" w:rsidP="00E6060C">
            <w:pPr>
              <w:jc w:val="center"/>
            </w:pPr>
            <w:r w:rsidRPr="00E6060C">
              <w:t>Y</w:t>
            </w:r>
          </w:p>
        </w:tc>
        <w:tc>
          <w:tcPr>
            <w:tcW w:w="1134" w:type="dxa"/>
          </w:tcPr>
          <w:p w14:paraId="795B2382" w14:textId="77777777" w:rsidR="00E6060C" w:rsidRPr="00E6060C" w:rsidRDefault="00E6060C" w:rsidP="00E6060C">
            <w:pPr>
              <w:jc w:val="center"/>
            </w:pPr>
            <w:r w:rsidRPr="00E6060C">
              <w:t>Y</w:t>
            </w:r>
          </w:p>
        </w:tc>
        <w:tc>
          <w:tcPr>
            <w:tcW w:w="1134" w:type="dxa"/>
          </w:tcPr>
          <w:p w14:paraId="386E3D38" w14:textId="77777777" w:rsidR="00E6060C" w:rsidRPr="00E6060C" w:rsidRDefault="00E6060C" w:rsidP="00E6060C">
            <w:pPr>
              <w:jc w:val="center"/>
            </w:pPr>
            <w:r w:rsidRPr="00E6060C">
              <w:t>Y</w:t>
            </w:r>
          </w:p>
        </w:tc>
        <w:tc>
          <w:tcPr>
            <w:tcW w:w="1134" w:type="dxa"/>
          </w:tcPr>
          <w:p w14:paraId="782F6515" w14:textId="77777777" w:rsidR="00E6060C" w:rsidRPr="00E6060C" w:rsidRDefault="00E6060C" w:rsidP="00E6060C">
            <w:pPr>
              <w:jc w:val="center"/>
            </w:pPr>
            <w:r w:rsidRPr="00E6060C">
              <w:t>Y</w:t>
            </w:r>
          </w:p>
        </w:tc>
        <w:tc>
          <w:tcPr>
            <w:tcW w:w="1134" w:type="dxa"/>
          </w:tcPr>
          <w:p w14:paraId="4D45CB5E" w14:textId="77777777" w:rsidR="00E6060C" w:rsidRPr="00E6060C" w:rsidRDefault="00E6060C" w:rsidP="00E6060C">
            <w:pPr>
              <w:jc w:val="center"/>
            </w:pPr>
            <w:r w:rsidRPr="00E6060C">
              <w:t>N</w:t>
            </w:r>
          </w:p>
        </w:tc>
        <w:tc>
          <w:tcPr>
            <w:tcW w:w="1134" w:type="dxa"/>
          </w:tcPr>
          <w:p w14:paraId="0997AEFE" w14:textId="77777777" w:rsidR="00E6060C" w:rsidRPr="00E6060C" w:rsidRDefault="00E6060C" w:rsidP="00E6060C">
            <w:pPr>
              <w:jc w:val="center"/>
            </w:pPr>
            <w:r w:rsidRPr="00E6060C">
              <w:t>Y</w:t>
            </w:r>
          </w:p>
        </w:tc>
        <w:tc>
          <w:tcPr>
            <w:tcW w:w="1134" w:type="dxa"/>
          </w:tcPr>
          <w:p w14:paraId="1B20F196" w14:textId="77777777" w:rsidR="00E6060C" w:rsidRPr="00E6060C" w:rsidRDefault="00E6060C" w:rsidP="00E6060C">
            <w:pPr>
              <w:jc w:val="center"/>
            </w:pPr>
            <w:r w:rsidRPr="00E6060C">
              <w:t>Y</w:t>
            </w:r>
          </w:p>
        </w:tc>
        <w:tc>
          <w:tcPr>
            <w:tcW w:w="1134" w:type="dxa"/>
          </w:tcPr>
          <w:p w14:paraId="59E0BA84" w14:textId="77777777" w:rsidR="00E6060C" w:rsidRPr="00E6060C" w:rsidRDefault="00E6060C" w:rsidP="00E6060C">
            <w:pPr>
              <w:jc w:val="center"/>
            </w:pPr>
            <w:r w:rsidRPr="00E6060C">
              <w:t>N</w:t>
            </w:r>
          </w:p>
        </w:tc>
        <w:tc>
          <w:tcPr>
            <w:tcW w:w="993" w:type="dxa"/>
          </w:tcPr>
          <w:p w14:paraId="1D604E8B" w14:textId="77777777" w:rsidR="00E6060C" w:rsidRPr="00E6060C" w:rsidRDefault="00E6060C" w:rsidP="00E6060C">
            <w:pPr>
              <w:jc w:val="center"/>
              <w:rPr>
                <w:b/>
              </w:rPr>
            </w:pPr>
            <w:r w:rsidRPr="00E6060C">
              <w:rPr>
                <w:b/>
              </w:rPr>
              <w:t>9/11</w:t>
            </w:r>
          </w:p>
        </w:tc>
      </w:tr>
      <w:tr w:rsidR="00E6060C" w:rsidRPr="00E6060C" w14:paraId="06309F3E" w14:textId="77777777" w:rsidTr="00E6060C">
        <w:tc>
          <w:tcPr>
            <w:tcW w:w="597" w:type="dxa"/>
          </w:tcPr>
          <w:p w14:paraId="5040C13A" w14:textId="77777777" w:rsidR="00E6060C" w:rsidRPr="00E6060C" w:rsidRDefault="00E6060C" w:rsidP="00E6060C">
            <w:r w:rsidRPr="00E6060C">
              <w:t>9</w:t>
            </w:r>
          </w:p>
        </w:tc>
        <w:tc>
          <w:tcPr>
            <w:tcW w:w="1288" w:type="dxa"/>
          </w:tcPr>
          <w:p w14:paraId="5F41AEF3" w14:textId="77777777" w:rsidR="00E6060C" w:rsidRPr="00E6060C" w:rsidRDefault="00E6060C" w:rsidP="00E6060C">
            <w:r w:rsidRPr="00E6060C">
              <w:t>Sister</w:t>
            </w:r>
          </w:p>
        </w:tc>
        <w:tc>
          <w:tcPr>
            <w:tcW w:w="1121" w:type="dxa"/>
          </w:tcPr>
          <w:p w14:paraId="75E19B28" w14:textId="77777777" w:rsidR="00E6060C" w:rsidRPr="00E6060C" w:rsidRDefault="00E6060C" w:rsidP="00E6060C">
            <w:pPr>
              <w:jc w:val="center"/>
            </w:pPr>
            <w:r w:rsidRPr="00E6060C">
              <w:t>Y</w:t>
            </w:r>
          </w:p>
        </w:tc>
        <w:tc>
          <w:tcPr>
            <w:tcW w:w="1121" w:type="dxa"/>
          </w:tcPr>
          <w:p w14:paraId="6B0A4989" w14:textId="77777777" w:rsidR="00E6060C" w:rsidRPr="00E6060C" w:rsidRDefault="00E6060C" w:rsidP="00E6060C">
            <w:pPr>
              <w:jc w:val="center"/>
            </w:pPr>
            <w:r w:rsidRPr="00E6060C">
              <w:t>Y</w:t>
            </w:r>
          </w:p>
        </w:tc>
        <w:tc>
          <w:tcPr>
            <w:tcW w:w="1134" w:type="dxa"/>
          </w:tcPr>
          <w:p w14:paraId="04B3FE4A" w14:textId="77777777" w:rsidR="00E6060C" w:rsidRPr="00E6060C" w:rsidRDefault="00E6060C" w:rsidP="00E6060C">
            <w:pPr>
              <w:jc w:val="center"/>
            </w:pPr>
            <w:r w:rsidRPr="00E6060C">
              <w:t>Y</w:t>
            </w:r>
          </w:p>
        </w:tc>
        <w:tc>
          <w:tcPr>
            <w:tcW w:w="1134" w:type="dxa"/>
          </w:tcPr>
          <w:p w14:paraId="082F178E" w14:textId="77777777" w:rsidR="00E6060C" w:rsidRPr="00E6060C" w:rsidRDefault="00E6060C" w:rsidP="00E6060C">
            <w:pPr>
              <w:jc w:val="center"/>
            </w:pPr>
            <w:r w:rsidRPr="00E6060C">
              <w:t>Y</w:t>
            </w:r>
          </w:p>
        </w:tc>
        <w:tc>
          <w:tcPr>
            <w:tcW w:w="1134" w:type="dxa"/>
          </w:tcPr>
          <w:p w14:paraId="11A75EAE" w14:textId="77777777" w:rsidR="00E6060C" w:rsidRPr="00E6060C" w:rsidRDefault="00E6060C" w:rsidP="00E6060C">
            <w:pPr>
              <w:jc w:val="center"/>
            </w:pPr>
            <w:r w:rsidRPr="00E6060C">
              <w:t>A/L</w:t>
            </w:r>
          </w:p>
        </w:tc>
        <w:tc>
          <w:tcPr>
            <w:tcW w:w="1134" w:type="dxa"/>
          </w:tcPr>
          <w:p w14:paraId="5CE8069C" w14:textId="77777777" w:rsidR="00E6060C" w:rsidRPr="00E6060C" w:rsidRDefault="00E6060C" w:rsidP="00E6060C">
            <w:pPr>
              <w:jc w:val="center"/>
            </w:pPr>
            <w:r w:rsidRPr="00E6060C">
              <w:t>N</w:t>
            </w:r>
          </w:p>
        </w:tc>
        <w:tc>
          <w:tcPr>
            <w:tcW w:w="1134" w:type="dxa"/>
          </w:tcPr>
          <w:p w14:paraId="4C5280DD" w14:textId="77777777" w:rsidR="00E6060C" w:rsidRPr="00E6060C" w:rsidRDefault="00E6060C" w:rsidP="00E6060C">
            <w:pPr>
              <w:jc w:val="center"/>
            </w:pPr>
            <w:r w:rsidRPr="00E6060C">
              <w:t>Y</w:t>
            </w:r>
          </w:p>
        </w:tc>
        <w:tc>
          <w:tcPr>
            <w:tcW w:w="1134" w:type="dxa"/>
          </w:tcPr>
          <w:p w14:paraId="1426713C" w14:textId="77777777" w:rsidR="00E6060C" w:rsidRPr="00E6060C" w:rsidRDefault="00E6060C" w:rsidP="00E6060C">
            <w:pPr>
              <w:jc w:val="center"/>
            </w:pPr>
            <w:r w:rsidRPr="00E6060C">
              <w:t>N</w:t>
            </w:r>
          </w:p>
        </w:tc>
        <w:tc>
          <w:tcPr>
            <w:tcW w:w="1134" w:type="dxa"/>
          </w:tcPr>
          <w:p w14:paraId="21D2C132" w14:textId="77777777" w:rsidR="00E6060C" w:rsidRPr="00E6060C" w:rsidRDefault="00E6060C" w:rsidP="00E6060C">
            <w:pPr>
              <w:jc w:val="center"/>
            </w:pPr>
            <w:r w:rsidRPr="00E6060C">
              <w:t>N</w:t>
            </w:r>
          </w:p>
        </w:tc>
        <w:tc>
          <w:tcPr>
            <w:tcW w:w="1134" w:type="dxa"/>
          </w:tcPr>
          <w:p w14:paraId="2D4A700F" w14:textId="77777777" w:rsidR="00E6060C" w:rsidRPr="00E6060C" w:rsidRDefault="00E6060C" w:rsidP="00E6060C">
            <w:pPr>
              <w:jc w:val="center"/>
            </w:pPr>
            <w:r w:rsidRPr="00E6060C">
              <w:t>N</w:t>
            </w:r>
          </w:p>
        </w:tc>
        <w:tc>
          <w:tcPr>
            <w:tcW w:w="1134" w:type="dxa"/>
          </w:tcPr>
          <w:p w14:paraId="1BB9C193" w14:textId="77777777" w:rsidR="00E6060C" w:rsidRPr="00E6060C" w:rsidRDefault="00E6060C" w:rsidP="00E6060C">
            <w:pPr>
              <w:jc w:val="center"/>
            </w:pPr>
            <w:r w:rsidRPr="00E6060C">
              <w:t>Y</w:t>
            </w:r>
          </w:p>
        </w:tc>
        <w:tc>
          <w:tcPr>
            <w:tcW w:w="993" w:type="dxa"/>
          </w:tcPr>
          <w:p w14:paraId="4043DAE0" w14:textId="77777777" w:rsidR="00E6060C" w:rsidRPr="00E6060C" w:rsidRDefault="00E6060C" w:rsidP="00E6060C">
            <w:pPr>
              <w:jc w:val="center"/>
              <w:rPr>
                <w:b/>
              </w:rPr>
            </w:pPr>
            <w:r w:rsidRPr="00E6060C">
              <w:rPr>
                <w:b/>
              </w:rPr>
              <w:t>6/11</w:t>
            </w:r>
          </w:p>
        </w:tc>
      </w:tr>
      <w:tr w:rsidR="00E6060C" w:rsidRPr="00E6060C" w14:paraId="69090646" w14:textId="77777777" w:rsidTr="00E6060C">
        <w:tc>
          <w:tcPr>
            <w:tcW w:w="597" w:type="dxa"/>
          </w:tcPr>
          <w:p w14:paraId="1259B52A" w14:textId="77777777" w:rsidR="00E6060C" w:rsidRPr="00E6060C" w:rsidRDefault="00E6060C" w:rsidP="00E6060C">
            <w:r w:rsidRPr="00E6060C">
              <w:t>10</w:t>
            </w:r>
          </w:p>
        </w:tc>
        <w:tc>
          <w:tcPr>
            <w:tcW w:w="1288" w:type="dxa"/>
          </w:tcPr>
          <w:p w14:paraId="1687C31C" w14:textId="77777777" w:rsidR="00E6060C" w:rsidRPr="00E6060C" w:rsidRDefault="00E6060C" w:rsidP="00E6060C">
            <w:r w:rsidRPr="00E6060C">
              <w:t>Senior nurse</w:t>
            </w:r>
          </w:p>
        </w:tc>
        <w:tc>
          <w:tcPr>
            <w:tcW w:w="1121" w:type="dxa"/>
          </w:tcPr>
          <w:p w14:paraId="7154BB25" w14:textId="77777777" w:rsidR="00E6060C" w:rsidRPr="00E6060C" w:rsidRDefault="00E6060C" w:rsidP="00E6060C">
            <w:pPr>
              <w:jc w:val="center"/>
            </w:pPr>
            <w:r w:rsidRPr="00E6060C">
              <w:t>Y</w:t>
            </w:r>
          </w:p>
        </w:tc>
        <w:tc>
          <w:tcPr>
            <w:tcW w:w="1121" w:type="dxa"/>
          </w:tcPr>
          <w:p w14:paraId="5A9C8090" w14:textId="77777777" w:rsidR="00E6060C" w:rsidRPr="00E6060C" w:rsidRDefault="00E6060C" w:rsidP="00E6060C">
            <w:pPr>
              <w:jc w:val="center"/>
            </w:pPr>
            <w:r w:rsidRPr="00E6060C">
              <w:t>Y</w:t>
            </w:r>
          </w:p>
        </w:tc>
        <w:tc>
          <w:tcPr>
            <w:tcW w:w="1134" w:type="dxa"/>
          </w:tcPr>
          <w:p w14:paraId="40FCF38C" w14:textId="77777777" w:rsidR="00E6060C" w:rsidRPr="00E6060C" w:rsidRDefault="00E6060C" w:rsidP="00E6060C">
            <w:pPr>
              <w:jc w:val="center"/>
            </w:pPr>
            <w:r w:rsidRPr="00E6060C">
              <w:t>Y</w:t>
            </w:r>
          </w:p>
        </w:tc>
        <w:tc>
          <w:tcPr>
            <w:tcW w:w="1134" w:type="dxa"/>
          </w:tcPr>
          <w:p w14:paraId="43181687" w14:textId="77777777" w:rsidR="00E6060C" w:rsidRPr="00E6060C" w:rsidRDefault="00E6060C" w:rsidP="00E6060C">
            <w:pPr>
              <w:jc w:val="center"/>
            </w:pPr>
            <w:r w:rsidRPr="00E6060C">
              <w:t>Y</w:t>
            </w:r>
          </w:p>
        </w:tc>
        <w:tc>
          <w:tcPr>
            <w:tcW w:w="1134" w:type="dxa"/>
          </w:tcPr>
          <w:p w14:paraId="0E251CA0" w14:textId="77777777" w:rsidR="00E6060C" w:rsidRPr="00E6060C" w:rsidRDefault="00E6060C" w:rsidP="00E6060C">
            <w:pPr>
              <w:jc w:val="center"/>
            </w:pPr>
            <w:r w:rsidRPr="00E6060C">
              <w:t>Y</w:t>
            </w:r>
          </w:p>
        </w:tc>
        <w:tc>
          <w:tcPr>
            <w:tcW w:w="1134" w:type="dxa"/>
          </w:tcPr>
          <w:p w14:paraId="40C7E8F6" w14:textId="77777777" w:rsidR="00E6060C" w:rsidRPr="00E6060C" w:rsidRDefault="00E6060C" w:rsidP="00E6060C">
            <w:pPr>
              <w:jc w:val="center"/>
            </w:pPr>
            <w:r w:rsidRPr="00E6060C">
              <w:t>Y</w:t>
            </w:r>
          </w:p>
        </w:tc>
        <w:tc>
          <w:tcPr>
            <w:tcW w:w="1134" w:type="dxa"/>
          </w:tcPr>
          <w:p w14:paraId="5041001B" w14:textId="77777777" w:rsidR="00E6060C" w:rsidRPr="00E6060C" w:rsidRDefault="00E6060C" w:rsidP="00E6060C">
            <w:pPr>
              <w:jc w:val="center"/>
            </w:pPr>
            <w:r w:rsidRPr="00E6060C">
              <w:t>Y</w:t>
            </w:r>
          </w:p>
        </w:tc>
        <w:tc>
          <w:tcPr>
            <w:tcW w:w="1134" w:type="dxa"/>
          </w:tcPr>
          <w:p w14:paraId="68ADE45F" w14:textId="77777777" w:rsidR="00E6060C" w:rsidRPr="00E6060C" w:rsidRDefault="00E6060C" w:rsidP="00E6060C">
            <w:pPr>
              <w:jc w:val="center"/>
            </w:pPr>
            <w:r w:rsidRPr="00E6060C">
              <w:t>Y</w:t>
            </w:r>
          </w:p>
        </w:tc>
        <w:tc>
          <w:tcPr>
            <w:tcW w:w="1134" w:type="dxa"/>
          </w:tcPr>
          <w:p w14:paraId="721F052C" w14:textId="77777777" w:rsidR="00E6060C" w:rsidRPr="00E6060C" w:rsidRDefault="00E6060C" w:rsidP="00E6060C">
            <w:pPr>
              <w:jc w:val="center"/>
            </w:pPr>
            <w:r w:rsidRPr="00E6060C">
              <w:t>Y</w:t>
            </w:r>
          </w:p>
        </w:tc>
        <w:tc>
          <w:tcPr>
            <w:tcW w:w="1134" w:type="dxa"/>
          </w:tcPr>
          <w:p w14:paraId="2B166212" w14:textId="77777777" w:rsidR="00E6060C" w:rsidRPr="00E6060C" w:rsidRDefault="00E6060C" w:rsidP="00E6060C">
            <w:pPr>
              <w:jc w:val="center"/>
            </w:pPr>
            <w:r w:rsidRPr="00E6060C">
              <w:t>N</w:t>
            </w:r>
          </w:p>
        </w:tc>
        <w:tc>
          <w:tcPr>
            <w:tcW w:w="1134" w:type="dxa"/>
          </w:tcPr>
          <w:p w14:paraId="14BD1466" w14:textId="77777777" w:rsidR="00E6060C" w:rsidRPr="00E6060C" w:rsidRDefault="00E6060C" w:rsidP="00E6060C">
            <w:pPr>
              <w:jc w:val="center"/>
            </w:pPr>
            <w:r w:rsidRPr="00E6060C">
              <w:t>N</w:t>
            </w:r>
          </w:p>
        </w:tc>
        <w:tc>
          <w:tcPr>
            <w:tcW w:w="993" w:type="dxa"/>
          </w:tcPr>
          <w:p w14:paraId="34C447F3" w14:textId="77777777" w:rsidR="00E6060C" w:rsidRPr="00E6060C" w:rsidRDefault="00E6060C" w:rsidP="00E6060C">
            <w:pPr>
              <w:jc w:val="center"/>
              <w:rPr>
                <w:b/>
              </w:rPr>
            </w:pPr>
            <w:r w:rsidRPr="00E6060C">
              <w:rPr>
                <w:b/>
              </w:rPr>
              <w:t>8/10</w:t>
            </w:r>
          </w:p>
        </w:tc>
      </w:tr>
      <w:tr w:rsidR="00E6060C" w:rsidRPr="00E6060C" w14:paraId="039F0939" w14:textId="77777777" w:rsidTr="00E6060C">
        <w:tc>
          <w:tcPr>
            <w:tcW w:w="597" w:type="dxa"/>
          </w:tcPr>
          <w:p w14:paraId="1A4292D5" w14:textId="77777777" w:rsidR="00E6060C" w:rsidRPr="00E6060C" w:rsidRDefault="00E6060C" w:rsidP="00E6060C">
            <w:r w:rsidRPr="00E6060C">
              <w:t>11</w:t>
            </w:r>
          </w:p>
        </w:tc>
        <w:tc>
          <w:tcPr>
            <w:tcW w:w="1288" w:type="dxa"/>
          </w:tcPr>
          <w:p w14:paraId="0707C256" w14:textId="77777777" w:rsidR="00E6060C" w:rsidRPr="00E6060C" w:rsidRDefault="00E6060C" w:rsidP="00E6060C">
            <w:r w:rsidRPr="00E6060C">
              <w:t>Healthcare assistant</w:t>
            </w:r>
          </w:p>
        </w:tc>
        <w:tc>
          <w:tcPr>
            <w:tcW w:w="1121" w:type="dxa"/>
          </w:tcPr>
          <w:p w14:paraId="4FB6FF42" w14:textId="77777777" w:rsidR="00E6060C" w:rsidRPr="00E6060C" w:rsidRDefault="00E6060C" w:rsidP="00E6060C">
            <w:pPr>
              <w:jc w:val="center"/>
            </w:pPr>
            <w:r w:rsidRPr="00E6060C">
              <w:t>Not invited</w:t>
            </w:r>
          </w:p>
        </w:tc>
        <w:tc>
          <w:tcPr>
            <w:tcW w:w="1121" w:type="dxa"/>
          </w:tcPr>
          <w:p w14:paraId="3A6B72A6" w14:textId="77777777" w:rsidR="00E6060C" w:rsidRPr="00E6060C" w:rsidRDefault="00E6060C" w:rsidP="00E6060C">
            <w:pPr>
              <w:jc w:val="center"/>
            </w:pPr>
            <w:r w:rsidRPr="00E6060C">
              <w:t>Not invited</w:t>
            </w:r>
          </w:p>
        </w:tc>
        <w:tc>
          <w:tcPr>
            <w:tcW w:w="1134" w:type="dxa"/>
          </w:tcPr>
          <w:p w14:paraId="471A24D1" w14:textId="77777777" w:rsidR="00E6060C" w:rsidRPr="00E6060C" w:rsidRDefault="00E6060C" w:rsidP="00E6060C">
            <w:pPr>
              <w:jc w:val="center"/>
            </w:pPr>
            <w:r w:rsidRPr="00E6060C">
              <w:t>Not invited</w:t>
            </w:r>
          </w:p>
        </w:tc>
        <w:tc>
          <w:tcPr>
            <w:tcW w:w="1134" w:type="dxa"/>
          </w:tcPr>
          <w:p w14:paraId="51034FF3" w14:textId="77777777" w:rsidR="00E6060C" w:rsidRPr="00E6060C" w:rsidRDefault="00E6060C" w:rsidP="00E6060C">
            <w:pPr>
              <w:jc w:val="center"/>
            </w:pPr>
            <w:r w:rsidRPr="00E6060C">
              <w:t>Y</w:t>
            </w:r>
          </w:p>
        </w:tc>
        <w:tc>
          <w:tcPr>
            <w:tcW w:w="1134" w:type="dxa"/>
          </w:tcPr>
          <w:p w14:paraId="071EF7F2" w14:textId="77777777" w:rsidR="00E6060C" w:rsidRPr="00E6060C" w:rsidRDefault="00E6060C" w:rsidP="00E6060C">
            <w:pPr>
              <w:jc w:val="center"/>
            </w:pPr>
            <w:r w:rsidRPr="00E6060C">
              <w:t>Y</w:t>
            </w:r>
          </w:p>
        </w:tc>
        <w:tc>
          <w:tcPr>
            <w:tcW w:w="1134" w:type="dxa"/>
          </w:tcPr>
          <w:p w14:paraId="4A1AAA26" w14:textId="77777777" w:rsidR="00E6060C" w:rsidRPr="00E6060C" w:rsidRDefault="00E6060C" w:rsidP="00E6060C">
            <w:pPr>
              <w:jc w:val="center"/>
            </w:pPr>
            <w:r w:rsidRPr="00E6060C">
              <w:t>N</w:t>
            </w:r>
          </w:p>
        </w:tc>
        <w:tc>
          <w:tcPr>
            <w:tcW w:w="1134" w:type="dxa"/>
          </w:tcPr>
          <w:p w14:paraId="7BFE4639" w14:textId="77777777" w:rsidR="00E6060C" w:rsidRPr="00E6060C" w:rsidRDefault="00E6060C" w:rsidP="00E6060C">
            <w:pPr>
              <w:jc w:val="center"/>
            </w:pPr>
            <w:r w:rsidRPr="00E6060C">
              <w:t>N</w:t>
            </w:r>
          </w:p>
        </w:tc>
        <w:tc>
          <w:tcPr>
            <w:tcW w:w="1134" w:type="dxa"/>
          </w:tcPr>
          <w:p w14:paraId="64D8F16A" w14:textId="77777777" w:rsidR="00E6060C" w:rsidRPr="00E6060C" w:rsidRDefault="00E6060C" w:rsidP="00E6060C">
            <w:pPr>
              <w:jc w:val="center"/>
            </w:pPr>
            <w:r w:rsidRPr="00E6060C">
              <w:t>N</w:t>
            </w:r>
          </w:p>
        </w:tc>
        <w:tc>
          <w:tcPr>
            <w:tcW w:w="1134" w:type="dxa"/>
          </w:tcPr>
          <w:p w14:paraId="71B26152" w14:textId="77777777" w:rsidR="00E6060C" w:rsidRPr="00E6060C" w:rsidRDefault="00E6060C" w:rsidP="00E6060C">
            <w:pPr>
              <w:jc w:val="center"/>
            </w:pPr>
            <w:r w:rsidRPr="00E6060C">
              <w:t>N</w:t>
            </w:r>
          </w:p>
        </w:tc>
        <w:tc>
          <w:tcPr>
            <w:tcW w:w="1134" w:type="dxa"/>
          </w:tcPr>
          <w:p w14:paraId="634C839E" w14:textId="77777777" w:rsidR="00E6060C" w:rsidRPr="00E6060C" w:rsidRDefault="00E6060C" w:rsidP="00E6060C">
            <w:pPr>
              <w:jc w:val="center"/>
            </w:pPr>
            <w:r w:rsidRPr="00E6060C">
              <w:t>Y</w:t>
            </w:r>
          </w:p>
        </w:tc>
        <w:tc>
          <w:tcPr>
            <w:tcW w:w="1134" w:type="dxa"/>
          </w:tcPr>
          <w:p w14:paraId="096235EB" w14:textId="77777777" w:rsidR="00E6060C" w:rsidRPr="00E6060C" w:rsidRDefault="00E6060C" w:rsidP="00E6060C">
            <w:pPr>
              <w:jc w:val="center"/>
            </w:pPr>
            <w:r w:rsidRPr="00E6060C">
              <w:t>Y</w:t>
            </w:r>
          </w:p>
        </w:tc>
        <w:tc>
          <w:tcPr>
            <w:tcW w:w="993" w:type="dxa"/>
          </w:tcPr>
          <w:p w14:paraId="17BB32F8" w14:textId="77777777" w:rsidR="00E6060C" w:rsidRPr="00E6060C" w:rsidRDefault="00E6060C" w:rsidP="00E6060C">
            <w:pPr>
              <w:jc w:val="center"/>
              <w:rPr>
                <w:b/>
              </w:rPr>
            </w:pPr>
            <w:r w:rsidRPr="00E6060C">
              <w:rPr>
                <w:b/>
              </w:rPr>
              <w:t>4/11</w:t>
            </w:r>
          </w:p>
        </w:tc>
      </w:tr>
      <w:tr w:rsidR="00E6060C" w:rsidRPr="00E6060C" w14:paraId="5F1F55B1" w14:textId="77777777" w:rsidTr="00E6060C">
        <w:tc>
          <w:tcPr>
            <w:tcW w:w="597" w:type="dxa"/>
          </w:tcPr>
          <w:p w14:paraId="07317ADF" w14:textId="77777777" w:rsidR="00E6060C" w:rsidRPr="00E6060C" w:rsidRDefault="00E6060C" w:rsidP="00E6060C">
            <w:r w:rsidRPr="00E6060C">
              <w:t>12</w:t>
            </w:r>
          </w:p>
        </w:tc>
        <w:tc>
          <w:tcPr>
            <w:tcW w:w="1288" w:type="dxa"/>
          </w:tcPr>
          <w:p w14:paraId="1043621B" w14:textId="77777777" w:rsidR="00E6060C" w:rsidRPr="00E6060C" w:rsidRDefault="00E6060C" w:rsidP="00E6060C">
            <w:r w:rsidRPr="00E6060C">
              <w:t>Healthcare assistant</w:t>
            </w:r>
          </w:p>
        </w:tc>
        <w:tc>
          <w:tcPr>
            <w:tcW w:w="1121" w:type="dxa"/>
          </w:tcPr>
          <w:p w14:paraId="041755EB" w14:textId="77777777" w:rsidR="00E6060C" w:rsidRPr="00E6060C" w:rsidRDefault="00E6060C" w:rsidP="00E6060C">
            <w:pPr>
              <w:jc w:val="center"/>
            </w:pPr>
            <w:r w:rsidRPr="00E6060C">
              <w:t>Y</w:t>
            </w:r>
          </w:p>
        </w:tc>
        <w:tc>
          <w:tcPr>
            <w:tcW w:w="1121" w:type="dxa"/>
          </w:tcPr>
          <w:p w14:paraId="0E47BD04" w14:textId="77777777" w:rsidR="00E6060C" w:rsidRPr="00E6060C" w:rsidRDefault="00E6060C" w:rsidP="00E6060C">
            <w:pPr>
              <w:jc w:val="center"/>
            </w:pPr>
            <w:r w:rsidRPr="00E6060C">
              <w:t>Y</w:t>
            </w:r>
          </w:p>
        </w:tc>
        <w:tc>
          <w:tcPr>
            <w:tcW w:w="1134" w:type="dxa"/>
          </w:tcPr>
          <w:p w14:paraId="712AEF1C" w14:textId="77777777" w:rsidR="00E6060C" w:rsidRPr="00E6060C" w:rsidRDefault="00E6060C" w:rsidP="00E6060C">
            <w:pPr>
              <w:jc w:val="center"/>
            </w:pPr>
            <w:r w:rsidRPr="00E6060C">
              <w:t>Y</w:t>
            </w:r>
          </w:p>
        </w:tc>
        <w:tc>
          <w:tcPr>
            <w:tcW w:w="1134" w:type="dxa"/>
          </w:tcPr>
          <w:p w14:paraId="1723E8E7" w14:textId="77777777" w:rsidR="00E6060C" w:rsidRPr="00E6060C" w:rsidRDefault="00E6060C" w:rsidP="00E6060C">
            <w:pPr>
              <w:jc w:val="center"/>
            </w:pPr>
            <w:r w:rsidRPr="00E6060C">
              <w:t>N</w:t>
            </w:r>
          </w:p>
        </w:tc>
        <w:tc>
          <w:tcPr>
            <w:tcW w:w="1134" w:type="dxa"/>
          </w:tcPr>
          <w:p w14:paraId="57AAB6C4" w14:textId="77777777" w:rsidR="00E6060C" w:rsidRPr="00E6060C" w:rsidRDefault="00E6060C" w:rsidP="00E6060C">
            <w:pPr>
              <w:jc w:val="center"/>
            </w:pPr>
            <w:r w:rsidRPr="00E6060C">
              <w:t>N</w:t>
            </w:r>
          </w:p>
        </w:tc>
        <w:tc>
          <w:tcPr>
            <w:tcW w:w="1134" w:type="dxa"/>
          </w:tcPr>
          <w:p w14:paraId="4B3256AB" w14:textId="77777777" w:rsidR="00E6060C" w:rsidRPr="00E6060C" w:rsidRDefault="00E6060C" w:rsidP="00E6060C">
            <w:pPr>
              <w:jc w:val="center"/>
            </w:pPr>
            <w:r w:rsidRPr="00E6060C">
              <w:t>N</w:t>
            </w:r>
          </w:p>
        </w:tc>
        <w:tc>
          <w:tcPr>
            <w:tcW w:w="1134" w:type="dxa"/>
          </w:tcPr>
          <w:p w14:paraId="6533B350" w14:textId="77777777" w:rsidR="00E6060C" w:rsidRPr="00E6060C" w:rsidRDefault="00E6060C" w:rsidP="00E6060C">
            <w:pPr>
              <w:jc w:val="center"/>
            </w:pPr>
            <w:r w:rsidRPr="00E6060C">
              <w:t>N</w:t>
            </w:r>
          </w:p>
        </w:tc>
        <w:tc>
          <w:tcPr>
            <w:tcW w:w="1134" w:type="dxa"/>
          </w:tcPr>
          <w:p w14:paraId="0B72F210" w14:textId="77777777" w:rsidR="00E6060C" w:rsidRPr="00E6060C" w:rsidRDefault="00E6060C" w:rsidP="00E6060C">
            <w:pPr>
              <w:jc w:val="center"/>
            </w:pPr>
            <w:r w:rsidRPr="00E6060C">
              <w:t>N</w:t>
            </w:r>
          </w:p>
        </w:tc>
        <w:tc>
          <w:tcPr>
            <w:tcW w:w="1134" w:type="dxa"/>
          </w:tcPr>
          <w:p w14:paraId="53BCF5CD" w14:textId="77777777" w:rsidR="00E6060C" w:rsidRPr="00E6060C" w:rsidRDefault="00E6060C" w:rsidP="00E6060C">
            <w:pPr>
              <w:jc w:val="center"/>
            </w:pPr>
            <w:r w:rsidRPr="00E6060C">
              <w:t>N</w:t>
            </w:r>
          </w:p>
        </w:tc>
        <w:tc>
          <w:tcPr>
            <w:tcW w:w="1134" w:type="dxa"/>
          </w:tcPr>
          <w:p w14:paraId="132E96D6" w14:textId="77777777" w:rsidR="00E6060C" w:rsidRPr="00E6060C" w:rsidRDefault="00E6060C" w:rsidP="00E6060C">
            <w:pPr>
              <w:jc w:val="center"/>
            </w:pPr>
            <w:r w:rsidRPr="00E6060C">
              <w:t>N</w:t>
            </w:r>
          </w:p>
        </w:tc>
        <w:tc>
          <w:tcPr>
            <w:tcW w:w="1134" w:type="dxa"/>
          </w:tcPr>
          <w:p w14:paraId="7D5D4FA7" w14:textId="77777777" w:rsidR="00E6060C" w:rsidRPr="00E6060C" w:rsidRDefault="00E6060C" w:rsidP="00E6060C">
            <w:pPr>
              <w:jc w:val="center"/>
            </w:pPr>
            <w:r w:rsidRPr="00E6060C">
              <w:t>N</w:t>
            </w:r>
          </w:p>
        </w:tc>
        <w:tc>
          <w:tcPr>
            <w:tcW w:w="993" w:type="dxa"/>
          </w:tcPr>
          <w:p w14:paraId="7FC5B78B" w14:textId="77777777" w:rsidR="00E6060C" w:rsidRPr="00E6060C" w:rsidRDefault="00E6060C" w:rsidP="00E6060C">
            <w:pPr>
              <w:jc w:val="center"/>
              <w:rPr>
                <w:b/>
              </w:rPr>
            </w:pPr>
            <w:r w:rsidRPr="00E6060C">
              <w:rPr>
                <w:b/>
              </w:rPr>
              <w:t>3/11</w:t>
            </w:r>
          </w:p>
        </w:tc>
      </w:tr>
      <w:tr w:rsidR="00E6060C" w:rsidRPr="00E6060C" w14:paraId="0F79EE45" w14:textId="77777777" w:rsidTr="00E6060C">
        <w:tc>
          <w:tcPr>
            <w:tcW w:w="597" w:type="dxa"/>
          </w:tcPr>
          <w:p w14:paraId="50274D6D" w14:textId="77777777" w:rsidR="00E6060C" w:rsidRPr="00E6060C" w:rsidRDefault="00E6060C" w:rsidP="00E6060C">
            <w:r w:rsidRPr="00E6060C">
              <w:t>13</w:t>
            </w:r>
          </w:p>
        </w:tc>
        <w:tc>
          <w:tcPr>
            <w:tcW w:w="1288" w:type="dxa"/>
          </w:tcPr>
          <w:p w14:paraId="0ED23E8B" w14:textId="77777777" w:rsidR="00E6060C" w:rsidRPr="00E6060C" w:rsidRDefault="00E6060C" w:rsidP="00E6060C">
            <w:r w:rsidRPr="00E6060C">
              <w:t>Senior nurse</w:t>
            </w:r>
          </w:p>
        </w:tc>
        <w:tc>
          <w:tcPr>
            <w:tcW w:w="1121" w:type="dxa"/>
          </w:tcPr>
          <w:p w14:paraId="32B61C36" w14:textId="77777777" w:rsidR="00E6060C" w:rsidRPr="00E6060C" w:rsidRDefault="00E6060C" w:rsidP="00E6060C">
            <w:pPr>
              <w:jc w:val="center"/>
            </w:pPr>
            <w:r w:rsidRPr="00E6060C">
              <w:t>Y</w:t>
            </w:r>
          </w:p>
        </w:tc>
        <w:tc>
          <w:tcPr>
            <w:tcW w:w="1121" w:type="dxa"/>
          </w:tcPr>
          <w:p w14:paraId="0F65028F" w14:textId="77777777" w:rsidR="00E6060C" w:rsidRPr="00E6060C" w:rsidRDefault="00E6060C" w:rsidP="00E6060C">
            <w:pPr>
              <w:jc w:val="center"/>
            </w:pPr>
            <w:r w:rsidRPr="00E6060C">
              <w:t>Y</w:t>
            </w:r>
          </w:p>
        </w:tc>
        <w:tc>
          <w:tcPr>
            <w:tcW w:w="1134" w:type="dxa"/>
          </w:tcPr>
          <w:p w14:paraId="311FF19B" w14:textId="77777777" w:rsidR="00E6060C" w:rsidRPr="00E6060C" w:rsidRDefault="00E6060C" w:rsidP="00E6060C">
            <w:pPr>
              <w:jc w:val="center"/>
            </w:pPr>
            <w:r w:rsidRPr="00E6060C">
              <w:t>Y</w:t>
            </w:r>
          </w:p>
        </w:tc>
        <w:tc>
          <w:tcPr>
            <w:tcW w:w="1134" w:type="dxa"/>
          </w:tcPr>
          <w:p w14:paraId="31848FFE" w14:textId="77777777" w:rsidR="00E6060C" w:rsidRPr="00E6060C" w:rsidRDefault="00E6060C" w:rsidP="00E6060C">
            <w:pPr>
              <w:jc w:val="center"/>
            </w:pPr>
            <w:r w:rsidRPr="00E6060C">
              <w:t>Y</w:t>
            </w:r>
          </w:p>
        </w:tc>
        <w:tc>
          <w:tcPr>
            <w:tcW w:w="1134" w:type="dxa"/>
          </w:tcPr>
          <w:p w14:paraId="4594BE18" w14:textId="77777777" w:rsidR="00E6060C" w:rsidRPr="00E6060C" w:rsidRDefault="00E6060C" w:rsidP="00E6060C">
            <w:pPr>
              <w:jc w:val="center"/>
            </w:pPr>
            <w:r w:rsidRPr="00E6060C">
              <w:t>Y</w:t>
            </w:r>
          </w:p>
        </w:tc>
        <w:tc>
          <w:tcPr>
            <w:tcW w:w="1134" w:type="dxa"/>
          </w:tcPr>
          <w:p w14:paraId="764D68BF" w14:textId="77777777" w:rsidR="00E6060C" w:rsidRPr="00E6060C" w:rsidRDefault="00E6060C" w:rsidP="00E6060C">
            <w:pPr>
              <w:jc w:val="center"/>
            </w:pPr>
            <w:r w:rsidRPr="00E6060C">
              <w:t>N</w:t>
            </w:r>
          </w:p>
        </w:tc>
        <w:tc>
          <w:tcPr>
            <w:tcW w:w="1134" w:type="dxa"/>
          </w:tcPr>
          <w:p w14:paraId="12B852E9" w14:textId="77777777" w:rsidR="00E6060C" w:rsidRPr="00E6060C" w:rsidRDefault="00E6060C" w:rsidP="00E6060C">
            <w:pPr>
              <w:jc w:val="center"/>
            </w:pPr>
            <w:r w:rsidRPr="00E6060C">
              <w:t>N</w:t>
            </w:r>
          </w:p>
        </w:tc>
        <w:tc>
          <w:tcPr>
            <w:tcW w:w="1134" w:type="dxa"/>
          </w:tcPr>
          <w:p w14:paraId="4451814C" w14:textId="77777777" w:rsidR="00E6060C" w:rsidRPr="00E6060C" w:rsidRDefault="00E6060C" w:rsidP="00E6060C">
            <w:pPr>
              <w:jc w:val="center"/>
              <w:rPr>
                <w:vertAlign w:val="superscript"/>
              </w:rPr>
            </w:pPr>
            <w:r w:rsidRPr="00E6060C">
              <w:t>Ward left study</w:t>
            </w:r>
            <w:r w:rsidRPr="00E6060C">
              <w:rPr>
                <w:vertAlign w:val="superscript"/>
              </w:rPr>
              <w:t>4</w:t>
            </w:r>
          </w:p>
        </w:tc>
        <w:tc>
          <w:tcPr>
            <w:tcW w:w="1134" w:type="dxa"/>
          </w:tcPr>
          <w:p w14:paraId="05DA137C" w14:textId="77777777" w:rsidR="00E6060C" w:rsidRPr="00E6060C" w:rsidRDefault="00E6060C" w:rsidP="00E6060C">
            <w:pPr>
              <w:jc w:val="center"/>
            </w:pPr>
            <w:r w:rsidRPr="00E6060C">
              <w:t>-</w:t>
            </w:r>
          </w:p>
        </w:tc>
        <w:tc>
          <w:tcPr>
            <w:tcW w:w="1134" w:type="dxa"/>
          </w:tcPr>
          <w:p w14:paraId="1A2A2B7B" w14:textId="77777777" w:rsidR="00E6060C" w:rsidRPr="00E6060C" w:rsidRDefault="00E6060C" w:rsidP="00E6060C">
            <w:pPr>
              <w:jc w:val="center"/>
            </w:pPr>
            <w:r w:rsidRPr="00E6060C">
              <w:t>-</w:t>
            </w:r>
          </w:p>
        </w:tc>
        <w:tc>
          <w:tcPr>
            <w:tcW w:w="1134" w:type="dxa"/>
          </w:tcPr>
          <w:p w14:paraId="5ED2C055" w14:textId="77777777" w:rsidR="00E6060C" w:rsidRPr="00E6060C" w:rsidRDefault="00E6060C" w:rsidP="00E6060C">
            <w:pPr>
              <w:jc w:val="center"/>
            </w:pPr>
            <w:r w:rsidRPr="00E6060C">
              <w:t>-</w:t>
            </w:r>
          </w:p>
        </w:tc>
        <w:tc>
          <w:tcPr>
            <w:tcW w:w="993" w:type="dxa"/>
          </w:tcPr>
          <w:p w14:paraId="562974FD" w14:textId="77777777" w:rsidR="00E6060C" w:rsidRPr="00E6060C" w:rsidRDefault="00E6060C" w:rsidP="00E6060C">
            <w:pPr>
              <w:jc w:val="center"/>
              <w:rPr>
                <w:b/>
              </w:rPr>
            </w:pPr>
            <w:r w:rsidRPr="00E6060C">
              <w:rPr>
                <w:b/>
              </w:rPr>
              <w:t>5/11</w:t>
            </w:r>
          </w:p>
        </w:tc>
      </w:tr>
      <w:tr w:rsidR="00E6060C" w:rsidRPr="00E6060C" w14:paraId="06C024EB" w14:textId="77777777" w:rsidTr="00E6060C">
        <w:tc>
          <w:tcPr>
            <w:tcW w:w="597" w:type="dxa"/>
          </w:tcPr>
          <w:p w14:paraId="53B6972B" w14:textId="77777777" w:rsidR="00E6060C" w:rsidRPr="00E6060C" w:rsidRDefault="00E6060C" w:rsidP="00E6060C">
            <w:r w:rsidRPr="00E6060C">
              <w:lastRenderedPageBreak/>
              <w:t>14</w:t>
            </w:r>
          </w:p>
        </w:tc>
        <w:tc>
          <w:tcPr>
            <w:tcW w:w="1288" w:type="dxa"/>
          </w:tcPr>
          <w:p w14:paraId="1ED23F1D" w14:textId="77777777" w:rsidR="00E6060C" w:rsidRPr="00E6060C" w:rsidRDefault="00E6060C" w:rsidP="00E6060C">
            <w:r w:rsidRPr="00E6060C">
              <w:t>Healthcare assistant</w:t>
            </w:r>
          </w:p>
        </w:tc>
        <w:tc>
          <w:tcPr>
            <w:tcW w:w="1121" w:type="dxa"/>
          </w:tcPr>
          <w:p w14:paraId="02CC03FF" w14:textId="77777777" w:rsidR="00E6060C" w:rsidRPr="00E6060C" w:rsidRDefault="00E6060C" w:rsidP="00E6060C">
            <w:pPr>
              <w:jc w:val="center"/>
            </w:pPr>
            <w:r w:rsidRPr="00E6060C">
              <w:t>Y</w:t>
            </w:r>
          </w:p>
        </w:tc>
        <w:tc>
          <w:tcPr>
            <w:tcW w:w="1121" w:type="dxa"/>
          </w:tcPr>
          <w:p w14:paraId="67C1F38C" w14:textId="77777777" w:rsidR="00E6060C" w:rsidRPr="00E6060C" w:rsidRDefault="00E6060C" w:rsidP="00E6060C">
            <w:pPr>
              <w:jc w:val="center"/>
            </w:pPr>
            <w:r w:rsidRPr="00E6060C">
              <w:t>Y</w:t>
            </w:r>
          </w:p>
        </w:tc>
        <w:tc>
          <w:tcPr>
            <w:tcW w:w="1134" w:type="dxa"/>
          </w:tcPr>
          <w:p w14:paraId="16A93E9F" w14:textId="77777777" w:rsidR="00E6060C" w:rsidRPr="00E6060C" w:rsidRDefault="00E6060C" w:rsidP="00E6060C">
            <w:pPr>
              <w:jc w:val="center"/>
            </w:pPr>
            <w:r w:rsidRPr="00E6060C">
              <w:t>Y</w:t>
            </w:r>
          </w:p>
        </w:tc>
        <w:tc>
          <w:tcPr>
            <w:tcW w:w="1134" w:type="dxa"/>
          </w:tcPr>
          <w:p w14:paraId="75D40E6F" w14:textId="77777777" w:rsidR="00E6060C" w:rsidRPr="00E6060C" w:rsidRDefault="00E6060C" w:rsidP="00E6060C">
            <w:pPr>
              <w:jc w:val="center"/>
            </w:pPr>
            <w:r w:rsidRPr="00E6060C">
              <w:t>N</w:t>
            </w:r>
          </w:p>
        </w:tc>
        <w:tc>
          <w:tcPr>
            <w:tcW w:w="1134" w:type="dxa"/>
          </w:tcPr>
          <w:p w14:paraId="633AACC3" w14:textId="77777777" w:rsidR="00E6060C" w:rsidRPr="00E6060C" w:rsidRDefault="00E6060C" w:rsidP="00E6060C">
            <w:pPr>
              <w:jc w:val="center"/>
            </w:pPr>
            <w:r w:rsidRPr="00E6060C">
              <w:t>N</w:t>
            </w:r>
          </w:p>
        </w:tc>
        <w:tc>
          <w:tcPr>
            <w:tcW w:w="1134" w:type="dxa"/>
          </w:tcPr>
          <w:p w14:paraId="5D02992B" w14:textId="77777777" w:rsidR="00E6060C" w:rsidRPr="00E6060C" w:rsidRDefault="00E6060C" w:rsidP="00E6060C">
            <w:pPr>
              <w:jc w:val="center"/>
            </w:pPr>
            <w:r w:rsidRPr="00E6060C">
              <w:t>N</w:t>
            </w:r>
          </w:p>
        </w:tc>
        <w:tc>
          <w:tcPr>
            <w:tcW w:w="1134" w:type="dxa"/>
          </w:tcPr>
          <w:p w14:paraId="47BAE8C7" w14:textId="77777777" w:rsidR="00E6060C" w:rsidRPr="00E6060C" w:rsidRDefault="00E6060C" w:rsidP="00E6060C">
            <w:pPr>
              <w:jc w:val="center"/>
            </w:pPr>
            <w:r w:rsidRPr="00E6060C">
              <w:t>N</w:t>
            </w:r>
          </w:p>
        </w:tc>
        <w:tc>
          <w:tcPr>
            <w:tcW w:w="1134" w:type="dxa"/>
          </w:tcPr>
          <w:p w14:paraId="6880F22F" w14:textId="77777777" w:rsidR="00E6060C" w:rsidRPr="00E6060C" w:rsidRDefault="00E6060C" w:rsidP="00E6060C">
            <w:pPr>
              <w:jc w:val="center"/>
              <w:rPr>
                <w:vertAlign w:val="superscript"/>
              </w:rPr>
            </w:pPr>
            <w:r w:rsidRPr="00E6060C">
              <w:t>Ward left study</w:t>
            </w:r>
            <w:r w:rsidRPr="00E6060C">
              <w:rPr>
                <w:vertAlign w:val="superscript"/>
              </w:rPr>
              <w:t>4</w:t>
            </w:r>
          </w:p>
        </w:tc>
        <w:tc>
          <w:tcPr>
            <w:tcW w:w="1134" w:type="dxa"/>
          </w:tcPr>
          <w:p w14:paraId="35D7D163" w14:textId="77777777" w:rsidR="00E6060C" w:rsidRPr="00E6060C" w:rsidRDefault="00E6060C" w:rsidP="00E6060C">
            <w:pPr>
              <w:jc w:val="center"/>
            </w:pPr>
            <w:r w:rsidRPr="00E6060C">
              <w:t>-</w:t>
            </w:r>
          </w:p>
        </w:tc>
        <w:tc>
          <w:tcPr>
            <w:tcW w:w="1134" w:type="dxa"/>
          </w:tcPr>
          <w:p w14:paraId="3388946A" w14:textId="77777777" w:rsidR="00E6060C" w:rsidRPr="00E6060C" w:rsidRDefault="00E6060C" w:rsidP="00E6060C">
            <w:pPr>
              <w:jc w:val="center"/>
            </w:pPr>
            <w:r w:rsidRPr="00E6060C">
              <w:t>-</w:t>
            </w:r>
          </w:p>
        </w:tc>
        <w:tc>
          <w:tcPr>
            <w:tcW w:w="1134" w:type="dxa"/>
          </w:tcPr>
          <w:p w14:paraId="19B26AFF" w14:textId="77777777" w:rsidR="00E6060C" w:rsidRPr="00E6060C" w:rsidRDefault="00E6060C" w:rsidP="00E6060C">
            <w:pPr>
              <w:jc w:val="center"/>
            </w:pPr>
            <w:r w:rsidRPr="00E6060C">
              <w:t>-</w:t>
            </w:r>
          </w:p>
        </w:tc>
        <w:tc>
          <w:tcPr>
            <w:tcW w:w="993" w:type="dxa"/>
          </w:tcPr>
          <w:p w14:paraId="6CBF6CDC" w14:textId="77777777" w:rsidR="00E6060C" w:rsidRPr="00E6060C" w:rsidRDefault="00E6060C" w:rsidP="00E6060C">
            <w:pPr>
              <w:jc w:val="center"/>
              <w:rPr>
                <w:b/>
              </w:rPr>
            </w:pPr>
            <w:r w:rsidRPr="00E6060C">
              <w:rPr>
                <w:b/>
              </w:rPr>
              <w:t>3/11</w:t>
            </w:r>
          </w:p>
        </w:tc>
      </w:tr>
      <w:tr w:rsidR="00E6060C" w:rsidRPr="00E6060C" w14:paraId="00F923E1" w14:textId="77777777" w:rsidTr="00E6060C">
        <w:tc>
          <w:tcPr>
            <w:tcW w:w="597" w:type="dxa"/>
          </w:tcPr>
          <w:p w14:paraId="1454FB8E" w14:textId="77777777" w:rsidR="00E6060C" w:rsidRPr="00E6060C" w:rsidRDefault="00E6060C" w:rsidP="00E6060C">
            <w:r w:rsidRPr="00E6060C">
              <w:t>15</w:t>
            </w:r>
          </w:p>
        </w:tc>
        <w:tc>
          <w:tcPr>
            <w:tcW w:w="1288" w:type="dxa"/>
          </w:tcPr>
          <w:p w14:paraId="1B432232" w14:textId="77777777" w:rsidR="00E6060C" w:rsidRPr="00E6060C" w:rsidRDefault="00E6060C" w:rsidP="00E6060C">
            <w:r w:rsidRPr="00E6060C">
              <w:t>Deputy sister</w:t>
            </w:r>
          </w:p>
        </w:tc>
        <w:tc>
          <w:tcPr>
            <w:tcW w:w="1121" w:type="dxa"/>
          </w:tcPr>
          <w:p w14:paraId="7983A70F" w14:textId="77777777" w:rsidR="00E6060C" w:rsidRPr="00E6060C" w:rsidRDefault="00E6060C" w:rsidP="00E6060C">
            <w:pPr>
              <w:jc w:val="center"/>
            </w:pPr>
            <w:r w:rsidRPr="00E6060C">
              <w:t>U</w:t>
            </w:r>
          </w:p>
        </w:tc>
        <w:tc>
          <w:tcPr>
            <w:tcW w:w="1121" w:type="dxa"/>
          </w:tcPr>
          <w:p w14:paraId="4AACF4EB" w14:textId="77777777" w:rsidR="00E6060C" w:rsidRPr="00E6060C" w:rsidRDefault="00E6060C" w:rsidP="00E6060C">
            <w:pPr>
              <w:jc w:val="center"/>
            </w:pPr>
            <w:r w:rsidRPr="00E6060C">
              <w:t>U</w:t>
            </w:r>
          </w:p>
        </w:tc>
        <w:tc>
          <w:tcPr>
            <w:tcW w:w="1134" w:type="dxa"/>
          </w:tcPr>
          <w:p w14:paraId="683CA89F" w14:textId="77777777" w:rsidR="00E6060C" w:rsidRPr="00E6060C" w:rsidRDefault="00E6060C" w:rsidP="00E6060C">
            <w:pPr>
              <w:jc w:val="center"/>
            </w:pPr>
            <w:r w:rsidRPr="00E6060C">
              <w:t>U</w:t>
            </w:r>
          </w:p>
        </w:tc>
        <w:tc>
          <w:tcPr>
            <w:tcW w:w="1134" w:type="dxa"/>
          </w:tcPr>
          <w:p w14:paraId="7A1DC003" w14:textId="77777777" w:rsidR="00E6060C" w:rsidRPr="00E6060C" w:rsidRDefault="00E6060C" w:rsidP="00E6060C">
            <w:pPr>
              <w:jc w:val="center"/>
            </w:pPr>
            <w:r w:rsidRPr="00E6060C">
              <w:t>Y</w:t>
            </w:r>
          </w:p>
        </w:tc>
        <w:tc>
          <w:tcPr>
            <w:tcW w:w="1134" w:type="dxa"/>
          </w:tcPr>
          <w:p w14:paraId="625C34A4" w14:textId="77777777" w:rsidR="00E6060C" w:rsidRPr="00E6060C" w:rsidRDefault="00E6060C" w:rsidP="00E6060C">
            <w:pPr>
              <w:jc w:val="center"/>
            </w:pPr>
            <w:r w:rsidRPr="00E6060C">
              <w:t>Y</w:t>
            </w:r>
          </w:p>
        </w:tc>
        <w:tc>
          <w:tcPr>
            <w:tcW w:w="1134" w:type="dxa"/>
          </w:tcPr>
          <w:p w14:paraId="065C53AB" w14:textId="77777777" w:rsidR="00E6060C" w:rsidRPr="00E6060C" w:rsidRDefault="00E6060C" w:rsidP="00E6060C">
            <w:pPr>
              <w:jc w:val="center"/>
            </w:pPr>
            <w:r w:rsidRPr="00E6060C">
              <w:t>Y</w:t>
            </w:r>
          </w:p>
        </w:tc>
        <w:tc>
          <w:tcPr>
            <w:tcW w:w="1134" w:type="dxa"/>
          </w:tcPr>
          <w:p w14:paraId="1F0283AA" w14:textId="77777777" w:rsidR="00E6060C" w:rsidRPr="00E6060C" w:rsidRDefault="00E6060C" w:rsidP="00E6060C">
            <w:pPr>
              <w:jc w:val="center"/>
            </w:pPr>
            <w:r w:rsidRPr="00E6060C">
              <w:t>Y</w:t>
            </w:r>
          </w:p>
        </w:tc>
        <w:tc>
          <w:tcPr>
            <w:tcW w:w="1134" w:type="dxa"/>
          </w:tcPr>
          <w:p w14:paraId="3E81E19B" w14:textId="77777777" w:rsidR="00E6060C" w:rsidRPr="00E6060C" w:rsidRDefault="00E6060C" w:rsidP="00E6060C">
            <w:pPr>
              <w:jc w:val="center"/>
            </w:pPr>
            <w:r w:rsidRPr="00E6060C">
              <w:t>N</w:t>
            </w:r>
          </w:p>
        </w:tc>
        <w:tc>
          <w:tcPr>
            <w:tcW w:w="1134" w:type="dxa"/>
          </w:tcPr>
          <w:p w14:paraId="17B8D0C7" w14:textId="77777777" w:rsidR="00E6060C" w:rsidRPr="00E6060C" w:rsidRDefault="00E6060C" w:rsidP="00E6060C">
            <w:pPr>
              <w:jc w:val="center"/>
            </w:pPr>
            <w:r w:rsidRPr="00E6060C">
              <w:t>N</w:t>
            </w:r>
          </w:p>
        </w:tc>
        <w:tc>
          <w:tcPr>
            <w:tcW w:w="1134" w:type="dxa"/>
          </w:tcPr>
          <w:p w14:paraId="282E1120" w14:textId="77777777" w:rsidR="00E6060C" w:rsidRPr="00E6060C" w:rsidRDefault="00E6060C" w:rsidP="00E6060C">
            <w:pPr>
              <w:jc w:val="center"/>
            </w:pPr>
            <w:r w:rsidRPr="00E6060C">
              <w:t>Y</w:t>
            </w:r>
          </w:p>
        </w:tc>
        <w:tc>
          <w:tcPr>
            <w:tcW w:w="1134" w:type="dxa"/>
          </w:tcPr>
          <w:p w14:paraId="0A53C043" w14:textId="77777777" w:rsidR="00E6060C" w:rsidRPr="00E6060C" w:rsidRDefault="00E6060C" w:rsidP="00E6060C">
            <w:pPr>
              <w:jc w:val="center"/>
            </w:pPr>
            <w:r w:rsidRPr="00E6060C">
              <w:t>Y</w:t>
            </w:r>
          </w:p>
        </w:tc>
        <w:tc>
          <w:tcPr>
            <w:tcW w:w="993" w:type="dxa"/>
          </w:tcPr>
          <w:p w14:paraId="4A037054" w14:textId="77777777" w:rsidR="00E6060C" w:rsidRPr="00E6060C" w:rsidRDefault="00E6060C" w:rsidP="00E6060C">
            <w:pPr>
              <w:jc w:val="center"/>
              <w:rPr>
                <w:b/>
              </w:rPr>
            </w:pPr>
            <w:r w:rsidRPr="00E6060C">
              <w:rPr>
                <w:b/>
              </w:rPr>
              <w:t>6/11</w:t>
            </w:r>
          </w:p>
        </w:tc>
      </w:tr>
      <w:tr w:rsidR="00E6060C" w:rsidRPr="00E6060C" w14:paraId="0308A49E" w14:textId="77777777" w:rsidTr="00E6060C">
        <w:tc>
          <w:tcPr>
            <w:tcW w:w="597" w:type="dxa"/>
          </w:tcPr>
          <w:p w14:paraId="70E22EA6" w14:textId="77777777" w:rsidR="00E6060C" w:rsidRPr="00E6060C" w:rsidRDefault="00E6060C" w:rsidP="00E6060C">
            <w:r w:rsidRPr="00E6060C">
              <w:t>16</w:t>
            </w:r>
          </w:p>
        </w:tc>
        <w:tc>
          <w:tcPr>
            <w:tcW w:w="1288" w:type="dxa"/>
          </w:tcPr>
          <w:p w14:paraId="30249430" w14:textId="77777777" w:rsidR="00E6060C" w:rsidRPr="00E6060C" w:rsidRDefault="00E6060C" w:rsidP="00E6060C">
            <w:r w:rsidRPr="00E6060C">
              <w:t>Healthcare assistant</w:t>
            </w:r>
          </w:p>
        </w:tc>
        <w:tc>
          <w:tcPr>
            <w:tcW w:w="1121" w:type="dxa"/>
          </w:tcPr>
          <w:p w14:paraId="0655BA73" w14:textId="77777777" w:rsidR="00E6060C" w:rsidRPr="00E6060C" w:rsidRDefault="00E6060C" w:rsidP="00E6060C">
            <w:pPr>
              <w:jc w:val="center"/>
            </w:pPr>
            <w:r w:rsidRPr="00E6060C">
              <w:t>U</w:t>
            </w:r>
          </w:p>
        </w:tc>
        <w:tc>
          <w:tcPr>
            <w:tcW w:w="1121" w:type="dxa"/>
          </w:tcPr>
          <w:p w14:paraId="21DE8C6B" w14:textId="77777777" w:rsidR="00E6060C" w:rsidRPr="00E6060C" w:rsidRDefault="00E6060C" w:rsidP="00E6060C">
            <w:pPr>
              <w:jc w:val="center"/>
            </w:pPr>
            <w:r w:rsidRPr="00E6060C">
              <w:t>U</w:t>
            </w:r>
          </w:p>
        </w:tc>
        <w:tc>
          <w:tcPr>
            <w:tcW w:w="1134" w:type="dxa"/>
          </w:tcPr>
          <w:p w14:paraId="71BDB903" w14:textId="77777777" w:rsidR="00E6060C" w:rsidRPr="00E6060C" w:rsidRDefault="00E6060C" w:rsidP="00E6060C">
            <w:pPr>
              <w:jc w:val="center"/>
            </w:pPr>
            <w:r w:rsidRPr="00E6060C">
              <w:t>U</w:t>
            </w:r>
          </w:p>
        </w:tc>
        <w:tc>
          <w:tcPr>
            <w:tcW w:w="1134" w:type="dxa"/>
          </w:tcPr>
          <w:p w14:paraId="166FA79F" w14:textId="77777777" w:rsidR="00E6060C" w:rsidRPr="00E6060C" w:rsidRDefault="00E6060C" w:rsidP="00E6060C">
            <w:pPr>
              <w:jc w:val="center"/>
            </w:pPr>
            <w:r w:rsidRPr="00E6060C">
              <w:t>Y</w:t>
            </w:r>
          </w:p>
        </w:tc>
        <w:tc>
          <w:tcPr>
            <w:tcW w:w="1134" w:type="dxa"/>
          </w:tcPr>
          <w:p w14:paraId="547E383B" w14:textId="77777777" w:rsidR="00E6060C" w:rsidRPr="00E6060C" w:rsidRDefault="00E6060C" w:rsidP="00E6060C">
            <w:pPr>
              <w:jc w:val="center"/>
            </w:pPr>
            <w:r w:rsidRPr="00E6060C">
              <w:t>Y</w:t>
            </w:r>
          </w:p>
        </w:tc>
        <w:tc>
          <w:tcPr>
            <w:tcW w:w="1134" w:type="dxa"/>
          </w:tcPr>
          <w:p w14:paraId="0940157D" w14:textId="77777777" w:rsidR="00E6060C" w:rsidRPr="00E6060C" w:rsidRDefault="00E6060C" w:rsidP="00E6060C">
            <w:pPr>
              <w:jc w:val="center"/>
            </w:pPr>
            <w:r w:rsidRPr="00E6060C">
              <w:t>N</w:t>
            </w:r>
          </w:p>
        </w:tc>
        <w:tc>
          <w:tcPr>
            <w:tcW w:w="1134" w:type="dxa"/>
          </w:tcPr>
          <w:p w14:paraId="7A851F05" w14:textId="77777777" w:rsidR="00E6060C" w:rsidRPr="00E6060C" w:rsidRDefault="00E6060C" w:rsidP="00E6060C">
            <w:pPr>
              <w:jc w:val="center"/>
            </w:pPr>
            <w:r w:rsidRPr="00E6060C">
              <w:t>N</w:t>
            </w:r>
          </w:p>
        </w:tc>
        <w:tc>
          <w:tcPr>
            <w:tcW w:w="1134" w:type="dxa"/>
          </w:tcPr>
          <w:p w14:paraId="6003EF03" w14:textId="77777777" w:rsidR="00E6060C" w:rsidRPr="00E6060C" w:rsidRDefault="00E6060C" w:rsidP="00E6060C">
            <w:pPr>
              <w:jc w:val="center"/>
            </w:pPr>
            <w:r w:rsidRPr="00E6060C">
              <w:t>N</w:t>
            </w:r>
          </w:p>
        </w:tc>
        <w:tc>
          <w:tcPr>
            <w:tcW w:w="1134" w:type="dxa"/>
          </w:tcPr>
          <w:p w14:paraId="11F52B05" w14:textId="77777777" w:rsidR="00E6060C" w:rsidRPr="00E6060C" w:rsidRDefault="00E6060C" w:rsidP="00E6060C">
            <w:pPr>
              <w:jc w:val="center"/>
            </w:pPr>
            <w:r w:rsidRPr="00E6060C">
              <w:t>N</w:t>
            </w:r>
          </w:p>
        </w:tc>
        <w:tc>
          <w:tcPr>
            <w:tcW w:w="1134" w:type="dxa"/>
          </w:tcPr>
          <w:p w14:paraId="05802BFF" w14:textId="77777777" w:rsidR="00E6060C" w:rsidRPr="00E6060C" w:rsidRDefault="00E6060C" w:rsidP="00E6060C">
            <w:pPr>
              <w:jc w:val="center"/>
              <w:rPr>
                <w:vertAlign w:val="superscript"/>
              </w:rPr>
            </w:pPr>
            <w:r w:rsidRPr="00E6060C">
              <w:t>Ward left study</w:t>
            </w:r>
            <w:r w:rsidRPr="00E6060C">
              <w:rPr>
                <w:vertAlign w:val="superscript"/>
              </w:rPr>
              <w:t>5</w:t>
            </w:r>
          </w:p>
        </w:tc>
        <w:tc>
          <w:tcPr>
            <w:tcW w:w="1134" w:type="dxa"/>
          </w:tcPr>
          <w:p w14:paraId="21248C90" w14:textId="77777777" w:rsidR="00E6060C" w:rsidRPr="00E6060C" w:rsidRDefault="00E6060C" w:rsidP="00E6060C">
            <w:pPr>
              <w:jc w:val="center"/>
            </w:pPr>
            <w:r w:rsidRPr="00E6060C">
              <w:t>-</w:t>
            </w:r>
          </w:p>
        </w:tc>
        <w:tc>
          <w:tcPr>
            <w:tcW w:w="993" w:type="dxa"/>
          </w:tcPr>
          <w:p w14:paraId="12312943" w14:textId="77777777" w:rsidR="00E6060C" w:rsidRPr="00E6060C" w:rsidRDefault="00E6060C" w:rsidP="00E6060C">
            <w:pPr>
              <w:jc w:val="center"/>
              <w:rPr>
                <w:b/>
              </w:rPr>
            </w:pPr>
            <w:r w:rsidRPr="00E6060C">
              <w:rPr>
                <w:b/>
              </w:rPr>
              <w:t>2/11</w:t>
            </w:r>
          </w:p>
        </w:tc>
      </w:tr>
      <w:tr w:rsidR="00E6060C" w:rsidRPr="00E6060C" w14:paraId="19CE267E" w14:textId="77777777" w:rsidTr="00E6060C">
        <w:tc>
          <w:tcPr>
            <w:tcW w:w="1885" w:type="dxa"/>
            <w:gridSpan w:val="2"/>
          </w:tcPr>
          <w:p w14:paraId="7D9FFA7E" w14:textId="77777777" w:rsidR="00E6060C" w:rsidRPr="00E6060C" w:rsidRDefault="00E6060C" w:rsidP="00E6060C">
            <w:pPr>
              <w:rPr>
                <w:b/>
              </w:rPr>
            </w:pPr>
            <w:r w:rsidRPr="00E6060C">
              <w:rPr>
                <w:b/>
              </w:rPr>
              <w:t>Total</w:t>
            </w:r>
          </w:p>
        </w:tc>
        <w:tc>
          <w:tcPr>
            <w:tcW w:w="1121" w:type="dxa"/>
          </w:tcPr>
          <w:p w14:paraId="7D599D59" w14:textId="77777777" w:rsidR="00E6060C" w:rsidRPr="00E6060C" w:rsidRDefault="00E6060C" w:rsidP="00E6060C">
            <w:pPr>
              <w:jc w:val="center"/>
              <w:rPr>
                <w:b/>
              </w:rPr>
            </w:pPr>
            <w:r w:rsidRPr="00E6060C">
              <w:rPr>
                <w:b/>
              </w:rPr>
              <w:t>12/16</w:t>
            </w:r>
          </w:p>
        </w:tc>
        <w:tc>
          <w:tcPr>
            <w:tcW w:w="1121" w:type="dxa"/>
          </w:tcPr>
          <w:p w14:paraId="71F64D8D" w14:textId="77777777" w:rsidR="00E6060C" w:rsidRPr="00E6060C" w:rsidRDefault="00E6060C" w:rsidP="00E6060C">
            <w:pPr>
              <w:jc w:val="center"/>
              <w:rPr>
                <w:b/>
              </w:rPr>
            </w:pPr>
            <w:r w:rsidRPr="00E6060C">
              <w:rPr>
                <w:b/>
              </w:rPr>
              <w:t>12/16</w:t>
            </w:r>
          </w:p>
        </w:tc>
        <w:tc>
          <w:tcPr>
            <w:tcW w:w="1134" w:type="dxa"/>
          </w:tcPr>
          <w:p w14:paraId="1109FB8F" w14:textId="77777777" w:rsidR="00E6060C" w:rsidRPr="00E6060C" w:rsidRDefault="00E6060C" w:rsidP="00E6060C">
            <w:pPr>
              <w:jc w:val="center"/>
              <w:rPr>
                <w:b/>
              </w:rPr>
            </w:pPr>
            <w:r w:rsidRPr="00E6060C">
              <w:rPr>
                <w:b/>
              </w:rPr>
              <w:t>12/16</w:t>
            </w:r>
          </w:p>
        </w:tc>
        <w:tc>
          <w:tcPr>
            <w:tcW w:w="1134" w:type="dxa"/>
          </w:tcPr>
          <w:p w14:paraId="47044EA0" w14:textId="77777777" w:rsidR="00E6060C" w:rsidRPr="00E6060C" w:rsidRDefault="00E6060C" w:rsidP="00E6060C">
            <w:pPr>
              <w:jc w:val="center"/>
              <w:rPr>
                <w:b/>
              </w:rPr>
            </w:pPr>
            <w:r w:rsidRPr="00E6060C">
              <w:rPr>
                <w:b/>
              </w:rPr>
              <w:t>12/16</w:t>
            </w:r>
          </w:p>
        </w:tc>
        <w:tc>
          <w:tcPr>
            <w:tcW w:w="1134" w:type="dxa"/>
          </w:tcPr>
          <w:p w14:paraId="0B493A60" w14:textId="77777777" w:rsidR="00E6060C" w:rsidRPr="00E6060C" w:rsidRDefault="00E6060C" w:rsidP="00E6060C">
            <w:pPr>
              <w:jc w:val="center"/>
              <w:rPr>
                <w:b/>
              </w:rPr>
            </w:pPr>
            <w:r w:rsidRPr="00E6060C">
              <w:rPr>
                <w:b/>
              </w:rPr>
              <w:t>9/16</w:t>
            </w:r>
          </w:p>
        </w:tc>
        <w:tc>
          <w:tcPr>
            <w:tcW w:w="1134" w:type="dxa"/>
          </w:tcPr>
          <w:p w14:paraId="13513E15" w14:textId="77777777" w:rsidR="00E6060C" w:rsidRPr="00E6060C" w:rsidRDefault="00E6060C" w:rsidP="00E6060C">
            <w:pPr>
              <w:jc w:val="center"/>
              <w:rPr>
                <w:b/>
              </w:rPr>
            </w:pPr>
            <w:r w:rsidRPr="00E6060C">
              <w:rPr>
                <w:b/>
              </w:rPr>
              <w:t>8/16</w:t>
            </w:r>
          </w:p>
        </w:tc>
        <w:tc>
          <w:tcPr>
            <w:tcW w:w="1134" w:type="dxa"/>
          </w:tcPr>
          <w:p w14:paraId="2EC770DD" w14:textId="77777777" w:rsidR="00E6060C" w:rsidRPr="00E6060C" w:rsidRDefault="00E6060C" w:rsidP="00E6060C">
            <w:pPr>
              <w:jc w:val="center"/>
              <w:rPr>
                <w:b/>
              </w:rPr>
            </w:pPr>
            <w:r w:rsidRPr="00E6060C">
              <w:rPr>
                <w:b/>
              </w:rPr>
              <w:t>9/16</w:t>
            </w:r>
          </w:p>
        </w:tc>
        <w:tc>
          <w:tcPr>
            <w:tcW w:w="1134" w:type="dxa"/>
          </w:tcPr>
          <w:p w14:paraId="3441A1D5" w14:textId="77777777" w:rsidR="00E6060C" w:rsidRPr="00E6060C" w:rsidRDefault="00E6060C" w:rsidP="00E6060C">
            <w:pPr>
              <w:jc w:val="center"/>
              <w:rPr>
                <w:b/>
              </w:rPr>
            </w:pPr>
            <w:r w:rsidRPr="00E6060C">
              <w:rPr>
                <w:b/>
              </w:rPr>
              <w:t>3/14</w:t>
            </w:r>
          </w:p>
        </w:tc>
        <w:tc>
          <w:tcPr>
            <w:tcW w:w="1134" w:type="dxa"/>
          </w:tcPr>
          <w:p w14:paraId="54EA3029" w14:textId="77777777" w:rsidR="00E6060C" w:rsidRPr="00E6060C" w:rsidRDefault="00E6060C" w:rsidP="00E6060C">
            <w:pPr>
              <w:jc w:val="center"/>
              <w:rPr>
                <w:b/>
              </w:rPr>
            </w:pPr>
            <w:r w:rsidRPr="00E6060C">
              <w:rPr>
                <w:b/>
              </w:rPr>
              <w:t>3/14</w:t>
            </w:r>
          </w:p>
        </w:tc>
        <w:tc>
          <w:tcPr>
            <w:tcW w:w="1134" w:type="dxa"/>
          </w:tcPr>
          <w:p w14:paraId="37466F2F" w14:textId="77777777" w:rsidR="00E6060C" w:rsidRPr="00E6060C" w:rsidRDefault="00E6060C" w:rsidP="00E6060C">
            <w:pPr>
              <w:jc w:val="center"/>
              <w:rPr>
                <w:b/>
              </w:rPr>
            </w:pPr>
            <w:r w:rsidRPr="00E6060C">
              <w:rPr>
                <w:b/>
              </w:rPr>
              <w:t>5/13</w:t>
            </w:r>
          </w:p>
        </w:tc>
        <w:tc>
          <w:tcPr>
            <w:tcW w:w="1134" w:type="dxa"/>
          </w:tcPr>
          <w:p w14:paraId="24243332" w14:textId="77777777" w:rsidR="00E6060C" w:rsidRPr="00E6060C" w:rsidRDefault="00E6060C" w:rsidP="00E6060C">
            <w:pPr>
              <w:jc w:val="center"/>
              <w:rPr>
                <w:b/>
              </w:rPr>
            </w:pPr>
            <w:r w:rsidRPr="00E6060C">
              <w:rPr>
                <w:b/>
              </w:rPr>
              <w:t>5/13</w:t>
            </w:r>
          </w:p>
        </w:tc>
        <w:tc>
          <w:tcPr>
            <w:tcW w:w="993" w:type="dxa"/>
          </w:tcPr>
          <w:p w14:paraId="1BCCC5D4" w14:textId="77777777" w:rsidR="00E6060C" w:rsidRPr="00E6060C" w:rsidRDefault="00E6060C" w:rsidP="00E6060C">
            <w:pPr>
              <w:jc w:val="center"/>
              <w:rPr>
                <w:b/>
              </w:rPr>
            </w:pPr>
          </w:p>
        </w:tc>
      </w:tr>
    </w:tbl>
    <w:p w14:paraId="14A76666" w14:textId="77777777" w:rsidR="00E6060C" w:rsidRPr="00E6060C" w:rsidRDefault="00E6060C" w:rsidP="00E6060C">
      <w:pPr>
        <w:spacing w:line="240" w:lineRule="auto"/>
        <w:ind w:left="-142"/>
        <w:contextualSpacing/>
      </w:pPr>
      <w:r w:rsidRPr="00E6060C">
        <w:rPr>
          <w:vertAlign w:val="superscript"/>
        </w:rPr>
        <w:t>1</w:t>
      </w:r>
      <w:r w:rsidRPr="00E6060C">
        <w:t>This participant moved to another intervention ward part way through the intervention</w:t>
      </w:r>
    </w:p>
    <w:p w14:paraId="75101A7D" w14:textId="77777777" w:rsidR="00E6060C" w:rsidRPr="00E6060C" w:rsidRDefault="00E6060C" w:rsidP="00E6060C">
      <w:pPr>
        <w:spacing w:line="240" w:lineRule="auto"/>
        <w:ind w:left="-142"/>
        <w:contextualSpacing/>
      </w:pPr>
      <w:r w:rsidRPr="00E6060C">
        <w:rPr>
          <w:vertAlign w:val="superscript"/>
        </w:rPr>
        <w:t>2</w:t>
      </w:r>
      <w:r w:rsidRPr="00E6060C">
        <w:t>Participants 3 &amp; 4 were on the same ward which left the study between workshops 4 &amp; 5</w:t>
      </w:r>
    </w:p>
    <w:p w14:paraId="05D51989" w14:textId="77777777" w:rsidR="00E6060C" w:rsidRPr="00E6060C" w:rsidRDefault="00E6060C" w:rsidP="00E6060C">
      <w:pPr>
        <w:spacing w:line="240" w:lineRule="auto"/>
        <w:ind w:left="-142"/>
        <w:contextualSpacing/>
      </w:pPr>
      <w:r w:rsidRPr="00E6060C">
        <w:rPr>
          <w:vertAlign w:val="superscript"/>
        </w:rPr>
        <w:t xml:space="preserve">3 </w:t>
      </w:r>
      <w:r w:rsidRPr="00E6060C">
        <w:t>Participants 13 &amp; 14 were on the same ward which left the study between workshop 3 &amp; 4</w:t>
      </w:r>
    </w:p>
    <w:p w14:paraId="5B415471" w14:textId="77777777" w:rsidR="00E6060C" w:rsidRPr="00E6060C" w:rsidRDefault="00E6060C" w:rsidP="00E6060C">
      <w:pPr>
        <w:spacing w:line="240" w:lineRule="auto"/>
        <w:ind w:left="-142"/>
        <w:contextualSpacing/>
      </w:pPr>
      <w:r w:rsidRPr="00E6060C">
        <w:rPr>
          <w:vertAlign w:val="superscript"/>
        </w:rPr>
        <w:t xml:space="preserve">5 </w:t>
      </w:r>
      <w:r w:rsidRPr="00E6060C">
        <w:t xml:space="preserve">Participant 16 was on a different ward to the participants in notes 2 &amp; 3 above, and this ward left the study between workshops 4 &amp; 5 </w:t>
      </w:r>
    </w:p>
    <w:p w14:paraId="6A8227BD" w14:textId="17AF5522" w:rsidR="003F131C" w:rsidRPr="00F575F5" w:rsidRDefault="00E6060C" w:rsidP="002A5A6B">
      <w:pPr>
        <w:spacing w:line="240" w:lineRule="auto"/>
        <w:ind w:left="-142"/>
        <w:contextualSpacing/>
        <w:rPr>
          <w:b/>
        </w:rPr>
      </w:pPr>
      <w:r w:rsidRPr="00E6060C">
        <w:rPr>
          <w:i/>
        </w:rPr>
        <w:t>Notes:</w:t>
      </w:r>
      <w:r w:rsidRPr="00E6060C">
        <w:t xml:space="preserve"> Y=attended; N=did not attend; U=attendance status unknown; A/L=annual leave</w:t>
      </w:r>
    </w:p>
    <w:sectPr w:rsidR="003F131C" w:rsidRPr="00F575F5" w:rsidSect="002A5A6B">
      <w:footerReference w:type="default" r:id="rId59"/>
      <w:footerReference w:type="first" r:id="rId6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F3C4C" w14:textId="77777777" w:rsidR="00245D68" w:rsidRDefault="00245D68" w:rsidP="008161BF">
      <w:pPr>
        <w:spacing w:line="240" w:lineRule="auto"/>
      </w:pPr>
      <w:r>
        <w:separator/>
      </w:r>
    </w:p>
  </w:endnote>
  <w:endnote w:type="continuationSeparator" w:id="0">
    <w:p w14:paraId="3FAD9C13" w14:textId="77777777" w:rsidR="00245D68" w:rsidRDefault="00245D68" w:rsidP="008161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Eurostile">
    <w:altName w:val="Segoe Scrip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dvTR">
    <w:panose1 w:val="00000000000000000000"/>
    <w:charset w:val="00"/>
    <w:family w:val="roman"/>
    <w:notTrueType/>
    <w:pitch w:val="default"/>
    <w:sig w:usb0="00000003" w:usb1="00000000" w:usb2="00000000" w:usb3="00000000" w:csb0="00000001" w:csb1="00000000"/>
  </w:font>
  <w:font w:name="AdvTI">
    <w:panose1 w:val="00000000000000000000"/>
    <w:charset w:val="00"/>
    <w:family w:val="roman"/>
    <w:notTrueType/>
    <w:pitch w:val="default"/>
    <w:sig w:usb0="00000003" w:usb1="00000000" w:usb2="00000000" w:usb3="00000000" w:csb0="00000001" w:csb1="00000000"/>
  </w:font>
  <w:font w:name="AdvBMa1">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PSSAB-R">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179043"/>
      <w:docPartObj>
        <w:docPartGallery w:val="Page Numbers (Bottom of Page)"/>
        <w:docPartUnique/>
      </w:docPartObj>
    </w:sdtPr>
    <w:sdtEndPr>
      <w:rPr>
        <w:noProof/>
      </w:rPr>
    </w:sdtEndPr>
    <w:sdtContent>
      <w:p w14:paraId="4A1292A4" w14:textId="14C8D91B" w:rsidR="004D1676" w:rsidRDefault="004D1676">
        <w:pPr>
          <w:pStyle w:val="Footer"/>
          <w:jc w:val="center"/>
        </w:pPr>
        <w:r>
          <w:fldChar w:fldCharType="begin"/>
        </w:r>
        <w:r>
          <w:instrText xml:space="preserve"> PAGE   \* MERGEFORMAT </w:instrText>
        </w:r>
        <w:r>
          <w:fldChar w:fldCharType="separate"/>
        </w:r>
        <w:r w:rsidR="00931BB6">
          <w:rPr>
            <w:noProof/>
          </w:rPr>
          <w:t>xix</w:t>
        </w:r>
        <w:r>
          <w:rPr>
            <w:noProof/>
          </w:rPr>
          <w:fldChar w:fldCharType="end"/>
        </w:r>
      </w:p>
    </w:sdtContent>
  </w:sdt>
  <w:p w14:paraId="4500636E" w14:textId="77777777" w:rsidR="004D1676" w:rsidRDefault="004D167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973605"/>
      <w:docPartObj>
        <w:docPartGallery w:val="Page Numbers (Bottom of Page)"/>
        <w:docPartUnique/>
      </w:docPartObj>
    </w:sdtPr>
    <w:sdtEndPr>
      <w:rPr>
        <w:noProof/>
      </w:rPr>
    </w:sdtEndPr>
    <w:sdtContent>
      <w:p w14:paraId="321D5A6C" w14:textId="74D70DE6" w:rsidR="004D1676" w:rsidRDefault="004D1676">
        <w:pPr>
          <w:pStyle w:val="Footer"/>
          <w:jc w:val="center"/>
        </w:pPr>
        <w:r>
          <w:fldChar w:fldCharType="begin"/>
        </w:r>
        <w:r>
          <w:instrText xml:space="preserve"> PAGE   \* MERGEFORMAT </w:instrText>
        </w:r>
        <w:r>
          <w:fldChar w:fldCharType="separate"/>
        </w:r>
        <w:r w:rsidR="00931BB6">
          <w:rPr>
            <w:noProof/>
          </w:rPr>
          <w:t>150</w:t>
        </w:r>
        <w:r>
          <w:rPr>
            <w:noProof/>
          </w:rPr>
          <w:fldChar w:fldCharType="end"/>
        </w:r>
      </w:p>
    </w:sdtContent>
  </w:sdt>
  <w:p w14:paraId="479A3C3B" w14:textId="77777777" w:rsidR="004D1676" w:rsidRDefault="004D16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14463"/>
      <w:docPartObj>
        <w:docPartGallery w:val="Page Numbers (Bottom of Page)"/>
        <w:docPartUnique/>
      </w:docPartObj>
    </w:sdtPr>
    <w:sdtEndPr>
      <w:rPr>
        <w:noProof/>
      </w:rPr>
    </w:sdtEndPr>
    <w:sdtContent>
      <w:p w14:paraId="45C297FC" w14:textId="15DB09FF" w:rsidR="004D1676" w:rsidRDefault="004D1676">
        <w:pPr>
          <w:pStyle w:val="Footer"/>
          <w:jc w:val="center"/>
        </w:pPr>
        <w:r>
          <w:fldChar w:fldCharType="begin"/>
        </w:r>
        <w:r>
          <w:instrText xml:space="preserve"> PAGE   \* MERGEFORMAT </w:instrText>
        </w:r>
        <w:r>
          <w:fldChar w:fldCharType="separate"/>
        </w:r>
        <w:r w:rsidR="00931BB6">
          <w:rPr>
            <w:noProof/>
          </w:rPr>
          <w:t>156</w:t>
        </w:r>
        <w:r>
          <w:rPr>
            <w:noProof/>
          </w:rPr>
          <w:fldChar w:fldCharType="end"/>
        </w:r>
      </w:p>
    </w:sdtContent>
  </w:sdt>
  <w:p w14:paraId="4AFAD65E" w14:textId="77777777" w:rsidR="004D1676" w:rsidRDefault="004D16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852706"/>
      <w:docPartObj>
        <w:docPartGallery w:val="Page Numbers (Bottom of Page)"/>
        <w:docPartUnique/>
      </w:docPartObj>
    </w:sdtPr>
    <w:sdtEndPr>
      <w:rPr>
        <w:noProof/>
      </w:rPr>
    </w:sdtEndPr>
    <w:sdtContent>
      <w:p w14:paraId="5D050F43" w14:textId="634A76F7" w:rsidR="004D1676" w:rsidRDefault="004D1676">
        <w:pPr>
          <w:pStyle w:val="Footer"/>
          <w:jc w:val="center"/>
        </w:pPr>
        <w:r>
          <w:fldChar w:fldCharType="begin"/>
        </w:r>
        <w:r w:rsidRPr="005133DB">
          <w:instrText xml:space="preserve"> PAGE   \* MERGEFORMAT </w:instrText>
        </w:r>
        <w:r>
          <w:fldChar w:fldCharType="separate"/>
        </w:r>
        <w:r w:rsidR="00931BB6">
          <w:rPr>
            <w:noProof/>
          </w:rPr>
          <w:t>199</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648937"/>
      <w:docPartObj>
        <w:docPartGallery w:val="Page Numbers (Bottom of Page)"/>
        <w:docPartUnique/>
      </w:docPartObj>
    </w:sdtPr>
    <w:sdtEndPr>
      <w:rPr>
        <w:noProof/>
      </w:rPr>
    </w:sdtEndPr>
    <w:sdtContent>
      <w:p w14:paraId="5DAEE379" w14:textId="69174322" w:rsidR="004D1676" w:rsidRDefault="004D1676">
        <w:pPr>
          <w:pStyle w:val="Footer"/>
          <w:jc w:val="center"/>
        </w:pPr>
        <w:r>
          <w:fldChar w:fldCharType="begin"/>
        </w:r>
        <w:r w:rsidRPr="00FE61A4">
          <w:instrText xml:space="preserve"> PAGE   \* MERGEFORMAT </w:instrText>
        </w:r>
        <w:r>
          <w:fldChar w:fldCharType="separate"/>
        </w:r>
        <w:r w:rsidR="00931BB6">
          <w:rPr>
            <w:noProof/>
          </w:rPr>
          <w:t>169</w:t>
        </w:r>
        <w:r>
          <w:rPr>
            <w:noProof/>
          </w:rPr>
          <w:fldChar w:fldCharType="end"/>
        </w:r>
      </w:p>
    </w:sdtContent>
  </w:sdt>
  <w:p w14:paraId="195971C0" w14:textId="77777777" w:rsidR="004D1676" w:rsidRDefault="004D167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022619"/>
      <w:docPartObj>
        <w:docPartGallery w:val="Page Numbers (Bottom of Page)"/>
        <w:docPartUnique/>
      </w:docPartObj>
    </w:sdtPr>
    <w:sdtEndPr>
      <w:rPr>
        <w:noProof/>
      </w:rPr>
    </w:sdtEndPr>
    <w:sdtContent>
      <w:p w14:paraId="018A56C1" w14:textId="77D3057A" w:rsidR="004D1676" w:rsidRDefault="004D1676">
        <w:pPr>
          <w:pStyle w:val="Footer"/>
          <w:jc w:val="center"/>
        </w:pPr>
        <w:r>
          <w:fldChar w:fldCharType="begin"/>
        </w:r>
        <w:r w:rsidRPr="002A32D0">
          <w:instrText xml:space="preserve"> PAGE   \* MERGEFORMAT </w:instrText>
        </w:r>
        <w:r>
          <w:fldChar w:fldCharType="separate"/>
        </w:r>
        <w:r w:rsidR="00931BB6">
          <w:rPr>
            <w:noProof/>
          </w:rPr>
          <w:t>178</w:t>
        </w:r>
        <w:r>
          <w:rPr>
            <w:noProof/>
          </w:rPr>
          <w:fldChar w:fldCharType="end"/>
        </w:r>
      </w:p>
    </w:sdtContent>
  </w:sdt>
  <w:p w14:paraId="6EC58B42" w14:textId="77777777" w:rsidR="004D1676" w:rsidRDefault="004D167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764772"/>
      <w:docPartObj>
        <w:docPartGallery w:val="Page Numbers (Bottom of Page)"/>
        <w:docPartUnique/>
      </w:docPartObj>
    </w:sdtPr>
    <w:sdtEndPr>
      <w:rPr>
        <w:noProof/>
      </w:rPr>
    </w:sdtEndPr>
    <w:sdtContent>
      <w:p w14:paraId="5B30E098" w14:textId="6E4C3D1D" w:rsidR="004D1676" w:rsidRDefault="004D1676">
        <w:pPr>
          <w:pStyle w:val="Footer"/>
          <w:jc w:val="center"/>
        </w:pPr>
        <w:r>
          <w:fldChar w:fldCharType="begin"/>
        </w:r>
        <w:r>
          <w:instrText xml:space="preserve"> PAGE   \* MERGEFORMAT </w:instrText>
        </w:r>
        <w:r>
          <w:fldChar w:fldCharType="separate"/>
        </w:r>
        <w:r w:rsidR="00931BB6">
          <w:rPr>
            <w:noProof/>
          </w:rPr>
          <w:t>181</w:t>
        </w:r>
        <w:r>
          <w:rPr>
            <w:noProof/>
          </w:rPr>
          <w:fldChar w:fldCharType="end"/>
        </w:r>
      </w:p>
    </w:sdtContent>
  </w:sdt>
  <w:p w14:paraId="75AF0081" w14:textId="77777777" w:rsidR="004D1676" w:rsidRDefault="004D167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894029"/>
      <w:docPartObj>
        <w:docPartGallery w:val="Page Numbers (Bottom of Page)"/>
        <w:docPartUnique/>
      </w:docPartObj>
    </w:sdtPr>
    <w:sdtEndPr>
      <w:rPr>
        <w:noProof/>
      </w:rPr>
    </w:sdtEndPr>
    <w:sdtContent>
      <w:p w14:paraId="4E018BA6" w14:textId="4AA487B2" w:rsidR="004D1676" w:rsidRDefault="004D1676">
        <w:pPr>
          <w:pStyle w:val="Footer"/>
          <w:jc w:val="center"/>
        </w:pPr>
        <w:r>
          <w:fldChar w:fldCharType="begin"/>
        </w:r>
        <w:r>
          <w:instrText xml:space="preserve"> PAGE   \* MERGEFORMAT </w:instrText>
        </w:r>
        <w:r>
          <w:fldChar w:fldCharType="separate"/>
        </w:r>
        <w:r w:rsidR="00931BB6">
          <w:rPr>
            <w:noProof/>
          </w:rPr>
          <w:t>209</w:t>
        </w:r>
        <w:r>
          <w:rPr>
            <w:noProof/>
          </w:rPr>
          <w:fldChar w:fldCharType="end"/>
        </w:r>
      </w:p>
    </w:sdtContent>
  </w:sdt>
  <w:p w14:paraId="2859ECD6" w14:textId="77777777" w:rsidR="004D1676" w:rsidRDefault="004D167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940210"/>
      <w:docPartObj>
        <w:docPartGallery w:val="Page Numbers (Bottom of Page)"/>
        <w:docPartUnique/>
      </w:docPartObj>
    </w:sdtPr>
    <w:sdtEndPr>
      <w:rPr>
        <w:noProof/>
      </w:rPr>
    </w:sdtEndPr>
    <w:sdtContent>
      <w:p w14:paraId="5A39C50F" w14:textId="0E015BFE" w:rsidR="004D1676" w:rsidRDefault="004D1676">
        <w:pPr>
          <w:pStyle w:val="Footer"/>
          <w:jc w:val="center"/>
        </w:pPr>
        <w:r>
          <w:fldChar w:fldCharType="begin"/>
        </w:r>
        <w:r>
          <w:instrText xml:space="preserve"> PAGE   \* MERGEFORMAT </w:instrText>
        </w:r>
        <w:r>
          <w:fldChar w:fldCharType="separate"/>
        </w:r>
        <w:r w:rsidR="00931BB6">
          <w:rPr>
            <w:noProof/>
          </w:rPr>
          <w:t>382</w:t>
        </w:r>
        <w:r>
          <w:rPr>
            <w:noProof/>
          </w:rPr>
          <w:fldChar w:fldCharType="end"/>
        </w:r>
      </w:p>
    </w:sdtContent>
  </w:sdt>
  <w:p w14:paraId="369376BF" w14:textId="77777777" w:rsidR="004D1676" w:rsidRDefault="004D167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685766"/>
      <w:docPartObj>
        <w:docPartGallery w:val="Page Numbers (Bottom of Page)"/>
        <w:docPartUnique/>
      </w:docPartObj>
    </w:sdtPr>
    <w:sdtEndPr>
      <w:rPr>
        <w:noProof/>
      </w:rPr>
    </w:sdtEndPr>
    <w:sdtContent>
      <w:p w14:paraId="29B0A702" w14:textId="247A998B" w:rsidR="004D1676" w:rsidRDefault="004D1676">
        <w:pPr>
          <w:pStyle w:val="Footer"/>
          <w:jc w:val="center"/>
        </w:pPr>
        <w:r>
          <w:fldChar w:fldCharType="begin"/>
        </w:r>
        <w:r>
          <w:instrText xml:space="preserve"> PAGE   \* MERGEFORMAT </w:instrText>
        </w:r>
        <w:r>
          <w:fldChar w:fldCharType="separate"/>
        </w:r>
        <w:r w:rsidR="00931BB6">
          <w:rPr>
            <w:noProof/>
          </w:rPr>
          <w:t>210</w:t>
        </w:r>
        <w:r>
          <w:rPr>
            <w:noProof/>
          </w:rPr>
          <w:fldChar w:fldCharType="end"/>
        </w:r>
      </w:p>
    </w:sdtContent>
  </w:sdt>
  <w:p w14:paraId="57E5364E" w14:textId="77777777" w:rsidR="004D1676" w:rsidRDefault="004D167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081276"/>
      <w:docPartObj>
        <w:docPartGallery w:val="Page Numbers (Bottom of Page)"/>
        <w:docPartUnique/>
      </w:docPartObj>
    </w:sdtPr>
    <w:sdtEndPr>
      <w:rPr>
        <w:noProof/>
      </w:rPr>
    </w:sdtEndPr>
    <w:sdtContent>
      <w:p w14:paraId="6289632C" w14:textId="585D50FD" w:rsidR="004D1676" w:rsidRDefault="004D1676">
        <w:pPr>
          <w:pStyle w:val="Footer"/>
          <w:jc w:val="center"/>
        </w:pPr>
        <w:r>
          <w:fldChar w:fldCharType="begin"/>
        </w:r>
        <w:r>
          <w:instrText xml:space="preserve"> PAGE   \* MERGEFORMAT </w:instrText>
        </w:r>
        <w:r>
          <w:fldChar w:fldCharType="separate"/>
        </w:r>
        <w:r w:rsidR="00931BB6">
          <w:rPr>
            <w:noProof/>
          </w:rPr>
          <w:t>384</w:t>
        </w:r>
        <w:r>
          <w:rPr>
            <w:noProof/>
          </w:rPr>
          <w:fldChar w:fldCharType="end"/>
        </w:r>
      </w:p>
    </w:sdtContent>
  </w:sdt>
  <w:p w14:paraId="4BAE7C01" w14:textId="77777777" w:rsidR="004D1676" w:rsidRDefault="004D16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5D864" w14:textId="77777777" w:rsidR="004D1676" w:rsidRDefault="004D167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682783"/>
      <w:docPartObj>
        <w:docPartGallery w:val="Page Numbers (Bottom of Page)"/>
        <w:docPartUnique/>
      </w:docPartObj>
    </w:sdtPr>
    <w:sdtEndPr>
      <w:rPr>
        <w:noProof/>
      </w:rPr>
    </w:sdtEndPr>
    <w:sdtContent>
      <w:p w14:paraId="1FFF858E" w14:textId="77777777" w:rsidR="004D1676" w:rsidRDefault="004D1676">
        <w:pPr>
          <w:pStyle w:val="Footer"/>
          <w:jc w:val="center"/>
        </w:pPr>
        <w:r>
          <w:fldChar w:fldCharType="begin"/>
        </w:r>
        <w:r w:rsidRPr="00911FF4">
          <w:instrText xml:space="preserve"> PAGE   \* MERGEFORMAT </w:instrText>
        </w:r>
        <w:r>
          <w:fldChar w:fldCharType="separate"/>
        </w:r>
        <w:r>
          <w:rPr>
            <w:noProof/>
          </w:rPr>
          <w:t>97</w:t>
        </w:r>
        <w:r>
          <w:rPr>
            <w:noProof/>
          </w:rPr>
          <w:fldChar w:fldCharType="end"/>
        </w:r>
      </w:p>
    </w:sdtContent>
  </w:sdt>
  <w:p w14:paraId="28B353B5" w14:textId="77777777" w:rsidR="004D1676" w:rsidRDefault="004D16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727074"/>
      <w:docPartObj>
        <w:docPartGallery w:val="Page Numbers (Bottom of Page)"/>
        <w:docPartUnique/>
      </w:docPartObj>
    </w:sdtPr>
    <w:sdtEndPr>
      <w:rPr>
        <w:noProof/>
      </w:rPr>
    </w:sdtEndPr>
    <w:sdtContent>
      <w:p w14:paraId="7393D370" w14:textId="4E80A634" w:rsidR="004D1676" w:rsidRDefault="004D1676">
        <w:pPr>
          <w:pStyle w:val="Footer"/>
          <w:jc w:val="center"/>
        </w:pPr>
        <w:r>
          <w:fldChar w:fldCharType="begin"/>
        </w:r>
        <w:r>
          <w:instrText xml:space="preserve"> PAGE   \* MERGEFORMAT </w:instrText>
        </w:r>
        <w:r>
          <w:fldChar w:fldCharType="separate"/>
        </w:r>
        <w:r w:rsidR="00931BB6">
          <w:rPr>
            <w:noProof/>
          </w:rPr>
          <w:t>iv</w:t>
        </w:r>
        <w:r>
          <w:rPr>
            <w:noProof/>
          </w:rPr>
          <w:fldChar w:fldCharType="end"/>
        </w:r>
      </w:p>
    </w:sdtContent>
  </w:sdt>
  <w:p w14:paraId="09236B66" w14:textId="77777777" w:rsidR="004D1676" w:rsidRDefault="004D1676" w:rsidP="0034480E">
    <w:pPr>
      <w:pStyle w:val="Footer"/>
      <w:tabs>
        <w:tab w:val="clear" w:pos="4513"/>
        <w:tab w:val="clear" w:pos="9026"/>
        <w:tab w:val="left" w:pos="501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292884"/>
      <w:docPartObj>
        <w:docPartGallery w:val="Page Numbers (Bottom of Page)"/>
        <w:docPartUnique/>
      </w:docPartObj>
    </w:sdtPr>
    <w:sdtEndPr>
      <w:rPr>
        <w:noProof/>
      </w:rPr>
    </w:sdtEndPr>
    <w:sdtContent>
      <w:p w14:paraId="0A44AC0F" w14:textId="7FDF41CF" w:rsidR="004D1676" w:rsidRDefault="004D167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532C201" w14:textId="21BDB8CA" w:rsidR="004D1676" w:rsidRDefault="004D1676" w:rsidP="0034480E">
    <w:pPr>
      <w:pStyle w:val="Footer"/>
      <w:tabs>
        <w:tab w:val="clear" w:pos="4513"/>
        <w:tab w:val="clear" w:pos="9026"/>
        <w:tab w:val="left" w:pos="501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728955"/>
      <w:docPartObj>
        <w:docPartGallery w:val="Page Numbers (Bottom of Page)"/>
        <w:docPartUnique/>
      </w:docPartObj>
    </w:sdtPr>
    <w:sdtEndPr>
      <w:rPr>
        <w:noProof/>
      </w:rPr>
    </w:sdtEndPr>
    <w:sdtContent>
      <w:p w14:paraId="10F977F9" w14:textId="35F32FD3" w:rsidR="004D1676" w:rsidRDefault="004D1676">
        <w:pPr>
          <w:pStyle w:val="Footer"/>
          <w:jc w:val="center"/>
        </w:pPr>
        <w:r>
          <w:fldChar w:fldCharType="begin"/>
        </w:r>
        <w:r w:rsidRPr="00193A3C">
          <w:instrText xml:space="preserve"> PAGE   \* MERGEFORMAT </w:instrText>
        </w:r>
        <w:r>
          <w:fldChar w:fldCharType="separate"/>
        </w:r>
        <w:r w:rsidR="00931BB6">
          <w:rPr>
            <w:noProof/>
          </w:rPr>
          <w:t>110</w:t>
        </w:r>
        <w:r>
          <w:rPr>
            <w:noProof/>
          </w:rPr>
          <w:fldChar w:fldCharType="end"/>
        </w:r>
      </w:p>
    </w:sdtContent>
  </w:sdt>
  <w:p w14:paraId="7305D86C" w14:textId="77777777" w:rsidR="004D1676" w:rsidRDefault="004D16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188289"/>
      <w:docPartObj>
        <w:docPartGallery w:val="Page Numbers (Bottom of Page)"/>
        <w:docPartUnique/>
      </w:docPartObj>
    </w:sdtPr>
    <w:sdtEndPr>
      <w:rPr>
        <w:noProof/>
      </w:rPr>
    </w:sdtEndPr>
    <w:sdtContent>
      <w:p w14:paraId="2D7CE468" w14:textId="05A31973" w:rsidR="004D1676" w:rsidRDefault="004D1676">
        <w:pPr>
          <w:pStyle w:val="Footer"/>
          <w:jc w:val="center"/>
        </w:pPr>
        <w:r>
          <w:fldChar w:fldCharType="begin"/>
        </w:r>
        <w:r>
          <w:instrText xml:space="preserve"> PAGE   \* MERGEFORMAT </w:instrText>
        </w:r>
        <w:r>
          <w:fldChar w:fldCharType="separate"/>
        </w:r>
        <w:r w:rsidR="00931BB6">
          <w:rPr>
            <w:noProof/>
          </w:rPr>
          <w:t>124</w:t>
        </w:r>
        <w:r>
          <w:rPr>
            <w:noProof/>
          </w:rPr>
          <w:fldChar w:fldCharType="end"/>
        </w:r>
      </w:p>
    </w:sdtContent>
  </w:sdt>
  <w:p w14:paraId="209A4618" w14:textId="77777777" w:rsidR="004D1676" w:rsidRDefault="004D16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9868" w14:textId="00F951AE" w:rsidR="004D1676" w:rsidRDefault="00245D68" w:rsidP="00B360A9">
    <w:pPr>
      <w:pStyle w:val="Footer"/>
      <w:tabs>
        <w:tab w:val="left" w:pos="6148"/>
      </w:tabs>
      <w:jc w:val="center"/>
    </w:pPr>
    <w:sdt>
      <w:sdtPr>
        <w:id w:val="882294816"/>
        <w:docPartObj>
          <w:docPartGallery w:val="Page Numbers (Bottom of Page)"/>
          <w:docPartUnique/>
        </w:docPartObj>
      </w:sdtPr>
      <w:sdtEndPr>
        <w:rPr>
          <w:noProof/>
        </w:rPr>
      </w:sdtEndPr>
      <w:sdtContent>
        <w:r w:rsidR="004D1676">
          <w:fldChar w:fldCharType="begin"/>
        </w:r>
        <w:r w:rsidR="004D1676">
          <w:instrText xml:space="preserve"> PAGE   \* MERGEFORMAT </w:instrText>
        </w:r>
        <w:r w:rsidR="004D1676">
          <w:fldChar w:fldCharType="separate"/>
        </w:r>
        <w:r w:rsidR="00931BB6">
          <w:rPr>
            <w:noProof/>
          </w:rPr>
          <w:t>154</w:t>
        </w:r>
        <w:r w:rsidR="004D1676">
          <w:rPr>
            <w:noProof/>
          </w:rPr>
          <w:fldChar w:fldCharType="end"/>
        </w:r>
      </w:sdtContent>
    </w:sdt>
  </w:p>
  <w:p w14:paraId="23D3ACC6" w14:textId="77777777" w:rsidR="004D1676" w:rsidRDefault="004D16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951654"/>
      <w:docPartObj>
        <w:docPartGallery w:val="Page Numbers (Bottom of Page)"/>
        <w:docPartUnique/>
      </w:docPartObj>
    </w:sdtPr>
    <w:sdtEndPr>
      <w:rPr>
        <w:noProof/>
      </w:rPr>
    </w:sdtEndPr>
    <w:sdtContent>
      <w:p w14:paraId="0078230F" w14:textId="52981728" w:rsidR="004D1676" w:rsidRDefault="004D1676">
        <w:pPr>
          <w:pStyle w:val="Footer"/>
          <w:jc w:val="center"/>
        </w:pPr>
        <w:r>
          <w:fldChar w:fldCharType="begin"/>
        </w:r>
        <w:r>
          <w:instrText xml:space="preserve"> PAGE   \* MERGEFORMAT </w:instrText>
        </w:r>
        <w:r>
          <w:fldChar w:fldCharType="separate"/>
        </w:r>
        <w:r w:rsidR="00931BB6">
          <w:rPr>
            <w:noProof/>
          </w:rPr>
          <w:t>131</w:t>
        </w:r>
        <w:r>
          <w:rPr>
            <w:noProof/>
          </w:rPr>
          <w:fldChar w:fldCharType="end"/>
        </w:r>
      </w:p>
    </w:sdtContent>
  </w:sdt>
  <w:p w14:paraId="1BE5A522" w14:textId="77777777" w:rsidR="004D1676" w:rsidRDefault="004D167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652086"/>
      <w:docPartObj>
        <w:docPartGallery w:val="Page Numbers (Bottom of Page)"/>
        <w:docPartUnique/>
      </w:docPartObj>
    </w:sdtPr>
    <w:sdtEndPr>
      <w:rPr>
        <w:noProof/>
      </w:rPr>
    </w:sdtEndPr>
    <w:sdtContent>
      <w:p w14:paraId="14E6C114" w14:textId="57461553" w:rsidR="004D1676" w:rsidRDefault="004D1676">
        <w:pPr>
          <w:pStyle w:val="Footer"/>
          <w:jc w:val="center"/>
        </w:pPr>
        <w:r>
          <w:fldChar w:fldCharType="begin"/>
        </w:r>
        <w:r>
          <w:instrText xml:space="preserve"> PAGE   \* MERGEFORMAT </w:instrText>
        </w:r>
        <w:r>
          <w:fldChar w:fldCharType="separate"/>
        </w:r>
        <w:r w:rsidR="00931BB6">
          <w:rPr>
            <w:noProof/>
          </w:rPr>
          <w:t>135</w:t>
        </w:r>
        <w:r>
          <w:rPr>
            <w:noProof/>
          </w:rPr>
          <w:fldChar w:fldCharType="end"/>
        </w:r>
      </w:p>
    </w:sdtContent>
  </w:sdt>
  <w:p w14:paraId="7DCEE265" w14:textId="77777777" w:rsidR="004D1676" w:rsidRDefault="004D1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5350F" w14:textId="77777777" w:rsidR="00245D68" w:rsidRDefault="00245D68" w:rsidP="008161BF">
      <w:pPr>
        <w:spacing w:line="240" w:lineRule="auto"/>
      </w:pPr>
      <w:r>
        <w:separator/>
      </w:r>
    </w:p>
  </w:footnote>
  <w:footnote w:type="continuationSeparator" w:id="0">
    <w:p w14:paraId="2E79B98A" w14:textId="77777777" w:rsidR="00245D68" w:rsidRDefault="00245D68" w:rsidP="008161BF">
      <w:pPr>
        <w:spacing w:line="240" w:lineRule="auto"/>
      </w:pPr>
      <w:r>
        <w:continuationSeparator/>
      </w:r>
    </w:p>
  </w:footnote>
  <w:footnote w:id="1">
    <w:p w14:paraId="76B22C98" w14:textId="3CDBB515" w:rsidR="004D1676" w:rsidRPr="00D65F91" w:rsidRDefault="004D1676" w:rsidP="00B60914">
      <w:pPr>
        <w:pStyle w:val="Footer"/>
        <w:rPr>
          <w:bCs/>
          <w:sz w:val="20"/>
          <w:szCs w:val="20"/>
        </w:rPr>
      </w:pPr>
      <w:r>
        <w:rPr>
          <w:rStyle w:val="FootnoteReference"/>
        </w:rPr>
        <w:footnoteRef/>
      </w:r>
      <w:r w:rsidRPr="00D65F91">
        <w:rPr>
          <w:bCs/>
          <w:sz w:val="20"/>
          <w:szCs w:val="20"/>
          <w:vertAlign w:val="superscript"/>
        </w:rPr>
        <w:t>’</w:t>
      </w:r>
      <w:r w:rsidRPr="00D65F91">
        <w:rPr>
          <w:bCs/>
          <w:sz w:val="20"/>
          <w:szCs w:val="20"/>
        </w:rPr>
        <w:t>Engagement’ in Seligman</w:t>
      </w:r>
      <w:r>
        <w:rPr>
          <w:bCs/>
          <w:sz w:val="20"/>
          <w:szCs w:val="20"/>
        </w:rPr>
        <w:t xml:space="preserve"> and colleagues’</w:t>
      </w:r>
      <w:r w:rsidRPr="00D65F91">
        <w:rPr>
          <w:bCs/>
          <w:sz w:val="20"/>
          <w:szCs w:val="20"/>
        </w:rPr>
        <w:t xml:space="preserve"> (2005) study is defined according to Csikszentmihalyi’s (1999) concept of ‘flow’, and is therefore conceptualised as a non</w:t>
      </w:r>
      <w:r>
        <w:rPr>
          <w:bCs/>
          <w:sz w:val="20"/>
          <w:szCs w:val="20"/>
        </w:rPr>
        <w:t>-</w:t>
      </w:r>
      <w:r w:rsidRPr="00D65F91">
        <w:rPr>
          <w:bCs/>
          <w:sz w:val="20"/>
          <w:szCs w:val="20"/>
        </w:rPr>
        <w:t>cognitive, non</w:t>
      </w:r>
      <w:r>
        <w:rPr>
          <w:bCs/>
          <w:sz w:val="20"/>
          <w:szCs w:val="20"/>
        </w:rPr>
        <w:t>-</w:t>
      </w:r>
      <w:r w:rsidRPr="00D65F91">
        <w:rPr>
          <w:bCs/>
          <w:sz w:val="20"/>
          <w:szCs w:val="20"/>
        </w:rPr>
        <w:t>emotional state in which time passes quickly and atte</w:t>
      </w:r>
      <w:r>
        <w:rPr>
          <w:bCs/>
          <w:sz w:val="20"/>
          <w:szCs w:val="20"/>
        </w:rPr>
        <w:t>ntion is focused on an activity</w:t>
      </w:r>
      <w:r w:rsidRPr="00D65F91">
        <w:rPr>
          <w:bCs/>
          <w:sz w:val="20"/>
          <w:szCs w:val="20"/>
        </w:rPr>
        <w:t>. ‘Engagement’ in this context should not be confused with the concept of work engagemen</w:t>
      </w:r>
      <w:r>
        <w:rPr>
          <w:bCs/>
          <w:sz w:val="20"/>
          <w:szCs w:val="20"/>
        </w:rPr>
        <w:t xml:space="preserve">t as defined by Schaufeli et al. </w:t>
      </w:r>
      <w:r w:rsidRPr="00D65F91">
        <w:rPr>
          <w:bCs/>
          <w:sz w:val="20"/>
          <w:szCs w:val="20"/>
        </w:rPr>
        <w:t xml:space="preserve">(2002) and which is the focus of this research.  </w:t>
      </w:r>
    </w:p>
    <w:p w14:paraId="2C65BE67" w14:textId="77777777" w:rsidR="004D1676" w:rsidRDefault="004D1676" w:rsidP="00B60914">
      <w:pPr>
        <w:pStyle w:val="FootnoteText"/>
      </w:pPr>
    </w:p>
  </w:footnote>
  <w:footnote w:id="2">
    <w:p w14:paraId="4DB47EA4" w14:textId="67B2FD7C" w:rsidR="004D1676" w:rsidRDefault="004D1676">
      <w:pPr>
        <w:pStyle w:val="FootnoteText"/>
      </w:pPr>
      <w:r>
        <w:rPr>
          <w:rStyle w:val="FootnoteReference"/>
        </w:rPr>
        <w:footnoteRef/>
      </w:r>
      <w:r>
        <w:rPr>
          <w:rFonts w:ascii="Calibri" w:eastAsia="Times New Roman" w:hAnsi="Calibri" w:cs="Times New Roman"/>
        </w:rPr>
        <w:t>For example, government funding to councils decreased by 19.6% between 2010/11 and 2013/14 (Age UK, 2014).</w:t>
      </w:r>
    </w:p>
  </w:footnote>
  <w:footnote w:id="3">
    <w:p w14:paraId="6BA4FE15" w14:textId="77777777" w:rsidR="004D1676" w:rsidRPr="003C672D" w:rsidRDefault="004D1676" w:rsidP="00817A2F">
      <w:pPr>
        <w:pStyle w:val="FootnoteText"/>
      </w:pPr>
      <w:r>
        <w:rPr>
          <w:rStyle w:val="FootnoteReference"/>
        </w:rPr>
        <w:footnoteRef/>
      </w:r>
      <w:r>
        <w:t xml:space="preserve"> </w:t>
      </w:r>
      <w:r w:rsidRPr="003C672D">
        <w:t>Internal validity refers to the extent to which causal conclusions about the effect of one variable on another can be drawn (Vogt &amp; Johnson, 2011). Here, it specifically refers to the extent to which a study’s results can be attributed to the intervention rather than confounding variables or poor research design.</w:t>
      </w:r>
    </w:p>
    <w:p w14:paraId="33B46E3B" w14:textId="77777777" w:rsidR="004D1676" w:rsidRDefault="004D1676" w:rsidP="00817A2F">
      <w:pPr>
        <w:pStyle w:val="FootnoteText"/>
      </w:pPr>
    </w:p>
  </w:footnote>
  <w:footnote w:id="4">
    <w:p w14:paraId="56464092" w14:textId="77777777" w:rsidR="004D1676" w:rsidRPr="001D0362" w:rsidRDefault="004D1676" w:rsidP="00E6060C">
      <w:pPr>
        <w:spacing w:line="240" w:lineRule="auto"/>
        <w:contextualSpacing/>
      </w:pPr>
      <w:r>
        <w:rPr>
          <w:rStyle w:val="FootnoteReference"/>
        </w:rPr>
        <w:footnoteRef/>
      </w:r>
      <w:r>
        <w:t xml:space="preserve"> </w:t>
      </w:r>
      <w:r w:rsidRPr="001D0362">
        <w:t>The null</w:t>
      </w:r>
      <w:r>
        <w:t>, or independence,</w:t>
      </w:r>
      <w:r w:rsidRPr="001D0362">
        <w:t xml:space="preserve"> model is one in which all variables are uncorrelated and thus has a large Chi</w:t>
      </w:r>
      <w:r w:rsidRPr="001D0362">
        <w:rPr>
          <w:vertAlign w:val="superscript"/>
        </w:rPr>
        <w:t>2</w:t>
      </w:r>
      <w:r w:rsidRPr="001D0362">
        <w:t xml:space="preserve"> </w:t>
      </w:r>
      <w:r>
        <w:t xml:space="preserve">value (see later in the text) </w:t>
      </w:r>
      <w:r w:rsidRPr="001D0362">
        <w:t>indicating the worst possible fitting model</w:t>
      </w:r>
      <w:r>
        <w:t xml:space="preserve"> (Byrne, 2010)</w:t>
      </w:r>
      <w:r w:rsidRPr="001D0362">
        <w:t xml:space="preserve">. </w:t>
      </w:r>
    </w:p>
    <w:p w14:paraId="602801FF" w14:textId="77777777" w:rsidR="004D1676" w:rsidRDefault="004D1676" w:rsidP="00E6060C">
      <w:pPr>
        <w:pStyle w:val="FootnoteText"/>
      </w:pPr>
    </w:p>
  </w:footnote>
  <w:footnote w:id="5">
    <w:p w14:paraId="79E16F1F" w14:textId="77777777" w:rsidR="004D1676" w:rsidRDefault="004D1676" w:rsidP="00E6060C">
      <w:pPr>
        <w:pStyle w:val="FootnoteText"/>
      </w:pPr>
      <w:r>
        <w:rPr>
          <w:rStyle w:val="FootnoteReference"/>
        </w:rPr>
        <w:footnoteRef/>
      </w:r>
      <w:r>
        <w:t xml:space="preserve"> It was not possible to enter all of the scales in the questionnaire together in AMOS due to the limited sample size (N=179). Doing so would have decreased the robustness of the results. </w:t>
      </w:r>
    </w:p>
  </w:footnote>
  <w:footnote w:id="6">
    <w:p w14:paraId="5870F025" w14:textId="77777777" w:rsidR="004D1676" w:rsidRDefault="004D1676" w:rsidP="00E6060C">
      <w:pPr>
        <w:pStyle w:val="FootnoteText"/>
      </w:pPr>
      <w:r>
        <w:rPr>
          <w:rStyle w:val="FootnoteReference"/>
        </w:rPr>
        <w:footnoteRef/>
      </w:r>
      <w:r>
        <w:t xml:space="preserve"> Bias corrected bootstrap 95% confidence intervals for the indirect effect are based on 1000 samples obtained via random sampling with replacement of the observed data. This is the default for the ‘MEDIATE for SPSS’ macro (Hayes, 2013).   </w:t>
      </w:r>
    </w:p>
  </w:footnote>
  <w:footnote w:id="7">
    <w:p w14:paraId="59718B6B" w14:textId="50B33C58" w:rsidR="004D1676" w:rsidRDefault="004D1676">
      <w:pPr>
        <w:pStyle w:val="FootnoteText"/>
      </w:pPr>
      <w:r>
        <w:rPr>
          <w:rStyle w:val="FootnoteReference"/>
        </w:rPr>
        <w:footnoteRef/>
      </w:r>
      <w:r>
        <w:t xml:space="preserve">Levene’s test for equality of variances indicates whether variances are equal between groups, a required assumption for </w:t>
      </w:r>
      <w:r>
        <w:rPr>
          <w:i/>
        </w:rPr>
        <w:t>t</w:t>
      </w:r>
      <w:r>
        <w:t xml:space="preserve">-tests (Vogt &amp; Johnson, 2011). A </w:t>
      </w:r>
      <w:r>
        <w:rPr>
          <w:i/>
        </w:rPr>
        <w:t>p</w:t>
      </w:r>
      <w:r>
        <w:t xml:space="preserve">-value &lt;.05 indicates that this assumption has been violated. and that the results of the </w:t>
      </w:r>
      <w:r w:rsidRPr="006F7015">
        <w:rPr>
          <w:i/>
        </w:rPr>
        <w:t>t</w:t>
      </w:r>
      <w:r>
        <w:t xml:space="preserve">-test which assumes variances are </w:t>
      </w:r>
      <w:r w:rsidRPr="006F7015">
        <w:rPr>
          <w:i/>
        </w:rPr>
        <w:t>not</w:t>
      </w:r>
      <w:r>
        <w:t xml:space="preserve"> equal should be reported in order to maintain robustness of the results.</w:t>
      </w:r>
    </w:p>
  </w:footnote>
  <w:footnote w:id="8">
    <w:p w14:paraId="11389372" w14:textId="3F74BD5C" w:rsidR="004D1676" w:rsidRDefault="004D1676" w:rsidP="00E6060C">
      <w:pPr>
        <w:pStyle w:val="FootnoteText"/>
      </w:pPr>
      <w:r>
        <w:rPr>
          <w:rStyle w:val="FootnoteReference"/>
        </w:rPr>
        <w:footnoteRef/>
      </w:r>
      <w:r>
        <w:t xml:space="preserve"> The homogeneity of variances assumption refers to the assumption in ANOVA that the variances within and between groups are similar (Tabachnik &amp; Fidell, 2007).</w:t>
      </w:r>
    </w:p>
  </w:footnote>
  <w:footnote w:id="9">
    <w:p w14:paraId="427D4791" w14:textId="62478FE6" w:rsidR="004D1676" w:rsidRDefault="004D1676" w:rsidP="00E6060C">
      <w:pPr>
        <w:pStyle w:val="FootnoteText"/>
      </w:pPr>
      <w:r>
        <w:rPr>
          <w:rStyle w:val="FootnoteReference"/>
        </w:rPr>
        <w:footnoteRef/>
      </w:r>
      <w:r>
        <w:t xml:space="preserve"> The normality assumption refers to the assumption in ANOVA that the distribution of the residuals follows the normal distribution, i.e. is bell-shaped, with a standard deviation of 1 either side of the mean (Tabachnik &amp; Fidell, 2007).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8569" w14:textId="77777777" w:rsidR="004D1676" w:rsidRDefault="004D16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F452" w14:textId="49A19F22" w:rsidR="004D1676" w:rsidRDefault="004D16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46575"/>
      <w:docPartObj>
        <w:docPartGallery w:val="Page Numbers (Margins)"/>
        <w:docPartUnique/>
      </w:docPartObj>
    </w:sdtPr>
    <w:sdtEndPr/>
    <w:sdtContent>
      <w:p w14:paraId="6A8244E5" w14:textId="41EC784F" w:rsidR="004D1676" w:rsidRDefault="004D1676">
        <w:pPr>
          <w:pStyle w:val="Header"/>
        </w:pPr>
        <w:r>
          <w:rPr>
            <w:noProof/>
            <w:lang w:eastAsia="en-GB"/>
          </w:rPr>
          <mc:AlternateContent>
            <mc:Choice Requires="wps">
              <w:drawing>
                <wp:anchor distT="0" distB="0" distL="114300" distR="114300" simplePos="0" relativeHeight="251665408" behindDoc="0" locked="0" layoutInCell="0" allowOverlap="1" wp14:anchorId="714AE068" wp14:editId="6A94B393">
                  <wp:simplePos x="0" y="0"/>
                  <wp:positionH relativeFrom="leftMargin">
                    <wp:align>center</wp:align>
                  </wp:positionH>
                  <wp:positionV relativeFrom="margin">
                    <wp:align>bottom</wp:align>
                  </wp:positionV>
                  <wp:extent cx="510540" cy="2183130"/>
                  <wp:effectExtent l="0" t="0" r="381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F4DC" w14:textId="6CF1B9FA" w:rsidR="004D1676" w:rsidRDefault="004D1676">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w14:anchorId="714AE068" id="Rectangle 25" o:spid="_x0000_s1029"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kbtQIAALcFAAAOAAAAZHJzL2Uyb0RvYy54bWysVNtu2zAMfR+wfxD07vpSJ7GNOkUbx8OA&#10;bivW7QMUW46FyZInKXGKYv8+Ss61fRm2+UEwRYo6hzzize2u42hLlWZS5Di8CjCiopI1E+scf/9W&#10;eglG2hBREy4FzfEz1fh2/v7dzdBnNJKt5DVVCJIInQ19jltj+sz3ddXSjugr2VMBzkaqjhgw1dqv&#10;FRkge8f9KAim/iBV3StZUa1htxideO7yNw2tzJem0dQgnmPAZtyq3Lqyqz+/Idlakb5l1R4G+QsU&#10;HWECLj2mKoghaKPYm1Qdq5TUsjFXlex82TSsoo4DsAmDV2yeWtJTxwWKo/tjmfT/S1t93j4qxOoc&#10;RxOMBOmgR1+hakSsOUWwBwUaep1B3FP/qCxF3T/I6odGQi5aCKN3SsmhpaQGWKGN9y8OWEPDUbQa&#10;Pska0pONka5Wu0Z1NiFUAe1cS56PLaE7gyrYnITBJIbGVeCKwuQ6vHY980l2ON0rbT5Q2SH7k2MF&#10;4F12sn3QxqIh2SHEXiZkyTh3befiYgMCxx24G45an0XhuviSBukyWSaxF0fTpRcHReHdlYvYm5bh&#10;bFJcF4tFEf6y94Zx1rK6psJec1BUGP9Zx/baHrVw1JSWnNU2nYWk1Xq14AptCSi6dJ+rOXhOYf4l&#10;DFcE4PKKUhjFwX2UeuU0mXlxGU+8dBYkXhCm9+k0iNO4KC8pPTBB/50SGnKcTkBajs4J9Ctugfve&#10;ciNZxwzMDM66HCfHIJJZCS5F7VprCOPj/1kpLPxTKaDdh0Y7wVqNjlo3u9UOsljhrmT9DNJVEpQF&#10;KoRBBz92jWZgDjA3cqx/boiiGPGPAl5AGsZWr8YZ8WQWgaHOPatzDxFVK2EcVUZhNBoLM46nTa/Y&#10;uoXrwrFQ/R28m5I5SZ+g7V8bTAfHbD/J7Pg5t13Uad7OfwM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NVDKRu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608FF4DC" w14:textId="6CF1B9FA" w:rsidR="004D1676" w:rsidRDefault="004D1676">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86863" w14:textId="0AA68B99" w:rsidR="004D1676" w:rsidRDefault="004D1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1CB"/>
    <w:multiLevelType w:val="hybridMultilevel"/>
    <w:tmpl w:val="7B029472"/>
    <w:lvl w:ilvl="0" w:tplc="252C4DBC">
      <w:start w:val="1"/>
      <w:numFmt w:val="decimal"/>
      <w:pStyle w:val="Thesisheading3"/>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2175A0E"/>
    <w:multiLevelType w:val="hybridMultilevel"/>
    <w:tmpl w:val="4EF6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85FF1"/>
    <w:multiLevelType w:val="hybridMultilevel"/>
    <w:tmpl w:val="FB8A9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55319"/>
    <w:multiLevelType w:val="hybridMultilevel"/>
    <w:tmpl w:val="3B50D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3B421A"/>
    <w:multiLevelType w:val="hybridMultilevel"/>
    <w:tmpl w:val="82F43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674A17"/>
    <w:multiLevelType w:val="hybridMultilevel"/>
    <w:tmpl w:val="40487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6907DA"/>
    <w:multiLevelType w:val="hybridMultilevel"/>
    <w:tmpl w:val="B3100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712D91"/>
    <w:multiLevelType w:val="hybridMultilevel"/>
    <w:tmpl w:val="AC70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02527B"/>
    <w:multiLevelType w:val="hybridMultilevel"/>
    <w:tmpl w:val="A6B2A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C40484"/>
    <w:multiLevelType w:val="hybridMultilevel"/>
    <w:tmpl w:val="17C8B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336585"/>
    <w:multiLevelType w:val="multilevel"/>
    <w:tmpl w:val="B7F6D7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C055D2E"/>
    <w:multiLevelType w:val="hybridMultilevel"/>
    <w:tmpl w:val="5A106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EA6791"/>
    <w:multiLevelType w:val="hybridMultilevel"/>
    <w:tmpl w:val="EEE0C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EFA4C8B"/>
    <w:multiLevelType w:val="hybridMultilevel"/>
    <w:tmpl w:val="80E2E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463641"/>
    <w:multiLevelType w:val="hybridMultilevel"/>
    <w:tmpl w:val="2EC81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F705E58"/>
    <w:multiLevelType w:val="hybridMultilevel"/>
    <w:tmpl w:val="32660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163AA4"/>
    <w:multiLevelType w:val="hybridMultilevel"/>
    <w:tmpl w:val="E4181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1755945"/>
    <w:multiLevelType w:val="hybridMultilevel"/>
    <w:tmpl w:val="9CE2F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1C739FA"/>
    <w:multiLevelType w:val="hybridMultilevel"/>
    <w:tmpl w:val="D1F06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2D07AD0"/>
    <w:multiLevelType w:val="hybridMultilevel"/>
    <w:tmpl w:val="8A4E7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723084"/>
    <w:multiLevelType w:val="hybridMultilevel"/>
    <w:tmpl w:val="FCFCD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440195"/>
    <w:multiLevelType w:val="multilevel"/>
    <w:tmpl w:val="D5A6D588"/>
    <w:lvl w:ilvl="0">
      <w:start w:val="1"/>
      <w:numFmt w:val="lowerLetter"/>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5726809"/>
    <w:multiLevelType w:val="hybridMultilevel"/>
    <w:tmpl w:val="F0DCD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15541E"/>
    <w:multiLevelType w:val="hybridMultilevel"/>
    <w:tmpl w:val="48CAC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89E251D"/>
    <w:multiLevelType w:val="hybridMultilevel"/>
    <w:tmpl w:val="5B82D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B2B7611"/>
    <w:multiLevelType w:val="hybridMultilevel"/>
    <w:tmpl w:val="62A6F4C0"/>
    <w:lvl w:ilvl="0" w:tplc="08090001">
      <w:start w:val="1"/>
      <w:numFmt w:val="bullet"/>
      <w:lvlText w:val=""/>
      <w:lvlJc w:val="left"/>
      <w:pPr>
        <w:ind w:left="518" w:hanging="360"/>
      </w:pPr>
      <w:rPr>
        <w:rFonts w:ascii="Symbol" w:hAnsi="Symbol" w:hint="default"/>
      </w:rPr>
    </w:lvl>
    <w:lvl w:ilvl="1" w:tplc="08090003" w:tentative="1">
      <w:start w:val="1"/>
      <w:numFmt w:val="bullet"/>
      <w:lvlText w:val="o"/>
      <w:lvlJc w:val="left"/>
      <w:pPr>
        <w:ind w:left="1238" w:hanging="360"/>
      </w:pPr>
      <w:rPr>
        <w:rFonts w:ascii="Courier New" w:hAnsi="Courier New" w:cs="Courier New" w:hint="default"/>
      </w:rPr>
    </w:lvl>
    <w:lvl w:ilvl="2" w:tplc="08090005" w:tentative="1">
      <w:start w:val="1"/>
      <w:numFmt w:val="bullet"/>
      <w:lvlText w:val=""/>
      <w:lvlJc w:val="left"/>
      <w:pPr>
        <w:ind w:left="1958" w:hanging="360"/>
      </w:pPr>
      <w:rPr>
        <w:rFonts w:ascii="Wingdings" w:hAnsi="Wingdings" w:hint="default"/>
      </w:rPr>
    </w:lvl>
    <w:lvl w:ilvl="3" w:tplc="08090001" w:tentative="1">
      <w:start w:val="1"/>
      <w:numFmt w:val="bullet"/>
      <w:lvlText w:val=""/>
      <w:lvlJc w:val="left"/>
      <w:pPr>
        <w:ind w:left="2678" w:hanging="360"/>
      </w:pPr>
      <w:rPr>
        <w:rFonts w:ascii="Symbol" w:hAnsi="Symbol" w:hint="default"/>
      </w:rPr>
    </w:lvl>
    <w:lvl w:ilvl="4" w:tplc="08090003" w:tentative="1">
      <w:start w:val="1"/>
      <w:numFmt w:val="bullet"/>
      <w:lvlText w:val="o"/>
      <w:lvlJc w:val="left"/>
      <w:pPr>
        <w:ind w:left="3398" w:hanging="360"/>
      </w:pPr>
      <w:rPr>
        <w:rFonts w:ascii="Courier New" w:hAnsi="Courier New" w:cs="Courier New" w:hint="default"/>
      </w:rPr>
    </w:lvl>
    <w:lvl w:ilvl="5" w:tplc="08090005" w:tentative="1">
      <w:start w:val="1"/>
      <w:numFmt w:val="bullet"/>
      <w:lvlText w:val=""/>
      <w:lvlJc w:val="left"/>
      <w:pPr>
        <w:ind w:left="4118" w:hanging="360"/>
      </w:pPr>
      <w:rPr>
        <w:rFonts w:ascii="Wingdings" w:hAnsi="Wingdings" w:hint="default"/>
      </w:rPr>
    </w:lvl>
    <w:lvl w:ilvl="6" w:tplc="08090001" w:tentative="1">
      <w:start w:val="1"/>
      <w:numFmt w:val="bullet"/>
      <w:lvlText w:val=""/>
      <w:lvlJc w:val="left"/>
      <w:pPr>
        <w:ind w:left="4838" w:hanging="360"/>
      </w:pPr>
      <w:rPr>
        <w:rFonts w:ascii="Symbol" w:hAnsi="Symbol" w:hint="default"/>
      </w:rPr>
    </w:lvl>
    <w:lvl w:ilvl="7" w:tplc="08090003" w:tentative="1">
      <w:start w:val="1"/>
      <w:numFmt w:val="bullet"/>
      <w:lvlText w:val="o"/>
      <w:lvlJc w:val="left"/>
      <w:pPr>
        <w:ind w:left="5558" w:hanging="360"/>
      </w:pPr>
      <w:rPr>
        <w:rFonts w:ascii="Courier New" w:hAnsi="Courier New" w:cs="Courier New" w:hint="default"/>
      </w:rPr>
    </w:lvl>
    <w:lvl w:ilvl="8" w:tplc="08090005" w:tentative="1">
      <w:start w:val="1"/>
      <w:numFmt w:val="bullet"/>
      <w:lvlText w:val=""/>
      <w:lvlJc w:val="left"/>
      <w:pPr>
        <w:ind w:left="6278" w:hanging="360"/>
      </w:pPr>
      <w:rPr>
        <w:rFonts w:ascii="Wingdings" w:hAnsi="Wingdings" w:hint="default"/>
      </w:rPr>
    </w:lvl>
  </w:abstractNum>
  <w:abstractNum w:abstractNumId="26" w15:restartNumberingAfterBreak="0">
    <w:nsid w:val="1BF9665B"/>
    <w:multiLevelType w:val="hybridMultilevel"/>
    <w:tmpl w:val="EDE05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C51756D"/>
    <w:multiLevelType w:val="hybridMultilevel"/>
    <w:tmpl w:val="FA80C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D93564D"/>
    <w:multiLevelType w:val="hybridMultilevel"/>
    <w:tmpl w:val="3320B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DEB70D5"/>
    <w:multiLevelType w:val="hybridMultilevel"/>
    <w:tmpl w:val="D7407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E7F312A"/>
    <w:multiLevelType w:val="hybridMultilevel"/>
    <w:tmpl w:val="85860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E8E5AC9"/>
    <w:multiLevelType w:val="hybridMultilevel"/>
    <w:tmpl w:val="D2D24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FA001E4"/>
    <w:multiLevelType w:val="hybridMultilevel"/>
    <w:tmpl w:val="4E68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0650857"/>
    <w:multiLevelType w:val="hybridMultilevel"/>
    <w:tmpl w:val="C7047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2B381D"/>
    <w:multiLevelType w:val="hybridMultilevel"/>
    <w:tmpl w:val="C8E23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2CC30C7"/>
    <w:multiLevelType w:val="hybridMultilevel"/>
    <w:tmpl w:val="4A10A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3EF4E24"/>
    <w:multiLevelType w:val="hybridMultilevel"/>
    <w:tmpl w:val="0BD66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54E4826"/>
    <w:multiLevelType w:val="hybridMultilevel"/>
    <w:tmpl w:val="4252B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6ED7F1D"/>
    <w:multiLevelType w:val="hybridMultilevel"/>
    <w:tmpl w:val="C3FC3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7F177E2"/>
    <w:multiLevelType w:val="hybridMultilevel"/>
    <w:tmpl w:val="E9BA3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9316F92"/>
    <w:multiLevelType w:val="hybridMultilevel"/>
    <w:tmpl w:val="F766A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9A71611"/>
    <w:multiLevelType w:val="multilevel"/>
    <w:tmpl w:val="E75E867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1006"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2A7E5D07"/>
    <w:multiLevelType w:val="hybridMultilevel"/>
    <w:tmpl w:val="A42A6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AE014EA"/>
    <w:multiLevelType w:val="hybridMultilevel"/>
    <w:tmpl w:val="2B3E4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B1871EB"/>
    <w:multiLevelType w:val="hybridMultilevel"/>
    <w:tmpl w:val="29D65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BCB4590"/>
    <w:multiLevelType w:val="hybridMultilevel"/>
    <w:tmpl w:val="AAEE0350"/>
    <w:lvl w:ilvl="0" w:tplc="08090001">
      <w:start w:val="1"/>
      <w:numFmt w:val="bullet"/>
      <w:lvlText w:val=""/>
      <w:lvlJc w:val="left"/>
      <w:pPr>
        <w:ind w:left="389" w:hanging="360"/>
      </w:pPr>
      <w:rPr>
        <w:rFonts w:ascii="Symbol" w:hAnsi="Symbol"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46" w15:restartNumberingAfterBreak="0">
    <w:nsid w:val="2C1010B9"/>
    <w:multiLevelType w:val="hybridMultilevel"/>
    <w:tmpl w:val="95BA7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CD6501A"/>
    <w:multiLevelType w:val="hybridMultilevel"/>
    <w:tmpl w:val="71BA6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08768E4"/>
    <w:multiLevelType w:val="hybridMultilevel"/>
    <w:tmpl w:val="6152E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2BA54C2"/>
    <w:multiLevelType w:val="hybridMultilevel"/>
    <w:tmpl w:val="9B78E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2CF7512"/>
    <w:multiLevelType w:val="hybridMultilevel"/>
    <w:tmpl w:val="25208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42B0059"/>
    <w:multiLevelType w:val="hybridMultilevel"/>
    <w:tmpl w:val="08CAA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4974621"/>
    <w:multiLevelType w:val="hybridMultilevel"/>
    <w:tmpl w:val="ABECE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57B7EF8"/>
    <w:multiLevelType w:val="hybridMultilevel"/>
    <w:tmpl w:val="CBE46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68727CE"/>
    <w:multiLevelType w:val="hybridMultilevel"/>
    <w:tmpl w:val="1B9ECCC0"/>
    <w:lvl w:ilvl="0" w:tplc="DBC496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370B5BD5"/>
    <w:multiLevelType w:val="hybridMultilevel"/>
    <w:tmpl w:val="FE50D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9011DAC"/>
    <w:multiLevelType w:val="hybridMultilevel"/>
    <w:tmpl w:val="813C7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9483D6C"/>
    <w:multiLevelType w:val="hybridMultilevel"/>
    <w:tmpl w:val="1FC08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8E3C0E"/>
    <w:multiLevelType w:val="hybridMultilevel"/>
    <w:tmpl w:val="27BEE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B027A94"/>
    <w:multiLevelType w:val="hybridMultilevel"/>
    <w:tmpl w:val="A1EC6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B491368"/>
    <w:multiLevelType w:val="hybridMultilevel"/>
    <w:tmpl w:val="2610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BE90A6F"/>
    <w:multiLevelType w:val="hybridMultilevel"/>
    <w:tmpl w:val="7DF47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750747"/>
    <w:multiLevelType w:val="hybridMultilevel"/>
    <w:tmpl w:val="D25A4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D262156"/>
    <w:multiLevelType w:val="hybridMultilevel"/>
    <w:tmpl w:val="2654D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FC94EE5"/>
    <w:multiLevelType w:val="hybridMultilevel"/>
    <w:tmpl w:val="CD5A9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0327BF9"/>
    <w:multiLevelType w:val="hybridMultilevel"/>
    <w:tmpl w:val="A3604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08916C0"/>
    <w:multiLevelType w:val="hybridMultilevel"/>
    <w:tmpl w:val="12D02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1801E16"/>
    <w:multiLevelType w:val="hybridMultilevel"/>
    <w:tmpl w:val="EDBE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144DC7"/>
    <w:multiLevelType w:val="hybridMultilevel"/>
    <w:tmpl w:val="F3A00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264408A"/>
    <w:multiLevelType w:val="hybridMultilevel"/>
    <w:tmpl w:val="43568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4803019"/>
    <w:multiLevelType w:val="hybridMultilevel"/>
    <w:tmpl w:val="902C8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5A758B7"/>
    <w:multiLevelType w:val="hybridMultilevel"/>
    <w:tmpl w:val="67BAE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5EB798F"/>
    <w:multiLevelType w:val="hybridMultilevel"/>
    <w:tmpl w:val="49E2F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7501523"/>
    <w:multiLevelType w:val="hybridMultilevel"/>
    <w:tmpl w:val="45B6C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81F1F99"/>
    <w:multiLevelType w:val="hybridMultilevel"/>
    <w:tmpl w:val="C65EB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82200EF"/>
    <w:multiLevelType w:val="hybridMultilevel"/>
    <w:tmpl w:val="DB2A7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A5B4AB0"/>
    <w:multiLevelType w:val="hybridMultilevel"/>
    <w:tmpl w:val="5C7E9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A6706CA"/>
    <w:multiLevelType w:val="hybridMultilevel"/>
    <w:tmpl w:val="94363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AEF7006"/>
    <w:multiLevelType w:val="hybridMultilevel"/>
    <w:tmpl w:val="CD246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AF028F3"/>
    <w:multiLevelType w:val="hybridMultilevel"/>
    <w:tmpl w:val="3D28A344"/>
    <w:lvl w:ilvl="0" w:tplc="12360D44">
      <w:start w:val="2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D6C7180"/>
    <w:multiLevelType w:val="hybridMultilevel"/>
    <w:tmpl w:val="BB08C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ECD50D0"/>
    <w:multiLevelType w:val="hybridMultilevel"/>
    <w:tmpl w:val="0D586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F233E46"/>
    <w:multiLevelType w:val="hybridMultilevel"/>
    <w:tmpl w:val="6EB20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0EB070F"/>
    <w:multiLevelType w:val="hybridMultilevel"/>
    <w:tmpl w:val="CF708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2067CE5"/>
    <w:multiLevelType w:val="hybridMultilevel"/>
    <w:tmpl w:val="77823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2320E96"/>
    <w:multiLevelType w:val="hybridMultilevel"/>
    <w:tmpl w:val="A5682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524146F9"/>
    <w:multiLevelType w:val="hybridMultilevel"/>
    <w:tmpl w:val="151C5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4785374"/>
    <w:multiLevelType w:val="hybridMultilevel"/>
    <w:tmpl w:val="8558E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5781BEC"/>
    <w:multiLevelType w:val="hybridMultilevel"/>
    <w:tmpl w:val="E4122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57825DC"/>
    <w:multiLevelType w:val="hybridMultilevel"/>
    <w:tmpl w:val="368A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6AA0BFC"/>
    <w:multiLevelType w:val="hybridMultilevel"/>
    <w:tmpl w:val="CE88B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0A48B3"/>
    <w:multiLevelType w:val="hybridMultilevel"/>
    <w:tmpl w:val="9F88C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59096C24"/>
    <w:multiLevelType w:val="hybridMultilevel"/>
    <w:tmpl w:val="12E2A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9972F7D"/>
    <w:multiLevelType w:val="hybridMultilevel"/>
    <w:tmpl w:val="EF6C9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A13620D"/>
    <w:multiLevelType w:val="hybridMultilevel"/>
    <w:tmpl w:val="D2243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A220EBF"/>
    <w:multiLevelType w:val="hybridMultilevel"/>
    <w:tmpl w:val="42D8E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ACC0A72"/>
    <w:multiLevelType w:val="hybridMultilevel"/>
    <w:tmpl w:val="44246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AEA1BDE"/>
    <w:multiLevelType w:val="hybridMultilevel"/>
    <w:tmpl w:val="7C30B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BC140A6"/>
    <w:multiLevelType w:val="hybridMultilevel"/>
    <w:tmpl w:val="96CED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C737410"/>
    <w:multiLevelType w:val="hybridMultilevel"/>
    <w:tmpl w:val="D264B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CEC195C"/>
    <w:multiLevelType w:val="hybridMultilevel"/>
    <w:tmpl w:val="7E2E19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D350C65"/>
    <w:multiLevelType w:val="hybridMultilevel"/>
    <w:tmpl w:val="10062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DB83175"/>
    <w:multiLevelType w:val="hybridMultilevel"/>
    <w:tmpl w:val="8338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EB45A3E"/>
    <w:multiLevelType w:val="hybridMultilevel"/>
    <w:tmpl w:val="25FA3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EC738FC"/>
    <w:multiLevelType w:val="hybridMultilevel"/>
    <w:tmpl w:val="A8B01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0444AA3"/>
    <w:multiLevelType w:val="hybridMultilevel"/>
    <w:tmpl w:val="B9A46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0A90CC0"/>
    <w:multiLevelType w:val="hybridMultilevel"/>
    <w:tmpl w:val="8C2CD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2827146"/>
    <w:multiLevelType w:val="hybridMultilevel"/>
    <w:tmpl w:val="8904D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2FE717F"/>
    <w:multiLevelType w:val="hybridMultilevel"/>
    <w:tmpl w:val="E3E6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3F45AA5"/>
    <w:multiLevelType w:val="hybridMultilevel"/>
    <w:tmpl w:val="611AA5A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7421B25"/>
    <w:multiLevelType w:val="hybridMultilevel"/>
    <w:tmpl w:val="33104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8AD1491"/>
    <w:multiLevelType w:val="hybridMultilevel"/>
    <w:tmpl w:val="54AA7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8F143D2"/>
    <w:multiLevelType w:val="hybridMultilevel"/>
    <w:tmpl w:val="40100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A3D74D2"/>
    <w:multiLevelType w:val="hybridMultilevel"/>
    <w:tmpl w:val="08F4D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E003B01"/>
    <w:multiLevelType w:val="hybridMultilevel"/>
    <w:tmpl w:val="B1303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EE46FEA"/>
    <w:multiLevelType w:val="hybridMultilevel"/>
    <w:tmpl w:val="574C6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6FCA570C"/>
    <w:multiLevelType w:val="hybridMultilevel"/>
    <w:tmpl w:val="8BEE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2D765D4"/>
    <w:multiLevelType w:val="hybridMultilevel"/>
    <w:tmpl w:val="E8CA1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72E74700"/>
    <w:multiLevelType w:val="hybridMultilevel"/>
    <w:tmpl w:val="36E2C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34C7BE7"/>
    <w:multiLevelType w:val="hybridMultilevel"/>
    <w:tmpl w:val="C2364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5D25928"/>
    <w:multiLevelType w:val="hybridMultilevel"/>
    <w:tmpl w:val="30AA3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6EC0B6B"/>
    <w:multiLevelType w:val="hybridMultilevel"/>
    <w:tmpl w:val="77465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8D608A5"/>
    <w:multiLevelType w:val="hybridMultilevel"/>
    <w:tmpl w:val="8AC40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9440B1C"/>
    <w:multiLevelType w:val="hybridMultilevel"/>
    <w:tmpl w:val="B596D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7BBD4B00"/>
    <w:multiLevelType w:val="hybridMultilevel"/>
    <w:tmpl w:val="0DFC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CBA3517"/>
    <w:multiLevelType w:val="hybridMultilevel"/>
    <w:tmpl w:val="C7C21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CD246DF"/>
    <w:multiLevelType w:val="hybridMultilevel"/>
    <w:tmpl w:val="3D86C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D463381"/>
    <w:multiLevelType w:val="hybridMultilevel"/>
    <w:tmpl w:val="1054E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DB0265F"/>
    <w:multiLevelType w:val="hybridMultilevel"/>
    <w:tmpl w:val="7FC4F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4"/>
  </w:num>
  <w:num w:numId="2">
    <w:abstractNumId w:val="65"/>
  </w:num>
  <w:num w:numId="3">
    <w:abstractNumId w:val="30"/>
  </w:num>
  <w:num w:numId="4">
    <w:abstractNumId w:val="21"/>
  </w:num>
  <w:num w:numId="5">
    <w:abstractNumId w:val="24"/>
  </w:num>
  <w:num w:numId="6">
    <w:abstractNumId w:val="7"/>
  </w:num>
  <w:num w:numId="7">
    <w:abstractNumId w:val="123"/>
  </w:num>
  <w:num w:numId="8">
    <w:abstractNumId w:val="60"/>
  </w:num>
  <w:num w:numId="9">
    <w:abstractNumId w:val="49"/>
  </w:num>
  <w:num w:numId="10">
    <w:abstractNumId w:val="124"/>
  </w:num>
  <w:num w:numId="11">
    <w:abstractNumId w:val="28"/>
  </w:num>
  <w:num w:numId="12">
    <w:abstractNumId w:val="73"/>
  </w:num>
  <w:num w:numId="13">
    <w:abstractNumId w:val="6"/>
  </w:num>
  <w:num w:numId="14">
    <w:abstractNumId w:val="94"/>
  </w:num>
  <w:num w:numId="15">
    <w:abstractNumId w:val="10"/>
  </w:num>
  <w:num w:numId="16">
    <w:abstractNumId w:val="102"/>
  </w:num>
  <w:num w:numId="17">
    <w:abstractNumId w:val="113"/>
  </w:num>
  <w:num w:numId="18">
    <w:abstractNumId w:val="67"/>
  </w:num>
  <w:num w:numId="19">
    <w:abstractNumId w:val="90"/>
  </w:num>
  <w:num w:numId="20">
    <w:abstractNumId w:val="79"/>
  </w:num>
  <w:num w:numId="21">
    <w:abstractNumId w:val="105"/>
  </w:num>
  <w:num w:numId="22">
    <w:abstractNumId w:val="99"/>
  </w:num>
  <w:num w:numId="23">
    <w:abstractNumId w:val="53"/>
  </w:num>
  <w:num w:numId="24">
    <w:abstractNumId w:val="117"/>
  </w:num>
  <w:num w:numId="25">
    <w:abstractNumId w:val="33"/>
  </w:num>
  <w:num w:numId="26">
    <w:abstractNumId w:val="92"/>
  </w:num>
  <w:num w:numId="27">
    <w:abstractNumId w:val="34"/>
  </w:num>
  <w:num w:numId="28">
    <w:abstractNumId w:val="114"/>
  </w:num>
  <w:num w:numId="29">
    <w:abstractNumId w:val="98"/>
  </w:num>
  <w:num w:numId="30">
    <w:abstractNumId w:val="44"/>
  </w:num>
  <w:num w:numId="31">
    <w:abstractNumId w:val="20"/>
  </w:num>
  <w:num w:numId="32">
    <w:abstractNumId w:val="101"/>
  </w:num>
  <w:num w:numId="33">
    <w:abstractNumId w:val="116"/>
  </w:num>
  <w:num w:numId="34">
    <w:abstractNumId w:val="110"/>
  </w:num>
  <w:num w:numId="35">
    <w:abstractNumId w:val="8"/>
  </w:num>
  <w:num w:numId="36">
    <w:abstractNumId w:val="50"/>
  </w:num>
  <w:num w:numId="37">
    <w:abstractNumId w:val="42"/>
  </w:num>
  <w:num w:numId="38">
    <w:abstractNumId w:val="95"/>
  </w:num>
  <w:num w:numId="39">
    <w:abstractNumId w:val="111"/>
  </w:num>
  <w:num w:numId="40">
    <w:abstractNumId w:val="48"/>
  </w:num>
  <w:num w:numId="41">
    <w:abstractNumId w:val="26"/>
  </w:num>
  <w:num w:numId="42">
    <w:abstractNumId w:val="86"/>
  </w:num>
  <w:num w:numId="43">
    <w:abstractNumId w:val="84"/>
  </w:num>
  <w:num w:numId="44">
    <w:abstractNumId w:val="43"/>
  </w:num>
  <w:num w:numId="45">
    <w:abstractNumId w:val="108"/>
  </w:num>
  <w:num w:numId="46">
    <w:abstractNumId w:val="80"/>
  </w:num>
  <w:num w:numId="47">
    <w:abstractNumId w:val="118"/>
  </w:num>
  <w:num w:numId="48">
    <w:abstractNumId w:val="93"/>
  </w:num>
  <w:num w:numId="49">
    <w:abstractNumId w:val="68"/>
  </w:num>
  <w:num w:numId="50">
    <w:abstractNumId w:val="13"/>
  </w:num>
  <w:num w:numId="51">
    <w:abstractNumId w:val="125"/>
  </w:num>
  <w:num w:numId="52">
    <w:abstractNumId w:val="87"/>
  </w:num>
  <w:num w:numId="53">
    <w:abstractNumId w:val="46"/>
  </w:num>
  <w:num w:numId="54">
    <w:abstractNumId w:val="120"/>
  </w:num>
  <w:num w:numId="55">
    <w:abstractNumId w:val="45"/>
  </w:num>
  <w:num w:numId="56">
    <w:abstractNumId w:val="56"/>
  </w:num>
  <w:num w:numId="57">
    <w:abstractNumId w:val="3"/>
  </w:num>
  <w:num w:numId="58">
    <w:abstractNumId w:val="9"/>
  </w:num>
  <w:num w:numId="59">
    <w:abstractNumId w:val="89"/>
  </w:num>
  <w:num w:numId="60">
    <w:abstractNumId w:val="91"/>
  </w:num>
  <w:num w:numId="61">
    <w:abstractNumId w:val="106"/>
  </w:num>
  <w:num w:numId="62">
    <w:abstractNumId w:val="66"/>
  </w:num>
  <w:num w:numId="63">
    <w:abstractNumId w:val="63"/>
  </w:num>
  <w:num w:numId="64">
    <w:abstractNumId w:val="12"/>
  </w:num>
  <w:num w:numId="65">
    <w:abstractNumId w:val="76"/>
  </w:num>
  <w:num w:numId="66">
    <w:abstractNumId w:val="81"/>
  </w:num>
  <w:num w:numId="67">
    <w:abstractNumId w:val="97"/>
  </w:num>
  <w:num w:numId="68">
    <w:abstractNumId w:val="82"/>
  </w:num>
  <w:num w:numId="69">
    <w:abstractNumId w:val="27"/>
  </w:num>
  <w:num w:numId="70">
    <w:abstractNumId w:val="17"/>
  </w:num>
  <w:num w:numId="71">
    <w:abstractNumId w:val="55"/>
  </w:num>
  <w:num w:numId="72">
    <w:abstractNumId w:val="85"/>
  </w:num>
  <w:num w:numId="73">
    <w:abstractNumId w:val="15"/>
  </w:num>
  <w:num w:numId="74">
    <w:abstractNumId w:val="119"/>
  </w:num>
  <w:num w:numId="75">
    <w:abstractNumId w:val="52"/>
  </w:num>
  <w:num w:numId="76">
    <w:abstractNumId w:val="18"/>
  </w:num>
  <w:num w:numId="77">
    <w:abstractNumId w:val="115"/>
  </w:num>
  <w:num w:numId="78">
    <w:abstractNumId w:val="36"/>
  </w:num>
  <w:num w:numId="79">
    <w:abstractNumId w:val="32"/>
  </w:num>
  <w:num w:numId="80">
    <w:abstractNumId w:val="122"/>
  </w:num>
  <w:num w:numId="81">
    <w:abstractNumId w:val="61"/>
  </w:num>
  <w:num w:numId="82">
    <w:abstractNumId w:val="77"/>
  </w:num>
  <w:num w:numId="83">
    <w:abstractNumId w:val="29"/>
  </w:num>
  <w:num w:numId="84">
    <w:abstractNumId w:val="107"/>
  </w:num>
  <w:num w:numId="85">
    <w:abstractNumId w:val="72"/>
  </w:num>
  <w:num w:numId="86">
    <w:abstractNumId w:val="1"/>
  </w:num>
  <w:num w:numId="87">
    <w:abstractNumId w:val="121"/>
  </w:num>
  <w:num w:numId="88">
    <w:abstractNumId w:val="128"/>
  </w:num>
  <w:num w:numId="89">
    <w:abstractNumId w:val="96"/>
  </w:num>
  <w:num w:numId="90">
    <w:abstractNumId w:val="78"/>
  </w:num>
  <w:num w:numId="91">
    <w:abstractNumId w:val="22"/>
  </w:num>
  <w:num w:numId="92">
    <w:abstractNumId w:val="64"/>
  </w:num>
  <w:num w:numId="93">
    <w:abstractNumId w:val="70"/>
  </w:num>
  <w:num w:numId="94">
    <w:abstractNumId w:val="69"/>
  </w:num>
  <w:num w:numId="95">
    <w:abstractNumId w:val="59"/>
  </w:num>
  <w:num w:numId="96">
    <w:abstractNumId w:val="37"/>
  </w:num>
  <w:num w:numId="97">
    <w:abstractNumId w:val="38"/>
  </w:num>
  <w:num w:numId="98">
    <w:abstractNumId w:val="47"/>
  </w:num>
  <w:num w:numId="99">
    <w:abstractNumId w:val="39"/>
  </w:num>
  <w:num w:numId="100">
    <w:abstractNumId w:val="35"/>
  </w:num>
  <w:num w:numId="101">
    <w:abstractNumId w:val="14"/>
  </w:num>
  <w:num w:numId="102">
    <w:abstractNumId w:val="104"/>
  </w:num>
  <w:num w:numId="103">
    <w:abstractNumId w:val="23"/>
  </w:num>
  <w:num w:numId="104">
    <w:abstractNumId w:val="4"/>
  </w:num>
  <w:num w:numId="105">
    <w:abstractNumId w:val="57"/>
  </w:num>
  <w:num w:numId="106">
    <w:abstractNumId w:val="11"/>
  </w:num>
  <w:num w:numId="107">
    <w:abstractNumId w:val="16"/>
  </w:num>
  <w:num w:numId="108">
    <w:abstractNumId w:val="2"/>
  </w:num>
  <w:num w:numId="109">
    <w:abstractNumId w:val="31"/>
  </w:num>
  <w:num w:numId="110">
    <w:abstractNumId w:val="25"/>
  </w:num>
  <w:num w:numId="111">
    <w:abstractNumId w:val="127"/>
  </w:num>
  <w:num w:numId="112">
    <w:abstractNumId w:val="83"/>
  </w:num>
  <w:num w:numId="113">
    <w:abstractNumId w:val="51"/>
  </w:num>
  <w:num w:numId="114">
    <w:abstractNumId w:val="40"/>
  </w:num>
  <w:num w:numId="115">
    <w:abstractNumId w:val="71"/>
  </w:num>
  <w:num w:numId="116">
    <w:abstractNumId w:val="112"/>
  </w:num>
  <w:num w:numId="117">
    <w:abstractNumId w:val="126"/>
  </w:num>
  <w:num w:numId="118">
    <w:abstractNumId w:val="5"/>
  </w:num>
  <w:num w:numId="119">
    <w:abstractNumId w:val="58"/>
  </w:num>
  <w:num w:numId="120">
    <w:abstractNumId w:val="88"/>
  </w:num>
  <w:num w:numId="121">
    <w:abstractNumId w:val="19"/>
  </w:num>
  <w:num w:numId="122">
    <w:abstractNumId w:val="75"/>
  </w:num>
  <w:num w:numId="123">
    <w:abstractNumId w:val="74"/>
  </w:num>
  <w:num w:numId="124">
    <w:abstractNumId w:val="62"/>
  </w:num>
  <w:num w:numId="125">
    <w:abstractNumId w:val="103"/>
  </w:num>
  <w:num w:numId="126">
    <w:abstractNumId w:val="41"/>
  </w:num>
  <w:num w:numId="127">
    <w:abstractNumId w:val="0"/>
  </w:num>
  <w:num w:numId="128">
    <w:abstractNumId w:val="100"/>
  </w:num>
  <w:num w:numId="129">
    <w:abstractNumId w:val="10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468"/>
    <w:rsid w:val="00001A53"/>
    <w:rsid w:val="0000308F"/>
    <w:rsid w:val="00004C6F"/>
    <w:rsid w:val="000100D3"/>
    <w:rsid w:val="00010517"/>
    <w:rsid w:val="00012897"/>
    <w:rsid w:val="00015198"/>
    <w:rsid w:val="000175B3"/>
    <w:rsid w:val="00021873"/>
    <w:rsid w:val="00026705"/>
    <w:rsid w:val="00026729"/>
    <w:rsid w:val="00027F3E"/>
    <w:rsid w:val="00030B4D"/>
    <w:rsid w:val="00034A51"/>
    <w:rsid w:val="00042ED9"/>
    <w:rsid w:val="00050FFB"/>
    <w:rsid w:val="00051C2D"/>
    <w:rsid w:val="00057008"/>
    <w:rsid w:val="00063976"/>
    <w:rsid w:val="00063F1A"/>
    <w:rsid w:val="00064EB1"/>
    <w:rsid w:val="000676CE"/>
    <w:rsid w:val="00070E8C"/>
    <w:rsid w:val="000730C7"/>
    <w:rsid w:val="00076E0D"/>
    <w:rsid w:val="00077BBF"/>
    <w:rsid w:val="0008016A"/>
    <w:rsid w:val="00082FBD"/>
    <w:rsid w:val="0008492F"/>
    <w:rsid w:val="00085B05"/>
    <w:rsid w:val="0008773B"/>
    <w:rsid w:val="0009618B"/>
    <w:rsid w:val="000A3B2F"/>
    <w:rsid w:val="000A6833"/>
    <w:rsid w:val="000B0432"/>
    <w:rsid w:val="000B0FB2"/>
    <w:rsid w:val="000B4700"/>
    <w:rsid w:val="000B5878"/>
    <w:rsid w:val="000B7960"/>
    <w:rsid w:val="000C0DE6"/>
    <w:rsid w:val="000C3B9F"/>
    <w:rsid w:val="000C5663"/>
    <w:rsid w:val="000D4C05"/>
    <w:rsid w:val="000E0219"/>
    <w:rsid w:val="000E3904"/>
    <w:rsid w:val="000E55AB"/>
    <w:rsid w:val="00101B2C"/>
    <w:rsid w:val="00104027"/>
    <w:rsid w:val="001057E2"/>
    <w:rsid w:val="00105FAA"/>
    <w:rsid w:val="00107E54"/>
    <w:rsid w:val="00110421"/>
    <w:rsid w:val="001146C5"/>
    <w:rsid w:val="00115582"/>
    <w:rsid w:val="00115D3F"/>
    <w:rsid w:val="00120010"/>
    <w:rsid w:val="00125B9C"/>
    <w:rsid w:val="001260A3"/>
    <w:rsid w:val="001270A5"/>
    <w:rsid w:val="00127961"/>
    <w:rsid w:val="0013012B"/>
    <w:rsid w:val="0013038A"/>
    <w:rsid w:val="00130722"/>
    <w:rsid w:val="0013145D"/>
    <w:rsid w:val="00133AE6"/>
    <w:rsid w:val="00140154"/>
    <w:rsid w:val="00140BC3"/>
    <w:rsid w:val="001412E5"/>
    <w:rsid w:val="0014324C"/>
    <w:rsid w:val="001463BA"/>
    <w:rsid w:val="0015129C"/>
    <w:rsid w:val="00152F6D"/>
    <w:rsid w:val="001605AC"/>
    <w:rsid w:val="00160731"/>
    <w:rsid w:val="00160DF8"/>
    <w:rsid w:val="00162F20"/>
    <w:rsid w:val="0017033F"/>
    <w:rsid w:val="00172B12"/>
    <w:rsid w:val="00174E00"/>
    <w:rsid w:val="00177B1F"/>
    <w:rsid w:val="00181C99"/>
    <w:rsid w:val="0019054C"/>
    <w:rsid w:val="00191A27"/>
    <w:rsid w:val="00193A13"/>
    <w:rsid w:val="00193A3C"/>
    <w:rsid w:val="00195C4B"/>
    <w:rsid w:val="00196294"/>
    <w:rsid w:val="001A0C82"/>
    <w:rsid w:val="001A1233"/>
    <w:rsid w:val="001A33CA"/>
    <w:rsid w:val="001A7258"/>
    <w:rsid w:val="001A769A"/>
    <w:rsid w:val="001A77E5"/>
    <w:rsid w:val="001B0521"/>
    <w:rsid w:val="001B312F"/>
    <w:rsid w:val="001B4AE2"/>
    <w:rsid w:val="001B5BAE"/>
    <w:rsid w:val="001B5EA4"/>
    <w:rsid w:val="001B697E"/>
    <w:rsid w:val="001B7E53"/>
    <w:rsid w:val="001C0966"/>
    <w:rsid w:val="001D310A"/>
    <w:rsid w:val="001D500F"/>
    <w:rsid w:val="001D6140"/>
    <w:rsid w:val="001D6D7C"/>
    <w:rsid w:val="001D7ABC"/>
    <w:rsid w:val="001E25C9"/>
    <w:rsid w:val="001E32A3"/>
    <w:rsid w:val="001E3D24"/>
    <w:rsid w:val="001E3ECE"/>
    <w:rsid w:val="001F0C9C"/>
    <w:rsid w:val="001F7B6A"/>
    <w:rsid w:val="00201111"/>
    <w:rsid w:val="00201B5B"/>
    <w:rsid w:val="002020AE"/>
    <w:rsid w:val="00211547"/>
    <w:rsid w:val="00214339"/>
    <w:rsid w:val="002146F2"/>
    <w:rsid w:val="00215105"/>
    <w:rsid w:val="00217FFD"/>
    <w:rsid w:val="00221505"/>
    <w:rsid w:val="00221DDF"/>
    <w:rsid w:val="0022229A"/>
    <w:rsid w:val="00222C28"/>
    <w:rsid w:val="00224279"/>
    <w:rsid w:val="00225D32"/>
    <w:rsid w:val="002274FA"/>
    <w:rsid w:val="002275AC"/>
    <w:rsid w:val="0023126F"/>
    <w:rsid w:val="002332CF"/>
    <w:rsid w:val="00233642"/>
    <w:rsid w:val="0024481C"/>
    <w:rsid w:val="00245D68"/>
    <w:rsid w:val="00254553"/>
    <w:rsid w:val="0026001D"/>
    <w:rsid w:val="00261B75"/>
    <w:rsid w:val="00261F67"/>
    <w:rsid w:val="00262D2D"/>
    <w:rsid w:val="00272241"/>
    <w:rsid w:val="00272759"/>
    <w:rsid w:val="00276FB0"/>
    <w:rsid w:val="00277266"/>
    <w:rsid w:val="00277FBA"/>
    <w:rsid w:val="002824AB"/>
    <w:rsid w:val="00282D48"/>
    <w:rsid w:val="0028411D"/>
    <w:rsid w:val="002843A4"/>
    <w:rsid w:val="002865EA"/>
    <w:rsid w:val="00286B35"/>
    <w:rsid w:val="0029277A"/>
    <w:rsid w:val="00293F57"/>
    <w:rsid w:val="00294B34"/>
    <w:rsid w:val="002957FC"/>
    <w:rsid w:val="0029691C"/>
    <w:rsid w:val="0029784D"/>
    <w:rsid w:val="002A2A14"/>
    <w:rsid w:val="002A32D0"/>
    <w:rsid w:val="002A55D0"/>
    <w:rsid w:val="002A5A6B"/>
    <w:rsid w:val="002A68F8"/>
    <w:rsid w:val="002A6E71"/>
    <w:rsid w:val="002A7349"/>
    <w:rsid w:val="002A7BC7"/>
    <w:rsid w:val="002A7BCC"/>
    <w:rsid w:val="002B2AB4"/>
    <w:rsid w:val="002B69C4"/>
    <w:rsid w:val="002C0069"/>
    <w:rsid w:val="002C1929"/>
    <w:rsid w:val="002C37D4"/>
    <w:rsid w:val="002C74CE"/>
    <w:rsid w:val="002D3426"/>
    <w:rsid w:val="002D3ECF"/>
    <w:rsid w:val="002D62CB"/>
    <w:rsid w:val="002D643D"/>
    <w:rsid w:val="002E1A17"/>
    <w:rsid w:val="002E301F"/>
    <w:rsid w:val="002E3468"/>
    <w:rsid w:val="002E3564"/>
    <w:rsid w:val="002F1042"/>
    <w:rsid w:val="002F1718"/>
    <w:rsid w:val="002F3951"/>
    <w:rsid w:val="002F5671"/>
    <w:rsid w:val="002F7524"/>
    <w:rsid w:val="0030317A"/>
    <w:rsid w:val="00304039"/>
    <w:rsid w:val="00305D6B"/>
    <w:rsid w:val="00306BF9"/>
    <w:rsid w:val="00307C3F"/>
    <w:rsid w:val="00315D48"/>
    <w:rsid w:val="003219C7"/>
    <w:rsid w:val="003226AC"/>
    <w:rsid w:val="003273D5"/>
    <w:rsid w:val="003304BE"/>
    <w:rsid w:val="0033434A"/>
    <w:rsid w:val="00334496"/>
    <w:rsid w:val="00334B53"/>
    <w:rsid w:val="003369A1"/>
    <w:rsid w:val="00336D7C"/>
    <w:rsid w:val="00341CB1"/>
    <w:rsid w:val="0034292B"/>
    <w:rsid w:val="00342DC8"/>
    <w:rsid w:val="00343C38"/>
    <w:rsid w:val="0034480E"/>
    <w:rsid w:val="00344C19"/>
    <w:rsid w:val="00344F02"/>
    <w:rsid w:val="003450B1"/>
    <w:rsid w:val="00345254"/>
    <w:rsid w:val="00345AC6"/>
    <w:rsid w:val="0034717B"/>
    <w:rsid w:val="00347C4E"/>
    <w:rsid w:val="0035035C"/>
    <w:rsid w:val="003554E2"/>
    <w:rsid w:val="003555A5"/>
    <w:rsid w:val="00356DC7"/>
    <w:rsid w:val="003609BD"/>
    <w:rsid w:val="00363714"/>
    <w:rsid w:val="00364D5C"/>
    <w:rsid w:val="00364F98"/>
    <w:rsid w:val="00365A2D"/>
    <w:rsid w:val="00365FDD"/>
    <w:rsid w:val="00366CF5"/>
    <w:rsid w:val="003714D5"/>
    <w:rsid w:val="00375633"/>
    <w:rsid w:val="00375E27"/>
    <w:rsid w:val="00377C6F"/>
    <w:rsid w:val="0038045F"/>
    <w:rsid w:val="00381B7C"/>
    <w:rsid w:val="00384206"/>
    <w:rsid w:val="00384B8C"/>
    <w:rsid w:val="00387F40"/>
    <w:rsid w:val="00390C54"/>
    <w:rsid w:val="00392B2E"/>
    <w:rsid w:val="00395453"/>
    <w:rsid w:val="0039770A"/>
    <w:rsid w:val="00397E67"/>
    <w:rsid w:val="003A1023"/>
    <w:rsid w:val="003A3FB3"/>
    <w:rsid w:val="003A44C6"/>
    <w:rsid w:val="003A604B"/>
    <w:rsid w:val="003A62DA"/>
    <w:rsid w:val="003B2E80"/>
    <w:rsid w:val="003B4121"/>
    <w:rsid w:val="003C0A65"/>
    <w:rsid w:val="003C26F3"/>
    <w:rsid w:val="003C5DD5"/>
    <w:rsid w:val="003C75D4"/>
    <w:rsid w:val="003D26AF"/>
    <w:rsid w:val="003D6A46"/>
    <w:rsid w:val="003D76DC"/>
    <w:rsid w:val="003D797B"/>
    <w:rsid w:val="003E1856"/>
    <w:rsid w:val="003E3A5B"/>
    <w:rsid w:val="003E497A"/>
    <w:rsid w:val="003F0D97"/>
    <w:rsid w:val="003F131C"/>
    <w:rsid w:val="003F136A"/>
    <w:rsid w:val="003F379B"/>
    <w:rsid w:val="003F6C5E"/>
    <w:rsid w:val="003F7E68"/>
    <w:rsid w:val="004000B8"/>
    <w:rsid w:val="004053EB"/>
    <w:rsid w:val="00405EAC"/>
    <w:rsid w:val="0040628D"/>
    <w:rsid w:val="00407EEB"/>
    <w:rsid w:val="004141A5"/>
    <w:rsid w:val="00414DD4"/>
    <w:rsid w:val="00421E3E"/>
    <w:rsid w:val="00430633"/>
    <w:rsid w:val="00441EBE"/>
    <w:rsid w:val="00442B5C"/>
    <w:rsid w:val="00442EED"/>
    <w:rsid w:val="00443FE4"/>
    <w:rsid w:val="0044764E"/>
    <w:rsid w:val="0045062E"/>
    <w:rsid w:val="00454A90"/>
    <w:rsid w:val="00460668"/>
    <w:rsid w:val="00465601"/>
    <w:rsid w:val="0047003A"/>
    <w:rsid w:val="004713DC"/>
    <w:rsid w:val="00473FA2"/>
    <w:rsid w:val="00475A0C"/>
    <w:rsid w:val="004804AA"/>
    <w:rsid w:val="00480928"/>
    <w:rsid w:val="004913FB"/>
    <w:rsid w:val="00491E5C"/>
    <w:rsid w:val="004A01BB"/>
    <w:rsid w:val="004A0E4B"/>
    <w:rsid w:val="004A1B90"/>
    <w:rsid w:val="004A230E"/>
    <w:rsid w:val="004A4480"/>
    <w:rsid w:val="004A515E"/>
    <w:rsid w:val="004B07AF"/>
    <w:rsid w:val="004B3ACB"/>
    <w:rsid w:val="004B6125"/>
    <w:rsid w:val="004C4819"/>
    <w:rsid w:val="004C4E34"/>
    <w:rsid w:val="004C6168"/>
    <w:rsid w:val="004C74C0"/>
    <w:rsid w:val="004D0E09"/>
    <w:rsid w:val="004D15B9"/>
    <w:rsid w:val="004D1676"/>
    <w:rsid w:val="004D1AE0"/>
    <w:rsid w:val="004D6C5A"/>
    <w:rsid w:val="004D7400"/>
    <w:rsid w:val="004E0671"/>
    <w:rsid w:val="004E1C30"/>
    <w:rsid w:val="004E2211"/>
    <w:rsid w:val="004F3F59"/>
    <w:rsid w:val="00501119"/>
    <w:rsid w:val="00503A4A"/>
    <w:rsid w:val="0050600A"/>
    <w:rsid w:val="00506770"/>
    <w:rsid w:val="005077F1"/>
    <w:rsid w:val="0051129B"/>
    <w:rsid w:val="005133DB"/>
    <w:rsid w:val="005134D9"/>
    <w:rsid w:val="005137B5"/>
    <w:rsid w:val="00514535"/>
    <w:rsid w:val="00515E1D"/>
    <w:rsid w:val="00515F5C"/>
    <w:rsid w:val="005206F4"/>
    <w:rsid w:val="005218AF"/>
    <w:rsid w:val="00530C68"/>
    <w:rsid w:val="00532116"/>
    <w:rsid w:val="00533C09"/>
    <w:rsid w:val="00537C7E"/>
    <w:rsid w:val="00537CE3"/>
    <w:rsid w:val="00540AF0"/>
    <w:rsid w:val="00540E24"/>
    <w:rsid w:val="005432D5"/>
    <w:rsid w:val="00543471"/>
    <w:rsid w:val="0054677C"/>
    <w:rsid w:val="005524C4"/>
    <w:rsid w:val="00552653"/>
    <w:rsid w:val="0055496E"/>
    <w:rsid w:val="00554CE1"/>
    <w:rsid w:val="00560433"/>
    <w:rsid w:val="005606E4"/>
    <w:rsid w:val="00561FF0"/>
    <w:rsid w:val="00562A83"/>
    <w:rsid w:val="005707E0"/>
    <w:rsid w:val="005726FB"/>
    <w:rsid w:val="005730CC"/>
    <w:rsid w:val="00575361"/>
    <w:rsid w:val="00576852"/>
    <w:rsid w:val="00582EE6"/>
    <w:rsid w:val="005852AD"/>
    <w:rsid w:val="0058542E"/>
    <w:rsid w:val="005865A5"/>
    <w:rsid w:val="0059003A"/>
    <w:rsid w:val="00590913"/>
    <w:rsid w:val="00593140"/>
    <w:rsid w:val="00597B3B"/>
    <w:rsid w:val="00597B71"/>
    <w:rsid w:val="005A071E"/>
    <w:rsid w:val="005A0B1E"/>
    <w:rsid w:val="005A23E0"/>
    <w:rsid w:val="005B1A3C"/>
    <w:rsid w:val="005B3101"/>
    <w:rsid w:val="005B4E95"/>
    <w:rsid w:val="005C1D7B"/>
    <w:rsid w:val="005C2054"/>
    <w:rsid w:val="005C48C0"/>
    <w:rsid w:val="005C5977"/>
    <w:rsid w:val="005C6176"/>
    <w:rsid w:val="005C650C"/>
    <w:rsid w:val="005C70BE"/>
    <w:rsid w:val="005C796D"/>
    <w:rsid w:val="005D147A"/>
    <w:rsid w:val="005D6A67"/>
    <w:rsid w:val="005E10C7"/>
    <w:rsid w:val="005E7E44"/>
    <w:rsid w:val="005F3994"/>
    <w:rsid w:val="005F7E67"/>
    <w:rsid w:val="00606CEE"/>
    <w:rsid w:val="00611231"/>
    <w:rsid w:val="006146B2"/>
    <w:rsid w:val="00614B43"/>
    <w:rsid w:val="00616F47"/>
    <w:rsid w:val="0062045B"/>
    <w:rsid w:val="00621521"/>
    <w:rsid w:val="00621A20"/>
    <w:rsid w:val="00621EEA"/>
    <w:rsid w:val="00631A33"/>
    <w:rsid w:val="006332F4"/>
    <w:rsid w:val="00634AE9"/>
    <w:rsid w:val="00634D11"/>
    <w:rsid w:val="00636109"/>
    <w:rsid w:val="0064459D"/>
    <w:rsid w:val="00650310"/>
    <w:rsid w:val="006513C5"/>
    <w:rsid w:val="00656F52"/>
    <w:rsid w:val="00664B94"/>
    <w:rsid w:val="00671EEB"/>
    <w:rsid w:val="0067452B"/>
    <w:rsid w:val="006814E6"/>
    <w:rsid w:val="006816D8"/>
    <w:rsid w:val="0068410B"/>
    <w:rsid w:val="0068449F"/>
    <w:rsid w:val="0068580A"/>
    <w:rsid w:val="0069651E"/>
    <w:rsid w:val="006A2AB6"/>
    <w:rsid w:val="006A2D00"/>
    <w:rsid w:val="006A3453"/>
    <w:rsid w:val="006A42ED"/>
    <w:rsid w:val="006A509A"/>
    <w:rsid w:val="006B1364"/>
    <w:rsid w:val="006B6649"/>
    <w:rsid w:val="006B6725"/>
    <w:rsid w:val="006C47CA"/>
    <w:rsid w:val="006C5CB9"/>
    <w:rsid w:val="006C5FC3"/>
    <w:rsid w:val="006D5CAD"/>
    <w:rsid w:val="006D7117"/>
    <w:rsid w:val="006D7218"/>
    <w:rsid w:val="006E090D"/>
    <w:rsid w:val="006E21C9"/>
    <w:rsid w:val="006E32D1"/>
    <w:rsid w:val="006E3BD3"/>
    <w:rsid w:val="006E61A5"/>
    <w:rsid w:val="006E6960"/>
    <w:rsid w:val="006E744C"/>
    <w:rsid w:val="006F1861"/>
    <w:rsid w:val="006F4C41"/>
    <w:rsid w:val="006F54AF"/>
    <w:rsid w:val="006F6F29"/>
    <w:rsid w:val="00702D9B"/>
    <w:rsid w:val="0070520B"/>
    <w:rsid w:val="0070559B"/>
    <w:rsid w:val="00707623"/>
    <w:rsid w:val="007114F4"/>
    <w:rsid w:val="00713793"/>
    <w:rsid w:val="0071411A"/>
    <w:rsid w:val="0072145A"/>
    <w:rsid w:val="00723193"/>
    <w:rsid w:val="007243FC"/>
    <w:rsid w:val="0072579D"/>
    <w:rsid w:val="00732887"/>
    <w:rsid w:val="00734AC2"/>
    <w:rsid w:val="00740059"/>
    <w:rsid w:val="00742F35"/>
    <w:rsid w:val="007438B9"/>
    <w:rsid w:val="007458DB"/>
    <w:rsid w:val="00745A8A"/>
    <w:rsid w:val="00746ADD"/>
    <w:rsid w:val="00747525"/>
    <w:rsid w:val="00750E97"/>
    <w:rsid w:val="00751926"/>
    <w:rsid w:val="00755DC6"/>
    <w:rsid w:val="00755E91"/>
    <w:rsid w:val="007578AF"/>
    <w:rsid w:val="00757B97"/>
    <w:rsid w:val="00760744"/>
    <w:rsid w:val="00761B9B"/>
    <w:rsid w:val="0076257D"/>
    <w:rsid w:val="00763D79"/>
    <w:rsid w:val="00764189"/>
    <w:rsid w:val="00767738"/>
    <w:rsid w:val="00767B70"/>
    <w:rsid w:val="00770721"/>
    <w:rsid w:val="00771847"/>
    <w:rsid w:val="007719CD"/>
    <w:rsid w:val="00772C6E"/>
    <w:rsid w:val="00773F9D"/>
    <w:rsid w:val="00776B79"/>
    <w:rsid w:val="007803A3"/>
    <w:rsid w:val="00782CF7"/>
    <w:rsid w:val="00783047"/>
    <w:rsid w:val="00783780"/>
    <w:rsid w:val="007837A1"/>
    <w:rsid w:val="00793BD2"/>
    <w:rsid w:val="0079494E"/>
    <w:rsid w:val="007967EE"/>
    <w:rsid w:val="007975E1"/>
    <w:rsid w:val="007A1760"/>
    <w:rsid w:val="007A253F"/>
    <w:rsid w:val="007A46AB"/>
    <w:rsid w:val="007A60EE"/>
    <w:rsid w:val="007A765C"/>
    <w:rsid w:val="007B3563"/>
    <w:rsid w:val="007B3CDD"/>
    <w:rsid w:val="007B44F8"/>
    <w:rsid w:val="007B646D"/>
    <w:rsid w:val="007C0484"/>
    <w:rsid w:val="007C1FFA"/>
    <w:rsid w:val="007C5B52"/>
    <w:rsid w:val="007C77D0"/>
    <w:rsid w:val="007D07AC"/>
    <w:rsid w:val="007D317C"/>
    <w:rsid w:val="007D420E"/>
    <w:rsid w:val="007D6684"/>
    <w:rsid w:val="007D6847"/>
    <w:rsid w:val="007E0C31"/>
    <w:rsid w:val="007E37C8"/>
    <w:rsid w:val="007E4669"/>
    <w:rsid w:val="007E6C26"/>
    <w:rsid w:val="007F2E6B"/>
    <w:rsid w:val="008002BC"/>
    <w:rsid w:val="00801C4F"/>
    <w:rsid w:val="008036FE"/>
    <w:rsid w:val="008039CD"/>
    <w:rsid w:val="00803FB6"/>
    <w:rsid w:val="00804FEB"/>
    <w:rsid w:val="008161BF"/>
    <w:rsid w:val="00816BA5"/>
    <w:rsid w:val="00817A2F"/>
    <w:rsid w:val="0082007F"/>
    <w:rsid w:val="008214C1"/>
    <w:rsid w:val="0082211C"/>
    <w:rsid w:val="00822D31"/>
    <w:rsid w:val="00824339"/>
    <w:rsid w:val="00825855"/>
    <w:rsid w:val="00825C8B"/>
    <w:rsid w:val="00835855"/>
    <w:rsid w:val="008366A1"/>
    <w:rsid w:val="0083787D"/>
    <w:rsid w:val="0084073F"/>
    <w:rsid w:val="00842587"/>
    <w:rsid w:val="00844414"/>
    <w:rsid w:val="00846510"/>
    <w:rsid w:val="00846BBB"/>
    <w:rsid w:val="00846F7F"/>
    <w:rsid w:val="00851935"/>
    <w:rsid w:val="00853E64"/>
    <w:rsid w:val="00854E54"/>
    <w:rsid w:val="0086017B"/>
    <w:rsid w:val="008729BF"/>
    <w:rsid w:val="00873189"/>
    <w:rsid w:val="00874FC5"/>
    <w:rsid w:val="00877198"/>
    <w:rsid w:val="0087726C"/>
    <w:rsid w:val="00881733"/>
    <w:rsid w:val="008840B9"/>
    <w:rsid w:val="00895875"/>
    <w:rsid w:val="008977DA"/>
    <w:rsid w:val="008A4158"/>
    <w:rsid w:val="008A4560"/>
    <w:rsid w:val="008B096E"/>
    <w:rsid w:val="008B586A"/>
    <w:rsid w:val="008B58B4"/>
    <w:rsid w:val="008B6048"/>
    <w:rsid w:val="008C1906"/>
    <w:rsid w:val="008C2F0A"/>
    <w:rsid w:val="008C315C"/>
    <w:rsid w:val="008C628C"/>
    <w:rsid w:val="008C6294"/>
    <w:rsid w:val="008D4886"/>
    <w:rsid w:val="008D6A1F"/>
    <w:rsid w:val="008D763C"/>
    <w:rsid w:val="008E06E7"/>
    <w:rsid w:val="008E3E7D"/>
    <w:rsid w:val="008E423B"/>
    <w:rsid w:val="008E4D62"/>
    <w:rsid w:val="008E6271"/>
    <w:rsid w:val="008E7E35"/>
    <w:rsid w:val="008F064B"/>
    <w:rsid w:val="008F132F"/>
    <w:rsid w:val="008F1D5A"/>
    <w:rsid w:val="008F4519"/>
    <w:rsid w:val="008F4B05"/>
    <w:rsid w:val="008F6182"/>
    <w:rsid w:val="008F63CB"/>
    <w:rsid w:val="009004CD"/>
    <w:rsid w:val="00901B62"/>
    <w:rsid w:val="00901BC2"/>
    <w:rsid w:val="0090279F"/>
    <w:rsid w:val="00902BC1"/>
    <w:rsid w:val="00903FE1"/>
    <w:rsid w:val="009070C1"/>
    <w:rsid w:val="00916C78"/>
    <w:rsid w:val="00922269"/>
    <w:rsid w:val="009229B7"/>
    <w:rsid w:val="00923A7B"/>
    <w:rsid w:val="0092778B"/>
    <w:rsid w:val="00930C81"/>
    <w:rsid w:val="00931228"/>
    <w:rsid w:val="00931BB6"/>
    <w:rsid w:val="00932747"/>
    <w:rsid w:val="009370D0"/>
    <w:rsid w:val="00945CC5"/>
    <w:rsid w:val="00945D31"/>
    <w:rsid w:val="0094641F"/>
    <w:rsid w:val="00947024"/>
    <w:rsid w:val="0095269C"/>
    <w:rsid w:val="00954010"/>
    <w:rsid w:val="00957235"/>
    <w:rsid w:val="00960E25"/>
    <w:rsid w:val="00962263"/>
    <w:rsid w:val="00963B7E"/>
    <w:rsid w:val="00964405"/>
    <w:rsid w:val="009651FD"/>
    <w:rsid w:val="00966BBB"/>
    <w:rsid w:val="00966BCB"/>
    <w:rsid w:val="0097015F"/>
    <w:rsid w:val="009711F1"/>
    <w:rsid w:val="00971F33"/>
    <w:rsid w:val="009725EF"/>
    <w:rsid w:val="0097511D"/>
    <w:rsid w:val="00980DD0"/>
    <w:rsid w:val="00983715"/>
    <w:rsid w:val="00985A34"/>
    <w:rsid w:val="009860B0"/>
    <w:rsid w:val="00986D2F"/>
    <w:rsid w:val="00991E5F"/>
    <w:rsid w:val="00992B4C"/>
    <w:rsid w:val="00994343"/>
    <w:rsid w:val="00997397"/>
    <w:rsid w:val="00997716"/>
    <w:rsid w:val="009A0552"/>
    <w:rsid w:val="009A24EB"/>
    <w:rsid w:val="009A5C75"/>
    <w:rsid w:val="009A766B"/>
    <w:rsid w:val="009B06BE"/>
    <w:rsid w:val="009B52F9"/>
    <w:rsid w:val="009B6619"/>
    <w:rsid w:val="009C187E"/>
    <w:rsid w:val="009C68AE"/>
    <w:rsid w:val="009C6CFE"/>
    <w:rsid w:val="009C7B10"/>
    <w:rsid w:val="009D2E42"/>
    <w:rsid w:val="009D62DB"/>
    <w:rsid w:val="009D75AD"/>
    <w:rsid w:val="009E35A9"/>
    <w:rsid w:val="009E373A"/>
    <w:rsid w:val="009E7519"/>
    <w:rsid w:val="009F0621"/>
    <w:rsid w:val="009F50EE"/>
    <w:rsid w:val="009F571F"/>
    <w:rsid w:val="009F5F21"/>
    <w:rsid w:val="00A006F4"/>
    <w:rsid w:val="00A009A4"/>
    <w:rsid w:val="00A047B1"/>
    <w:rsid w:val="00A059AA"/>
    <w:rsid w:val="00A05CB2"/>
    <w:rsid w:val="00A0737F"/>
    <w:rsid w:val="00A143E4"/>
    <w:rsid w:val="00A14E11"/>
    <w:rsid w:val="00A22399"/>
    <w:rsid w:val="00A272BF"/>
    <w:rsid w:val="00A27F08"/>
    <w:rsid w:val="00A3002A"/>
    <w:rsid w:val="00A30D04"/>
    <w:rsid w:val="00A323FB"/>
    <w:rsid w:val="00A43B59"/>
    <w:rsid w:val="00A447F6"/>
    <w:rsid w:val="00A44EA3"/>
    <w:rsid w:val="00A4578A"/>
    <w:rsid w:val="00A53300"/>
    <w:rsid w:val="00A54063"/>
    <w:rsid w:val="00A554E8"/>
    <w:rsid w:val="00A55C9A"/>
    <w:rsid w:val="00A56464"/>
    <w:rsid w:val="00A627C0"/>
    <w:rsid w:val="00A62DDD"/>
    <w:rsid w:val="00A63859"/>
    <w:rsid w:val="00A66EA6"/>
    <w:rsid w:val="00A76D7E"/>
    <w:rsid w:val="00A81930"/>
    <w:rsid w:val="00A849A8"/>
    <w:rsid w:val="00A84D92"/>
    <w:rsid w:val="00A859E7"/>
    <w:rsid w:val="00A8646E"/>
    <w:rsid w:val="00A865D6"/>
    <w:rsid w:val="00A8707E"/>
    <w:rsid w:val="00A903E1"/>
    <w:rsid w:val="00A938F3"/>
    <w:rsid w:val="00A940C7"/>
    <w:rsid w:val="00AA0192"/>
    <w:rsid w:val="00AA22E6"/>
    <w:rsid w:val="00AB237B"/>
    <w:rsid w:val="00AB65CE"/>
    <w:rsid w:val="00AC1675"/>
    <w:rsid w:val="00AC39BE"/>
    <w:rsid w:val="00AC4DD2"/>
    <w:rsid w:val="00AD2512"/>
    <w:rsid w:val="00AD3813"/>
    <w:rsid w:val="00AD3EFE"/>
    <w:rsid w:val="00AD462A"/>
    <w:rsid w:val="00AE0FF2"/>
    <w:rsid w:val="00AE3CFA"/>
    <w:rsid w:val="00AE4209"/>
    <w:rsid w:val="00AF1388"/>
    <w:rsid w:val="00AF3C6F"/>
    <w:rsid w:val="00AF46EE"/>
    <w:rsid w:val="00AF66C4"/>
    <w:rsid w:val="00B009FE"/>
    <w:rsid w:val="00B01116"/>
    <w:rsid w:val="00B02589"/>
    <w:rsid w:val="00B02756"/>
    <w:rsid w:val="00B06205"/>
    <w:rsid w:val="00B111C0"/>
    <w:rsid w:val="00B118CD"/>
    <w:rsid w:val="00B12DD2"/>
    <w:rsid w:val="00B14A25"/>
    <w:rsid w:val="00B15B82"/>
    <w:rsid w:val="00B17B1D"/>
    <w:rsid w:val="00B20774"/>
    <w:rsid w:val="00B26CD4"/>
    <w:rsid w:val="00B32687"/>
    <w:rsid w:val="00B32B13"/>
    <w:rsid w:val="00B360A9"/>
    <w:rsid w:val="00B42984"/>
    <w:rsid w:val="00B42B36"/>
    <w:rsid w:val="00B42E46"/>
    <w:rsid w:val="00B43083"/>
    <w:rsid w:val="00B44E0B"/>
    <w:rsid w:val="00B50C43"/>
    <w:rsid w:val="00B51840"/>
    <w:rsid w:val="00B5203F"/>
    <w:rsid w:val="00B520C2"/>
    <w:rsid w:val="00B536D2"/>
    <w:rsid w:val="00B53D9E"/>
    <w:rsid w:val="00B541D2"/>
    <w:rsid w:val="00B5547E"/>
    <w:rsid w:val="00B60914"/>
    <w:rsid w:val="00B60E6C"/>
    <w:rsid w:val="00B61B1C"/>
    <w:rsid w:val="00B64DD5"/>
    <w:rsid w:val="00B70039"/>
    <w:rsid w:val="00B700DB"/>
    <w:rsid w:val="00B720BF"/>
    <w:rsid w:val="00B72B2F"/>
    <w:rsid w:val="00B7614E"/>
    <w:rsid w:val="00B772AC"/>
    <w:rsid w:val="00B82DC9"/>
    <w:rsid w:val="00B838FB"/>
    <w:rsid w:val="00B84CA8"/>
    <w:rsid w:val="00B86654"/>
    <w:rsid w:val="00B87549"/>
    <w:rsid w:val="00B950BD"/>
    <w:rsid w:val="00BA0C1B"/>
    <w:rsid w:val="00BA1D44"/>
    <w:rsid w:val="00BB0336"/>
    <w:rsid w:val="00BB0757"/>
    <w:rsid w:val="00BB1556"/>
    <w:rsid w:val="00BB25A3"/>
    <w:rsid w:val="00BB405D"/>
    <w:rsid w:val="00BB5E4D"/>
    <w:rsid w:val="00BC0BC0"/>
    <w:rsid w:val="00BC2D9F"/>
    <w:rsid w:val="00BC34D0"/>
    <w:rsid w:val="00BC669C"/>
    <w:rsid w:val="00BC7C4A"/>
    <w:rsid w:val="00BD2640"/>
    <w:rsid w:val="00BD3D8D"/>
    <w:rsid w:val="00BD5391"/>
    <w:rsid w:val="00BD780D"/>
    <w:rsid w:val="00BD7C7D"/>
    <w:rsid w:val="00BE080C"/>
    <w:rsid w:val="00BE111D"/>
    <w:rsid w:val="00BE15C0"/>
    <w:rsid w:val="00BE2E03"/>
    <w:rsid w:val="00BE62B2"/>
    <w:rsid w:val="00BE7398"/>
    <w:rsid w:val="00BF077B"/>
    <w:rsid w:val="00BF2709"/>
    <w:rsid w:val="00BF29BD"/>
    <w:rsid w:val="00BF5BD4"/>
    <w:rsid w:val="00C1016C"/>
    <w:rsid w:val="00C12C09"/>
    <w:rsid w:val="00C13456"/>
    <w:rsid w:val="00C17305"/>
    <w:rsid w:val="00C173F5"/>
    <w:rsid w:val="00C17CB1"/>
    <w:rsid w:val="00C21657"/>
    <w:rsid w:val="00C23D06"/>
    <w:rsid w:val="00C315D2"/>
    <w:rsid w:val="00C35076"/>
    <w:rsid w:val="00C37307"/>
    <w:rsid w:val="00C43530"/>
    <w:rsid w:val="00C436FB"/>
    <w:rsid w:val="00C43948"/>
    <w:rsid w:val="00C44073"/>
    <w:rsid w:val="00C5149A"/>
    <w:rsid w:val="00C51E88"/>
    <w:rsid w:val="00C5481B"/>
    <w:rsid w:val="00C549FC"/>
    <w:rsid w:val="00C55FED"/>
    <w:rsid w:val="00C575A1"/>
    <w:rsid w:val="00C57CA8"/>
    <w:rsid w:val="00C75558"/>
    <w:rsid w:val="00C7646B"/>
    <w:rsid w:val="00C76A6A"/>
    <w:rsid w:val="00C7793C"/>
    <w:rsid w:val="00C829ED"/>
    <w:rsid w:val="00C831D9"/>
    <w:rsid w:val="00C86E2C"/>
    <w:rsid w:val="00C86FAB"/>
    <w:rsid w:val="00C87C1F"/>
    <w:rsid w:val="00C91137"/>
    <w:rsid w:val="00C912B3"/>
    <w:rsid w:val="00C93652"/>
    <w:rsid w:val="00C9686B"/>
    <w:rsid w:val="00C97BFE"/>
    <w:rsid w:val="00CA379C"/>
    <w:rsid w:val="00CA3D61"/>
    <w:rsid w:val="00CA3FA3"/>
    <w:rsid w:val="00CA510C"/>
    <w:rsid w:val="00CB336C"/>
    <w:rsid w:val="00CB3753"/>
    <w:rsid w:val="00CB3FC7"/>
    <w:rsid w:val="00CC2673"/>
    <w:rsid w:val="00CC6E2E"/>
    <w:rsid w:val="00CD0F0E"/>
    <w:rsid w:val="00CD12CF"/>
    <w:rsid w:val="00CD7004"/>
    <w:rsid w:val="00CE05EC"/>
    <w:rsid w:val="00CE22F4"/>
    <w:rsid w:val="00CE47D5"/>
    <w:rsid w:val="00CE4DAC"/>
    <w:rsid w:val="00D02BB4"/>
    <w:rsid w:val="00D03654"/>
    <w:rsid w:val="00D0734B"/>
    <w:rsid w:val="00D11C84"/>
    <w:rsid w:val="00D137BD"/>
    <w:rsid w:val="00D156B8"/>
    <w:rsid w:val="00D20EED"/>
    <w:rsid w:val="00D20F92"/>
    <w:rsid w:val="00D229C1"/>
    <w:rsid w:val="00D23357"/>
    <w:rsid w:val="00D32A9D"/>
    <w:rsid w:val="00D34110"/>
    <w:rsid w:val="00D35F71"/>
    <w:rsid w:val="00D36B15"/>
    <w:rsid w:val="00D409F0"/>
    <w:rsid w:val="00D44406"/>
    <w:rsid w:val="00D46B44"/>
    <w:rsid w:val="00D57101"/>
    <w:rsid w:val="00D60094"/>
    <w:rsid w:val="00D6240B"/>
    <w:rsid w:val="00D63BE9"/>
    <w:rsid w:val="00D64ECC"/>
    <w:rsid w:val="00D66CC0"/>
    <w:rsid w:val="00D67B05"/>
    <w:rsid w:val="00D72797"/>
    <w:rsid w:val="00D7503C"/>
    <w:rsid w:val="00D77E72"/>
    <w:rsid w:val="00D81921"/>
    <w:rsid w:val="00D85E8C"/>
    <w:rsid w:val="00DA03B4"/>
    <w:rsid w:val="00DA279E"/>
    <w:rsid w:val="00DA5DF8"/>
    <w:rsid w:val="00DA6BCE"/>
    <w:rsid w:val="00DB1C1F"/>
    <w:rsid w:val="00DB5723"/>
    <w:rsid w:val="00DB60D8"/>
    <w:rsid w:val="00DC1E1C"/>
    <w:rsid w:val="00DC1E2B"/>
    <w:rsid w:val="00DC4A8F"/>
    <w:rsid w:val="00DC4FD8"/>
    <w:rsid w:val="00DC7D2F"/>
    <w:rsid w:val="00DD34C1"/>
    <w:rsid w:val="00DD3B05"/>
    <w:rsid w:val="00DD533F"/>
    <w:rsid w:val="00DD71CD"/>
    <w:rsid w:val="00DE346E"/>
    <w:rsid w:val="00DE42D9"/>
    <w:rsid w:val="00DE5B55"/>
    <w:rsid w:val="00DF13C4"/>
    <w:rsid w:val="00DF21FC"/>
    <w:rsid w:val="00DF4654"/>
    <w:rsid w:val="00DF5D9A"/>
    <w:rsid w:val="00E02932"/>
    <w:rsid w:val="00E02C4F"/>
    <w:rsid w:val="00E05D8A"/>
    <w:rsid w:val="00E05F9D"/>
    <w:rsid w:val="00E06405"/>
    <w:rsid w:val="00E06480"/>
    <w:rsid w:val="00E067D9"/>
    <w:rsid w:val="00E10236"/>
    <w:rsid w:val="00E14BF3"/>
    <w:rsid w:val="00E14F8F"/>
    <w:rsid w:val="00E15B49"/>
    <w:rsid w:val="00E1645F"/>
    <w:rsid w:val="00E17437"/>
    <w:rsid w:val="00E1770B"/>
    <w:rsid w:val="00E21972"/>
    <w:rsid w:val="00E23CF8"/>
    <w:rsid w:val="00E24673"/>
    <w:rsid w:val="00E26263"/>
    <w:rsid w:val="00E302D6"/>
    <w:rsid w:val="00E328D1"/>
    <w:rsid w:val="00E33550"/>
    <w:rsid w:val="00E347B1"/>
    <w:rsid w:val="00E355B1"/>
    <w:rsid w:val="00E35690"/>
    <w:rsid w:val="00E358BF"/>
    <w:rsid w:val="00E37A34"/>
    <w:rsid w:val="00E4393F"/>
    <w:rsid w:val="00E43A12"/>
    <w:rsid w:val="00E6060C"/>
    <w:rsid w:val="00E60871"/>
    <w:rsid w:val="00E61400"/>
    <w:rsid w:val="00E649D3"/>
    <w:rsid w:val="00E65EBD"/>
    <w:rsid w:val="00E6753F"/>
    <w:rsid w:val="00E705B6"/>
    <w:rsid w:val="00E7098C"/>
    <w:rsid w:val="00E70B98"/>
    <w:rsid w:val="00E724B8"/>
    <w:rsid w:val="00E75644"/>
    <w:rsid w:val="00E75F1F"/>
    <w:rsid w:val="00E8236F"/>
    <w:rsid w:val="00E84771"/>
    <w:rsid w:val="00E850E2"/>
    <w:rsid w:val="00E92138"/>
    <w:rsid w:val="00E95B0D"/>
    <w:rsid w:val="00EA00FA"/>
    <w:rsid w:val="00EA245A"/>
    <w:rsid w:val="00EA254E"/>
    <w:rsid w:val="00EB473D"/>
    <w:rsid w:val="00EB5D01"/>
    <w:rsid w:val="00EB5E5C"/>
    <w:rsid w:val="00EB6499"/>
    <w:rsid w:val="00EB73D7"/>
    <w:rsid w:val="00EC1D35"/>
    <w:rsid w:val="00EC6E7A"/>
    <w:rsid w:val="00EC7444"/>
    <w:rsid w:val="00ED0F34"/>
    <w:rsid w:val="00ED1A22"/>
    <w:rsid w:val="00ED1C8E"/>
    <w:rsid w:val="00ED4D23"/>
    <w:rsid w:val="00ED6BC1"/>
    <w:rsid w:val="00EE03B0"/>
    <w:rsid w:val="00EE08E3"/>
    <w:rsid w:val="00EE3D8C"/>
    <w:rsid w:val="00EE3DCD"/>
    <w:rsid w:val="00EE458A"/>
    <w:rsid w:val="00EE7EAB"/>
    <w:rsid w:val="00F00857"/>
    <w:rsid w:val="00F0168C"/>
    <w:rsid w:val="00F04913"/>
    <w:rsid w:val="00F0516A"/>
    <w:rsid w:val="00F060DF"/>
    <w:rsid w:val="00F13FA7"/>
    <w:rsid w:val="00F15DDF"/>
    <w:rsid w:val="00F17A86"/>
    <w:rsid w:val="00F2294A"/>
    <w:rsid w:val="00F256F4"/>
    <w:rsid w:val="00F30522"/>
    <w:rsid w:val="00F31223"/>
    <w:rsid w:val="00F315E6"/>
    <w:rsid w:val="00F379A0"/>
    <w:rsid w:val="00F42670"/>
    <w:rsid w:val="00F4297C"/>
    <w:rsid w:val="00F44BBE"/>
    <w:rsid w:val="00F46927"/>
    <w:rsid w:val="00F4794D"/>
    <w:rsid w:val="00F575F5"/>
    <w:rsid w:val="00F60B38"/>
    <w:rsid w:val="00F60B8D"/>
    <w:rsid w:val="00F61507"/>
    <w:rsid w:val="00F66738"/>
    <w:rsid w:val="00F669CB"/>
    <w:rsid w:val="00F6778E"/>
    <w:rsid w:val="00F72513"/>
    <w:rsid w:val="00F730C0"/>
    <w:rsid w:val="00F74110"/>
    <w:rsid w:val="00F74B0D"/>
    <w:rsid w:val="00F7619A"/>
    <w:rsid w:val="00F76251"/>
    <w:rsid w:val="00F7744F"/>
    <w:rsid w:val="00F812AF"/>
    <w:rsid w:val="00F839AD"/>
    <w:rsid w:val="00F87BBF"/>
    <w:rsid w:val="00F87C63"/>
    <w:rsid w:val="00F90EE1"/>
    <w:rsid w:val="00F96E3A"/>
    <w:rsid w:val="00F9758C"/>
    <w:rsid w:val="00FA2B44"/>
    <w:rsid w:val="00FA4B48"/>
    <w:rsid w:val="00FB2963"/>
    <w:rsid w:val="00FB3423"/>
    <w:rsid w:val="00FB4082"/>
    <w:rsid w:val="00FB6D03"/>
    <w:rsid w:val="00FB7012"/>
    <w:rsid w:val="00FC1EAF"/>
    <w:rsid w:val="00FD1D68"/>
    <w:rsid w:val="00FD2C70"/>
    <w:rsid w:val="00FD4474"/>
    <w:rsid w:val="00FD48AA"/>
    <w:rsid w:val="00FD533A"/>
    <w:rsid w:val="00FD6A90"/>
    <w:rsid w:val="00FD7E14"/>
    <w:rsid w:val="00FE03C0"/>
    <w:rsid w:val="00FE1AFB"/>
    <w:rsid w:val="00FE451A"/>
    <w:rsid w:val="00FE4D61"/>
    <w:rsid w:val="00FE61A4"/>
    <w:rsid w:val="00FE713E"/>
    <w:rsid w:val="00FF406D"/>
    <w:rsid w:val="00FF6C80"/>
    <w:rsid w:val="00FF6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E02B"/>
  <w15:chartTrackingRefBased/>
  <w15:docId w15:val="{F423E57F-AE79-4994-AE3E-71C032AD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C26"/>
    <w:pPr>
      <w:spacing w:after="0"/>
    </w:pPr>
  </w:style>
  <w:style w:type="paragraph" w:styleId="Heading1">
    <w:name w:val="heading 1"/>
    <w:basedOn w:val="Normal"/>
    <w:next w:val="Normal"/>
    <w:link w:val="Heading1Char"/>
    <w:uiPriority w:val="9"/>
    <w:qFormat/>
    <w:rsid w:val="002D3426"/>
    <w:pPr>
      <w:keepNext/>
      <w:keepLines/>
      <w:numPr>
        <w:numId w:val="126"/>
      </w:numPr>
      <w:spacing w:before="240"/>
      <w:jc w:val="center"/>
      <w:outlineLvl w:val="0"/>
    </w:pPr>
    <w:rPr>
      <w:rFonts w:asciiTheme="majorHAnsi" w:eastAsia="Calibri" w:hAnsiTheme="majorHAnsi" w:cstheme="majorBidi"/>
      <w:b/>
      <w:bCs/>
      <w:sz w:val="32"/>
      <w:szCs w:val="32"/>
    </w:rPr>
  </w:style>
  <w:style w:type="paragraph" w:styleId="Heading2">
    <w:name w:val="heading 2"/>
    <w:basedOn w:val="Normal"/>
    <w:next w:val="Normal"/>
    <w:link w:val="Heading2Char"/>
    <w:uiPriority w:val="9"/>
    <w:unhideWhenUsed/>
    <w:rsid w:val="008161BF"/>
    <w:pPr>
      <w:keepNext/>
      <w:keepLines/>
      <w:numPr>
        <w:ilvl w:val="1"/>
        <w:numId w:val="126"/>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09618B"/>
    <w:pPr>
      <w:keepNext/>
      <w:keepLines/>
      <w:numPr>
        <w:ilvl w:val="2"/>
        <w:numId w:val="126"/>
      </w:numPr>
      <w:spacing w:before="40"/>
      <w:ind w:left="709"/>
      <w:outlineLvl w:val="2"/>
    </w:pPr>
    <w:rPr>
      <w:rFonts w:asciiTheme="majorHAnsi" w:hAnsiTheme="majorHAnsi"/>
      <w:b/>
      <w:sz w:val="26"/>
      <w:szCs w:val="26"/>
    </w:rPr>
  </w:style>
  <w:style w:type="paragraph" w:styleId="Heading4">
    <w:name w:val="heading 4"/>
    <w:basedOn w:val="Normal"/>
    <w:next w:val="Normal"/>
    <w:link w:val="Heading4Char"/>
    <w:uiPriority w:val="9"/>
    <w:unhideWhenUsed/>
    <w:qFormat/>
    <w:rsid w:val="008161BF"/>
    <w:pPr>
      <w:keepNext/>
      <w:keepLines/>
      <w:numPr>
        <w:ilvl w:val="3"/>
        <w:numId w:val="126"/>
      </w:numPr>
      <w:spacing w:before="200" w:line="360" w:lineRule="auto"/>
      <w:outlineLvl w:val="3"/>
    </w:pPr>
    <w:rPr>
      <w:rFonts w:asciiTheme="majorHAnsi" w:eastAsiaTheme="majorEastAsia" w:hAnsiTheme="majorHAnsi" w:cstheme="majorBidi"/>
      <w:b/>
      <w:bCs/>
      <w:i/>
      <w:iCs/>
      <w:lang w:eastAsia="zh-CN"/>
    </w:rPr>
  </w:style>
  <w:style w:type="paragraph" w:styleId="Heading5">
    <w:name w:val="heading 5"/>
    <w:basedOn w:val="Normal"/>
    <w:next w:val="Normal"/>
    <w:link w:val="Heading5Char"/>
    <w:uiPriority w:val="9"/>
    <w:unhideWhenUsed/>
    <w:qFormat/>
    <w:rsid w:val="00E6060C"/>
    <w:pPr>
      <w:keepNext/>
      <w:keepLines/>
      <w:numPr>
        <w:ilvl w:val="4"/>
        <w:numId w:val="126"/>
      </w:numPr>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semiHidden/>
    <w:unhideWhenUsed/>
    <w:qFormat/>
    <w:rsid w:val="00343C38"/>
    <w:pPr>
      <w:keepNext/>
      <w:keepLines/>
      <w:numPr>
        <w:ilvl w:val="5"/>
        <w:numId w:val="126"/>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43C38"/>
    <w:pPr>
      <w:keepNext/>
      <w:keepLines/>
      <w:numPr>
        <w:ilvl w:val="6"/>
        <w:numId w:val="12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43C38"/>
    <w:pPr>
      <w:keepNext/>
      <w:keepLines/>
      <w:numPr>
        <w:ilvl w:val="7"/>
        <w:numId w:val="1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3C38"/>
    <w:pPr>
      <w:keepNext/>
      <w:keepLines/>
      <w:numPr>
        <w:ilvl w:val="8"/>
        <w:numId w:val="1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426"/>
    <w:rPr>
      <w:rFonts w:asciiTheme="majorHAnsi" w:eastAsia="Calibri" w:hAnsiTheme="majorHAnsi" w:cstheme="majorBidi"/>
      <w:b/>
      <w:bCs/>
      <w:sz w:val="32"/>
      <w:szCs w:val="32"/>
    </w:rPr>
  </w:style>
  <w:style w:type="character" w:customStyle="1" w:styleId="Heading2Char">
    <w:name w:val="Heading 2 Char"/>
    <w:basedOn w:val="DefaultParagraphFont"/>
    <w:link w:val="Heading2"/>
    <w:uiPriority w:val="9"/>
    <w:rsid w:val="008161B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9618B"/>
    <w:rPr>
      <w:rFonts w:asciiTheme="majorHAnsi" w:hAnsiTheme="majorHAnsi"/>
      <w:b/>
      <w:sz w:val="26"/>
      <w:szCs w:val="26"/>
    </w:rPr>
  </w:style>
  <w:style w:type="character" w:customStyle="1" w:styleId="Heading4Char">
    <w:name w:val="Heading 4 Char"/>
    <w:basedOn w:val="DefaultParagraphFont"/>
    <w:link w:val="Heading4"/>
    <w:uiPriority w:val="9"/>
    <w:rsid w:val="008161BF"/>
    <w:rPr>
      <w:rFonts w:asciiTheme="majorHAnsi" w:eastAsiaTheme="majorEastAsia" w:hAnsiTheme="majorHAnsi" w:cstheme="majorBidi"/>
      <w:b/>
      <w:bCs/>
      <w:i/>
      <w:iCs/>
      <w:lang w:eastAsia="zh-CN"/>
    </w:rPr>
  </w:style>
  <w:style w:type="character" w:styleId="Strong">
    <w:name w:val="Strong"/>
    <w:basedOn w:val="DefaultParagraphFont"/>
    <w:uiPriority w:val="22"/>
    <w:qFormat/>
    <w:rsid w:val="008161BF"/>
    <w:rPr>
      <w:b/>
      <w:bCs/>
    </w:rPr>
  </w:style>
  <w:style w:type="paragraph" w:styleId="Header">
    <w:name w:val="header"/>
    <w:basedOn w:val="Normal"/>
    <w:link w:val="HeaderChar"/>
    <w:uiPriority w:val="99"/>
    <w:unhideWhenUsed/>
    <w:rsid w:val="008161BF"/>
    <w:pPr>
      <w:tabs>
        <w:tab w:val="center" w:pos="4513"/>
        <w:tab w:val="right" w:pos="9026"/>
      </w:tabs>
      <w:spacing w:line="240" w:lineRule="auto"/>
    </w:pPr>
    <w:rPr>
      <w:rFonts w:eastAsiaTheme="minorEastAsia"/>
      <w:lang w:eastAsia="zh-CN"/>
    </w:rPr>
  </w:style>
  <w:style w:type="character" w:customStyle="1" w:styleId="HeaderChar">
    <w:name w:val="Header Char"/>
    <w:basedOn w:val="DefaultParagraphFont"/>
    <w:link w:val="Header"/>
    <w:uiPriority w:val="99"/>
    <w:rsid w:val="008161BF"/>
    <w:rPr>
      <w:rFonts w:eastAsiaTheme="minorEastAsia"/>
      <w:lang w:eastAsia="zh-CN"/>
    </w:rPr>
  </w:style>
  <w:style w:type="paragraph" w:styleId="Footer">
    <w:name w:val="footer"/>
    <w:basedOn w:val="Normal"/>
    <w:link w:val="FooterChar"/>
    <w:uiPriority w:val="99"/>
    <w:unhideWhenUsed/>
    <w:rsid w:val="008161BF"/>
    <w:pPr>
      <w:tabs>
        <w:tab w:val="center" w:pos="4513"/>
        <w:tab w:val="right" w:pos="9026"/>
      </w:tabs>
      <w:spacing w:line="240" w:lineRule="auto"/>
    </w:pPr>
    <w:rPr>
      <w:rFonts w:eastAsiaTheme="minorEastAsia"/>
      <w:lang w:eastAsia="zh-CN"/>
    </w:rPr>
  </w:style>
  <w:style w:type="character" w:customStyle="1" w:styleId="FooterChar">
    <w:name w:val="Footer Char"/>
    <w:basedOn w:val="DefaultParagraphFont"/>
    <w:link w:val="Footer"/>
    <w:uiPriority w:val="99"/>
    <w:rsid w:val="008161BF"/>
    <w:rPr>
      <w:rFonts w:eastAsiaTheme="minorEastAsia"/>
      <w:lang w:eastAsia="zh-CN"/>
    </w:rPr>
  </w:style>
  <w:style w:type="paragraph" w:styleId="ListParagraph">
    <w:name w:val="List Paragraph"/>
    <w:basedOn w:val="Normal"/>
    <w:link w:val="ListParagraphChar"/>
    <w:uiPriority w:val="34"/>
    <w:qFormat/>
    <w:rsid w:val="008161BF"/>
    <w:pPr>
      <w:spacing w:after="200" w:line="360" w:lineRule="auto"/>
      <w:ind w:left="720"/>
      <w:contextualSpacing/>
    </w:pPr>
    <w:rPr>
      <w:rFonts w:eastAsiaTheme="minorEastAsia"/>
      <w:lang w:eastAsia="zh-CN"/>
    </w:rPr>
  </w:style>
  <w:style w:type="table" w:styleId="TableGrid">
    <w:name w:val="Table Grid"/>
    <w:basedOn w:val="TableNormal"/>
    <w:uiPriority w:val="59"/>
    <w:rsid w:val="008161B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61BF"/>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8161BF"/>
    <w:rPr>
      <w:sz w:val="16"/>
      <w:szCs w:val="16"/>
    </w:rPr>
  </w:style>
  <w:style w:type="paragraph" w:styleId="CommentText">
    <w:name w:val="annotation text"/>
    <w:basedOn w:val="Normal"/>
    <w:link w:val="CommentTextChar"/>
    <w:uiPriority w:val="99"/>
    <w:semiHidden/>
    <w:unhideWhenUsed/>
    <w:rsid w:val="008161BF"/>
    <w:pPr>
      <w:spacing w:before="200" w:line="240" w:lineRule="auto"/>
    </w:pPr>
    <w:rPr>
      <w:sz w:val="20"/>
      <w:szCs w:val="20"/>
    </w:rPr>
  </w:style>
  <w:style w:type="character" w:customStyle="1" w:styleId="CommentTextChar">
    <w:name w:val="Comment Text Char"/>
    <w:basedOn w:val="DefaultParagraphFont"/>
    <w:link w:val="CommentText"/>
    <w:uiPriority w:val="99"/>
    <w:semiHidden/>
    <w:rsid w:val="008161BF"/>
    <w:rPr>
      <w:sz w:val="20"/>
      <w:szCs w:val="20"/>
    </w:rPr>
  </w:style>
  <w:style w:type="paragraph" w:styleId="BalloonText">
    <w:name w:val="Balloon Text"/>
    <w:basedOn w:val="Normal"/>
    <w:link w:val="BalloonTextChar"/>
    <w:uiPriority w:val="99"/>
    <w:semiHidden/>
    <w:unhideWhenUsed/>
    <w:rsid w:val="008161BF"/>
    <w:pPr>
      <w:spacing w:line="240" w:lineRule="auto"/>
    </w:pPr>
    <w:rPr>
      <w:rFonts w:ascii="Tahoma" w:eastAsiaTheme="minorEastAsia" w:hAnsi="Tahoma" w:cs="Tahoma"/>
      <w:sz w:val="16"/>
      <w:szCs w:val="16"/>
      <w:lang w:eastAsia="zh-CN"/>
    </w:rPr>
  </w:style>
  <w:style w:type="character" w:customStyle="1" w:styleId="BalloonTextChar">
    <w:name w:val="Balloon Text Char"/>
    <w:basedOn w:val="DefaultParagraphFont"/>
    <w:link w:val="BalloonText"/>
    <w:uiPriority w:val="99"/>
    <w:semiHidden/>
    <w:rsid w:val="008161BF"/>
    <w:rPr>
      <w:rFonts w:ascii="Tahoma" w:eastAsiaTheme="minorEastAsia" w:hAnsi="Tahoma" w:cs="Tahoma"/>
      <w:sz w:val="16"/>
      <w:szCs w:val="16"/>
      <w:lang w:eastAsia="zh-CN"/>
    </w:rPr>
  </w:style>
  <w:style w:type="paragraph" w:styleId="CommentSubject">
    <w:name w:val="annotation subject"/>
    <w:basedOn w:val="CommentText"/>
    <w:next w:val="CommentText"/>
    <w:link w:val="CommentSubjectChar"/>
    <w:uiPriority w:val="99"/>
    <w:semiHidden/>
    <w:unhideWhenUsed/>
    <w:rsid w:val="008161BF"/>
    <w:pPr>
      <w:spacing w:before="0" w:after="200"/>
    </w:pPr>
    <w:rPr>
      <w:rFonts w:eastAsiaTheme="minorEastAsia"/>
      <w:b/>
      <w:bCs/>
      <w:lang w:eastAsia="zh-CN"/>
    </w:rPr>
  </w:style>
  <w:style w:type="character" w:customStyle="1" w:styleId="CommentSubjectChar">
    <w:name w:val="Comment Subject Char"/>
    <w:basedOn w:val="CommentTextChar"/>
    <w:link w:val="CommentSubject"/>
    <w:uiPriority w:val="99"/>
    <w:semiHidden/>
    <w:rsid w:val="008161BF"/>
    <w:rPr>
      <w:rFonts w:eastAsiaTheme="minorEastAsia"/>
      <w:b/>
      <w:bCs/>
      <w:sz w:val="20"/>
      <w:szCs w:val="20"/>
      <w:lang w:eastAsia="zh-CN"/>
    </w:rPr>
  </w:style>
  <w:style w:type="paragraph" w:styleId="TOCHeading">
    <w:name w:val="TOC Heading"/>
    <w:basedOn w:val="Heading1"/>
    <w:next w:val="Normal"/>
    <w:uiPriority w:val="39"/>
    <w:unhideWhenUsed/>
    <w:qFormat/>
    <w:rsid w:val="008161BF"/>
    <w:pPr>
      <w:spacing w:before="480" w:line="276" w:lineRule="auto"/>
      <w:outlineLvl w:val="9"/>
    </w:pPr>
    <w:rPr>
      <w:b w:val="0"/>
      <w:bCs w:val="0"/>
      <w:sz w:val="28"/>
      <w:szCs w:val="28"/>
      <w:lang w:val="en-US" w:eastAsia="ja-JP"/>
    </w:rPr>
  </w:style>
  <w:style w:type="paragraph" w:styleId="TOC1">
    <w:name w:val="toc 1"/>
    <w:basedOn w:val="Normal"/>
    <w:next w:val="Normal"/>
    <w:autoRedefine/>
    <w:uiPriority w:val="39"/>
    <w:unhideWhenUsed/>
    <w:qFormat/>
    <w:rsid w:val="008161BF"/>
    <w:pPr>
      <w:spacing w:after="100" w:line="360" w:lineRule="auto"/>
    </w:pPr>
    <w:rPr>
      <w:rFonts w:eastAsiaTheme="minorEastAsia"/>
      <w:lang w:eastAsia="zh-CN"/>
    </w:rPr>
  </w:style>
  <w:style w:type="paragraph" w:styleId="TOC2">
    <w:name w:val="toc 2"/>
    <w:basedOn w:val="Normal"/>
    <w:next w:val="Normal"/>
    <w:autoRedefine/>
    <w:uiPriority w:val="39"/>
    <w:unhideWhenUsed/>
    <w:qFormat/>
    <w:rsid w:val="008161BF"/>
    <w:pPr>
      <w:spacing w:after="100" w:line="360" w:lineRule="auto"/>
      <w:ind w:left="220"/>
    </w:pPr>
    <w:rPr>
      <w:rFonts w:eastAsiaTheme="minorEastAsia"/>
      <w:lang w:eastAsia="zh-CN"/>
    </w:rPr>
  </w:style>
  <w:style w:type="paragraph" w:styleId="TOC3">
    <w:name w:val="toc 3"/>
    <w:basedOn w:val="Normal"/>
    <w:next w:val="Normal"/>
    <w:autoRedefine/>
    <w:uiPriority w:val="39"/>
    <w:unhideWhenUsed/>
    <w:qFormat/>
    <w:rsid w:val="008161BF"/>
    <w:pPr>
      <w:spacing w:after="100" w:line="360" w:lineRule="auto"/>
      <w:ind w:left="440"/>
    </w:pPr>
    <w:rPr>
      <w:rFonts w:eastAsiaTheme="minorEastAsia"/>
      <w:lang w:eastAsia="zh-CN"/>
    </w:rPr>
  </w:style>
  <w:style w:type="character" w:styleId="Hyperlink">
    <w:name w:val="Hyperlink"/>
    <w:basedOn w:val="DefaultParagraphFont"/>
    <w:uiPriority w:val="99"/>
    <w:unhideWhenUsed/>
    <w:rsid w:val="008161BF"/>
    <w:rPr>
      <w:color w:val="0563C1" w:themeColor="hyperlink"/>
      <w:u w:val="single"/>
    </w:rPr>
  </w:style>
  <w:style w:type="paragraph" w:styleId="NoSpacing">
    <w:name w:val="No Spacing"/>
    <w:link w:val="NoSpacingChar"/>
    <w:uiPriority w:val="1"/>
    <w:qFormat/>
    <w:rsid w:val="008161B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161BF"/>
    <w:rPr>
      <w:rFonts w:eastAsiaTheme="minorEastAsia"/>
      <w:lang w:val="en-US" w:eastAsia="ja-JP"/>
    </w:rPr>
  </w:style>
  <w:style w:type="paragraph" w:styleId="FootnoteText">
    <w:name w:val="footnote text"/>
    <w:basedOn w:val="Normal"/>
    <w:link w:val="FootnoteTextChar"/>
    <w:uiPriority w:val="99"/>
    <w:semiHidden/>
    <w:unhideWhenUsed/>
    <w:rsid w:val="008161BF"/>
    <w:pPr>
      <w:spacing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8161BF"/>
    <w:rPr>
      <w:rFonts w:eastAsiaTheme="minorEastAsia"/>
      <w:sz w:val="20"/>
      <w:szCs w:val="20"/>
      <w:lang w:eastAsia="zh-CN"/>
    </w:rPr>
  </w:style>
  <w:style w:type="character" w:styleId="FootnoteReference">
    <w:name w:val="footnote reference"/>
    <w:basedOn w:val="DefaultParagraphFont"/>
    <w:uiPriority w:val="99"/>
    <w:semiHidden/>
    <w:unhideWhenUsed/>
    <w:rsid w:val="008161BF"/>
    <w:rPr>
      <w:vertAlign w:val="superscript"/>
    </w:rPr>
  </w:style>
  <w:style w:type="paragraph" w:styleId="NormalWeb">
    <w:name w:val="Normal (Web)"/>
    <w:basedOn w:val="Normal"/>
    <w:uiPriority w:val="99"/>
    <w:semiHidden/>
    <w:unhideWhenUsed/>
    <w:rsid w:val="008161B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uthor">
    <w:name w:val="author"/>
    <w:basedOn w:val="DefaultParagraphFont"/>
    <w:rsid w:val="008161BF"/>
  </w:style>
  <w:style w:type="character" w:customStyle="1" w:styleId="booktitle2">
    <w:name w:val="booktitle2"/>
    <w:basedOn w:val="DefaultParagraphFont"/>
    <w:rsid w:val="008161BF"/>
    <w:rPr>
      <w:i/>
      <w:iCs/>
    </w:rPr>
  </w:style>
  <w:style w:type="character" w:customStyle="1" w:styleId="pubyear">
    <w:name w:val="pubyear"/>
    <w:basedOn w:val="DefaultParagraphFont"/>
    <w:rsid w:val="008161BF"/>
  </w:style>
  <w:style w:type="numbering" w:customStyle="1" w:styleId="NoList1">
    <w:name w:val="No List1"/>
    <w:next w:val="NoList"/>
    <w:uiPriority w:val="99"/>
    <w:semiHidden/>
    <w:unhideWhenUsed/>
    <w:rsid w:val="00E6060C"/>
  </w:style>
  <w:style w:type="table" w:customStyle="1" w:styleId="TableGrid1">
    <w:name w:val="Table Grid1"/>
    <w:basedOn w:val="TableNormal"/>
    <w:next w:val="TableGrid"/>
    <w:uiPriority w:val="5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unhideWhenUsed/>
    <w:qFormat/>
    <w:rsid w:val="00E6060C"/>
    <w:pPr>
      <w:keepNext/>
      <w:keepLines/>
      <w:spacing w:before="40" w:line="276" w:lineRule="auto"/>
      <w:outlineLvl w:val="4"/>
    </w:pPr>
    <w:rPr>
      <w:rFonts w:ascii="Cambria" w:eastAsia="Times New Roman" w:hAnsi="Cambria" w:cs="Times New Roman"/>
      <w:color w:val="365F91"/>
    </w:rPr>
  </w:style>
  <w:style w:type="numbering" w:customStyle="1" w:styleId="NoList2">
    <w:name w:val="No List2"/>
    <w:next w:val="NoList"/>
    <w:uiPriority w:val="99"/>
    <w:semiHidden/>
    <w:unhideWhenUsed/>
    <w:rsid w:val="00E6060C"/>
  </w:style>
  <w:style w:type="table" w:customStyle="1" w:styleId="TableGrid4">
    <w:name w:val="Table Grid4"/>
    <w:basedOn w:val="TableNormal"/>
    <w:next w:val="TableGrid"/>
    <w:uiPriority w:val="3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6060C"/>
    <w:pPr>
      <w:spacing w:after="0" w:line="240" w:lineRule="auto"/>
      <w:jc w:val="center"/>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6060C"/>
    <w:rPr>
      <w:rFonts w:ascii="Cambria" w:eastAsia="Times New Roman" w:hAnsi="Cambria" w:cs="Times New Roman"/>
      <w:color w:val="365F91"/>
    </w:rPr>
  </w:style>
  <w:style w:type="table" w:customStyle="1" w:styleId="TableGrid21">
    <w:name w:val="Table Grid21"/>
    <w:basedOn w:val="TableNormal"/>
    <w:next w:val="TableGrid"/>
    <w:uiPriority w:val="59"/>
    <w:rsid w:val="00E6060C"/>
    <w:pPr>
      <w:spacing w:after="0" w:line="240" w:lineRule="auto"/>
      <w:jc w:val="center"/>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E6060C"/>
    <w:rPr>
      <w:rFonts w:asciiTheme="majorHAnsi" w:eastAsiaTheme="majorEastAsia" w:hAnsiTheme="majorHAnsi" w:cstheme="majorBidi"/>
      <w:color w:val="2E74B5" w:themeColor="accent1" w:themeShade="BF"/>
    </w:rPr>
  </w:style>
  <w:style w:type="numbering" w:customStyle="1" w:styleId="NoList3">
    <w:name w:val="No List3"/>
    <w:next w:val="NoList"/>
    <w:uiPriority w:val="99"/>
    <w:semiHidden/>
    <w:unhideWhenUsed/>
    <w:rsid w:val="00E6060C"/>
  </w:style>
  <w:style w:type="table" w:customStyle="1" w:styleId="TableGrid5">
    <w:name w:val="Table Grid5"/>
    <w:basedOn w:val="TableNormal"/>
    <w:next w:val="TableGrid"/>
    <w:uiPriority w:val="3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060C"/>
    <w:pPr>
      <w:spacing w:after="0" w:line="240" w:lineRule="auto"/>
      <w:jc w:val="center"/>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6060C"/>
  </w:style>
  <w:style w:type="table" w:customStyle="1" w:styleId="TableGrid6">
    <w:name w:val="Table Grid6"/>
    <w:basedOn w:val="TableNormal"/>
    <w:next w:val="TableGrid"/>
    <w:uiPriority w:val="3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6060C"/>
  </w:style>
  <w:style w:type="table" w:customStyle="1" w:styleId="TableGrid7">
    <w:name w:val="Table Grid7"/>
    <w:basedOn w:val="TableNormal"/>
    <w:next w:val="TableGrid"/>
    <w:uiPriority w:val="3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060C"/>
    <w:pPr>
      <w:spacing w:after="0" w:line="240" w:lineRule="auto"/>
      <w:jc w:val="center"/>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6060C"/>
  </w:style>
  <w:style w:type="table" w:customStyle="1" w:styleId="TableGrid8">
    <w:name w:val="Table Grid8"/>
    <w:basedOn w:val="TableNormal"/>
    <w:next w:val="TableGrid"/>
    <w:uiPriority w:val="59"/>
    <w:rsid w:val="00E6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E6060C"/>
    <w:pPr>
      <w:spacing w:after="0" w:line="240" w:lineRule="auto"/>
    </w:pPr>
    <w:rPr>
      <w:rFonts w:ascii="Times" w:eastAsia="Times" w:hAnsi="Times"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060C"/>
    <w:pPr>
      <w:spacing w:after="0" w:line="240" w:lineRule="auto"/>
    </w:pPr>
  </w:style>
  <w:style w:type="numbering" w:customStyle="1" w:styleId="NoList7">
    <w:name w:val="No List7"/>
    <w:next w:val="NoList"/>
    <w:uiPriority w:val="99"/>
    <w:semiHidden/>
    <w:unhideWhenUsed/>
    <w:rsid w:val="00B60914"/>
  </w:style>
  <w:style w:type="table" w:customStyle="1" w:styleId="TableGrid9">
    <w:name w:val="Table Grid9"/>
    <w:basedOn w:val="TableNormal"/>
    <w:next w:val="TableGrid"/>
    <w:uiPriority w:val="59"/>
    <w:rsid w:val="00B60914"/>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817A2F"/>
  </w:style>
  <w:style w:type="character" w:styleId="HTMLCite">
    <w:name w:val="HTML Cite"/>
    <w:basedOn w:val="DefaultParagraphFont"/>
    <w:uiPriority w:val="99"/>
    <w:semiHidden/>
    <w:unhideWhenUsed/>
    <w:rsid w:val="00817A2F"/>
    <w:rPr>
      <w:i/>
      <w:iCs/>
    </w:rPr>
  </w:style>
  <w:style w:type="character" w:customStyle="1" w:styleId="Heading6Char">
    <w:name w:val="Heading 6 Char"/>
    <w:basedOn w:val="DefaultParagraphFont"/>
    <w:link w:val="Heading6"/>
    <w:uiPriority w:val="9"/>
    <w:semiHidden/>
    <w:rsid w:val="00343C3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43C3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43C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3C38"/>
    <w:rPr>
      <w:rFonts w:asciiTheme="majorHAnsi" w:eastAsiaTheme="majorEastAsia" w:hAnsiTheme="majorHAnsi" w:cstheme="majorBidi"/>
      <w:i/>
      <w:iCs/>
      <w:color w:val="272727" w:themeColor="text1" w:themeTint="D8"/>
      <w:sz w:val="21"/>
      <w:szCs w:val="21"/>
    </w:rPr>
  </w:style>
  <w:style w:type="paragraph" w:customStyle="1" w:styleId="Thesisheading1">
    <w:name w:val="Thesis heading 1"/>
    <w:basedOn w:val="Heading1"/>
    <w:link w:val="Thesisheading1Char"/>
    <w:autoRedefine/>
    <w:qFormat/>
    <w:rsid w:val="00E06405"/>
    <w:pPr>
      <w:numPr>
        <w:numId w:val="0"/>
      </w:numPr>
      <w:ind w:left="432" w:hanging="432"/>
      <w:jc w:val="left"/>
    </w:pPr>
    <w:rPr>
      <w:b w:val="0"/>
      <w:bCs w:val="0"/>
    </w:rPr>
  </w:style>
  <w:style w:type="paragraph" w:customStyle="1" w:styleId="Thesisheading2">
    <w:name w:val="Thesis heading 2"/>
    <w:basedOn w:val="Heading2"/>
    <w:link w:val="Thesisheading2Char"/>
    <w:autoRedefine/>
    <w:qFormat/>
    <w:rsid w:val="007B44F8"/>
    <w:pPr>
      <w:ind w:left="567"/>
    </w:pPr>
    <w:rPr>
      <w:rFonts w:eastAsia="SimSun"/>
      <w:b/>
      <w:color w:val="000000" w:themeColor="text1"/>
      <w:sz w:val="28"/>
      <w:lang w:eastAsia="zh-CN"/>
    </w:rPr>
  </w:style>
  <w:style w:type="character" w:customStyle="1" w:styleId="Thesisheading1Char">
    <w:name w:val="Thesis heading 1 Char"/>
    <w:basedOn w:val="Heading1Char"/>
    <w:link w:val="Thesisheading1"/>
    <w:rsid w:val="00E06405"/>
    <w:rPr>
      <w:rFonts w:asciiTheme="majorHAnsi" w:eastAsia="Calibri" w:hAnsiTheme="majorHAnsi" w:cstheme="majorBidi"/>
      <w:b w:val="0"/>
      <w:bCs w:val="0"/>
      <w:sz w:val="32"/>
      <w:szCs w:val="32"/>
    </w:rPr>
  </w:style>
  <w:style w:type="paragraph" w:customStyle="1" w:styleId="Thesisheading3">
    <w:name w:val="Thesis heading 3"/>
    <w:basedOn w:val="Heading3"/>
    <w:link w:val="Thesisheading3Char"/>
    <w:rsid w:val="005E7E44"/>
    <w:pPr>
      <w:numPr>
        <w:ilvl w:val="0"/>
        <w:numId w:val="127"/>
      </w:numPr>
      <w:tabs>
        <w:tab w:val="left" w:pos="284"/>
      </w:tabs>
    </w:pPr>
    <w:rPr>
      <w:rFonts w:ascii="Cambria" w:hAnsi="Cambria" w:cs="Times New Roman"/>
      <w:b w:val="0"/>
    </w:rPr>
  </w:style>
  <w:style w:type="character" w:customStyle="1" w:styleId="Thesisheading2Char">
    <w:name w:val="Thesis heading 2 Char"/>
    <w:basedOn w:val="Heading2Char"/>
    <w:link w:val="Thesisheading2"/>
    <w:rsid w:val="007B44F8"/>
    <w:rPr>
      <w:rFonts w:asciiTheme="majorHAnsi" w:eastAsia="SimSun" w:hAnsiTheme="majorHAnsi" w:cstheme="majorBidi"/>
      <w:b/>
      <w:color w:val="000000" w:themeColor="text1"/>
      <w:sz w:val="28"/>
      <w:szCs w:val="26"/>
      <w:lang w:eastAsia="zh-CN"/>
    </w:rPr>
  </w:style>
  <w:style w:type="character" w:customStyle="1" w:styleId="ListParagraphChar">
    <w:name w:val="List Paragraph Char"/>
    <w:basedOn w:val="DefaultParagraphFont"/>
    <w:link w:val="ListParagraph"/>
    <w:uiPriority w:val="34"/>
    <w:rsid w:val="00A84D92"/>
    <w:rPr>
      <w:rFonts w:eastAsiaTheme="minorEastAsia"/>
      <w:lang w:eastAsia="zh-CN"/>
    </w:rPr>
  </w:style>
  <w:style w:type="character" w:customStyle="1" w:styleId="Thesisheading3Char">
    <w:name w:val="Thesis heading 3 Char"/>
    <w:basedOn w:val="ListParagraphChar"/>
    <w:link w:val="Thesisheading3"/>
    <w:rsid w:val="005E7E44"/>
    <w:rPr>
      <w:rFonts w:ascii="Cambria" w:eastAsiaTheme="minorEastAsia" w:hAnsi="Cambria" w:cs="Times New Roman"/>
      <w:sz w:val="26"/>
      <w:szCs w:val="26"/>
      <w:lang w:eastAsia="zh-CN"/>
    </w:rPr>
  </w:style>
  <w:style w:type="paragraph" w:customStyle="1" w:styleId="Heading1nonumbers">
    <w:name w:val="Heading 1 no numbers"/>
    <w:basedOn w:val="Heading1"/>
    <w:link w:val="Heading1nonumbersChar"/>
    <w:autoRedefine/>
    <w:qFormat/>
    <w:rsid w:val="001D310A"/>
    <w:pPr>
      <w:numPr>
        <w:numId w:val="0"/>
      </w:numPr>
    </w:pPr>
    <w:rPr>
      <w:rFonts w:eastAsiaTheme="minorHAnsi"/>
    </w:rPr>
  </w:style>
  <w:style w:type="paragraph" w:customStyle="1" w:styleId="Heading2nonumbers">
    <w:name w:val="Heading 2 no numbers"/>
    <w:basedOn w:val="Thesisheading2"/>
    <w:link w:val="Heading2nonumbersChar"/>
    <w:autoRedefine/>
    <w:qFormat/>
    <w:rsid w:val="007B44F8"/>
    <w:pPr>
      <w:numPr>
        <w:ilvl w:val="0"/>
        <w:numId w:val="0"/>
      </w:numPr>
    </w:pPr>
  </w:style>
  <w:style w:type="character" w:customStyle="1" w:styleId="Heading1nonumbersChar">
    <w:name w:val="Heading 1 no numbers Char"/>
    <w:basedOn w:val="Heading1Char"/>
    <w:link w:val="Heading1nonumbers"/>
    <w:rsid w:val="001D310A"/>
    <w:rPr>
      <w:rFonts w:asciiTheme="majorHAnsi" w:eastAsia="Calibri" w:hAnsiTheme="majorHAnsi" w:cstheme="majorBidi"/>
      <w:b/>
      <w:bCs/>
      <w:sz w:val="32"/>
      <w:szCs w:val="32"/>
    </w:rPr>
  </w:style>
  <w:style w:type="paragraph" w:styleId="TOC4">
    <w:name w:val="toc 4"/>
    <w:basedOn w:val="Normal"/>
    <w:next w:val="Normal"/>
    <w:autoRedefine/>
    <w:uiPriority w:val="39"/>
    <w:unhideWhenUsed/>
    <w:rsid w:val="007B646D"/>
    <w:pPr>
      <w:spacing w:after="100"/>
      <w:ind w:left="660"/>
    </w:pPr>
    <w:rPr>
      <w:rFonts w:eastAsiaTheme="minorEastAsia"/>
      <w:lang w:eastAsia="en-GB"/>
    </w:rPr>
  </w:style>
  <w:style w:type="character" w:customStyle="1" w:styleId="Heading2nonumbersChar">
    <w:name w:val="Heading 2 no numbers Char"/>
    <w:basedOn w:val="Thesisheading2Char"/>
    <w:link w:val="Heading2nonumbers"/>
    <w:rsid w:val="007B44F8"/>
    <w:rPr>
      <w:rFonts w:asciiTheme="majorHAnsi" w:eastAsia="SimSun" w:hAnsiTheme="majorHAnsi" w:cstheme="majorBidi"/>
      <w:b/>
      <w:color w:val="000000" w:themeColor="text1"/>
      <w:sz w:val="28"/>
      <w:szCs w:val="26"/>
      <w:lang w:eastAsia="zh-CN"/>
    </w:rPr>
  </w:style>
  <w:style w:type="paragraph" w:styleId="TOC5">
    <w:name w:val="toc 5"/>
    <w:basedOn w:val="Normal"/>
    <w:next w:val="Normal"/>
    <w:autoRedefine/>
    <w:uiPriority w:val="39"/>
    <w:unhideWhenUsed/>
    <w:rsid w:val="007B646D"/>
    <w:pPr>
      <w:spacing w:after="100"/>
      <w:ind w:left="880"/>
    </w:pPr>
    <w:rPr>
      <w:rFonts w:eastAsiaTheme="minorEastAsia"/>
      <w:lang w:eastAsia="en-GB"/>
    </w:rPr>
  </w:style>
  <w:style w:type="paragraph" w:styleId="TOC6">
    <w:name w:val="toc 6"/>
    <w:basedOn w:val="Normal"/>
    <w:next w:val="Normal"/>
    <w:autoRedefine/>
    <w:uiPriority w:val="39"/>
    <w:unhideWhenUsed/>
    <w:rsid w:val="007B646D"/>
    <w:pPr>
      <w:spacing w:after="100"/>
      <w:ind w:left="1100"/>
    </w:pPr>
    <w:rPr>
      <w:rFonts w:eastAsiaTheme="minorEastAsia"/>
      <w:lang w:eastAsia="en-GB"/>
    </w:rPr>
  </w:style>
  <w:style w:type="paragraph" w:styleId="TOC7">
    <w:name w:val="toc 7"/>
    <w:basedOn w:val="Normal"/>
    <w:next w:val="Normal"/>
    <w:autoRedefine/>
    <w:uiPriority w:val="39"/>
    <w:unhideWhenUsed/>
    <w:rsid w:val="007B646D"/>
    <w:pPr>
      <w:spacing w:after="100"/>
      <w:ind w:left="1320"/>
    </w:pPr>
    <w:rPr>
      <w:rFonts w:eastAsiaTheme="minorEastAsia"/>
      <w:lang w:eastAsia="en-GB"/>
    </w:rPr>
  </w:style>
  <w:style w:type="paragraph" w:styleId="TOC8">
    <w:name w:val="toc 8"/>
    <w:basedOn w:val="Normal"/>
    <w:next w:val="Normal"/>
    <w:autoRedefine/>
    <w:uiPriority w:val="39"/>
    <w:unhideWhenUsed/>
    <w:rsid w:val="007B646D"/>
    <w:pPr>
      <w:spacing w:after="100"/>
      <w:ind w:left="1540"/>
    </w:pPr>
    <w:rPr>
      <w:rFonts w:eastAsiaTheme="minorEastAsia"/>
      <w:lang w:eastAsia="en-GB"/>
    </w:rPr>
  </w:style>
  <w:style w:type="paragraph" w:styleId="TOC9">
    <w:name w:val="toc 9"/>
    <w:basedOn w:val="Normal"/>
    <w:next w:val="Normal"/>
    <w:autoRedefine/>
    <w:uiPriority w:val="39"/>
    <w:unhideWhenUsed/>
    <w:rsid w:val="007B646D"/>
    <w:pPr>
      <w:spacing w:after="100"/>
      <w:ind w:left="1760"/>
    </w:pPr>
    <w:rPr>
      <w:rFonts w:eastAsiaTheme="minorEastAsia"/>
      <w:lang w:eastAsia="en-GB"/>
    </w:rPr>
  </w:style>
  <w:style w:type="paragraph" w:customStyle="1" w:styleId="Figurestyle">
    <w:name w:val="Figure style"/>
    <w:basedOn w:val="Normal"/>
    <w:link w:val="FigurestyleChar"/>
    <w:autoRedefine/>
    <w:qFormat/>
    <w:rsid w:val="005852AD"/>
    <w:pPr>
      <w:spacing w:line="360" w:lineRule="auto"/>
      <w:contextualSpacing/>
    </w:pPr>
  </w:style>
  <w:style w:type="character" w:customStyle="1" w:styleId="FigurestyleChar">
    <w:name w:val="Figure style Char"/>
    <w:basedOn w:val="DefaultParagraphFont"/>
    <w:link w:val="Figurestyle"/>
    <w:rsid w:val="005852AD"/>
  </w:style>
  <w:style w:type="paragraph" w:styleId="TableofFigures">
    <w:name w:val="table of figures"/>
    <w:basedOn w:val="Normal"/>
    <w:next w:val="Normal"/>
    <w:autoRedefine/>
    <w:uiPriority w:val="99"/>
    <w:unhideWhenUsed/>
    <w:qFormat/>
    <w:rsid w:val="00E23CF8"/>
    <w:pPr>
      <w:tabs>
        <w:tab w:val="right" w:leader="dot" w:pos="9016"/>
      </w:tabs>
      <w:spacing w:before="240" w:after="240" w:line="360" w:lineRule="auto"/>
    </w:pPr>
  </w:style>
  <w:style w:type="character" w:customStyle="1" w:styleId="citationvolume">
    <w:name w:val="citationvolume"/>
    <w:basedOn w:val="DefaultParagraphFont"/>
    <w:rsid w:val="00390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83583">
      <w:bodyDiv w:val="1"/>
      <w:marLeft w:val="0"/>
      <w:marRight w:val="0"/>
      <w:marTop w:val="0"/>
      <w:marBottom w:val="0"/>
      <w:divBdr>
        <w:top w:val="none" w:sz="0" w:space="0" w:color="auto"/>
        <w:left w:val="none" w:sz="0" w:space="0" w:color="auto"/>
        <w:bottom w:val="none" w:sz="0" w:space="0" w:color="auto"/>
        <w:right w:val="none" w:sz="0" w:space="0" w:color="auto"/>
      </w:divBdr>
      <w:divsChild>
        <w:div w:id="1811240136">
          <w:marLeft w:val="0"/>
          <w:marRight w:val="0"/>
          <w:marTop w:val="0"/>
          <w:marBottom w:val="0"/>
          <w:divBdr>
            <w:top w:val="none" w:sz="0" w:space="0" w:color="auto"/>
            <w:left w:val="none" w:sz="0" w:space="0" w:color="auto"/>
            <w:bottom w:val="none" w:sz="0" w:space="0" w:color="auto"/>
            <w:right w:val="none" w:sz="0" w:space="0" w:color="auto"/>
          </w:divBdr>
        </w:div>
      </w:divsChild>
    </w:div>
    <w:div w:id="400712683">
      <w:bodyDiv w:val="1"/>
      <w:marLeft w:val="0"/>
      <w:marRight w:val="0"/>
      <w:marTop w:val="0"/>
      <w:marBottom w:val="0"/>
      <w:divBdr>
        <w:top w:val="none" w:sz="0" w:space="0" w:color="auto"/>
        <w:left w:val="none" w:sz="0" w:space="0" w:color="auto"/>
        <w:bottom w:val="none" w:sz="0" w:space="0" w:color="auto"/>
        <w:right w:val="none" w:sz="0" w:space="0" w:color="auto"/>
      </w:divBdr>
    </w:div>
    <w:div w:id="646714633">
      <w:bodyDiv w:val="1"/>
      <w:marLeft w:val="0"/>
      <w:marRight w:val="0"/>
      <w:marTop w:val="0"/>
      <w:marBottom w:val="0"/>
      <w:divBdr>
        <w:top w:val="none" w:sz="0" w:space="0" w:color="auto"/>
        <w:left w:val="none" w:sz="0" w:space="0" w:color="auto"/>
        <w:bottom w:val="none" w:sz="0" w:space="0" w:color="auto"/>
        <w:right w:val="none" w:sz="0" w:space="0" w:color="auto"/>
      </w:divBdr>
      <w:divsChild>
        <w:div w:id="1845240388">
          <w:marLeft w:val="0"/>
          <w:marRight w:val="0"/>
          <w:marTop w:val="0"/>
          <w:marBottom w:val="0"/>
          <w:divBdr>
            <w:top w:val="none" w:sz="0" w:space="0" w:color="auto"/>
            <w:left w:val="none" w:sz="0" w:space="0" w:color="auto"/>
            <w:bottom w:val="none" w:sz="0" w:space="0" w:color="auto"/>
            <w:right w:val="none" w:sz="0" w:space="0" w:color="auto"/>
          </w:divBdr>
        </w:div>
      </w:divsChild>
    </w:div>
    <w:div w:id="812328969">
      <w:bodyDiv w:val="1"/>
      <w:marLeft w:val="0"/>
      <w:marRight w:val="0"/>
      <w:marTop w:val="0"/>
      <w:marBottom w:val="0"/>
      <w:divBdr>
        <w:top w:val="none" w:sz="0" w:space="0" w:color="auto"/>
        <w:left w:val="none" w:sz="0" w:space="0" w:color="auto"/>
        <w:bottom w:val="none" w:sz="0" w:space="0" w:color="auto"/>
        <w:right w:val="none" w:sz="0" w:space="0" w:color="auto"/>
      </w:divBdr>
      <w:divsChild>
        <w:div w:id="385687842">
          <w:marLeft w:val="0"/>
          <w:marRight w:val="0"/>
          <w:marTop w:val="0"/>
          <w:marBottom w:val="0"/>
          <w:divBdr>
            <w:top w:val="none" w:sz="0" w:space="0" w:color="auto"/>
            <w:left w:val="none" w:sz="0" w:space="0" w:color="auto"/>
            <w:bottom w:val="none" w:sz="0" w:space="0" w:color="auto"/>
            <w:right w:val="none" w:sz="0" w:space="0" w:color="auto"/>
          </w:divBdr>
        </w:div>
      </w:divsChild>
    </w:div>
    <w:div w:id="1455057862">
      <w:bodyDiv w:val="1"/>
      <w:marLeft w:val="0"/>
      <w:marRight w:val="0"/>
      <w:marTop w:val="0"/>
      <w:marBottom w:val="0"/>
      <w:divBdr>
        <w:top w:val="none" w:sz="0" w:space="0" w:color="auto"/>
        <w:left w:val="none" w:sz="0" w:space="0" w:color="auto"/>
        <w:bottom w:val="none" w:sz="0" w:space="0" w:color="auto"/>
        <w:right w:val="none" w:sz="0" w:space="0" w:color="auto"/>
      </w:divBdr>
      <w:divsChild>
        <w:div w:id="1751538176">
          <w:marLeft w:val="0"/>
          <w:marRight w:val="0"/>
          <w:marTop w:val="0"/>
          <w:marBottom w:val="0"/>
          <w:divBdr>
            <w:top w:val="none" w:sz="0" w:space="0" w:color="auto"/>
            <w:left w:val="none" w:sz="0" w:space="0" w:color="auto"/>
            <w:bottom w:val="none" w:sz="0" w:space="0" w:color="auto"/>
            <w:right w:val="none" w:sz="0" w:space="0" w:color="auto"/>
          </w:divBdr>
        </w:div>
      </w:divsChild>
    </w:div>
    <w:div w:id="1764912315">
      <w:bodyDiv w:val="1"/>
      <w:marLeft w:val="0"/>
      <w:marRight w:val="0"/>
      <w:marTop w:val="0"/>
      <w:marBottom w:val="0"/>
      <w:divBdr>
        <w:top w:val="none" w:sz="0" w:space="0" w:color="auto"/>
        <w:left w:val="none" w:sz="0" w:space="0" w:color="auto"/>
        <w:bottom w:val="none" w:sz="0" w:space="0" w:color="auto"/>
        <w:right w:val="none" w:sz="0" w:space="0" w:color="auto"/>
      </w:divBdr>
      <w:divsChild>
        <w:div w:id="583032945">
          <w:marLeft w:val="0"/>
          <w:marRight w:val="0"/>
          <w:marTop w:val="0"/>
          <w:marBottom w:val="0"/>
          <w:divBdr>
            <w:top w:val="none" w:sz="0" w:space="0" w:color="auto"/>
            <w:left w:val="none" w:sz="0" w:space="0" w:color="auto"/>
            <w:bottom w:val="none" w:sz="0" w:space="0" w:color="auto"/>
            <w:right w:val="none" w:sz="0" w:space="0" w:color="auto"/>
          </w:divBdr>
        </w:div>
      </w:divsChild>
    </w:div>
    <w:div w:id="2098280205">
      <w:bodyDiv w:val="1"/>
      <w:marLeft w:val="0"/>
      <w:marRight w:val="0"/>
      <w:marTop w:val="0"/>
      <w:marBottom w:val="0"/>
      <w:divBdr>
        <w:top w:val="none" w:sz="0" w:space="0" w:color="auto"/>
        <w:left w:val="none" w:sz="0" w:space="0" w:color="auto"/>
        <w:bottom w:val="none" w:sz="0" w:space="0" w:color="auto"/>
        <w:right w:val="none" w:sz="0" w:space="0" w:color="auto"/>
      </w:divBdr>
    </w:div>
    <w:div w:id="2115976002">
      <w:bodyDiv w:val="1"/>
      <w:marLeft w:val="0"/>
      <w:marRight w:val="0"/>
      <w:marTop w:val="0"/>
      <w:marBottom w:val="0"/>
      <w:divBdr>
        <w:top w:val="none" w:sz="0" w:space="0" w:color="auto"/>
        <w:left w:val="none" w:sz="0" w:space="0" w:color="auto"/>
        <w:bottom w:val="none" w:sz="0" w:space="0" w:color="auto"/>
        <w:right w:val="none" w:sz="0" w:space="0" w:color="auto"/>
      </w:divBdr>
      <w:divsChild>
        <w:div w:id="1124157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7.xml"/><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image" Target="media/image19.JPG"/><Relationship Id="rId50" Type="http://schemas.openxmlformats.org/officeDocument/2006/relationships/image" Target="media/image22.JPG"/><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emf"/><Relationship Id="rId29" Type="http://schemas.openxmlformats.org/officeDocument/2006/relationships/footer" Target="footer9.xm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image" Target="media/image13.png"/><Relationship Id="rId45" Type="http://schemas.openxmlformats.org/officeDocument/2006/relationships/image" Target="media/image17.JPG"/><Relationship Id="rId53" Type="http://schemas.openxmlformats.org/officeDocument/2006/relationships/image" Target="media/image24.png"/><Relationship Id="rId58" Type="http://schemas.openxmlformats.org/officeDocument/2006/relationships/hyperlink" Target="mailto:jbrown@dmu.ac.uk"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image" Target="media/image21.JPG"/><Relationship Id="rId57" Type="http://schemas.openxmlformats.org/officeDocument/2006/relationships/hyperlink" Target="mailto:jbrown@dmu.ac.uk" TargetMode="Externa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10.xml"/><Relationship Id="rId44" Type="http://schemas.openxmlformats.org/officeDocument/2006/relationships/image" Target="media/image16.JPG"/><Relationship Id="rId52" Type="http://schemas.openxmlformats.org/officeDocument/2006/relationships/footer" Target="footer18.xml"/><Relationship Id="rId60"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footer" Target="footer13.xml"/><Relationship Id="rId43" Type="http://schemas.openxmlformats.org/officeDocument/2006/relationships/image" Target="media/image15.JPG"/><Relationship Id="rId48" Type="http://schemas.openxmlformats.org/officeDocument/2006/relationships/image" Target="media/image20.JPG"/><Relationship Id="rId56" Type="http://schemas.openxmlformats.org/officeDocument/2006/relationships/hyperlink" Target="tel:%2B44%20%280%29%20116%20201%203961" TargetMode="External"/><Relationship Id="rId8" Type="http://schemas.openxmlformats.org/officeDocument/2006/relationships/image" Target="media/image1.pn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1.png"/><Relationship Id="rId38" Type="http://schemas.openxmlformats.org/officeDocument/2006/relationships/footer" Target="footer16.xml"/><Relationship Id="rId46" Type="http://schemas.openxmlformats.org/officeDocument/2006/relationships/image" Target="media/image18.JPG"/><Relationship Id="rId59"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7CE3E-EC1B-4B86-BD4D-CA3BE176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408</Pages>
  <Words>128082</Words>
  <Characters>730069</Characters>
  <Application>Microsoft Office Word</Application>
  <DocSecurity>0</DocSecurity>
  <Lines>6083</Lines>
  <Paragraphs>1712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mgp13ck</cp:lastModifiedBy>
  <cp:revision>46</cp:revision>
  <cp:lastPrinted>2016-08-05T09:55:00Z</cp:lastPrinted>
  <dcterms:created xsi:type="dcterms:W3CDTF">2016-11-28T13:21:00Z</dcterms:created>
  <dcterms:modified xsi:type="dcterms:W3CDTF">2016-12-22T16:01:00Z</dcterms:modified>
</cp:coreProperties>
</file>